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7BDD9" w14:textId="77777777" w:rsidR="00623687" w:rsidRDefault="00623687">
      <w:pPr>
        <w:rPr>
          <w:rFonts w:asciiTheme="minorHAnsi" w:eastAsia="Times New Roman" w:hAnsiTheme="minorHAnsi"/>
          <w:b/>
          <w:sz w:val="44"/>
          <w:szCs w:val="44"/>
        </w:rPr>
      </w:pPr>
    </w:p>
    <w:p w14:paraId="61A3CE47" w14:textId="77777777" w:rsidR="00623687" w:rsidRDefault="00623687">
      <w:pPr>
        <w:rPr>
          <w:rFonts w:asciiTheme="minorHAnsi" w:eastAsia="Times New Roman" w:hAnsiTheme="minorHAnsi"/>
          <w:b/>
          <w:sz w:val="44"/>
          <w:szCs w:val="44"/>
        </w:rPr>
      </w:pPr>
    </w:p>
    <w:p w14:paraId="0238B1E1" w14:textId="77777777" w:rsidR="00623687" w:rsidRDefault="00623687">
      <w:pPr>
        <w:rPr>
          <w:rFonts w:asciiTheme="minorHAnsi" w:eastAsia="Times New Roman" w:hAnsiTheme="minorHAnsi"/>
          <w:b/>
          <w:sz w:val="44"/>
          <w:szCs w:val="44"/>
        </w:rPr>
      </w:pPr>
    </w:p>
    <w:p w14:paraId="13045B72" w14:textId="0344D1FE" w:rsidR="001437D5" w:rsidRPr="000F735E" w:rsidRDefault="005C79DB">
      <w:pPr>
        <w:rPr>
          <w:rFonts w:asciiTheme="minorHAnsi" w:eastAsia="Times New Roman" w:hAnsiTheme="minorHAnsi"/>
          <w:b/>
          <w:sz w:val="44"/>
          <w:szCs w:val="44"/>
        </w:rPr>
      </w:pPr>
      <w:r w:rsidRPr="000F735E">
        <w:rPr>
          <w:rFonts w:asciiTheme="minorHAnsi" w:eastAsia="Times New Roman" w:hAnsiTheme="minorHAnsi"/>
          <w:b/>
          <w:sz w:val="44"/>
          <w:szCs w:val="44"/>
        </w:rPr>
        <w:t>The Oregon Department of Education’s Response</w:t>
      </w:r>
    </w:p>
    <w:p w14:paraId="0842BA97" w14:textId="03AC86A5" w:rsidR="00FC0D49" w:rsidRPr="000F735E" w:rsidRDefault="00FC0D49" w:rsidP="00FC0D49">
      <w:pPr>
        <w:jc w:val="center"/>
        <w:rPr>
          <w:rFonts w:asciiTheme="minorHAnsi" w:eastAsia="Times New Roman" w:hAnsiTheme="minorHAnsi"/>
          <w:b/>
          <w:sz w:val="32"/>
          <w:szCs w:val="32"/>
        </w:rPr>
      </w:pPr>
      <w:r w:rsidRPr="00DF35A8">
        <w:rPr>
          <w:rFonts w:asciiTheme="minorHAnsi" w:eastAsia="Times New Roman" w:hAnsiTheme="minorHAnsi"/>
          <w:b/>
          <w:sz w:val="32"/>
          <w:szCs w:val="32"/>
        </w:rPr>
        <w:t>To</w:t>
      </w:r>
      <w:r>
        <w:rPr>
          <w:rFonts w:asciiTheme="minorHAnsi" w:eastAsia="Times New Roman" w:hAnsiTheme="minorHAnsi"/>
          <w:b/>
          <w:sz w:val="32"/>
          <w:szCs w:val="32"/>
        </w:rPr>
        <w:t xml:space="preserve"> </w:t>
      </w:r>
      <w:r w:rsidRPr="00DF35A8">
        <w:rPr>
          <w:rFonts w:asciiTheme="minorHAnsi" w:eastAsia="Times New Roman" w:hAnsiTheme="minorHAnsi"/>
          <w:b/>
          <w:sz w:val="32"/>
          <w:szCs w:val="32"/>
        </w:rPr>
        <w:t>Recommendations 1 and 2</w:t>
      </w:r>
    </w:p>
    <w:p w14:paraId="0484E4DF" w14:textId="77777777" w:rsidR="00120913" w:rsidRDefault="00120913" w:rsidP="000F735E">
      <w:pPr>
        <w:jc w:val="center"/>
        <w:rPr>
          <w:rFonts w:asciiTheme="minorHAnsi" w:eastAsia="Times New Roman" w:hAnsiTheme="minorHAnsi"/>
          <w:b/>
          <w:sz w:val="36"/>
          <w:szCs w:val="36"/>
        </w:rPr>
      </w:pPr>
    </w:p>
    <w:p w14:paraId="0B7F3969" w14:textId="6CCCB692" w:rsidR="001437D5" w:rsidRPr="000F735E" w:rsidRDefault="001437D5" w:rsidP="000F735E">
      <w:pPr>
        <w:jc w:val="center"/>
        <w:rPr>
          <w:rFonts w:asciiTheme="minorHAnsi" w:eastAsia="Times New Roman" w:hAnsiTheme="minorHAnsi"/>
          <w:b/>
          <w:sz w:val="36"/>
          <w:szCs w:val="36"/>
        </w:rPr>
      </w:pPr>
      <w:r w:rsidRPr="000F735E">
        <w:rPr>
          <w:rFonts w:asciiTheme="minorHAnsi" w:eastAsia="Times New Roman" w:hAnsiTheme="minorHAnsi"/>
          <w:b/>
          <w:sz w:val="36"/>
          <w:szCs w:val="36"/>
        </w:rPr>
        <w:t>The Oregon Secretary of State’s Audit 2019-01</w:t>
      </w:r>
    </w:p>
    <w:p w14:paraId="1BCDEA92" w14:textId="5594471B" w:rsidR="00FC0D49" w:rsidRPr="00120913" w:rsidRDefault="00120913" w:rsidP="000F735E">
      <w:pPr>
        <w:pStyle w:val="Default"/>
        <w:jc w:val="center"/>
        <w:rPr>
          <w:rFonts w:asciiTheme="minorHAnsi" w:hAnsiTheme="minorHAnsi" w:cstheme="minorHAnsi"/>
          <w:b/>
          <w:bCs/>
          <w:color w:val="auto"/>
          <w:sz w:val="32"/>
          <w:szCs w:val="32"/>
        </w:rPr>
      </w:pPr>
      <w:r w:rsidRPr="00120913">
        <w:rPr>
          <w:rFonts w:asciiTheme="minorHAnsi" w:hAnsiTheme="minorHAnsi" w:cstheme="minorHAnsi"/>
          <w:b/>
          <w:bCs/>
          <w:color w:val="auto"/>
          <w:sz w:val="32"/>
          <w:szCs w:val="32"/>
        </w:rPr>
        <w:t>January 2019</w:t>
      </w:r>
    </w:p>
    <w:p w14:paraId="3478AEB3" w14:textId="77777777" w:rsidR="00120913" w:rsidRPr="00120913" w:rsidRDefault="00120913" w:rsidP="000F735E">
      <w:pPr>
        <w:pStyle w:val="Default"/>
        <w:jc w:val="center"/>
        <w:rPr>
          <w:rFonts w:asciiTheme="minorHAnsi" w:hAnsiTheme="minorHAnsi" w:cstheme="minorHAnsi"/>
          <w:b/>
          <w:bCs/>
          <w:color w:val="auto"/>
        </w:rPr>
      </w:pPr>
    </w:p>
    <w:p w14:paraId="7AEF2909" w14:textId="260B5523" w:rsidR="001437D5" w:rsidRPr="008C1C89" w:rsidRDefault="001437D5" w:rsidP="000F735E">
      <w:pPr>
        <w:pStyle w:val="Default"/>
        <w:jc w:val="center"/>
        <w:rPr>
          <w:rFonts w:asciiTheme="minorHAnsi" w:hAnsiTheme="minorHAnsi" w:cstheme="minorHAnsi"/>
          <w:color w:val="0033CC"/>
          <w:sz w:val="36"/>
          <w:szCs w:val="36"/>
        </w:rPr>
      </w:pPr>
      <w:r w:rsidRPr="008C1C89">
        <w:rPr>
          <w:rFonts w:asciiTheme="minorHAnsi" w:hAnsiTheme="minorHAnsi" w:cstheme="minorHAnsi"/>
          <w:b/>
          <w:bCs/>
          <w:color w:val="0033CC"/>
          <w:sz w:val="36"/>
          <w:szCs w:val="36"/>
        </w:rPr>
        <w:t>Oregon Department of Education</w:t>
      </w:r>
    </w:p>
    <w:p w14:paraId="440645E4" w14:textId="0A3B0618" w:rsidR="001437D5" w:rsidRPr="008C1C89" w:rsidRDefault="001437D5" w:rsidP="000F735E">
      <w:pPr>
        <w:pStyle w:val="Default"/>
        <w:jc w:val="center"/>
        <w:rPr>
          <w:rFonts w:asciiTheme="minorHAnsi" w:hAnsiTheme="minorHAnsi" w:cstheme="minorHAnsi"/>
          <w:color w:val="0033CC"/>
          <w:sz w:val="36"/>
          <w:szCs w:val="36"/>
        </w:rPr>
      </w:pPr>
      <w:r w:rsidRPr="008C1C89">
        <w:rPr>
          <w:rFonts w:asciiTheme="minorHAnsi" w:hAnsiTheme="minorHAnsi" w:cstheme="minorHAnsi"/>
          <w:b/>
          <w:bCs/>
          <w:color w:val="0033CC"/>
          <w:sz w:val="36"/>
          <w:szCs w:val="36"/>
        </w:rPr>
        <w:t>Portland Public Schools</w:t>
      </w:r>
    </w:p>
    <w:p w14:paraId="605231C7" w14:textId="77777777" w:rsidR="001437D5" w:rsidRPr="008C1C89" w:rsidRDefault="001437D5" w:rsidP="000F735E">
      <w:pPr>
        <w:jc w:val="center"/>
        <w:rPr>
          <w:rFonts w:asciiTheme="minorHAnsi" w:hAnsiTheme="minorHAnsi"/>
          <w:b/>
          <w:bCs/>
          <w:color w:val="0033CC"/>
          <w:sz w:val="20"/>
          <w:szCs w:val="20"/>
        </w:rPr>
      </w:pPr>
    </w:p>
    <w:p w14:paraId="4FBF83E7" w14:textId="77777777" w:rsidR="001437D5" w:rsidRPr="008C1C89" w:rsidRDefault="001437D5" w:rsidP="000F735E">
      <w:pPr>
        <w:jc w:val="center"/>
        <w:rPr>
          <w:rFonts w:asciiTheme="minorHAnsi" w:hAnsiTheme="minorHAnsi"/>
          <w:b/>
          <w:bCs/>
          <w:color w:val="0033CC"/>
          <w:sz w:val="44"/>
          <w:szCs w:val="44"/>
        </w:rPr>
      </w:pPr>
      <w:r w:rsidRPr="008C1C89">
        <w:rPr>
          <w:rFonts w:asciiTheme="minorHAnsi" w:hAnsiTheme="minorHAnsi"/>
          <w:b/>
          <w:bCs/>
          <w:color w:val="0033CC"/>
          <w:sz w:val="44"/>
          <w:szCs w:val="44"/>
        </w:rPr>
        <w:t xml:space="preserve">ODE and PPS Must Do More to Monitor Spending and Address Systemic Obstacles to Student Performance, Particularly at Struggling Schools </w:t>
      </w:r>
    </w:p>
    <w:p w14:paraId="073B268B" w14:textId="77777777" w:rsidR="001437D5" w:rsidRPr="000F735E" w:rsidRDefault="001437D5" w:rsidP="000F735E">
      <w:pPr>
        <w:jc w:val="center"/>
        <w:rPr>
          <w:rFonts w:asciiTheme="minorHAnsi" w:hAnsiTheme="minorHAnsi"/>
          <w:b/>
          <w:bCs/>
          <w:sz w:val="44"/>
          <w:szCs w:val="44"/>
        </w:rPr>
      </w:pPr>
    </w:p>
    <w:p w14:paraId="460510E9" w14:textId="222D553A" w:rsidR="00FC0D49" w:rsidRDefault="00FC0D49" w:rsidP="001437D5">
      <w:pPr>
        <w:jc w:val="center"/>
        <w:rPr>
          <w:rFonts w:asciiTheme="minorHAnsi" w:hAnsiTheme="minorHAnsi"/>
          <w:b/>
          <w:bCs/>
          <w:sz w:val="36"/>
          <w:szCs w:val="36"/>
        </w:rPr>
      </w:pPr>
    </w:p>
    <w:p w14:paraId="402B61B8" w14:textId="77777777" w:rsidR="00120913" w:rsidRDefault="00120913" w:rsidP="001437D5">
      <w:pPr>
        <w:jc w:val="center"/>
        <w:rPr>
          <w:rFonts w:asciiTheme="minorHAnsi" w:hAnsiTheme="minorHAnsi"/>
          <w:b/>
          <w:bCs/>
          <w:sz w:val="36"/>
          <w:szCs w:val="36"/>
        </w:rPr>
      </w:pPr>
    </w:p>
    <w:p w14:paraId="18B04E42" w14:textId="38ACD3F9" w:rsidR="00BB418B" w:rsidRPr="000F735E" w:rsidRDefault="00930F33" w:rsidP="001437D5">
      <w:pPr>
        <w:jc w:val="center"/>
        <w:rPr>
          <w:rFonts w:asciiTheme="minorHAnsi" w:eastAsia="Times New Roman" w:hAnsiTheme="minorHAnsi"/>
          <w:b/>
          <w:sz w:val="44"/>
          <w:szCs w:val="44"/>
        </w:rPr>
      </w:pPr>
      <w:r>
        <w:rPr>
          <w:rFonts w:asciiTheme="minorHAnsi" w:hAnsiTheme="minorHAnsi"/>
          <w:b/>
          <w:bCs/>
          <w:sz w:val="36"/>
          <w:szCs w:val="36"/>
        </w:rPr>
        <w:t>Revised Dec</w:t>
      </w:r>
      <w:r w:rsidR="001437D5" w:rsidRPr="000F735E">
        <w:rPr>
          <w:rFonts w:asciiTheme="minorHAnsi" w:hAnsiTheme="minorHAnsi"/>
          <w:b/>
          <w:bCs/>
          <w:sz w:val="36"/>
          <w:szCs w:val="36"/>
        </w:rPr>
        <w:t>ember 2020</w:t>
      </w:r>
    </w:p>
    <w:p w14:paraId="0CE5541D" w14:textId="77777777" w:rsidR="00BB418B" w:rsidRPr="000F735E" w:rsidRDefault="00BB418B">
      <w:pPr>
        <w:rPr>
          <w:rFonts w:ascii="Times New Roman" w:eastAsia="Times New Roman" w:hAnsi="Times New Roman" w:cs="Times New Roman"/>
          <w:b/>
          <w:sz w:val="24"/>
        </w:rPr>
      </w:pPr>
      <w:r w:rsidRPr="000F735E">
        <w:rPr>
          <w:rFonts w:asciiTheme="minorHAnsi" w:eastAsia="Times New Roman" w:hAnsiTheme="minorHAnsi"/>
          <w:b/>
          <w:sz w:val="44"/>
          <w:szCs w:val="44"/>
        </w:rPr>
        <w:br w:type="page"/>
      </w:r>
    </w:p>
    <w:p w14:paraId="0D01C83D" w14:textId="6AB55E31" w:rsidR="00BB418B" w:rsidRDefault="00BB418B" w:rsidP="00BB418B">
      <w:pPr>
        <w:rPr>
          <w:rFonts w:asciiTheme="minorHAnsi" w:eastAsia="Times New Roman" w:hAnsiTheme="minorHAnsi"/>
          <w:color w:val="0000FF"/>
          <w:sz w:val="44"/>
          <w:szCs w:val="44"/>
        </w:rPr>
      </w:pPr>
      <w:r w:rsidRPr="000F735E">
        <w:rPr>
          <w:rFonts w:ascii="Times New Roman" w:eastAsia="Times New Roman" w:hAnsi="Times New Roman" w:cs="Times New Roman"/>
          <w:sz w:val="24"/>
        </w:rPr>
        <w:lastRenderedPageBreak/>
        <w:t>This page intentional left blank</w:t>
      </w:r>
    </w:p>
    <w:p w14:paraId="4AEB801A" w14:textId="77777777" w:rsidR="00BB418B" w:rsidRDefault="00BB418B">
      <w:pPr>
        <w:rPr>
          <w:rFonts w:asciiTheme="minorHAnsi" w:eastAsia="Times New Roman" w:hAnsiTheme="minorHAnsi"/>
          <w:color w:val="0000FF"/>
          <w:sz w:val="44"/>
          <w:szCs w:val="44"/>
        </w:rPr>
      </w:pPr>
      <w:r>
        <w:rPr>
          <w:rFonts w:asciiTheme="minorHAnsi" w:eastAsia="Times New Roman" w:hAnsiTheme="minorHAnsi"/>
          <w:color w:val="0000FF"/>
          <w:sz w:val="44"/>
          <w:szCs w:val="44"/>
        </w:rPr>
        <w:br w:type="page"/>
      </w:r>
    </w:p>
    <w:p w14:paraId="5CF629FB" w14:textId="25DB013E" w:rsidR="00084BC2" w:rsidRPr="00863D9E" w:rsidRDefault="00BB418B" w:rsidP="000F735E">
      <w:pPr>
        <w:jc w:val="center"/>
        <w:rPr>
          <w:rFonts w:ascii="Times New Roman" w:eastAsia="Times New Roman" w:hAnsi="Times New Roman" w:cs="Times New Roman"/>
          <w:b/>
          <w:sz w:val="32"/>
          <w:szCs w:val="32"/>
        </w:rPr>
      </w:pPr>
      <w:r w:rsidRPr="000F735E">
        <w:rPr>
          <w:rFonts w:ascii="Times New Roman" w:eastAsia="Times New Roman" w:hAnsi="Times New Roman" w:cs="Times New Roman"/>
          <w:b/>
          <w:sz w:val="32"/>
          <w:szCs w:val="32"/>
        </w:rPr>
        <w:lastRenderedPageBreak/>
        <w:t>Table of Contents</w:t>
      </w:r>
    </w:p>
    <w:p w14:paraId="5DCB6C4E" w14:textId="7EE7DCDC" w:rsidR="00DF35A8" w:rsidRDefault="00863D9E" w:rsidP="008C1C89">
      <w:pPr>
        <w:spacing w:after="80"/>
        <w:rPr>
          <w:rFonts w:ascii="Times New Roman" w:eastAsia="Times New Roman" w:hAnsi="Times New Roman" w:cs="Times New Roman"/>
          <w:sz w:val="24"/>
        </w:rPr>
      </w:pPr>
      <w:r w:rsidRPr="000F735E">
        <w:rPr>
          <w:rFonts w:ascii="Times New Roman" w:eastAsia="Times New Roman" w:hAnsi="Times New Roman" w:cs="Times New Roman"/>
          <w:sz w:val="24"/>
        </w:rPr>
        <w:t>Executive Summary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F93B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5</w:t>
      </w:r>
    </w:p>
    <w:p w14:paraId="68831A72" w14:textId="35E876FA" w:rsidR="00863D9E" w:rsidRDefault="00863D9E" w:rsidP="008C1C89">
      <w:pPr>
        <w:spacing w:after="80"/>
        <w:rPr>
          <w:rFonts w:ascii="Times New Roman" w:eastAsia="Times New Roman" w:hAnsi="Times New Roman" w:cs="Times New Roman"/>
          <w:sz w:val="24"/>
        </w:rPr>
      </w:pPr>
      <w:r>
        <w:rPr>
          <w:rFonts w:ascii="Times New Roman" w:eastAsia="Times New Roman" w:hAnsi="Times New Roman" w:cs="Times New Roman"/>
          <w:sz w:val="24"/>
        </w:rPr>
        <w:t>Introduction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F93B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666BBB">
        <w:rPr>
          <w:rFonts w:ascii="Times New Roman" w:eastAsia="Times New Roman" w:hAnsi="Times New Roman" w:cs="Times New Roman"/>
          <w:sz w:val="24"/>
        </w:rPr>
        <w:t>7</w:t>
      </w:r>
    </w:p>
    <w:p w14:paraId="5E69CD0E" w14:textId="0AF5B7BB" w:rsidR="00666BBB" w:rsidRDefault="00666BBB" w:rsidP="008C1C89">
      <w:pPr>
        <w:spacing w:after="80"/>
        <w:rPr>
          <w:rFonts w:ascii="Times New Roman" w:eastAsia="Times New Roman" w:hAnsi="Times New Roman" w:cs="Times New Roman"/>
          <w:sz w:val="24"/>
        </w:rPr>
      </w:pPr>
      <w:r>
        <w:rPr>
          <w:rFonts w:ascii="Times New Roman" w:eastAsia="Times New Roman" w:hAnsi="Times New Roman" w:cs="Times New Roman"/>
          <w:sz w:val="24"/>
        </w:rPr>
        <w:t>Potential K-12 Savings Areas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F93B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8</w:t>
      </w:r>
    </w:p>
    <w:p w14:paraId="2B8E67B4" w14:textId="39638B42" w:rsidR="00666BBB" w:rsidRDefault="0080566E" w:rsidP="008C1C89">
      <w:pPr>
        <w:spacing w:after="80"/>
        <w:rPr>
          <w:rFonts w:ascii="Times New Roman" w:eastAsia="Times New Roman" w:hAnsi="Times New Roman" w:cs="Times New Roman"/>
          <w:sz w:val="24"/>
        </w:rPr>
      </w:pPr>
      <w:r>
        <w:rPr>
          <w:rFonts w:ascii="Times New Roman" w:eastAsia="Times New Roman" w:hAnsi="Times New Roman" w:cs="Times New Roman"/>
          <w:sz w:val="24"/>
        </w:rPr>
        <w:t>Spending Trends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F93B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8</w:t>
      </w:r>
    </w:p>
    <w:p w14:paraId="3694CBB8" w14:textId="5EE9BD1C" w:rsidR="00666BBB" w:rsidRDefault="00666BBB" w:rsidP="008C1C89">
      <w:pPr>
        <w:spacing w:after="80"/>
        <w:rPr>
          <w:rFonts w:ascii="Times New Roman" w:eastAsia="Times New Roman" w:hAnsi="Times New Roman" w:cs="Times New Roman"/>
          <w:sz w:val="24"/>
        </w:rPr>
      </w:pPr>
      <w:r>
        <w:rPr>
          <w:rFonts w:ascii="Times New Roman" w:eastAsia="Times New Roman" w:hAnsi="Times New Roman" w:cs="Times New Roman"/>
          <w:sz w:val="24"/>
        </w:rPr>
        <w:t>Spending Pattern Differenc</w:t>
      </w:r>
      <w:r w:rsidR="0080566E">
        <w:rPr>
          <w:rFonts w:ascii="Times New Roman" w:eastAsia="Times New Roman" w:hAnsi="Times New Roman" w:cs="Times New Roman"/>
          <w:sz w:val="24"/>
        </w:rPr>
        <w:t xml:space="preserve">es </w:t>
      </w:r>
      <w:proofErr w:type="gramStart"/>
      <w:r w:rsidR="0080566E">
        <w:rPr>
          <w:rFonts w:ascii="Times New Roman" w:eastAsia="Times New Roman" w:hAnsi="Times New Roman" w:cs="Times New Roman"/>
          <w:sz w:val="24"/>
        </w:rPr>
        <w:t>Among</w:t>
      </w:r>
      <w:proofErr w:type="gramEnd"/>
      <w:r w:rsidR="0080566E">
        <w:rPr>
          <w:rFonts w:ascii="Times New Roman" w:eastAsia="Times New Roman" w:hAnsi="Times New Roman" w:cs="Times New Roman"/>
          <w:sz w:val="24"/>
        </w:rPr>
        <w:t xml:space="preserve"> School Districts</w:t>
      </w:r>
      <w:r w:rsidR="0080566E">
        <w:rPr>
          <w:rFonts w:ascii="Times New Roman" w:eastAsia="Times New Roman" w:hAnsi="Times New Roman" w:cs="Times New Roman"/>
          <w:sz w:val="24"/>
        </w:rPr>
        <w:tab/>
      </w:r>
      <w:r w:rsidR="0080566E">
        <w:rPr>
          <w:rFonts w:ascii="Times New Roman" w:eastAsia="Times New Roman" w:hAnsi="Times New Roman" w:cs="Times New Roman"/>
          <w:sz w:val="24"/>
        </w:rPr>
        <w:tab/>
      </w:r>
      <w:r w:rsidR="0080566E">
        <w:rPr>
          <w:rFonts w:ascii="Times New Roman" w:eastAsia="Times New Roman" w:hAnsi="Times New Roman" w:cs="Times New Roman"/>
          <w:sz w:val="24"/>
        </w:rPr>
        <w:tab/>
      </w:r>
      <w:r w:rsidR="0080566E">
        <w:rPr>
          <w:rFonts w:ascii="Times New Roman" w:eastAsia="Times New Roman" w:hAnsi="Times New Roman" w:cs="Times New Roman"/>
          <w:sz w:val="24"/>
        </w:rPr>
        <w:tab/>
      </w:r>
      <w:r w:rsidR="0080566E">
        <w:rPr>
          <w:rFonts w:ascii="Times New Roman" w:eastAsia="Times New Roman" w:hAnsi="Times New Roman" w:cs="Times New Roman"/>
          <w:sz w:val="24"/>
        </w:rPr>
        <w:tab/>
        <w:t>10</w:t>
      </w:r>
    </w:p>
    <w:p w14:paraId="4808BF20" w14:textId="3DBD9D5B" w:rsidR="0080566E" w:rsidRDefault="0080566E" w:rsidP="008C1C89">
      <w:pPr>
        <w:spacing w:after="80"/>
        <w:rPr>
          <w:rFonts w:ascii="Times New Roman" w:eastAsia="Times New Roman" w:hAnsi="Times New Roman" w:cs="Times New Roman"/>
          <w:sz w:val="24"/>
        </w:rPr>
      </w:pPr>
      <w:r>
        <w:rPr>
          <w:rFonts w:ascii="Times New Roman" w:eastAsia="Times New Roman" w:hAnsi="Times New Roman" w:cs="Times New Roman"/>
          <w:sz w:val="24"/>
        </w:rPr>
        <w:t>A Deeper Analysis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w:t>
      </w:r>
      <w:r w:rsidR="006C2E0C">
        <w:rPr>
          <w:rFonts w:ascii="Times New Roman" w:eastAsia="Times New Roman" w:hAnsi="Times New Roman" w:cs="Times New Roman"/>
          <w:sz w:val="24"/>
        </w:rPr>
        <w:t>8</w:t>
      </w:r>
    </w:p>
    <w:p w14:paraId="1ECC0F13" w14:textId="5244EDFF" w:rsidR="00FE1614" w:rsidRDefault="00B21974" w:rsidP="008C1C89">
      <w:pPr>
        <w:keepNext/>
        <w:keepLines/>
        <w:spacing w:after="80" w:line="276" w:lineRule="auto"/>
        <w:outlineLvl w:val="1"/>
        <w:rPr>
          <w:rFonts w:ascii="Times New Roman" w:eastAsiaTheme="majorEastAsia" w:hAnsi="Times New Roman" w:cs="Times New Roman"/>
          <w:sz w:val="24"/>
        </w:rPr>
      </w:pPr>
      <w:r w:rsidRPr="000F735E">
        <w:rPr>
          <w:rFonts w:ascii="Times New Roman" w:eastAsiaTheme="majorEastAsia" w:hAnsi="Times New Roman" w:cs="Times New Roman"/>
          <w:sz w:val="24"/>
        </w:rPr>
        <w:t xml:space="preserve">Are variations in the </w:t>
      </w:r>
      <w:r>
        <w:rPr>
          <w:rFonts w:ascii="Times New Roman" w:eastAsiaTheme="majorEastAsia" w:hAnsi="Times New Roman" w:cs="Times New Roman"/>
          <w:sz w:val="24"/>
        </w:rPr>
        <w:t xml:space="preserve">spending patterns </w:t>
      </w:r>
      <w:r w:rsidRPr="000F735E">
        <w:rPr>
          <w:rFonts w:ascii="Times New Roman" w:eastAsiaTheme="majorEastAsia" w:hAnsi="Times New Roman" w:cs="Times New Roman"/>
          <w:sz w:val="24"/>
        </w:rPr>
        <w:t>related to student outcomes?</w:t>
      </w:r>
      <w:r>
        <w:rPr>
          <w:rFonts w:ascii="Times New Roman" w:eastAsiaTheme="majorEastAsia" w:hAnsi="Times New Roman" w:cs="Times New Roman"/>
          <w:sz w:val="24"/>
        </w:rPr>
        <w:tab/>
      </w:r>
      <w:r>
        <w:rPr>
          <w:rFonts w:ascii="Times New Roman" w:eastAsiaTheme="majorEastAsia" w:hAnsi="Times New Roman" w:cs="Times New Roman"/>
          <w:sz w:val="24"/>
        </w:rPr>
        <w:tab/>
      </w:r>
      <w:r>
        <w:rPr>
          <w:rFonts w:ascii="Times New Roman" w:eastAsiaTheme="majorEastAsia" w:hAnsi="Times New Roman" w:cs="Times New Roman"/>
          <w:sz w:val="24"/>
        </w:rPr>
        <w:tab/>
        <w:t>2</w:t>
      </w:r>
      <w:r w:rsidR="006C2E0C">
        <w:rPr>
          <w:rFonts w:ascii="Times New Roman" w:eastAsiaTheme="majorEastAsia" w:hAnsi="Times New Roman" w:cs="Times New Roman"/>
          <w:sz w:val="24"/>
        </w:rPr>
        <w:t>5</w:t>
      </w:r>
    </w:p>
    <w:p w14:paraId="306E361C" w14:textId="00D77774" w:rsidR="00B21974" w:rsidRDefault="00FE1614" w:rsidP="008C1C89">
      <w:pPr>
        <w:keepNext/>
        <w:keepLines/>
        <w:spacing w:after="80" w:line="276" w:lineRule="auto"/>
        <w:outlineLvl w:val="1"/>
        <w:rPr>
          <w:rFonts w:ascii="Times New Roman" w:eastAsiaTheme="majorEastAsia" w:hAnsi="Times New Roman" w:cs="Times New Roman"/>
          <w:sz w:val="24"/>
        </w:rPr>
      </w:pPr>
      <w:r>
        <w:rPr>
          <w:rFonts w:ascii="Times New Roman" w:eastAsiaTheme="majorEastAsia" w:hAnsi="Times New Roman" w:cs="Times New Roman"/>
          <w:sz w:val="24"/>
        </w:rPr>
        <w:t>A Tool for School Districts</w:t>
      </w:r>
      <w:r w:rsidR="00B21974">
        <w:rPr>
          <w:rFonts w:ascii="Times New Roman" w:eastAsiaTheme="majorEastAsia" w:hAnsi="Times New Roman" w:cs="Times New Roman"/>
          <w:sz w:val="24"/>
        </w:rPr>
        <w:tab/>
      </w:r>
      <w:r w:rsidR="00B21974">
        <w:rPr>
          <w:rFonts w:ascii="Times New Roman" w:eastAsiaTheme="majorEastAsia" w:hAnsi="Times New Roman" w:cs="Times New Roman"/>
          <w:sz w:val="24"/>
        </w:rPr>
        <w:tab/>
      </w:r>
      <w:r w:rsidR="00B21974">
        <w:rPr>
          <w:rFonts w:ascii="Times New Roman" w:eastAsiaTheme="majorEastAsia" w:hAnsi="Times New Roman" w:cs="Times New Roman"/>
          <w:sz w:val="24"/>
        </w:rPr>
        <w:tab/>
      </w:r>
      <w:r w:rsidR="00F93B5A">
        <w:rPr>
          <w:rFonts w:ascii="Times New Roman" w:eastAsiaTheme="majorEastAsia" w:hAnsi="Times New Roman" w:cs="Times New Roman"/>
          <w:sz w:val="24"/>
        </w:rPr>
        <w:tab/>
      </w:r>
      <w:r w:rsidR="00F93B5A">
        <w:rPr>
          <w:rFonts w:ascii="Times New Roman" w:eastAsiaTheme="majorEastAsia" w:hAnsi="Times New Roman" w:cs="Times New Roman"/>
          <w:sz w:val="24"/>
        </w:rPr>
        <w:tab/>
      </w:r>
      <w:r w:rsidR="00F93B5A">
        <w:rPr>
          <w:rFonts w:ascii="Times New Roman" w:eastAsiaTheme="majorEastAsia" w:hAnsi="Times New Roman" w:cs="Times New Roman"/>
          <w:sz w:val="24"/>
        </w:rPr>
        <w:tab/>
      </w:r>
      <w:r w:rsidR="00F93B5A">
        <w:rPr>
          <w:rFonts w:ascii="Times New Roman" w:eastAsiaTheme="majorEastAsia" w:hAnsi="Times New Roman" w:cs="Times New Roman"/>
          <w:sz w:val="24"/>
        </w:rPr>
        <w:tab/>
      </w:r>
      <w:r w:rsidR="00F93B5A">
        <w:rPr>
          <w:rFonts w:ascii="Times New Roman" w:eastAsiaTheme="majorEastAsia" w:hAnsi="Times New Roman" w:cs="Times New Roman"/>
          <w:sz w:val="24"/>
        </w:rPr>
        <w:tab/>
      </w:r>
      <w:r w:rsidR="00F93B5A">
        <w:rPr>
          <w:rFonts w:ascii="Times New Roman" w:eastAsiaTheme="majorEastAsia" w:hAnsi="Times New Roman" w:cs="Times New Roman"/>
          <w:sz w:val="24"/>
        </w:rPr>
        <w:tab/>
        <w:t>2</w:t>
      </w:r>
      <w:r w:rsidR="006C2E0C">
        <w:rPr>
          <w:rFonts w:ascii="Times New Roman" w:eastAsiaTheme="majorEastAsia" w:hAnsi="Times New Roman" w:cs="Times New Roman"/>
          <w:sz w:val="24"/>
        </w:rPr>
        <w:t>6</w:t>
      </w:r>
    </w:p>
    <w:p w14:paraId="4EA6F29A" w14:textId="260B137C" w:rsidR="008C7FE9" w:rsidRPr="000F735E" w:rsidRDefault="008C7FE9" w:rsidP="008C1C89">
      <w:pPr>
        <w:keepNext/>
        <w:keepLines/>
        <w:spacing w:after="80" w:line="276" w:lineRule="auto"/>
        <w:outlineLvl w:val="1"/>
        <w:rPr>
          <w:rFonts w:ascii="Times New Roman" w:eastAsiaTheme="majorEastAsia" w:hAnsi="Times New Roman" w:cs="Times New Roman"/>
          <w:sz w:val="24"/>
        </w:rPr>
      </w:pPr>
      <w:r>
        <w:rPr>
          <w:rFonts w:ascii="Times New Roman" w:eastAsiaTheme="majorEastAsia" w:hAnsi="Times New Roman" w:cs="Times New Roman"/>
          <w:sz w:val="24"/>
        </w:rPr>
        <w:t>Appendix A: High School Graduation Rate Regression Results</w:t>
      </w:r>
      <w:r>
        <w:rPr>
          <w:rFonts w:ascii="Times New Roman" w:eastAsiaTheme="majorEastAsia" w:hAnsi="Times New Roman" w:cs="Times New Roman"/>
          <w:sz w:val="24"/>
        </w:rPr>
        <w:tab/>
      </w:r>
      <w:r>
        <w:rPr>
          <w:rFonts w:ascii="Times New Roman" w:eastAsiaTheme="majorEastAsia" w:hAnsi="Times New Roman" w:cs="Times New Roman"/>
          <w:sz w:val="24"/>
        </w:rPr>
        <w:tab/>
      </w:r>
      <w:r>
        <w:rPr>
          <w:rFonts w:ascii="Times New Roman" w:eastAsiaTheme="majorEastAsia" w:hAnsi="Times New Roman" w:cs="Times New Roman"/>
          <w:sz w:val="24"/>
        </w:rPr>
        <w:tab/>
      </w:r>
      <w:r>
        <w:rPr>
          <w:rFonts w:ascii="Times New Roman" w:eastAsiaTheme="majorEastAsia" w:hAnsi="Times New Roman" w:cs="Times New Roman"/>
          <w:sz w:val="24"/>
        </w:rPr>
        <w:tab/>
      </w:r>
      <w:r w:rsidR="007D2993">
        <w:rPr>
          <w:rFonts w:ascii="Times New Roman" w:eastAsiaTheme="majorEastAsia" w:hAnsi="Times New Roman" w:cs="Times New Roman"/>
          <w:sz w:val="24"/>
        </w:rPr>
        <w:t>2</w:t>
      </w:r>
      <w:r w:rsidR="00597B7E">
        <w:rPr>
          <w:rFonts w:ascii="Times New Roman" w:eastAsiaTheme="majorEastAsia" w:hAnsi="Times New Roman" w:cs="Times New Roman"/>
          <w:sz w:val="24"/>
        </w:rPr>
        <w:t>7</w:t>
      </w:r>
    </w:p>
    <w:p w14:paraId="623AFCE7" w14:textId="77777777" w:rsidR="00863D9E" w:rsidRPr="000F735E" w:rsidRDefault="00863D9E">
      <w:pPr>
        <w:rPr>
          <w:rFonts w:ascii="Times New Roman" w:eastAsia="Times New Roman" w:hAnsi="Times New Roman" w:cs="Times New Roman"/>
          <w:sz w:val="24"/>
        </w:rPr>
      </w:pPr>
    </w:p>
    <w:p w14:paraId="424357E0" w14:textId="0AB3AF86" w:rsidR="00DF35A8" w:rsidRPr="00DF35A8" w:rsidRDefault="00DF35A8" w:rsidP="008C1C8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List of Exhibits</w:t>
      </w:r>
    </w:p>
    <w:p w14:paraId="468E1A67" w14:textId="26A4050C" w:rsidR="003E4962" w:rsidRPr="008C1C89" w:rsidRDefault="003E4962" w:rsidP="008C1C89">
      <w:pPr>
        <w:keepNext/>
        <w:spacing w:after="80"/>
        <w:rPr>
          <w:rFonts w:ascii="Times New Roman" w:eastAsia="Times New Roman" w:hAnsi="Times New Roman" w:cs="Times New Roman"/>
          <w:sz w:val="24"/>
        </w:rPr>
      </w:pPr>
      <w:r w:rsidRPr="008C1C89">
        <w:rPr>
          <w:rFonts w:ascii="Times New Roman" w:eastAsia="Times New Roman" w:hAnsi="Times New Roman" w:cs="Times New Roman"/>
          <w:sz w:val="24"/>
        </w:rPr>
        <w:t>Exhibit 1: Share of Operating Expenditures by Function</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 xml:space="preserve">  9</w:t>
      </w:r>
    </w:p>
    <w:p w14:paraId="2173773B" w14:textId="2F78D912" w:rsidR="003E4962" w:rsidRPr="003E4962" w:rsidRDefault="003E4962" w:rsidP="008C1C89">
      <w:pPr>
        <w:spacing w:after="80"/>
        <w:rPr>
          <w:rFonts w:ascii="Times New Roman" w:eastAsia="Times New Roman" w:hAnsi="Times New Roman" w:cs="Times New Roman"/>
        </w:rPr>
      </w:pPr>
      <w:r w:rsidRPr="008C1C89">
        <w:rPr>
          <w:rFonts w:ascii="Times New Roman" w:eastAsia="Times New Roman" w:hAnsi="Times New Roman" w:cs="Times New Roman"/>
          <w:sz w:val="24"/>
        </w:rPr>
        <w:t xml:space="preserve">Exhibit 2: Distribution of School Districts by </w:t>
      </w:r>
      <w:r w:rsidRPr="008C1C89">
        <w:rPr>
          <w:rFonts w:ascii="Times New Roman" w:eastAsia="Times New Roman" w:hAnsi="Times New Roman" w:cs="Times New Roman"/>
          <w:sz w:val="24"/>
          <w:u w:val="single"/>
        </w:rPr>
        <w:t>Size</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10</w:t>
      </w:r>
    </w:p>
    <w:p w14:paraId="33416CE1" w14:textId="6F962547" w:rsidR="003E4962" w:rsidRPr="003E4962" w:rsidRDefault="003E4962" w:rsidP="008C1C89">
      <w:pPr>
        <w:keepNext/>
        <w:spacing w:after="80"/>
        <w:rPr>
          <w:rFonts w:ascii="Times New Roman" w:eastAsia="Times New Roman" w:hAnsi="Times New Roman" w:cs="Times New Roman"/>
        </w:rPr>
      </w:pPr>
      <w:r w:rsidRPr="008C1C89">
        <w:rPr>
          <w:rFonts w:ascii="Times New Roman" w:eastAsia="Times New Roman" w:hAnsi="Times New Roman" w:cs="Times New Roman"/>
          <w:sz w:val="24"/>
        </w:rPr>
        <w:t xml:space="preserve">Exhibit 3: Share of Operating Expenditures by District </w:t>
      </w:r>
      <w:r w:rsidRPr="008C1C89">
        <w:rPr>
          <w:rFonts w:ascii="Times New Roman" w:eastAsia="Times New Roman" w:hAnsi="Times New Roman" w:cs="Times New Roman"/>
          <w:sz w:val="24"/>
          <w:u w:val="single"/>
        </w:rPr>
        <w:t>Size</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11</w:t>
      </w:r>
    </w:p>
    <w:p w14:paraId="7E599ED6" w14:textId="2986B39A" w:rsidR="003E4962" w:rsidRPr="003E4962" w:rsidRDefault="003E4962" w:rsidP="008C1C89">
      <w:pPr>
        <w:spacing w:after="80"/>
        <w:rPr>
          <w:rFonts w:ascii="Times New Roman" w:eastAsia="Times New Roman" w:hAnsi="Times New Roman" w:cs="Times New Roman"/>
        </w:rPr>
      </w:pPr>
      <w:r w:rsidRPr="008C1C89">
        <w:rPr>
          <w:rFonts w:ascii="Times New Roman" w:eastAsia="Times New Roman" w:hAnsi="Times New Roman" w:cs="Times New Roman"/>
          <w:sz w:val="24"/>
        </w:rPr>
        <w:t xml:space="preserve">Exhibit 4: Distribution of School Districts by </w:t>
      </w:r>
      <w:r w:rsidRPr="008C1C89">
        <w:rPr>
          <w:rFonts w:ascii="Times New Roman" w:eastAsia="Times New Roman" w:hAnsi="Times New Roman" w:cs="Times New Roman"/>
          <w:sz w:val="24"/>
          <w:u w:val="single"/>
        </w:rPr>
        <w:t>Locale</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12</w:t>
      </w:r>
    </w:p>
    <w:p w14:paraId="7FBD605A" w14:textId="2603DBDA" w:rsidR="00F93B5A" w:rsidRPr="00F93B5A" w:rsidRDefault="00F93B5A" w:rsidP="008C1C89">
      <w:pPr>
        <w:keepNext/>
        <w:spacing w:after="80"/>
        <w:rPr>
          <w:rFonts w:ascii="Times New Roman" w:eastAsia="Times New Roman" w:hAnsi="Times New Roman" w:cs="Times New Roman"/>
        </w:rPr>
      </w:pPr>
      <w:r w:rsidRPr="008C1C89">
        <w:rPr>
          <w:rFonts w:ascii="Times New Roman" w:eastAsia="Times New Roman" w:hAnsi="Times New Roman" w:cs="Times New Roman"/>
          <w:sz w:val="24"/>
        </w:rPr>
        <w:t xml:space="preserve">Exhibit 5: Share of Operating Expenditures by District </w:t>
      </w:r>
      <w:r w:rsidRPr="008C1C89">
        <w:rPr>
          <w:rFonts w:ascii="Times New Roman" w:eastAsia="Times New Roman" w:hAnsi="Times New Roman" w:cs="Times New Roman"/>
          <w:sz w:val="24"/>
          <w:u w:val="single"/>
        </w:rPr>
        <w:t>Locale</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13</w:t>
      </w:r>
    </w:p>
    <w:p w14:paraId="40B3F041" w14:textId="10E5D042" w:rsidR="00F93B5A" w:rsidRPr="008C1C89" w:rsidRDefault="00F93B5A" w:rsidP="008C1C89">
      <w:pPr>
        <w:keepNext/>
        <w:spacing w:after="80"/>
        <w:rPr>
          <w:rFonts w:ascii="Times New Roman" w:eastAsia="Times New Roman" w:hAnsi="Times New Roman" w:cs="Times New Roman"/>
          <w:sz w:val="24"/>
        </w:rPr>
      </w:pPr>
      <w:r w:rsidRPr="008C1C89">
        <w:rPr>
          <w:rFonts w:ascii="Times New Roman" w:eastAsia="Times New Roman" w:hAnsi="Times New Roman" w:cs="Times New Roman"/>
          <w:sz w:val="24"/>
        </w:rPr>
        <w:t xml:space="preserve">Exhibit 6: Distribution of School Districts by ELL </w:t>
      </w:r>
      <w:r w:rsidR="00455581">
        <w:rPr>
          <w:rFonts w:ascii="Times New Roman" w:eastAsia="Times New Roman" w:hAnsi="Times New Roman" w:cs="Times New Roman"/>
          <w:sz w:val="24"/>
        </w:rPr>
        <w:t>Percent</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13</w:t>
      </w:r>
    </w:p>
    <w:p w14:paraId="1EC6330B" w14:textId="6DC600EF" w:rsidR="00F93B5A" w:rsidRPr="00F93B5A" w:rsidRDefault="00F93B5A" w:rsidP="008C1C89">
      <w:pPr>
        <w:keepNext/>
        <w:spacing w:after="80"/>
        <w:rPr>
          <w:rFonts w:ascii="Times New Roman" w:eastAsia="Times New Roman" w:hAnsi="Times New Roman" w:cs="Times New Roman"/>
        </w:rPr>
      </w:pPr>
      <w:r w:rsidRPr="008C1C89">
        <w:rPr>
          <w:rFonts w:ascii="Times New Roman" w:eastAsia="Times New Roman" w:hAnsi="Times New Roman" w:cs="Times New Roman"/>
          <w:sz w:val="24"/>
        </w:rPr>
        <w:t>Exhibit 7: Share of Operating Expenditures</w:t>
      </w:r>
      <w:r w:rsidR="00455581">
        <w:rPr>
          <w:rFonts w:ascii="Times New Roman" w:eastAsia="Times New Roman" w:hAnsi="Times New Roman" w:cs="Times New Roman"/>
          <w:sz w:val="24"/>
        </w:rPr>
        <w:t xml:space="preserve"> by Percent ELL Students</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14</w:t>
      </w:r>
    </w:p>
    <w:p w14:paraId="55104FA7" w14:textId="30D1F97F" w:rsidR="00F93B5A" w:rsidRPr="008C1C89" w:rsidRDefault="00F93B5A" w:rsidP="008C1C89">
      <w:pPr>
        <w:spacing w:after="80" w:line="276" w:lineRule="auto"/>
        <w:rPr>
          <w:rFonts w:ascii="Times New Roman" w:eastAsia="Times New Roman" w:hAnsi="Times New Roman" w:cs="Times New Roman"/>
          <w:sz w:val="24"/>
        </w:rPr>
      </w:pPr>
      <w:r w:rsidRPr="008C1C89">
        <w:rPr>
          <w:rFonts w:ascii="Times New Roman" w:eastAsia="Times New Roman" w:hAnsi="Times New Roman" w:cs="Times New Roman"/>
          <w:sz w:val="24"/>
        </w:rPr>
        <w:t>Exhibit 8: Distribution of School Districts by Ec</w:t>
      </w:r>
      <w:r w:rsidR="00455581">
        <w:rPr>
          <w:rFonts w:ascii="Times New Roman" w:eastAsia="Times New Roman" w:hAnsi="Times New Roman" w:cs="Times New Roman"/>
          <w:sz w:val="24"/>
        </w:rPr>
        <w:t>onomically Disadvantage Percent</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w:t>
      </w:r>
      <w:r w:rsidR="00C62FE9">
        <w:rPr>
          <w:rFonts w:ascii="Times New Roman" w:eastAsia="Times New Roman" w:hAnsi="Times New Roman" w:cs="Times New Roman"/>
          <w:sz w:val="24"/>
        </w:rPr>
        <w:t>5</w:t>
      </w:r>
    </w:p>
    <w:p w14:paraId="77F7A104" w14:textId="77777777" w:rsidR="00455581" w:rsidRDefault="00F93B5A" w:rsidP="008C1C89">
      <w:pPr>
        <w:keepNext/>
        <w:spacing w:after="0"/>
        <w:rPr>
          <w:rFonts w:ascii="Times New Roman" w:eastAsia="Times New Roman" w:hAnsi="Times New Roman" w:cs="Times New Roman"/>
          <w:sz w:val="24"/>
        </w:rPr>
      </w:pPr>
      <w:r w:rsidRPr="008C1C89">
        <w:rPr>
          <w:rFonts w:ascii="Times New Roman" w:eastAsia="Times New Roman" w:hAnsi="Times New Roman" w:cs="Times New Roman"/>
          <w:sz w:val="24"/>
        </w:rPr>
        <w:t>Exhibit 9: Share of Operating Expenditures by Percent Economically</w:t>
      </w:r>
      <w:r w:rsidR="00455581">
        <w:rPr>
          <w:rFonts w:ascii="Times New Roman" w:eastAsia="Times New Roman" w:hAnsi="Times New Roman" w:cs="Times New Roman"/>
          <w:sz w:val="24"/>
        </w:rPr>
        <w:t xml:space="preserve"> Disadvantaged </w:t>
      </w:r>
    </w:p>
    <w:p w14:paraId="25983E47" w14:textId="6E9536DD" w:rsidR="00F93B5A" w:rsidRPr="00F93B5A" w:rsidRDefault="00455581" w:rsidP="008C1C89">
      <w:pPr>
        <w:keepNext/>
        <w:spacing w:after="0"/>
        <w:ind w:firstLine="720"/>
        <w:rPr>
          <w:rFonts w:ascii="Times New Roman" w:eastAsia="Times New Roman" w:hAnsi="Times New Roman" w:cs="Times New Roman"/>
        </w:rPr>
      </w:pPr>
      <w:r>
        <w:rPr>
          <w:rFonts w:ascii="Times New Roman" w:eastAsia="Times New Roman" w:hAnsi="Times New Roman" w:cs="Times New Roman"/>
          <w:sz w:val="24"/>
        </w:rPr>
        <w:t xml:space="preserve">     Students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15</w:t>
      </w:r>
    </w:p>
    <w:p w14:paraId="7C97DD91" w14:textId="0673405E" w:rsidR="00F93B5A" w:rsidRPr="008C1C89" w:rsidRDefault="00F93B5A" w:rsidP="008C1C89">
      <w:pPr>
        <w:spacing w:after="80" w:line="276" w:lineRule="auto"/>
        <w:rPr>
          <w:rFonts w:ascii="Times New Roman" w:eastAsia="Times New Roman" w:hAnsi="Times New Roman" w:cs="Times New Roman"/>
          <w:sz w:val="24"/>
        </w:rPr>
      </w:pPr>
      <w:r w:rsidRPr="008C1C89">
        <w:rPr>
          <w:rFonts w:ascii="Times New Roman" w:eastAsia="Times New Roman" w:hAnsi="Times New Roman" w:cs="Times New Roman"/>
          <w:sz w:val="24"/>
        </w:rPr>
        <w:t>Exhibit 10: Distri</w:t>
      </w:r>
      <w:r w:rsidR="00D52740">
        <w:rPr>
          <w:rFonts w:ascii="Times New Roman" w:eastAsia="Times New Roman" w:hAnsi="Times New Roman" w:cs="Times New Roman"/>
          <w:sz w:val="24"/>
        </w:rPr>
        <w:t>bution of School Districts by Teacher Salary Range</w:t>
      </w:r>
      <w:r w:rsidR="00D52740">
        <w:rPr>
          <w:rFonts w:ascii="Times New Roman" w:eastAsia="Times New Roman" w:hAnsi="Times New Roman" w:cs="Times New Roman"/>
          <w:sz w:val="24"/>
        </w:rPr>
        <w:tab/>
      </w:r>
      <w:r w:rsidR="00D52740">
        <w:rPr>
          <w:rFonts w:ascii="Times New Roman" w:eastAsia="Times New Roman" w:hAnsi="Times New Roman" w:cs="Times New Roman"/>
          <w:sz w:val="24"/>
        </w:rPr>
        <w:tab/>
      </w:r>
      <w:r w:rsidR="00455581">
        <w:rPr>
          <w:rFonts w:ascii="Times New Roman" w:eastAsia="Times New Roman" w:hAnsi="Times New Roman" w:cs="Times New Roman"/>
          <w:sz w:val="24"/>
        </w:rPr>
        <w:tab/>
        <w:t>1</w:t>
      </w:r>
      <w:r w:rsidR="00C62FE9">
        <w:rPr>
          <w:rFonts w:ascii="Times New Roman" w:eastAsia="Times New Roman" w:hAnsi="Times New Roman" w:cs="Times New Roman"/>
          <w:sz w:val="24"/>
        </w:rPr>
        <w:t>6</w:t>
      </w:r>
    </w:p>
    <w:p w14:paraId="6580AB4A" w14:textId="354D4D3E" w:rsidR="00F93B5A" w:rsidRPr="008C1C89" w:rsidRDefault="00F93B5A" w:rsidP="008C1C89">
      <w:pPr>
        <w:keepNext/>
        <w:spacing w:after="80"/>
        <w:rPr>
          <w:rFonts w:ascii="Times New Roman" w:eastAsia="Times New Roman" w:hAnsi="Times New Roman" w:cs="Times New Roman"/>
          <w:sz w:val="24"/>
        </w:rPr>
      </w:pPr>
      <w:r w:rsidRPr="008C1C89">
        <w:rPr>
          <w:rFonts w:ascii="Times New Roman" w:eastAsia="Times New Roman" w:hAnsi="Times New Roman" w:cs="Times New Roman"/>
          <w:sz w:val="24"/>
        </w:rPr>
        <w:t xml:space="preserve">Exhibit 11: Share of Operating Expenditures </w:t>
      </w:r>
      <w:r w:rsidR="009B2ACE">
        <w:rPr>
          <w:rFonts w:ascii="Times New Roman" w:eastAsia="Times New Roman" w:hAnsi="Times New Roman" w:cs="Times New Roman"/>
          <w:sz w:val="24"/>
        </w:rPr>
        <w:t>by Teacher Salary Range</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16</w:t>
      </w:r>
    </w:p>
    <w:p w14:paraId="7A25DC2E" w14:textId="448FB4DD" w:rsidR="00AF7000" w:rsidRPr="008C1C89" w:rsidRDefault="00AF7000" w:rsidP="008C1C89">
      <w:pPr>
        <w:keepNext/>
        <w:spacing w:after="80"/>
        <w:rPr>
          <w:rFonts w:ascii="Times New Roman" w:eastAsia="Times New Roman" w:hAnsi="Times New Roman" w:cs="Times New Roman"/>
          <w:sz w:val="24"/>
        </w:rPr>
      </w:pPr>
      <w:r w:rsidRPr="008C1C89">
        <w:rPr>
          <w:rFonts w:ascii="Times New Roman" w:eastAsia="Times New Roman" w:hAnsi="Times New Roman" w:cs="Times New Roman"/>
          <w:sz w:val="24"/>
        </w:rPr>
        <w:t xml:space="preserve">Exhibit 12: Median Class Size </w:t>
      </w:r>
      <w:r w:rsidR="00836DF0">
        <w:rPr>
          <w:rFonts w:ascii="Times New Roman" w:eastAsia="Times New Roman" w:hAnsi="Times New Roman" w:cs="Times New Roman"/>
          <w:sz w:val="24"/>
        </w:rPr>
        <w:t>by Teacher Salary Range</w:t>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r>
      <w:r w:rsidR="00455581">
        <w:rPr>
          <w:rFonts w:ascii="Times New Roman" w:eastAsia="Times New Roman" w:hAnsi="Times New Roman" w:cs="Times New Roman"/>
          <w:sz w:val="24"/>
        </w:rPr>
        <w:tab/>
        <w:t>17</w:t>
      </w:r>
    </w:p>
    <w:p w14:paraId="3E319E8D" w14:textId="4C7D39E9" w:rsidR="00AF7000" w:rsidRPr="008C1C89" w:rsidRDefault="00AF7000" w:rsidP="008C1C89">
      <w:pPr>
        <w:keepNext/>
        <w:spacing w:after="80"/>
        <w:rPr>
          <w:rFonts w:ascii="Times New Roman" w:eastAsia="Times New Roman" w:hAnsi="Times New Roman" w:cs="Times New Roman"/>
          <w:sz w:val="24"/>
        </w:rPr>
      </w:pPr>
      <w:r w:rsidRPr="008C1C89">
        <w:rPr>
          <w:rFonts w:ascii="Times New Roman" w:eastAsia="Times New Roman" w:hAnsi="Times New Roman" w:cs="Times New Roman"/>
          <w:sz w:val="24"/>
        </w:rPr>
        <w:t>Exhibit 13: Regression of Factors Associated with S</w:t>
      </w:r>
      <w:r w:rsidR="00455581">
        <w:rPr>
          <w:rFonts w:ascii="Times New Roman" w:eastAsia="Times New Roman" w:hAnsi="Times New Roman" w:cs="Times New Roman"/>
          <w:sz w:val="24"/>
        </w:rPr>
        <w:t>hare of Operating Expenditures</w:t>
      </w:r>
      <w:r w:rsidR="00455581">
        <w:rPr>
          <w:rFonts w:ascii="Times New Roman" w:eastAsia="Times New Roman" w:hAnsi="Times New Roman" w:cs="Times New Roman"/>
          <w:sz w:val="24"/>
        </w:rPr>
        <w:tab/>
        <w:t>1</w:t>
      </w:r>
      <w:r w:rsidR="00776B51">
        <w:rPr>
          <w:rFonts w:ascii="Times New Roman" w:eastAsia="Times New Roman" w:hAnsi="Times New Roman" w:cs="Times New Roman"/>
          <w:sz w:val="24"/>
        </w:rPr>
        <w:t>9</w:t>
      </w:r>
    </w:p>
    <w:p w14:paraId="595E3609" w14:textId="77777777" w:rsidR="00455581" w:rsidRDefault="00AF7000" w:rsidP="008C1C89">
      <w:pPr>
        <w:keepNext/>
        <w:spacing w:after="0"/>
        <w:rPr>
          <w:rFonts w:ascii="Times New Roman" w:eastAsia="Times New Roman" w:hAnsi="Times New Roman" w:cs="Times New Roman"/>
          <w:sz w:val="24"/>
        </w:rPr>
      </w:pPr>
      <w:r w:rsidRPr="008C1C89">
        <w:rPr>
          <w:rFonts w:ascii="Times New Roman" w:eastAsia="Times New Roman" w:hAnsi="Times New Roman" w:cs="Times New Roman"/>
          <w:sz w:val="24"/>
        </w:rPr>
        <w:t>Exhibit 14: Summary of Estimated Impact of</w:t>
      </w:r>
      <w:r w:rsidR="00455581">
        <w:rPr>
          <w:rFonts w:ascii="Times New Roman" w:eastAsia="Times New Roman" w:hAnsi="Times New Roman" w:cs="Times New Roman"/>
          <w:sz w:val="24"/>
        </w:rPr>
        <w:t xml:space="preserve"> Spending Shares on High School</w:t>
      </w:r>
    </w:p>
    <w:p w14:paraId="4DE7E060" w14:textId="50F1490C" w:rsidR="00AF7000" w:rsidRPr="008C1C89" w:rsidRDefault="00455581" w:rsidP="008C1C89">
      <w:pPr>
        <w:keepNext/>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Graduation Rates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w:t>
      </w:r>
      <w:r w:rsidR="00776B51">
        <w:rPr>
          <w:rFonts w:ascii="Times New Roman" w:eastAsia="Times New Roman" w:hAnsi="Times New Roman" w:cs="Times New Roman"/>
          <w:sz w:val="24"/>
        </w:rPr>
        <w:t>5</w:t>
      </w:r>
    </w:p>
    <w:p w14:paraId="3754051D" w14:textId="77777777" w:rsidR="00C0662B" w:rsidRPr="008C1C89" w:rsidRDefault="00C0662B" w:rsidP="008C1C89">
      <w:pPr>
        <w:spacing w:after="60"/>
        <w:rPr>
          <w:rFonts w:ascii="Times New Roman" w:eastAsia="Times New Roman" w:hAnsi="Times New Roman" w:cs="Times New Roman"/>
          <w:sz w:val="32"/>
          <w:szCs w:val="32"/>
        </w:rPr>
      </w:pPr>
      <w:r w:rsidRPr="008C1C89">
        <w:rPr>
          <w:rFonts w:ascii="Times New Roman" w:eastAsia="Times New Roman" w:hAnsi="Times New Roman" w:cs="Times New Roman"/>
          <w:sz w:val="32"/>
          <w:szCs w:val="32"/>
        </w:rPr>
        <w:br w:type="page"/>
      </w:r>
    </w:p>
    <w:p w14:paraId="78B053FE" w14:textId="394C8A5B" w:rsidR="006A2C99" w:rsidRDefault="00C0662B">
      <w:pPr>
        <w:rPr>
          <w:rFonts w:ascii="Times New Roman" w:eastAsia="Times New Roman" w:hAnsi="Times New Roman" w:cs="Times New Roman"/>
          <w:b/>
          <w:sz w:val="32"/>
          <w:szCs w:val="32"/>
        </w:rPr>
      </w:pPr>
      <w:r>
        <w:rPr>
          <w:rFonts w:ascii="Times New Roman" w:eastAsia="Times New Roman" w:hAnsi="Times New Roman" w:cs="Times New Roman"/>
          <w:sz w:val="24"/>
        </w:rPr>
        <w:lastRenderedPageBreak/>
        <w:t>This page intentionally left blank</w:t>
      </w:r>
      <w:r w:rsidR="006A2C99">
        <w:rPr>
          <w:rFonts w:ascii="Times New Roman" w:eastAsia="Times New Roman" w:hAnsi="Times New Roman" w:cs="Times New Roman"/>
          <w:b/>
          <w:sz w:val="32"/>
          <w:szCs w:val="32"/>
        </w:rPr>
        <w:br w:type="page"/>
      </w:r>
    </w:p>
    <w:p w14:paraId="2FA5167D" w14:textId="597BAD33" w:rsidR="000C6FD9" w:rsidRDefault="00F07B7D" w:rsidP="00454777">
      <w:pPr>
        <w:spacing w:before="240" w:after="16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Executive Summary</w:t>
      </w:r>
    </w:p>
    <w:p w14:paraId="29E6F39C" w14:textId="6F2FA1C0" w:rsidR="000C6FD9" w:rsidRDefault="00DD6A6C" w:rsidP="00454777">
      <w:pPr>
        <w:spacing w:before="240" w:after="160"/>
        <w:rPr>
          <w:rFonts w:ascii="Times New Roman" w:eastAsia="Times New Roman" w:hAnsi="Times New Roman" w:cs="Times New Roman"/>
        </w:rPr>
      </w:pPr>
      <w:r>
        <w:rPr>
          <w:rFonts w:ascii="Times New Roman" w:eastAsia="Times New Roman" w:hAnsi="Times New Roman" w:cs="Times New Roman"/>
          <w:szCs w:val="22"/>
        </w:rPr>
        <w:t xml:space="preserve">In Audit Report 2019-01, released in January 2019, the Oregon Secretary of State’s Audits Division recommended that the </w:t>
      </w:r>
      <w:r w:rsidRPr="00DD6A6C">
        <w:rPr>
          <w:rFonts w:ascii="Times New Roman" w:eastAsia="Times New Roman" w:hAnsi="Times New Roman" w:cs="Times New Roman"/>
          <w:szCs w:val="22"/>
        </w:rPr>
        <w:t>Oregon Department of Education</w:t>
      </w:r>
      <w:r>
        <w:rPr>
          <w:rFonts w:ascii="Times New Roman" w:eastAsia="Times New Roman" w:hAnsi="Times New Roman" w:cs="Times New Roman"/>
          <w:szCs w:val="22"/>
        </w:rPr>
        <w:t xml:space="preserve"> (ODE) evaluate potential cost savings areas and the spending trends of Oregon’s school districts</w:t>
      </w:r>
      <w:r w:rsidR="00973642">
        <w:rPr>
          <w:rStyle w:val="FootnoteReference"/>
          <w:rFonts w:ascii="Times New Roman" w:eastAsia="Times New Roman" w:hAnsi="Times New Roman" w:cs="Times New Roman"/>
          <w:szCs w:val="22"/>
        </w:rPr>
        <w:footnoteReference w:id="1"/>
      </w:r>
      <w:r>
        <w:rPr>
          <w:rFonts w:ascii="Times New Roman" w:eastAsia="Times New Roman" w:hAnsi="Times New Roman" w:cs="Times New Roman"/>
          <w:szCs w:val="22"/>
        </w:rPr>
        <w:t>. They also recommended that ODE provide</w:t>
      </w:r>
      <w:r w:rsidRPr="00855EA9">
        <w:rPr>
          <w:rFonts w:ascii="Times New Roman" w:eastAsia="Times New Roman" w:hAnsi="Times New Roman" w:cs="Times New Roman"/>
        </w:rPr>
        <w:t xml:space="preserve"> tools and templa</w:t>
      </w:r>
      <w:r w:rsidR="00953CA3">
        <w:rPr>
          <w:rFonts w:ascii="Times New Roman" w:eastAsia="Times New Roman" w:hAnsi="Times New Roman" w:cs="Times New Roman"/>
        </w:rPr>
        <w:t>tes to help districts benchmark spending against peer districts</w:t>
      </w:r>
      <w:r w:rsidRPr="00855EA9">
        <w:rPr>
          <w:rFonts w:ascii="Times New Roman" w:eastAsia="Times New Roman" w:hAnsi="Times New Roman" w:cs="Times New Roman"/>
        </w:rPr>
        <w:t>, and provide guidance on best-practice options for directing more money to the classroom.</w:t>
      </w:r>
      <w:r w:rsidR="00953CA3">
        <w:rPr>
          <w:rFonts w:ascii="Times New Roman" w:eastAsia="Times New Roman" w:hAnsi="Times New Roman" w:cs="Times New Roman"/>
        </w:rPr>
        <w:t xml:space="preserve"> </w:t>
      </w:r>
    </w:p>
    <w:p w14:paraId="098AE178" w14:textId="0E87B4A8" w:rsidR="0009768C" w:rsidRPr="0051133B" w:rsidRDefault="0009768C" w:rsidP="00454777">
      <w:pPr>
        <w:spacing w:before="240" w:after="160"/>
        <w:rPr>
          <w:rFonts w:ascii="Times New Roman" w:eastAsia="Times New Roman" w:hAnsi="Times New Roman" w:cs="Times New Roman"/>
          <w:szCs w:val="22"/>
        </w:rPr>
      </w:pPr>
      <w:r>
        <w:rPr>
          <w:rFonts w:ascii="Times New Roman" w:eastAsia="Times New Roman" w:hAnsi="Times New Roman" w:cs="Times New Roman"/>
        </w:rPr>
        <w:t xml:space="preserve">In this report, the Department of Education evaluates the spending patterns of Oregon’s school districts to determine if the characteristics of districts and the students they serve influence the way the districts allocate resources to different uses. We then </w:t>
      </w:r>
      <w:r w:rsidR="00F712B4">
        <w:rPr>
          <w:rFonts w:ascii="Times New Roman" w:eastAsia="Times New Roman" w:hAnsi="Times New Roman" w:cs="Times New Roman"/>
        </w:rPr>
        <w:t xml:space="preserve">use </w:t>
      </w:r>
      <w:r>
        <w:rPr>
          <w:rFonts w:ascii="Times New Roman" w:eastAsia="Times New Roman" w:hAnsi="Times New Roman" w:cs="Times New Roman"/>
        </w:rPr>
        <w:t xml:space="preserve">the </w:t>
      </w:r>
      <w:r w:rsidR="00F712B4">
        <w:rPr>
          <w:rFonts w:ascii="Times New Roman" w:eastAsia="Times New Roman" w:hAnsi="Times New Roman" w:cs="Times New Roman"/>
        </w:rPr>
        <w:t xml:space="preserve">lessons </w:t>
      </w:r>
      <w:r>
        <w:rPr>
          <w:rFonts w:ascii="Times New Roman" w:eastAsia="Times New Roman" w:hAnsi="Times New Roman" w:cs="Times New Roman"/>
        </w:rPr>
        <w:t xml:space="preserve">of that analysis to see if those spending </w:t>
      </w:r>
      <w:r w:rsidR="00F712B4">
        <w:rPr>
          <w:rFonts w:ascii="Times New Roman" w:eastAsia="Times New Roman" w:hAnsi="Times New Roman" w:cs="Times New Roman"/>
        </w:rPr>
        <w:t xml:space="preserve">patterns </w:t>
      </w:r>
      <w:r>
        <w:rPr>
          <w:rFonts w:ascii="Times New Roman" w:eastAsia="Times New Roman" w:hAnsi="Times New Roman" w:cs="Times New Roman"/>
        </w:rPr>
        <w:t xml:space="preserve">are associated with student outcomes as </w:t>
      </w:r>
      <w:r w:rsidR="00F712B4">
        <w:rPr>
          <w:rFonts w:ascii="Times New Roman" w:eastAsia="Times New Roman" w:hAnsi="Times New Roman" w:cs="Times New Roman"/>
        </w:rPr>
        <w:t xml:space="preserve">measured </w:t>
      </w:r>
      <w:r>
        <w:rPr>
          <w:rFonts w:ascii="Times New Roman" w:eastAsia="Times New Roman" w:hAnsi="Times New Roman" w:cs="Times New Roman"/>
        </w:rPr>
        <w:t>by graduation rates.</w:t>
      </w:r>
    </w:p>
    <w:p w14:paraId="0B188C2D" w14:textId="54B37799" w:rsidR="000C6FD9" w:rsidRDefault="000C6FD9" w:rsidP="00454777">
      <w:pPr>
        <w:spacing w:before="240" w:after="160"/>
        <w:rPr>
          <w:rFonts w:ascii="Times New Roman" w:eastAsia="Times New Roman" w:hAnsi="Times New Roman" w:cs="Times New Roman"/>
          <w:b/>
          <w:sz w:val="24"/>
        </w:rPr>
      </w:pPr>
      <w:r>
        <w:rPr>
          <w:rFonts w:ascii="Times New Roman" w:eastAsia="Times New Roman" w:hAnsi="Times New Roman" w:cs="Times New Roman"/>
          <w:b/>
          <w:sz w:val="24"/>
        </w:rPr>
        <w:t>Key Findings</w:t>
      </w:r>
    </w:p>
    <w:p w14:paraId="58F94812" w14:textId="0383917F" w:rsidR="00977FF3" w:rsidRDefault="00977FF3" w:rsidP="0051133B">
      <w:pPr>
        <w:pStyle w:val="ListParagraph"/>
        <w:numPr>
          <w:ilvl w:val="0"/>
          <w:numId w:val="6"/>
        </w:numPr>
        <w:spacing w:after="120"/>
        <w:contextualSpacing w:val="0"/>
        <w:rPr>
          <w:rFonts w:ascii="Times New Roman" w:eastAsia="Times New Roman" w:hAnsi="Times New Roman" w:cs="Times New Roman"/>
        </w:rPr>
      </w:pPr>
      <w:r>
        <w:rPr>
          <w:rFonts w:ascii="Times New Roman" w:eastAsia="Times New Roman" w:hAnsi="Times New Roman" w:cs="Times New Roman"/>
        </w:rPr>
        <w:t xml:space="preserve">Over time, </w:t>
      </w:r>
      <w:r w:rsidR="00F712B4">
        <w:rPr>
          <w:rFonts w:ascii="Times New Roman" w:eastAsia="Times New Roman" w:hAnsi="Times New Roman" w:cs="Times New Roman"/>
        </w:rPr>
        <w:t xml:space="preserve">state-level </w:t>
      </w:r>
      <w:r>
        <w:rPr>
          <w:rFonts w:ascii="Times New Roman" w:eastAsia="Times New Roman" w:hAnsi="Times New Roman" w:cs="Times New Roman"/>
        </w:rPr>
        <w:t>shares of total operating expenditure that Oregon</w:t>
      </w:r>
      <w:r w:rsidR="000E470A">
        <w:rPr>
          <w:rFonts w:ascii="Times New Roman" w:eastAsia="Times New Roman" w:hAnsi="Times New Roman" w:cs="Times New Roman"/>
        </w:rPr>
        <w:t>’s</w:t>
      </w:r>
      <w:r>
        <w:rPr>
          <w:rFonts w:ascii="Times New Roman" w:eastAsia="Times New Roman" w:hAnsi="Times New Roman" w:cs="Times New Roman"/>
        </w:rPr>
        <w:t xml:space="preserve"> school districts spend in various categories have been very stable, with Instruction remaining between 59 percent and 60 percent </w:t>
      </w:r>
      <w:r w:rsidR="000E470A">
        <w:rPr>
          <w:rFonts w:ascii="Times New Roman" w:eastAsia="Times New Roman" w:hAnsi="Times New Roman" w:cs="Times New Roman"/>
        </w:rPr>
        <w:t xml:space="preserve">of the total </w:t>
      </w:r>
      <w:r>
        <w:rPr>
          <w:rFonts w:ascii="Times New Roman" w:eastAsia="Times New Roman" w:hAnsi="Times New Roman" w:cs="Times New Roman"/>
        </w:rPr>
        <w:t>for more than a decade. The category with the most variation—Student Support—also stayed in a very narrow range—from 5.7 percent to 7.1 percent.</w:t>
      </w:r>
    </w:p>
    <w:p w14:paraId="00DB5D82" w14:textId="26AB84A4" w:rsidR="00977FF3" w:rsidRDefault="00977FF3" w:rsidP="0051133B">
      <w:pPr>
        <w:pStyle w:val="ListParagraph"/>
        <w:numPr>
          <w:ilvl w:val="0"/>
          <w:numId w:val="6"/>
        </w:numPr>
        <w:spacing w:after="120"/>
        <w:contextualSpacing w:val="0"/>
        <w:rPr>
          <w:rFonts w:ascii="Times New Roman" w:eastAsia="Times New Roman" w:hAnsi="Times New Roman" w:cs="Times New Roman"/>
        </w:rPr>
      </w:pPr>
      <w:r>
        <w:rPr>
          <w:rFonts w:ascii="Times New Roman" w:eastAsia="Times New Roman" w:hAnsi="Times New Roman" w:cs="Times New Roman"/>
        </w:rPr>
        <w:t>Variation among districts, however</w:t>
      </w:r>
      <w:r w:rsidR="00501FDF">
        <w:rPr>
          <w:rFonts w:ascii="Times New Roman" w:eastAsia="Times New Roman" w:hAnsi="Times New Roman" w:cs="Times New Roman"/>
        </w:rPr>
        <w:t>, is much larger, and this provides an opportunity to use district-level data to evaluate how allocating spending to different categories might</w:t>
      </w:r>
      <w:r w:rsidR="003758BF">
        <w:rPr>
          <w:rFonts w:ascii="Times New Roman" w:eastAsia="Times New Roman" w:hAnsi="Times New Roman" w:cs="Times New Roman"/>
        </w:rPr>
        <w:t xml:space="preserve"> increase efficiency and improve</w:t>
      </w:r>
      <w:r w:rsidR="00501FDF">
        <w:rPr>
          <w:rFonts w:ascii="Times New Roman" w:eastAsia="Times New Roman" w:hAnsi="Times New Roman" w:cs="Times New Roman"/>
        </w:rPr>
        <w:t xml:space="preserve"> student outcomes.</w:t>
      </w:r>
    </w:p>
    <w:p w14:paraId="3D79EA77" w14:textId="1C2EE751" w:rsidR="00C11A91" w:rsidRPr="009469C8" w:rsidRDefault="00C11A91" w:rsidP="0051133B">
      <w:pPr>
        <w:pStyle w:val="ListParagraph"/>
        <w:numPr>
          <w:ilvl w:val="0"/>
          <w:numId w:val="6"/>
        </w:numPr>
        <w:spacing w:after="120"/>
        <w:contextualSpacing w:val="0"/>
        <w:rPr>
          <w:rFonts w:ascii="Times New Roman" w:eastAsia="Times New Roman" w:hAnsi="Times New Roman" w:cs="Times New Roman"/>
        </w:rPr>
      </w:pPr>
      <w:r>
        <w:rPr>
          <w:rFonts w:ascii="Times New Roman" w:eastAsia="Times New Roman" w:hAnsi="Times New Roman" w:cs="Times New Roman"/>
        </w:rPr>
        <w:t xml:space="preserve">There are economies of scale in certain activities, such as </w:t>
      </w:r>
      <w:r w:rsidR="00DC686C" w:rsidRPr="002B5C29">
        <w:rPr>
          <w:rFonts w:ascii="Times New Roman" w:eastAsia="Times New Roman" w:hAnsi="Times New Roman" w:cs="Times New Roman"/>
        </w:rPr>
        <w:t xml:space="preserve">District Administration, Business Services, </w:t>
      </w:r>
      <w:r w:rsidR="00DC686C" w:rsidRPr="00AA589F">
        <w:rPr>
          <w:rFonts w:ascii="Times New Roman" w:eastAsia="Times New Roman" w:hAnsi="Times New Roman" w:cs="Times New Roman"/>
        </w:rPr>
        <w:t xml:space="preserve">Operations &amp; Maintenance, </w:t>
      </w:r>
      <w:r w:rsidR="00DC686C" w:rsidRPr="002B5C29">
        <w:rPr>
          <w:rFonts w:ascii="Times New Roman" w:eastAsia="Times New Roman" w:hAnsi="Times New Roman" w:cs="Times New Roman"/>
        </w:rPr>
        <w:t xml:space="preserve">and </w:t>
      </w:r>
      <w:r w:rsidR="00DC686C" w:rsidRPr="00AA589F">
        <w:rPr>
          <w:rFonts w:ascii="Times New Roman" w:eastAsia="Times New Roman" w:hAnsi="Times New Roman" w:cs="Times New Roman"/>
        </w:rPr>
        <w:t>Transportation</w:t>
      </w:r>
      <w:r w:rsidR="00DC686C">
        <w:rPr>
          <w:rFonts w:ascii="Times New Roman" w:eastAsia="Times New Roman" w:hAnsi="Times New Roman" w:cs="Times New Roman"/>
        </w:rPr>
        <w:t xml:space="preserve">. That means </w:t>
      </w:r>
      <w:r w:rsidR="00CF102E">
        <w:rPr>
          <w:rFonts w:ascii="Times New Roman" w:eastAsia="Times New Roman" w:hAnsi="Times New Roman" w:cs="Times New Roman"/>
        </w:rPr>
        <w:t xml:space="preserve">larger districts can perform </w:t>
      </w:r>
      <w:r w:rsidR="00CF102E" w:rsidRPr="009469C8">
        <w:rPr>
          <w:rFonts w:ascii="Times New Roman" w:eastAsia="Times New Roman" w:hAnsi="Times New Roman" w:cs="Times New Roman"/>
        </w:rPr>
        <w:t xml:space="preserve">these activities at a lower per student cost than smaller </w:t>
      </w:r>
      <w:r w:rsidR="000E470A" w:rsidRPr="009469C8">
        <w:rPr>
          <w:rFonts w:ascii="Times New Roman" w:eastAsia="Times New Roman" w:hAnsi="Times New Roman" w:cs="Times New Roman"/>
        </w:rPr>
        <w:t>districts</w:t>
      </w:r>
      <w:r w:rsidR="00CF102E" w:rsidRPr="009469C8">
        <w:rPr>
          <w:rFonts w:ascii="Times New Roman" w:eastAsia="Times New Roman" w:hAnsi="Times New Roman" w:cs="Times New Roman"/>
        </w:rPr>
        <w:t>.</w:t>
      </w:r>
    </w:p>
    <w:p w14:paraId="40F59DA1" w14:textId="301548B2" w:rsidR="00ED5AD5" w:rsidRDefault="00ED5AD5" w:rsidP="0051133B">
      <w:pPr>
        <w:pStyle w:val="ListParagraph"/>
        <w:numPr>
          <w:ilvl w:val="0"/>
          <w:numId w:val="6"/>
        </w:numPr>
        <w:spacing w:after="120"/>
        <w:contextualSpacing w:val="0"/>
        <w:rPr>
          <w:rFonts w:ascii="Times New Roman" w:eastAsia="Times New Roman" w:hAnsi="Times New Roman" w:cs="Times New Roman"/>
        </w:rPr>
      </w:pPr>
      <w:r w:rsidRPr="009469C8">
        <w:rPr>
          <w:rFonts w:ascii="Times New Roman" w:eastAsia="Times New Roman" w:hAnsi="Times New Roman" w:cs="Times New Roman"/>
        </w:rPr>
        <w:t>Allocating a higher share of spending to Instruction is associated with higher graduation rates</w:t>
      </w:r>
      <w:r w:rsidR="00DC686C" w:rsidRPr="009469C8">
        <w:rPr>
          <w:rFonts w:ascii="Times New Roman" w:eastAsia="Times New Roman" w:hAnsi="Times New Roman" w:cs="Times New Roman"/>
        </w:rPr>
        <w:t>, so districts should strive to spend a larger share on Instruction by working to become more efficient—and spending less—in other categories.</w:t>
      </w:r>
      <w:r w:rsidRPr="009469C8">
        <w:rPr>
          <w:rFonts w:ascii="Times New Roman" w:eastAsia="Times New Roman" w:hAnsi="Times New Roman" w:cs="Times New Roman"/>
        </w:rPr>
        <w:t xml:space="preserve">  To the extent that d</w:t>
      </w:r>
      <w:r w:rsidR="00742B7E" w:rsidRPr="009469C8">
        <w:rPr>
          <w:rFonts w:ascii="Times New Roman" w:eastAsia="Times New Roman" w:hAnsi="Times New Roman" w:cs="Times New Roman"/>
        </w:rPr>
        <w:t xml:space="preserve">istricts </w:t>
      </w:r>
      <w:r w:rsidR="00C274E0">
        <w:rPr>
          <w:rFonts w:ascii="Times New Roman" w:eastAsia="Times New Roman" w:hAnsi="Times New Roman" w:cs="Times New Roman"/>
        </w:rPr>
        <w:t xml:space="preserve">currently </w:t>
      </w:r>
      <w:r w:rsidR="00742B7E" w:rsidRPr="009469C8">
        <w:rPr>
          <w:rFonts w:ascii="Times New Roman" w:eastAsia="Times New Roman" w:hAnsi="Times New Roman" w:cs="Times New Roman"/>
        </w:rPr>
        <w:t>allocate resources to I</w:t>
      </w:r>
      <w:r w:rsidRPr="009469C8">
        <w:rPr>
          <w:rFonts w:ascii="Times New Roman" w:eastAsia="Times New Roman" w:hAnsi="Times New Roman" w:cs="Times New Roman"/>
        </w:rPr>
        <w:t>nstruction</w:t>
      </w:r>
      <w:r>
        <w:rPr>
          <w:rFonts w:ascii="Times New Roman" w:eastAsia="Times New Roman" w:hAnsi="Times New Roman" w:cs="Times New Roman"/>
        </w:rPr>
        <w:t xml:space="preserve"> based on class size targets or fixed ratios of staff to students, they may be missing opportunities to improve student outcomes </w:t>
      </w:r>
      <w:r w:rsidR="00DC686C">
        <w:rPr>
          <w:rFonts w:ascii="Times New Roman" w:eastAsia="Times New Roman" w:hAnsi="Times New Roman" w:cs="Times New Roman"/>
        </w:rPr>
        <w:t>by</w:t>
      </w:r>
      <w:r>
        <w:rPr>
          <w:rFonts w:ascii="Times New Roman" w:eastAsia="Times New Roman" w:hAnsi="Times New Roman" w:cs="Times New Roman"/>
        </w:rPr>
        <w:t xml:space="preserve"> re-allocat</w:t>
      </w:r>
      <w:r w:rsidR="00DC686C">
        <w:rPr>
          <w:rFonts w:ascii="Times New Roman" w:eastAsia="Times New Roman" w:hAnsi="Times New Roman" w:cs="Times New Roman"/>
        </w:rPr>
        <w:t>ing</w:t>
      </w:r>
      <w:r>
        <w:rPr>
          <w:rFonts w:ascii="Times New Roman" w:eastAsia="Times New Roman" w:hAnsi="Times New Roman" w:cs="Times New Roman"/>
        </w:rPr>
        <w:t xml:space="preserve"> resources to Instruction from non-instructional activities.</w:t>
      </w:r>
    </w:p>
    <w:p w14:paraId="1D1B6750" w14:textId="77C82171" w:rsidR="00501FDF" w:rsidRPr="003C2C5C" w:rsidRDefault="00501FDF" w:rsidP="0051133B">
      <w:pPr>
        <w:pStyle w:val="ListParagraph"/>
        <w:numPr>
          <w:ilvl w:val="0"/>
          <w:numId w:val="6"/>
        </w:numPr>
        <w:spacing w:after="120"/>
        <w:contextualSpacing w:val="0"/>
        <w:rPr>
          <w:rFonts w:ascii="Times New Roman" w:eastAsia="Times New Roman" w:hAnsi="Times New Roman" w:cs="Times New Roman"/>
        </w:rPr>
      </w:pPr>
      <w:r w:rsidRPr="003C2C5C">
        <w:rPr>
          <w:rFonts w:ascii="Times New Roman" w:eastAsia="Times New Roman" w:hAnsi="Times New Roman" w:cs="Times New Roman"/>
        </w:rPr>
        <w:t>Specifically, we find tha</w:t>
      </w:r>
      <w:r w:rsidR="00337778" w:rsidRPr="003C2C5C">
        <w:rPr>
          <w:rFonts w:ascii="Times New Roman" w:eastAsia="Times New Roman" w:hAnsi="Times New Roman" w:cs="Times New Roman"/>
        </w:rPr>
        <w:t>t spending more on Instruction by reducing spending on Instructional Staff Support, Business Services, and Central Activities has the potential to increase high school graduation rates. We estimate that reallocating the shares spent by one percentage point in each of those three categories</w:t>
      </w:r>
      <w:r w:rsidR="00A00DAA" w:rsidRPr="003C2C5C">
        <w:rPr>
          <w:rFonts w:ascii="Times New Roman" w:eastAsia="Times New Roman" w:hAnsi="Times New Roman" w:cs="Times New Roman"/>
        </w:rPr>
        <w:t xml:space="preserve"> to Instruction</w:t>
      </w:r>
      <w:r w:rsidR="00C274E0">
        <w:rPr>
          <w:rFonts w:ascii="Times New Roman" w:eastAsia="Times New Roman" w:hAnsi="Times New Roman" w:cs="Times New Roman"/>
        </w:rPr>
        <w:t xml:space="preserve"> can</w:t>
      </w:r>
      <w:r w:rsidR="00337778" w:rsidRPr="003C2C5C">
        <w:rPr>
          <w:rFonts w:ascii="Times New Roman" w:eastAsia="Times New Roman" w:hAnsi="Times New Roman" w:cs="Times New Roman"/>
        </w:rPr>
        <w:t xml:space="preserve"> raise graduation rates between 3 and 4 percentage points.</w:t>
      </w:r>
    </w:p>
    <w:p w14:paraId="53355256" w14:textId="4B0F8684" w:rsidR="003C2C5C" w:rsidRPr="00DF2474" w:rsidRDefault="00A00DAA" w:rsidP="00133E1B">
      <w:pPr>
        <w:pStyle w:val="ListParagraph"/>
        <w:numPr>
          <w:ilvl w:val="0"/>
          <w:numId w:val="6"/>
        </w:numPr>
        <w:spacing w:before="240" w:after="160"/>
        <w:contextualSpacing w:val="0"/>
        <w:rPr>
          <w:rFonts w:ascii="Times New Roman" w:eastAsia="Times New Roman" w:hAnsi="Times New Roman" w:cs="Times New Roman"/>
          <w:b/>
          <w:sz w:val="24"/>
        </w:rPr>
      </w:pPr>
      <w:r w:rsidRPr="003C2C5C">
        <w:rPr>
          <w:rFonts w:ascii="Times New Roman" w:eastAsia="Times New Roman" w:hAnsi="Times New Roman" w:cs="Times New Roman"/>
        </w:rPr>
        <w:t xml:space="preserve">Teacher </w:t>
      </w:r>
      <w:r w:rsidR="00BD1D9C" w:rsidRPr="003C2C5C">
        <w:rPr>
          <w:rFonts w:ascii="Times New Roman" w:eastAsia="Times New Roman" w:hAnsi="Times New Roman" w:cs="Times New Roman"/>
        </w:rPr>
        <w:t>salaries</w:t>
      </w:r>
      <w:r w:rsidRPr="003C2C5C">
        <w:rPr>
          <w:rFonts w:ascii="Times New Roman" w:eastAsia="Times New Roman" w:hAnsi="Times New Roman" w:cs="Times New Roman"/>
        </w:rPr>
        <w:t xml:space="preserve"> vary</w:t>
      </w:r>
      <w:r w:rsidR="004A60A1" w:rsidRPr="003C2C5C">
        <w:rPr>
          <w:rFonts w:ascii="Times New Roman" w:eastAsia="Times New Roman" w:hAnsi="Times New Roman" w:cs="Times New Roman"/>
        </w:rPr>
        <w:t xml:space="preserve"> considerably</w:t>
      </w:r>
      <w:r w:rsidR="00BD1D9C" w:rsidRPr="003C2C5C">
        <w:rPr>
          <w:rFonts w:ascii="Times New Roman" w:eastAsia="Times New Roman" w:hAnsi="Times New Roman" w:cs="Times New Roman"/>
        </w:rPr>
        <w:t xml:space="preserve"> across the state</w:t>
      </w:r>
      <w:r w:rsidR="00375C53" w:rsidRPr="003C2C5C">
        <w:rPr>
          <w:rFonts w:ascii="Times New Roman" w:eastAsia="Times New Roman" w:hAnsi="Times New Roman" w:cs="Times New Roman"/>
        </w:rPr>
        <w:t xml:space="preserve">, </w:t>
      </w:r>
      <w:r w:rsidR="00E91284">
        <w:rPr>
          <w:rFonts w:ascii="Times New Roman" w:eastAsia="Times New Roman" w:hAnsi="Times New Roman" w:cs="Times New Roman"/>
        </w:rPr>
        <w:t xml:space="preserve">ranging from around $40,000 in </w:t>
      </w:r>
      <w:r w:rsidR="00E91284" w:rsidRPr="0051133B">
        <w:rPr>
          <w:rFonts w:ascii="Times New Roman" w:eastAsia="Times New Roman" w:hAnsi="Times New Roman" w:cs="Times New Roman"/>
        </w:rPr>
        <w:t xml:space="preserve">small, rural districts to nearly $80,000 in districts in the Portland metropolitan area. </w:t>
      </w:r>
      <w:r w:rsidR="00375C53" w:rsidRPr="003C2C5C">
        <w:rPr>
          <w:rFonts w:ascii="Times New Roman" w:eastAsia="Times New Roman" w:hAnsi="Times New Roman" w:cs="Times New Roman"/>
        </w:rPr>
        <w:t>T</w:t>
      </w:r>
      <w:r w:rsidR="004A60A1" w:rsidRPr="003C2C5C">
        <w:rPr>
          <w:rFonts w:ascii="Times New Roman" w:eastAsia="Times New Roman" w:hAnsi="Times New Roman" w:cs="Times New Roman"/>
        </w:rPr>
        <w:t>his</w:t>
      </w:r>
      <w:r w:rsidR="00BD1D9C" w:rsidRPr="003C2C5C">
        <w:rPr>
          <w:rFonts w:ascii="Times New Roman" w:eastAsia="Times New Roman" w:hAnsi="Times New Roman" w:cs="Times New Roman"/>
        </w:rPr>
        <w:t xml:space="preserve"> represents a problem of a different nature than the effective use of resources by individual school districts.</w:t>
      </w:r>
      <w:r w:rsidR="005E5A85" w:rsidRPr="003C2C5C">
        <w:rPr>
          <w:rFonts w:ascii="Times New Roman" w:eastAsia="Times New Roman" w:hAnsi="Times New Roman" w:cs="Times New Roman"/>
        </w:rPr>
        <w:t xml:space="preserve"> While </w:t>
      </w:r>
      <w:r w:rsidR="005E5A85" w:rsidRPr="003C2C5C">
        <w:rPr>
          <w:rFonts w:ascii="Times New Roman" w:eastAsia="Times New Roman" w:hAnsi="Times New Roman" w:cs="Times New Roman"/>
        </w:rPr>
        <w:lastRenderedPageBreak/>
        <w:t>effective resource use is something each individual district can work to im</w:t>
      </w:r>
      <w:r w:rsidR="00F621CC" w:rsidRPr="003C2C5C">
        <w:rPr>
          <w:rFonts w:ascii="Times New Roman" w:eastAsia="Times New Roman" w:hAnsi="Times New Roman" w:cs="Times New Roman"/>
        </w:rPr>
        <w:t>prove, the variation in salary costs</w:t>
      </w:r>
      <w:r w:rsidR="005E5A85" w:rsidRPr="003C2C5C">
        <w:rPr>
          <w:rFonts w:ascii="Times New Roman" w:eastAsia="Times New Roman" w:hAnsi="Times New Roman" w:cs="Times New Roman"/>
        </w:rPr>
        <w:t xml:space="preserve"> across the state creates</w:t>
      </w:r>
      <w:r w:rsidR="0036074B">
        <w:rPr>
          <w:rFonts w:ascii="Times New Roman" w:eastAsia="Times New Roman" w:hAnsi="Times New Roman" w:cs="Times New Roman"/>
        </w:rPr>
        <w:t xml:space="preserve"> </w:t>
      </w:r>
      <w:r w:rsidR="00F621CC" w:rsidRPr="003C2C5C">
        <w:rPr>
          <w:rFonts w:ascii="Times New Roman" w:eastAsia="Times New Roman" w:hAnsi="Times New Roman" w:cs="Times New Roman"/>
        </w:rPr>
        <w:t>inequities</w:t>
      </w:r>
      <w:r w:rsidR="005E5A85" w:rsidRPr="003C2C5C">
        <w:rPr>
          <w:rFonts w:ascii="Times New Roman" w:eastAsia="Times New Roman" w:hAnsi="Times New Roman" w:cs="Times New Roman"/>
        </w:rPr>
        <w:t xml:space="preserve"> among districts that will require state-level action to remedy.</w:t>
      </w:r>
      <w:r w:rsidRPr="003C2C5C">
        <w:rPr>
          <w:rFonts w:ascii="Times New Roman" w:eastAsia="Times New Roman" w:hAnsi="Times New Roman" w:cs="Times New Roman"/>
        </w:rPr>
        <w:t xml:space="preserve"> Because Oregon’s </w:t>
      </w:r>
      <w:r w:rsidR="00100A48">
        <w:rPr>
          <w:rFonts w:ascii="Times New Roman" w:eastAsia="Times New Roman" w:hAnsi="Times New Roman" w:cs="Times New Roman"/>
        </w:rPr>
        <w:t xml:space="preserve">K-12 </w:t>
      </w:r>
      <w:r w:rsidRPr="003C2C5C">
        <w:rPr>
          <w:rFonts w:ascii="Times New Roman" w:eastAsia="Times New Roman" w:hAnsi="Times New Roman" w:cs="Times New Roman"/>
        </w:rPr>
        <w:t xml:space="preserve">funding </w:t>
      </w:r>
      <w:r w:rsidR="00100A48">
        <w:rPr>
          <w:rFonts w:ascii="Times New Roman" w:eastAsia="Times New Roman" w:hAnsi="Times New Roman" w:cs="Times New Roman"/>
        </w:rPr>
        <w:t xml:space="preserve">system </w:t>
      </w:r>
      <w:r w:rsidRPr="003C2C5C">
        <w:rPr>
          <w:rFonts w:ascii="Times New Roman" w:eastAsia="Times New Roman" w:hAnsi="Times New Roman" w:cs="Times New Roman"/>
        </w:rPr>
        <w:t xml:space="preserve">does not adjust for salary variation across the </w:t>
      </w:r>
      <w:r w:rsidR="00D07C4D" w:rsidRPr="003C2C5C">
        <w:rPr>
          <w:rFonts w:ascii="Times New Roman" w:eastAsia="Times New Roman" w:hAnsi="Times New Roman" w:cs="Times New Roman"/>
        </w:rPr>
        <w:t>state</w:t>
      </w:r>
      <w:r w:rsidR="00100A48">
        <w:rPr>
          <w:rFonts w:ascii="Times New Roman" w:eastAsia="Times New Roman" w:hAnsi="Times New Roman" w:cs="Times New Roman"/>
        </w:rPr>
        <w:t>,</w:t>
      </w:r>
      <w:r w:rsidR="00D07C4D" w:rsidRPr="003C2C5C">
        <w:rPr>
          <w:rFonts w:ascii="Times New Roman" w:eastAsia="Times New Roman" w:hAnsi="Times New Roman" w:cs="Times New Roman"/>
        </w:rPr>
        <w:t xml:space="preserve"> </w:t>
      </w:r>
      <w:r w:rsidRPr="003C2C5C">
        <w:rPr>
          <w:rFonts w:ascii="Times New Roman" w:eastAsia="Times New Roman" w:hAnsi="Times New Roman" w:cs="Times New Roman"/>
        </w:rPr>
        <w:t xml:space="preserve">districts in high salary labor markets have lower purchasing power than districts in lower salary labor markets. </w:t>
      </w:r>
      <w:r w:rsidR="00DF2474">
        <w:rPr>
          <w:rFonts w:ascii="Times New Roman" w:eastAsia="Times New Roman" w:hAnsi="Times New Roman" w:cs="Times New Roman"/>
        </w:rPr>
        <w:t>One resu</w:t>
      </w:r>
      <w:r w:rsidR="00E91284">
        <w:rPr>
          <w:rFonts w:ascii="Times New Roman" w:eastAsia="Times New Roman" w:hAnsi="Times New Roman" w:cs="Times New Roman"/>
        </w:rPr>
        <w:t>lt is dramatic differences in average class sizes, with the lowest salary districts at just above 19 and the highest salary districts at more than 26.</w:t>
      </w:r>
    </w:p>
    <w:p w14:paraId="0564291B" w14:textId="1615C7E2" w:rsidR="00DF2474" w:rsidRPr="0051133B" w:rsidRDefault="00DF2474" w:rsidP="00DF2474">
      <w:pPr>
        <w:pStyle w:val="ListParagraph"/>
        <w:spacing w:after="120"/>
        <w:contextualSpacing w:val="0"/>
        <w:rPr>
          <w:rFonts w:ascii="Times New Roman" w:eastAsia="Times New Roman" w:hAnsi="Times New Roman" w:cs="Times New Roman"/>
        </w:rPr>
      </w:pPr>
      <w:r w:rsidRPr="0051133B">
        <w:rPr>
          <w:rFonts w:ascii="Times New Roman" w:eastAsia="Times New Roman" w:hAnsi="Times New Roman" w:cs="Times New Roman"/>
        </w:rPr>
        <w:t xml:space="preserve">The 28 school districts with average salaries above $65,000 serve 57 </w:t>
      </w:r>
      <w:r w:rsidR="00A679A0">
        <w:rPr>
          <w:rFonts w:ascii="Times New Roman" w:eastAsia="Times New Roman" w:hAnsi="Times New Roman" w:cs="Times New Roman"/>
        </w:rPr>
        <w:t xml:space="preserve">percent </w:t>
      </w:r>
      <w:r w:rsidRPr="0051133B">
        <w:rPr>
          <w:rFonts w:ascii="Times New Roman" w:eastAsia="Times New Roman" w:hAnsi="Times New Roman" w:cs="Times New Roman"/>
        </w:rPr>
        <w:t xml:space="preserve">of all students in Oregon and even larger shares of </w:t>
      </w:r>
      <w:r>
        <w:rPr>
          <w:rFonts w:ascii="Times New Roman" w:eastAsia="Times New Roman" w:hAnsi="Times New Roman" w:cs="Times New Roman"/>
        </w:rPr>
        <w:t xml:space="preserve">historically underserved students: 86 percent of African American students; 80 percent of </w:t>
      </w:r>
      <w:r w:rsidRPr="0051133B">
        <w:rPr>
          <w:rFonts w:ascii="Times New Roman" w:eastAsia="Times New Roman" w:hAnsi="Times New Roman" w:cs="Times New Roman"/>
        </w:rPr>
        <w:t>Native Hawaii</w:t>
      </w:r>
      <w:r>
        <w:rPr>
          <w:rFonts w:ascii="Times New Roman" w:eastAsia="Times New Roman" w:hAnsi="Times New Roman" w:cs="Times New Roman"/>
        </w:rPr>
        <w:t xml:space="preserve">an/Alaska Native students; 69 percent of </w:t>
      </w:r>
      <w:r w:rsidRPr="0051133B">
        <w:rPr>
          <w:rFonts w:ascii="Times New Roman" w:eastAsia="Times New Roman" w:hAnsi="Times New Roman" w:cs="Times New Roman"/>
        </w:rPr>
        <w:t>English</w:t>
      </w:r>
      <w:r>
        <w:rPr>
          <w:rFonts w:ascii="Times New Roman" w:eastAsia="Times New Roman" w:hAnsi="Times New Roman" w:cs="Times New Roman"/>
        </w:rPr>
        <w:t xml:space="preserve"> Language Learners;</w:t>
      </w:r>
      <w:r w:rsidRPr="0051133B">
        <w:rPr>
          <w:rFonts w:ascii="Times New Roman" w:eastAsia="Times New Roman" w:hAnsi="Times New Roman" w:cs="Times New Roman"/>
        </w:rPr>
        <w:t xml:space="preserve"> and </w:t>
      </w:r>
      <w:r>
        <w:rPr>
          <w:rFonts w:ascii="Times New Roman" w:eastAsia="Times New Roman" w:hAnsi="Times New Roman" w:cs="Times New Roman"/>
        </w:rPr>
        <w:t xml:space="preserve">60 percent of Hispanic students. </w:t>
      </w:r>
      <w:r w:rsidR="00AE6DDA">
        <w:rPr>
          <w:rFonts w:ascii="Times New Roman" w:eastAsia="Times New Roman" w:hAnsi="Times New Roman" w:cs="Times New Roman"/>
        </w:rPr>
        <w:t xml:space="preserve">Without a mechanism </w:t>
      </w:r>
      <w:r>
        <w:rPr>
          <w:rFonts w:ascii="Times New Roman" w:eastAsia="Times New Roman" w:hAnsi="Times New Roman" w:cs="Times New Roman"/>
        </w:rPr>
        <w:t xml:space="preserve">to adjust for these </w:t>
      </w:r>
      <w:r w:rsidRPr="0051133B">
        <w:rPr>
          <w:rFonts w:ascii="Times New Roman" w:eastAsia="Times New Roman" w:hAnsi="Times New Roman" w:cs="Times New Roman"/>
        </w:rPr>
        <w:t>large salary variations</w:t>
      </w:r>
      <w:r w:rsidR="00AE6DDA">
        <w:rPr>
          <w:rFonts w:ascii="Times New Roman" w:eastAsia="Times New Roman" w:hAnsi="Times New Roman" w:cs="Times New Roman"/>
        </w:rPr>
        <w:t xml:space="preserve">, the </w:t>
      </w:r>
      <w:r>
        <w:rPr>
          <w:rFonts w:ascii="Times New Roman" w:eastAsia="Times New Roman" w:hAnsi="Times New Roman" w:cs="Times New Roman"/>
        </w:rPr>
        <w:t>inequities</w:t>
      </w:r>
      <w:r w:rsidR="00AE6DDA">
        <w:rPr>
          <w:rFonts w:ascii="Times New Roman" w:eastAsia="Times New Roman" w:hAnsi="Times New Roman" w:cs="Times New Roman"/>
        </w:rPr>
        <w:t xml:space="preserve"> in student outcomes</w:t>
      </w:r>
      <w:r w:rsidRPr="0051133B">
        <w:rPr>
          <w:rFonts w:ascii="Times New Roman" w:eastAsia="Times New Roman" w:hAnsi="Times New Roman" w:cs="Times New Roman"/>
        </w:rPr>
        <w:t xml:space="preserve"> for large numbers of Oregon’s historically underserved students</w:t>
      </w:r>
      <w:r w:rsidR="00AE6DDA">
        <w:rPr>
          <w:rFonts w:ascii="Times New Roman" w:eastAsia="Times New Roman" w:hAnsi="Times New Roman" w:cs="Times New Roman"/>
        </w:rPr>
        <w:t xml:space="preserve"> are likely to persist.</w:t>
      </w:r>
    </w:p>
    <w:p w14:paraId="2C3F2189" w14:textId="1FD89769" w:rsidR="000C6FD9" w:rsidRPr="003C2C5C" w:rsidRDefault="000C6FD9" w:rsidP="003C2C5C">
      <w:pPr>
        <w:spacing w:before="240" w:after="160"/>
        <w:ind w:left="360"/>
        <w:rPr>
          <w:rFonts w:ascii="Times New Roman" w:eastAsia="Times New Roman" w:hAnsi="Times New Roman" w:cs="Times New Roman"/>
          <w:b/>
          <w:sz w:val="24"/>
        </w:rPr>
      </w:pPr>
      <w:r w:rsidRPr="003C2C5C">
        <w:rPr>
          <w:rFonts w:ascii="Times New Roman" w:eastAsia="Times New Roman" w:hAnsi="Times New Roman" w:cs="Times New Roman"/>
          <w:b/>
          <w:sz w:val="24"/>
        </w:rPr>
        <w:t>Recommendations</w:t>
      </w:r>
    </w:p>
    <w:p w14:paraId="27FB1893" w14:textId="6231D7E3" w:rsidR="00791D93" w:rsidRPr="0051133B" w:rsidRDefault="00375C53" w:rsidP="0051133B">
      <w:pPr>
        <w:pStyle w:val="ListParagraph"/>
        <w:numPr>
          <w:ilvl w:val="0"/>
          <w:numId w:val="8"/>
        </w:numPr>
        <w:spacing w:after="120"/>
        <w:contextualSpacing w:val="0"/>
        <w:rPr>
          <w:rFonts w:ascii="Times New Roman" w:eastAsia="Times New Roman" w:hAnsi="Times New Roman" w:cs="Times New Roman"/>
        </w:rPr>
      </w:pPr>
      <w:r w:rsidRPr="0051133B">
        <w:rPr>
          <w:rFonts w:ascii="Times New Roman" w:eastAsia="Times New Roman" w:hAnsi="Times New Roman" w:cs="Times New Roman"/>
        </w:rPr>
        <w:t xml:space="preserve">While the savings may be relatively small, districts should continue to pursue cost-saving strategies </w:t>
      </w:r>
      <w:r w:rsidR="00B967B1" w:rsidRPr="0051133B">
        <w:rPr>
          <w:rFonts w:ascii="Times New Roman" w:eastAsia="Times New Roman" w:hAnsi="Times New Roman" w:cs="Times New Roman"/>
        </w:rPr>
        <w:t xml:space="preserve">such </w:t>
      </w:r>
      <w:r w:rsidRPr="0051133B">
        <w:rPr>
          <w:rFonts w:ascii="Times New Roman" w:eastAsia="Times New Roman" w:hAnsi="Times New Roman" w:cs="Times New Roman"/>
        </w:rPr>
        <w:t>as forming consortia and working with their Education Service Districts to purchase s</w:t>
      </w:r>
      <w:r w:rsidR="00D1185D" w:rsidRPr="0051133B">
        <w:rPr>
          <w:rFonts w:ascii="Times New Roman" w:eastAsia="Times New Roman" w:hAnsi="Times New Roman" w:cs="Times New Roman"/>
        </w:rPr>
        <w:t>upplies and other inputs in larger quantities</w:t>
      </w:r>
      <w:r w:rsidRPr="0051133B">
        <w:rPr>
          <w:rFonts w:ascii="Times New Roman" w:eastAsia="Times New Roman" w:hAnsi="Times New Roman" w:cs="Times New Roman"/>
        </w:rPr>
        <w:t xml:space="preserve"> to get lower prices. For small districts, purchasing services such as technology, special education </w:t>
      </w:r>
      <w:r w:rsidR="00D1185D" w:rsidRPr="0051133B">
        <w:rPr>
          <w:rFonts w:ascii="Times New Roman" w:eastAsia="Times New Roman" w:hAnsi="Times New Roman" w:cs="Times New Roman"/>
        </w:rPr>
        <w:t>services</w:t>
      </w:r>
      <w:r w:rsidR="00791D93" w:rsidRPr="0051133B">
        <w:rPr>
          <w:rFonts w:ascii="Times New Roman" w:eastAsia="Times New Roman" w:hAnsi="Times New Roman" w:cs="Times New Roman"/>
        </w:rPr>
        <w:t>, and professional development rather than trying to perform those services themselves</w:t>
      </w:r>
      <w:r w:rsidR="00D1185D" w:rsidRPr="0051133B">
        <w:rPr>
          <w:rFonts w:ascii="Times New Roman" w:eastAsia="Times New Roman" w:hAnsi="Times New Roman" w:cs="Times New Roman"/>
        </w:rPr>
        <w:t xml:space="preserve"> can be cheaper as well</w:t>
      </w:r>
      <w:r w:rsidR="00791D93" w:rsidRPr="0051133B">
        <w:rPr>
          <w:rFonts w:ascii="Times New Roman" w:eastAsia="Times New Roman" w:hAnsi="Times New Roman" w:cs="Times New Roman"/>
        </w:rPr>
        <w:t>.</w:t>
      </w:r>
      <w:r w:rsidR="00B967B1" w:rsidRPr="0051133B">
        <w:rPr>
          <w:rFonts w:ascii="Times New Roman" w:eastAsia="Times New Roman" w:hAnsi="Times New Roman" w:cs="Times New Roman"/>
        </w:rPr>
        <w:t xml:space="preserve"> This is a way for smaller districts to capture some of the economies of scale</w:t>
      </w:r>
      <w:r w:rsidR="00D1185D" w:rsidRPr="0051133B">
        <w:rPr>
          <w:rFonts w:ascii="Times New Roman" w:eastAsia="Times New Roman" w:hAnsi="Times New Roman" w:cs="Times New Roman"/>
        </w:rPr>
        <w:t xml:space="preserve"> for certain activities</w:t>
      </w:r>
      <w:r w:rsidR="00B967B1" w:rsidRPr="0051133B">
        <w:rPr>
          <w:rFonts w:ascii="Times New Roman" w:eastAsia="Times New Roman" w:hAnsi="Times New Roman" w:cs="Times New Roman"/>
        </w:rPr>
        <w:t xml:space="preserve"> that larger districts already</w:t>
      </w:r>
      <w:r w:rsidR="00D1185D" w:rsidRPr="0051133B">
        <w:rPr>
          <w:rFonts w:ascii="Times New Roman" w:eastAsia="Times New Roman" w:hAnsi="Times New Roman" w:cs="Times New Roman"/>
        </w:rPr>
        <w:t xml:space="preserve"> achieve</w:t>
      </w:r>
      <w:r w:rsidR="00B967B1" w:rsidRPr="0051133B">
        <w:rPr>
          <w:rFonts w:ascii="Times New Roman" w:eastAsia="Times New Roman" w:hAnsi="Times New Roman" w:cs="Times New Roman"/>
        </w:rPr>
        <w:t>.</w:t>
      </w:r>
    </w:p>
    <w:p w14:paraId="055DFDBF" w14:textId="79F5AAB8" w:rsidR="00791D93" w:rsidRPr="0051133B" w:rsidRDefault="00D1185D" w:rsidP="0051133B">
      <w:pPr>
        <w:pStyle w:val="ListParagraph"/>
        <w:numPr>
          <w:ilvl w:val="0"/>
          <w:numId w:val="8"/>
        </w:numPr>
        <w:spacing w:after="120"/>
        <w:contextualSpacing w:val="0"/>
        <w:rPr>
          <w:rFonts w:ascii="Times New Roman" w:eastAsia="Times New Roman" w:hAnsi="Times New Roman" w:cs="Times New Roman"/>
        </w:rPr>
      </w:pPr>
      <w:r w:rsidRPr="0051133B">
        <w:rPr>
          <w:rFonts w:ascii="Times New Roman" w:eastAsia="Times New Roman" w:hAnsi="Times New Roman" w:cs="Times New Roman"/>
        </w:rPr>
        <w:t>Districts should work to identify ways to allocate more resources to Instruction by becoming more efficient in other</w:t>
      </w:r>
      <w:r w:rsidR="006B09FF" w:rsidRPr="0051133B">
        <w:rPr>
          <w:rFonts w:ascii="Times New Roman" w:eastAsia="Times New Roman" w:hAnsi="Times New Roman" w:cs="Times New Roman"/>
        </w:rPr>
        <w:t xml:space="preserve"> activities that less directly </w:t>
      </w:r>
      <w:r w:rsidRPr="0051133B">
        <w:rPr>
          <w:rFonts w:ascii="Times New Roman" w:eastAsia="Times New Roman" w:hAnsi="Times New Roman" w:cs="Times New Roman"/>
        </w:rPr>
        <w:t xml:space="preserve">contribute to student learning. Our analysis shows that those activities </w:t>
      </w:r>
      <w:r w:rsidR="00195C80" w:rsidRPr="0051133B">
        <w:rPr>
          <w:rFonts w:ascii="Times New Roman" w:eastAsia="Times New Roman" w:hAnsi="Times New Roman" w:cs="Times New Roman"/>
        </w:rPr>
        <w:t>are Instructional</w:t>
      </w:r>
      <w:r w:rsidR="006B09FF" w:rsidRPr="0051133B">
        <w:rPr>
          <w:rFonts w:ascii="Times New Roman" w:eastAsia="Times New Roman" w:hAnsi="Times New Roman" w:cs="Times New Roman"/>
        </w:rPr>
        <w:t xml:space="preserve"> Staff Support</w:t>
      </w:r>
      <w:r w:rsidR="009D77DF" w:rsidRPr="0051133B">
        <w:rPr>
          <w:rFonts w:ascii="Times New Roman" w:eastAsia="Times New Roman" w:hAnsi="Times New Roman" w:cs="Times New Roman"/>
        </w:rPr>
        <w:t>, Business</w:t>
      </w:r>
      <w:r w:rsidR="006B09FF" w:rsidRPr="0051133B">
        <w:rPr>
          <w:rFonts w:ascii="Times New Roman" w:eastAsia="Times New Roman" w:hAnsi="Times New Roman" w:cs="Times New Roman"/>
        </w:rPr>
        <w:t xml:space="preserve"> Services</w:t>
      </w:r>
      <w:r w:rsidR="00195C80" w:rsidRPr="0051133B">
        <w:rPr>
          <w:rFonts w:ascii="Times New Roman" w:eastAsia="Times New Roman" w:hAnsi="Times New Roman" w:cs="Times New Roman"/>
        </w:rPr>
        <w:t xml:space="preserve">, </w:t>
      </w:r>
      <w:r w:rsidR="006B09FF" w:rsidRPr="0051133B">
        <w:rPr>
          <w:rFonts w:ascii="Times New Roman" w:eastAsia="Times New Roman" w:hAnsi="Times New Roman" w:cs="Times New Roman"/>
        </w:rPr>
        <w:t>and Central Services</w:t>
      </w:r>
      <w:r w:rsidR="00195C80" w:rsidRPr="0051133B">
        <w:rPr>
          <w:rFonts w:ascii="Times New Roman" w:eastAsia="Times New Roman" w:hAnsi="Times New Roman" w:cs="Times New Roman"/>
        </w:rPr>
        <w:t>.</w:t>
      </w:r>
      <w:r w:rsidR="006B09FF" w:rsidRPr="0051133B">
        <w:rPr>
          <w:rFonts w:ascii="Times New Roman" w:eastAsia="Times New Roman" w:hAnsi="Times New Roman" w:cs="Times New Roman"/>
        </w:rPr>
        <w:t xml:space="preserve"> </w:t>
      </w:r>
      <w:r w:rsidR="00195C80" w:rsidRPr="0051133B">
        <w:rPr>
          <w:rFonts w:ascii="Times New Roman" w:eastAsia="Times New Roman" w:hAnsi="Times New Roman" w:cs="Times New Roman"/>
        </w:rPr>
        <w:t>This recommendation does not necessarily mean districts should cut necessary activities, but rather should look for efficiencies so that the resources saved can be used for classroom instruction and other activities more directly related to student learning.</w:t>
      </w:r>
    </w:p>
    <w:p w14:paraId="44FFC7F9" w14:textId="09DD1679" w:rsidR="009F5C8F" w:rsidRDefault="00063791" w:rsidP="0051133B">
      <w:pPr>
        <w:pStyle w:val="ListParagraph"/>
        <w:numPr>
          <w:ilvl w:val="0"/>
          <w:numId w:val="8"/>
        </w:numPr>
        <w:spacing w:after="120"/>
        <w:contextualSpacing w:val="0"/>
        <w:rPr>
          <w:rFonts w:ascii="Times New Roman" w:eastAsia="Times New Roman" w:hAnsi="Times New Roman" w:cs="Times New Roman"/>
        </w:rPr>
      </w:pPr>
      <w:r w:rsidRPr="0051133B">
        <w:rPr>
          <w:rFonts w:ascii="Times New Roman" w:eastAsia="Times New Roman" w:hAnsi="Times New Roman" w:cs="Times New Roman"/>
        </w:rPr>
        <w:t xml:space="preserve">Districts should use the </w:t>
      </w:r>
      <w:r w:rsidR="00CE33E3" w:rsidRPr="0051133B">
        <w:rPr>
          <w:rFonts w:ascii="Times New Roman" w:eastAsia="Times New Roman" w:hAnsi="Times New Roman" w:cs="Times New Roman"/>
        </w:rPr>
        <w:t xml:space="preserve">Comparison Tool created by ODE to compare their spending patterns to those of similar districts. By </w:t>
      </w:r>
      <w:r w:rsidR="009D77DF">
        <w:rPr>
          <w:rFonts w:ascii="Times New Roman" w:eastAsia="Times New Roman" w:hAnsi="Times New Roman" w:cs="Times New Roman"/>
        </w:rPr>
        <w:t>making these comparisons</w:t>
      </w:r>
      <w:r w:rsidR="00CE33E3" w:rsidRPr="0051133B">
        <w:rPr>
          <w:rFonts w:ascii="Times New Roman" w:eastAsia="Times New Roman" w:hAnsi="Times New Roman" w:cs="Times New Roman"/>
        </w:rPr>
        <w:t xml:space="preserve">, </w:t>
      </w:r>
      <w:r w:rsidR="009D77DF" w:rsidRPr="0051133B">
        <w:rPr>
          <w:rFonts w:ascii="Times New Roman" w:eastAsia="Times New Roman" w:hAnsi="Times New Roman" w:cs="Times New Roman"/>
        </w:rPr>
        <w:t>districts can learn from one another about how to become more effi</w:t>
      </w:r>
      <w:r w:rsidR="009D77DF">
        <w:rPr>
          <w:rFonts w:ascii="Times New Roman" w:eastAsia="Times New Roman" w:hAnsi="Times New Roman" w:cs="Times New Roman"/>
        </w:rPr>
        <w:t>cient and which categories of spending</w:t>
      </w:r>
      <w:r w:rsidR="0036074B">
        <w:rPr>
          <w:rFonts w:ascii="Times New Roman" w:eastAsia="Times New Roman" w:hAnsi="Times New Roman" w:cs="Times New Roman"/>
        </w:rPr>
        <w:t xml:space="preserve"> are associate</w:t>
      </w:r>
      <w:r w:rsidR="00A679A0">
        <w:rPr>
          <w:rFonts w:ascii="Times New Roman" w:eastAsia="Times New Roman" w:hAnsi="Times New Roman" w:cs="Times New Roman"/>
        </w:rPr>
        <w:t>d</w:t>
      </w:r>
      <w:r w:rsidR="0036074B">
        <w:rPr>
          <w:rFonts w:ascii="Times New Roman" w:eastAsia="Times New Roman" w:hAnsi="Times New Roman" w:cs="Times New Roman"/>
        </w:rPr>
        <w:t xml:space="preserve"> with better student outcomes</w:t>
      </w:r>
      <w:r w:rsidR="009F5C8F" w:rsidRPr="0051133B">
        <w:rPr>
          <w:rFonts w:ascii="Times New Roman" w:eastAsia="Times New Roman" w:hAnsi="Times New Roman" w:cs="Times New Roman"/>
        </w:rPr>
        <w:t>.</w:t>
      </w:r>
      <w:r w:rsidR="00B04FC7">
        <w:rPr>
          <w:rFonts w:ascii="Times New Roman" w:eastAsia="Times New Roman" w:hAnsi="Times New Roman" w:cs="Times New Roman"/>
        </w:rPr>
        <w:t xml:space="preserve"> In making these comparisons, districts should compare themselves to other districts of roughly</w:t>
      </w:r>
      <w:r w:rsidR="00155ECA">
        <w:rPr>
          <w:rFonts w:ascii="Times New Roman" w:eastAsia="Times New Roman" w:hAnsi="Times New Roman" w:cs="Times New Roman"/>
        </w:rPr>
        <w:t xml:space="preserve"> the same size. Our analysis shows that district size impacts spending patterns, so districts have the most to learn from other districts of the same size.</w:t>
      </w:r>
      <w:r w:rsidR="000E6ED2">
        <w:rPr>
          <w:rFonts w:ascii="Times New Roman" w:eastAsia="Times New Roman" w:hAnsi="Times New Roman" w:cs="Times New Roman"/>
        </w:rPr>
        <w:t xml:space="preserve"> The </w:t>
      </w:r>
      <w:r w:rsidR="00EE6FDB">
        <w:rPr>
          <w:rFonts w:ascii="Times New Roman" w:eastAsia="Times New Roman" w:hAnsi="Times New Roman" w:cs="Times New Roman"/>
        </w:rPr>
        <w:t>C</w:t>
      </w:r>
      <w:r w:rsidR="000E6ED2">
        <w:rPr>
          <w:rFonts w:ascii="Times New Roman" w:eastAsia="Times New Roman" w:hAnsi="Times New Roman" w:cs="Times New Roman"/>
        </w:rPr>
        <w:t xml:space="preserve">omparison </w:t>
      </w:r>
      <w:r w:rsidR="00EE6FDB">
        <w:rPr>
          <w:rFonts w:ascii="Times New Roman" w:eastAsia="Times New Roman" w:hAnsi="Times New Roman" w:cs="Times New Roman"/>
        </w:rPr>
        <w:t>T</w:t>
      </w:r>
      <w:r w:rsidR="000E6ED2">
        <w:rPr>
          <w:rFonts w:ascii="Times New Roman" w:eastAsia="Times New Roman" w:hAnsi="Times New Roman" w:cs="Times New Roman"/>
        </w:rPr>
        <w:t xml:space="preserve">ool is on </w:t>
      </w:r>
      <w:r w:rsidR="000057CB">
        <w:rPr>
          <w:rFonts w:ascii="Times New Roman" w:eastAsia="Times New Roman" w:hAnsi="Times New Roman" w:cs="Times New Roman"/>
        </w:rPr>
        <w:t xml:space="preserve">the Department of Education’s website </w:t>
      </w:r>
      <w:hyperlink r:id="rId11" w:history="1">
        <w:r w:rsidR="000057CB" w:rsidRPr="00C162F7">
          <w:rPr>
            <w:rStyle w:val="Hyperlink"/>
            <w:rFonts w:ascii="Times New Roman" w:eastAsia="Times New Roman" w:hAnsi="Times New Roman" w:cs="Times New Roman"/>
          </w:rPr>
          <w:t>here</w:t>
        </w:r>
      </w:hyperlink>
      <w:r w:rsidR="000057CB">
        <w:rPr>
          <w:rFonts w:ascii="Times New Roman" w:eastAsia="Times New Roman" w:hAnsi="Times New Roman" w:cs="Times New Roman"/>
        </w:rPr>
        <w:t>.</w:t>
      </w:r>
    </w:p>
    <w:p w14:paraId="5136B9A2" w14:textId="5AD78D69" w:rsidR="00C274E0" w:rsidRPr="00E91284" w:rsidRDefault="00F621CC" w:rsidP="00E91284">
      <w:pPr>
        <w:pStyle w:val="ListParagraph"/>
        <w:numPr>
          <w:ilvl w:val="0"/>
          <w:numId w:val="8"/>
        </w:numPr>
        <w:spacing w:after="120"/>
        <w:contextualSpacing w:val="0"/>
        <w:rPr>
          <w:rFonts w:ascii="Times New Roman" w:eastAsia="Times New Roman" w:hAnsi="Times New Roman" w:cs="Times New Roman"/>
        </w:rPr>
      </w:pPr>
      <w:r>
        <w:rPr>
          <w:rFonts w:ascii="Times New Roman" w:eastAsia="Times New Roman" w:hAnsi="Times New Roman" w:cs="Times New Roman"/>
        </w:rPr>
        <w:t>T</w:t>
      </w:r>
      <w:r w:rsidR="009F5C8F" w:rsidRPr="0051133B">
        <w:rPr>
          <w:rFonts w:ascii="Times New Roman" w:eastAsia="Times New Roman" w:hAnsi="Times New Roman" w:cs="Times New Roman"/>
        </w:rPr>
        <w:t>he Oregon Legislature should consider adding a</w:t>
      </w:r>
      <w:r w:rsidR="00100A48">
        <w:rPr>
          <w:rFonts w:ascii="Times New Roman" w:eastAsia="Times New Roman" w:hAnsi="Times New Roman" w:cs="Times New Roman"/>
        </w:rPr>
        <w:t xml:space="preserve"> mechanism </w:t>
      </w:r>
      <w:r w:rsidR="009F5C8F" w:rsidRPr="0051133B">
        <w:rPr>
          <w:rFonts w:ascii="Times New Roman" w:eastAsia="Times New Roman" w:hAnsi="Times New Roman" w:cs="Times New Roman"/>
        </w:rPr>
        <w:t xml:space="preserve">to adjust for </w:t>
      </w:r>
      <w:r w:rsidR="009D77DF" w:rsidRPr="0051133B">
        <w:rPr>
          <w:rFonts w:ascii="Times New Roman" w:eastAsia="Times New Roman" w:hAnsi="Times New Roman" w:cs="Times New Roman"/>
        </w:rPr>
        <w:t xml:space="preserve">the wide variation in salaries around </w:t>
      </w:r>
      <w:r w:rsidR="009D77DF">
        <w:rPr>
          <w:rFonts w:ascii="Times New Roman" w:eastAsia="Times New Roman" w:hAnsi="Times New Roman" w:cs="Times New Roman"/>
        </w:rPr>
        <w:t>the</w:t>
      </w:r>
      <w:r w:rsidR="009D77DF" w:rsidRPr="0051133B">
        <w:rPr>
          <w:rFonts w:ascii="Times New Roman" w:eastAsia="Times New Roman" w:hAnsi="Times New Roman" w:cs="Times New Roman"/>
        </w:rPr>
        <w:t xml:space="preserve"> </w:t>
      </w:r>
      <w:r w:rsidR="009D77DF">
        <w:rPr>
          <w:rFonts w:ascii="Times New Roman" w:eastAsia="Times New Roman" w:hAnsi="Times New Roman" w:cs="Times New Roman"/>
        </w:rPr>
        <w:t>state</w:t>
      </w:r>
      <w:r w:rsidR="00E91284">
        <w:rPr>
          <w:rFonts w:ascii="Times New Roman" w:eastAsia="Times New Roman" w:hAnsi="Times New Roman" w:cs="Times New Roman"/>
        </w:rPr>
        <w:t xml:space="preserve">. </w:t>
      </w:r>
      <w:r w:rsidR="00155ECA">
        <w:rPr>
          <w:rFonts w:ascii="Times New Roman" w:eastAsia="Times New Roman" w:hAnsi="Times New Roman" w:cs="Times New Roman"/>
        </w:rPr>
        <w:t xml:space="preserve">Oregon makes this </w:t>
      </w:r>
      <w:r w:rsidR="00CC61A3">
        <w:rPr>
          <w:rFonts w:ascii="Times New Roman" w:eastAsia="Times New Roman" w:hAnsi="Times New Roman" w:cs="Times New Roman"/>
        </w:rPr>
        <w:t xml:space="preserve">type of </w:t>
      </w:r>
      <w:r w:rsidR="00155ECA">
        <w:rPr>
          <w:rFonts w:ascii="Times New Roman" w:eastAsia="Times New Roman" w:hAnsi="Times New Roman" w:cs="Times New Roman"/>
        </w:rPr>
        <w:t>adjustment in its minimum wage—paying a higher wage in areas with a higher cost of living—and th</w:t>
      </w:r>
      <w:r w:rsidR="003D3D17">
        <w:rPr>
          <w:rFonts w:ascii="Times New Roman" w:eastAsia="Times New Roman" w:hAnsi="Times New Roman" w:cs="Times New Roman"/>
        </w:rPr>
        <w:t>at</w:t>
      </w:r>
      <w:r w:rsidR="00155ECA">
        <w:rPr>
          <w:rFonts w:ascii="Times New Roman" w:eastAsia="Times New Roman" w:hAnsi="Times New Roman" w:cs="Times New Roman"/>
        </w:rPr>
        <w:t xml:space="preserve"> logic should apply to funding schools</w:t>
      </w:r>
      <w:r w:rsidR="003D3D17">
        <w:rPr>
          <w:rFonts w:ascii="Times New Roman" w:eastAsia="Times New Roman" w:hAnsi="Times New Roman" w:cs="Times New Roman"/>
        </w:rPr>
        <w:t xml:space="preserve"> as well</w:t>
      </w:r>
      <w:r w:rsidR="00155ECA">
        <w:rPr>
          <w:rFonts w:ascii="Times New Roman" w:eastAsia="Times New Roman" w:hAnsi="Times New Roman" w:cs="Times New Roman"/>
        </w:rPr>
        <w:t xml:space="preserve">. </w:t>
      </w:r>
      <w:r w:rsidR="00AA53E6">
        <w:rPr>
          <w:rFonts w:ascii="Times New Roman" w:eastAsia="Times New Roman" w:hAnsi="Times New Roman" w:cs="Times New Roman"/>
        </w:rPr>
        <w:t>A</w:t>
      </w:r>
      <w:r w:rsidR="00100A48">
        <w:rPr>
          <w:rFonts w:ascii="Times New Roman" w:eastAsia="Times New Roman" w:hAnsi="Times New Roman" w:cs="Times New Roman"/>
        </w:rPr>
        <w:t xml:space="preserve"> mechanism </w:t>
      </w:r>
      <w:r w:rsidR="00AA53E6">
        <w:rPr>
          <w:rFonts w:ascii="Times New Roman" w:eastAsia="Times New Roman" w:hAnsi="Times New Roman" w:cs="Times New Roman"/>
        </w:rPr>
        <w:t xml:space="preserve">to compensate for salary variation can help to equalize the purchasing power across </w:t>
      </w:r>
      <w:r w:rsidR="00100A48">
        <w:rPr>
          <w:rFonts w:ascii="Times New Roman" w:eastAsia="Times New Roman" w:hAnsi="Times New Roman" w:cs="Times New Roman"/>
        </w:rPr>
        <w:t xml:space="preserve">school </w:t>
      </w:r>
      <w:r w:rsidR="00AA53E6">
        <w:rPr>
          <w:rFonts w:ascii="Times New Roman" w:eastAsia="Times New Roman" w:hAnsi="Times New Roman" w:cs="Times New Roman"/>
        </w:rPr>
        <w:t xml:space="preserve">districts, giving high-salary districts the same ability as lower-salary districts to </w:t>
      </w:r>
      <w:r w:rsidR="00F37CF7">
        <w:rPr>
          <w:rFonts w:ascii="Times New Roman" w:eastAsia="Times New Roman" w:hAnsi="Times New Roman" w:cs="Times New Roman"/>
        </w:rPr>
        <w:t>effectively serve</w:t>
      </w:r>
      <w:r w:rsidR="00AA53E6">
        <w:rPr>
          <w:rFonts w:ascii="Times New Roman" w:eastAsia="Times New Roman" w:hAnsi="Times New Roman" w:cs="Times New Roman"/>
        </w:rPr>
        <w:t xml:space="preserve"> their students</w:t>
      </w:r>
      <w:r w:rsidR="009F5C8F" w:rsidRPr="00E91284">
        <w:rPr>
          <w:rFonts w:ascii="Times New Roman" w:eastAsia="Times New Roman" w:hAnsi="Times New Roman" w:cs="Times New Roman"/>
        </w:rPr>
        <w:t xml:space="preserve">. </w:t>
      </w:r>
    </w:p>
    <w:p w14:paraId="3C62233F" w14:textId="4AEA9056" w:rsidR="00454777" w:rsidRPr="00AC463A" w:rsidRDefault="00F07B7D" w:rsidP="00E91284">
      <w:pPr>
        <w:keepNext/>
        <w:spacing w:after="120" w:line="276" w:lineRule="auto"/>
        <w:rPr>
          <w:rFonts w:ascii="Times New Roman" w:eastAsia="Times New Roman" w:hAnsi="Times New Roman" w:cs="Times New Roman"/>
          <w:b/>
          <w:sz w:val="32"/>
          <w:szCs w:val="32"/>
        </w:rPr>
      </w:pPr>
      <w:r w:rsidRPr="00AC463A">
        <w:rPr>
          <w:rFonts w:ascii="Times New Roman" w:eastAsia="Times New Roman" w:hAnsi="Times New Roman" w:cs="Times New Roman"/>
          <w:b/>
          <w:sz w:val="32"/>
          <w:szCs w:val="32"/>
        </w:rPr>
        <w:lastRenderedPageBreak/>
        <w:t>Introduction</w:t>
      </w:r>
    </w:p>
    <w:p w14:paraId="1BEEFD75" w14:textId="4C2A99F3" w:rsidR="00454777" w:rsidRPr="00855EA9" w:rsidRDefault="00454777" w:rsidP="00E91284">
      <w:pPr>
        <w:keepNext/>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Oregon’s 197 school districts vary tremendously in size, location, student demographics, and local culture. In serving the needs of their students, the way</w:t>
      </w:r>
      <w:r w:rsidR="004E5C41">
        <w:rPr>
          <w:rFonts w:ascii="Times New Roman" w:eastAsia="Times New Roman" w:hAnsi="Times New Roman" w:cs="Times New Roman"/>
        </w:rPr>
        <w:t>s</w:t>
      </w:r>
      <w:r w:rsidRPr="00855EA9">
        <w:rPr>
          <w:rFonts w:ascii="Times New Roman" w:eastAsia="Times New Roman" w:hAnsi="Times New Roman" w:cs="Times New Roman"/>
        </w:rPr>
        <w:t xml:space="preserve"> Oregon’s school districts use their resources are likely to vary as well. To better understand this variation, and to learn how school districts might be able to allocate their resources differently to better serve their students, the </w:t>
      </w:r>
      <w:r w:rsidR="00512902">
        <w:rPr>
          <w:rFonts w:ascii="Times New Roman" w:eastAsia="Times New Roman" w:hAnsi="Times New Roman" w:cs="Times New Roman"/>
        </w:rPr>
        <w:t xml:space="preserve">Audits Division of the </w:t>
      </w:r>
      <w:r w:rsidRPr="00855EA9">
        <w:rPr>
          <w:rFonts w:ascii="Times New Roman" w:eastAsia="Times New Roman" w:hAnsi="Times New Roman" w:cs="Times New Roman"/>
        </w:rPr>
        <w:t xml:space="preserve">Oregon Secretary of State’s Office made a series of recommendations to the Oregon Department of Education. The first two recommendations address issues of </w:t>
      </w:r>
      <w:r w:rsidR="008B3D0F">
        <w:rPr>
          <w:rFonts w:ascii="Times New Roman" w:eastAsia="Times New Roman" w:hAnsi="Times New Roman" w:cs="Times New Roman"/>
        </w:rPr>
        <w:t xml:space="preserve">potential savings areas and </w:t>
      </w:r>
      <w:r w:rsidRPr="00855EA9">
        <w:rPr>
          <w:rFonts w:ascii="Times New Roman" w:eastAsia="Times New Roman" w:hAnsi="Times New Roman" w:cs="Times New Roman"/>
        </w:rPr>
        <w:t xml:space="preserve">school district spending trends.  </w:t>
      </w:r>
    </w:p>
    <w:p w14:paraId="3A7E359D" w14:textId="787D537A" w:rsidR="00454777" w:rsidRPr="00855EA9" w:rsidRDefault="00454777" w:rsidP="002B5C29">
      <w:pPr>
        <w:spacing w:after="120" w:line="276" w:lineRule="auto"/>
        <w:ind w:left="360" w:right="360"/>
        <w:rPr>
          <w:rFonts w:ascii="Times New Roman" w:eastAsia="Times New Roman" w:hAnsi="Times New Roman" w:cs="Times New Roman"/>
        </w:rPr>
      </w:pPr>
      <w:r w:rsidRPr="00855EA9">
        <w:rPr>
          <w:rFonts w:ascii="Times New Roman" w:eastAsia="Times New Roman" w:hAnsi="Times New Roman" w:cs="Times New Roman"/>
        </w:rPr>
        <w:t>Recommendation 1: Evaluate potential K-12 savings areas and spending trends, including an analysis of classroom spending compared to other spending. Share the analysis publicly, and work with the Quality Education Commission to include the analysis in the Commission’s public report.</w:t>
      </w:r>
    </w:p>
    <w:p w14:paraId="16DBA626" w14:textId="43D00416" w:rsidR="00454777" w:rsidRPr="00855EA9" w:rsidRDefault="00454777" w:rsidP="002B5C29">
      <w:pPr>
        <w:spacing w:after="120" w:line="276" w:lineRule="auto"/>
        <w:ind w:left="360" w:right="360"/>
        <w:rPr>
          <w:rFonts w:ascii="Times New Roman" w:eastAsia="Times New Roman" w:hAnsi="Times New Roman" w:cs="Times New Roman"/>
        </w:rPr>
      </w:pPr>
      <w:r w:rsidRPr="00855EA9">
        <w:rPr>
          <w:rFonts w:ascii="Times New Roman" w:eastAsia="Times New Roman" w:hAnsi="Times New Roman" w:cs="Times New Roman"/>
        </w:rPr>
        <w:t>Recommendation 2: Provide tools and templates to help districts regularly benchmark spending against peers, and provide guidance on best-practice options for directing more money to the classroom.</w:t>
      </w:r>
    </w:p>
    <w:p w14:paraId="0381B8AE" w14:textId="77777777" w:rsidR="00454777" w:rsidRPr="00855EA9" w:rsidRDefault="00454777" w:rsidP="002B5C29">
      <w:pPr>
        <w:spacing w:after="120" w:line="276" w:lineRule="auto"/>
        <w:ind w:left="360" w:right="360"/>
        <w:rPr>
          <w:rFonts w:ascii="Times New Roman" w:eastAsia="Times New Roman" w:hAnsi="Times New Roman" w:cs="Times New Roman"/>
        </w:rPr>
      </w:pPr>
      <w:r w:rsidRPr="00855EA9">
        <w:rPr>
          <w:rFonts w:ascii="Times New Roman" w:eastAsia="Times New Roman" w:hAnsi="Times New Roman" w:cs="Times New Roman"/>
        </w:rPr>
        <w:t xml:space="preserve"> </w:t>
      </w:r>
    </w:p>
    <w:p w14:paraId="22969985" w14:textId="06743FC8" w:rsidR="00454777" w:rsidRPr="00AC463A" w:rsidRDefault="00454777" w:rsidP="002B5C29">
      <w:pPr>
        <w:tabs>
          <w:tab w:val="right" w:pos="9360"/>
        </w:tabs>
        <w:spacing w:after="120" w:line="276" w:lineRule="auto"/>
        <w:rPr>
          <w:rFonts w:ascii="Times New Roman" w:eastAsia="Times New Roman" w:hAnsi="Times New Roman" w:cs="Times New Roman"/>
          <w:b/>
          <w:sz w:val="32"/>
          <w:szCs w:val="32"/>
        </w:rPr>
      </w:pPr>
      <w:r w:rsidRPr="00AC463A">
        <w:rPr>
          <w:rFonts w:ascii="Times New Roman" w:eastAsia="Times New Roman" w:hAnsi="Times New Roman" w:cs="Times New Roman"/>
          <w:b/>
          <w:sz w:val="32"/>
          <w:szCs w:val="32"/>
        </w:rPr>
        <w:t>Potential K-12 Savings Areas</w:t>
      </w:r>
      <w:r w:rsidR="008B3D0F" w:rsidRPr="00AC463A">
        <w:rPr>
          <w:rFonts w:ascii="Times New Roman" w:eastAsia="Times New Roman" w:hAnsi="Times New Roman" w:cs="Times New Roman"/>
          <w:b/>
          <w:sz w:val="32"/>
          <w:szCs w:val="32"/>
        </w:rPr>
        <w:tab/>
      </w:r>
    </w:p>
    <w:p w14:paraId="068C4089" w14:textId="6DE59841" w:rsidR="00454777" w:rsidRPr="00855EA9" w:rsidRDefault="00454777" w:rsidP="002B5C29">
      <w:pPr>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For this analysis, ODE define</w:t>
      </w:r>
      <w:r w:rsidR="00E148A7">
        <w:rPr>
          <w:rFonts w:ascii="Times New Roman" w:eastAsia="Times New Roman" w:hAnsi="Times New Roman" w:cs="Times New Roman"/>
        </w:rPr>
        <w:t>s</w:t>
      </w:r>
      <w:r w:rsidRPr="00855EA9">
        <w:rPr>
          <w:rFonts w:ascii="Times New Roman" w:eastAsia="Times New Roman" w:hAnsi="Times New Roman" w:cs="Times New Roman"/>
        </w:rPr>
        <w:t xml:space="preserve"> “savings” as getting the same outcomes with lower spending, or getting </w:t>
      </w:r>
      <w:r w:rsidR="004E5C41" w:rsidRPr="00855EA9">
        <w:rPr>
          <w:rFonts w:ascii="Times New Roman" w:eastAsia="Times New Roman" w:hAnsi="Times New Roman" w:cs="Times New Roman"/>
        </w:rPr>
        <w:t>better outcomes</w:t>
      </w:r>
      <w:r w:rsidRPr="00855EA9">
        <w:rPr>
          <w:rFonts w:ascii="Times New Roman" w:eastAsia="Times New Roman" w:hAnsi="Times New Roman" w:cs="Times New Roman"/>
        </w:rPr>
        <w:t xml:space="preserve"> with the same level of spending.</w:t>
      </w:r>
    </w:p>
    <w:p w14:paraId="4D948A9B" w14:textId="77777777" w:rsidR="00454777" w:rsidRPr="00855EA9" w:rsidRDefault="00454777" w:rsidP="00454777">
      <w:pPr>
        <w:spacing w:after="120"/>
        <w:rPr>
          <w:rFonts w:ascii="Times New Roman" w:eastAsia="Times New Roman" w:hAnsi="Times New Roman" w:cs="Times New Roman"/>
        </w:rPr>
      </w:pPr>
      <w:r w:rsidRPr="00855EA9">
        <w:rPr>
          <w:rFonts w:ascii="Times New Roman" w:eastAsia="Times New Roman" w:hAnsi="Times New Roman" w:cs="Times New Roman"/>
        </w:rPr>
        <w:t xml:space="preserve"> Savings can be achieved primarily in three ways:</w:t>
      </w:r>
    </w:p>
    <w:p w14:paraId="5696370C" w14:textId="4163EEB1" w:rsidR="00454777" w:rsidRPr="00855EA9" w:rsidRDefault="00454777" w:rsidP="00454777">
      <w:pPr>
        <w:spacing w:after="120"/>
        <w:ind w:left="630" w:hanging="270"/>
        <w:rPr>
          <w:rFonts w:ascii="Times New Roman" w:eastAsia="Times New Roman" w:hAnsi="Times New Roman" w:cs="Times New Roman"/>
        </w:rPr>
      </w:pPr>
      <w:r w:rsidRPr="00855EA9">
        <w:rPr>
          <w:rFonts w:ascii="Times New Roman" w:eastAsia="Times New Roman" w:hAnsi="Times New Roman" w:cs="Times New Roman"/>
        </w:rPr>
        <w:t>1) Getting lower prices for inputs</w:t>
      </w:r>
      <w:r w:rsidR="008B3D0F">
        <w:rPr>
          <w:rFonts w:ascii="Times New Roman" w:eastAsia="Times New Roman" w:hAnsi="Times New Roman" w:cs="Times New Roman"/>
        </w:rPr>
        <w:t xml:space="preserve"> of the same quality</w:t>
      </w:r>
      <w:r w:rsidRPr="00855EA9">
        <w:rPr>
          <w:rFonts w:ascii="Times New Roman" w:eastAsia="Times New Roman" w:hAnsi="Times New Roman" w:cs="Times New Roman"/>
        </w:rPr>
        <w:t>.</w:t>
      </w:r>
    </w:p>
    <w:p w14:paraId="5BCA9FEC" w14:textId="77777777" w:rsidR="00454777" w:rsidRPr="00855EA9" w:rsidRDefault="00454777" w:rsidP="00454777">
      <w:pPr>
        <w:spacing w:after="120"/>
        <w:ind w:left="630" w:hanging="270"/>
        <w:rPr>
          <w:rFonts w:ascii="Times New Roman" w:eastAsia="Times New Roman" w:hAnsi="Times New Roman" w:cs="Times New Roman"/>
        </w:rPr>
      </w:pPr>
      <w:r w:rsidRPr="00855EA9">
        <w:rPr>
          <w:rFonts w:ascii="Times New Roman" w:eastAsia="Times New Roman" w:hAnsi="Times New Roman" w:cs="Times New Roman"/>
        </w:rPr>
        <w:t>2) Becoming more efficient at what you are already doing.</w:t>
      </w:r>
    </w:p>
    <w:p w14:paraId="07661567" w14:textId="1C0EE722" w:rsidR="00454777" w:rsidRPr="00855EA9" w:rsidRDefault="00454777" w:rsidP="00454777">
      <w:pPr>
        <w:spacing w:after="120"/>
        <w:ind w:left="630" w:hanging="270"/>
        <w:rPr>
          <w:rFonts w:ascii="Times New Roman" w:eastAsia="Times New Roman" w:hAnsi="Times New Roman" w:cs="Times New Roman"/>
        </w:rPr>
      </w:pPr>
      <w:r w:rsidRPr="00855EA9">
        <w:rPr>
          <w:rFonts w:ascii="Times New Roman" w:eastAsia="Times New Roman" w:hAnsi="Times New Roman" w:cs="Times New Roman"/>
        </w:rPr>
        <w:t>3) Doing things differently</w:t>
      </w:r>
      <w:r w:rsidR="004027B2">
        <w:rPr>
          <w:rFonts w:ascii="Times New Roman" w:eastAsia="Times New Roman" w:hAnsi="Times New Roman" w:cs="Times New Roman"/>
        </w:rPr>
        <w:t xml:space="preserve"> in a way that results in better outcomes.</w:t>
      </w:r>
      <w:r w:rsidRPr="00855EA9">
        <w:rPr>
          <w:rFonts w:ascii="Times New Roman" w:eastAsia="Times New Roman" w:hAnsi="Times New Roman" w:cs="Times New Roman"/>
        </w:rPr>
        <w:t xml:space="preserve">  </w:t>
      </w:r>
    </w:p>
    <w:p w14:paraId="724FBCC6" w14:textId="619F4255" w:rsidR="00454777" w:rsidRPr="00855EA9" w:rsidRDefault="00454777" w:rsidP="002B5C29">
      <w:pPr>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 xml:space="preserve">The Secretary of State’s first audit recommendation is that the Department of Education “Evaluate potential K-12 savings areas and spending trends, including an analysis of </w:t>
      </w:r>
      <w:r w:rsidRPr="0039695D">
        <w:rPr>
          <w:rFonts w:ascii="Times New Roman" w:eastAsia="Times New Roman" w:hAnsi="Times New Roman" w:cs="Times New Roman"/>
        </w:rPr>
        <w:t>classroom spending compared to other spending</w:t>
      </w:r>
      <w:r w:rsidR="00EE6FDB" w:rsidRPr="0039695D">
        <w:rPr>
          <w:rFonts w:ascii="Times New Roman" w:eastAsia="Times New Roman" w:hAnsi="Times New Roman" w:cs="Times New Roman"/>
        </w:rPr>
        <w:t>,</w:t>
      </w:r>
      <w:r w:rsidRPr="00855EA9">
        <w:rPr>
          <w:rFonts w:ascii="Times New Roman" w:eastAsia="Times New Roman" w:hAnsi="Times New Roman" w:cs="Times New Roman"/>
        </w:rPr>
        <w:t>” indicating that the Department</w:t>
      </w:r>
      <w:r>
        <w:rPr>
          <w:rFonts w:ascii="Times New Roman" w:eastAsia="Times New Roman" w:hAnsi="Times New Roman" w:cs="Times New Roman"/>
        </w:rPr>
        <w:t xml:space="preserve"> should</w:t>
      </w:r>
      <w:r w:rsidRPr="00855EA9">
        <w:rPr>
          <w:rFonts w:ascii="Times New Roman" w:eastAsia="Times New Roman" w:hAnsi="Times New Roman" w:cs="Times New Roman"/>
        </w:rPr>
        <w:t xml:space="preserve"> focus on how districts allocate their resources to different spending categories. In other words, </w:t>
      </w:r>
      <w:r w:rsidR="004027B2">
        <w:rPr>
          <w:rFonts w:ascii="Times New Roman" w:eastAsia="Times New Roman" w:hAnsi="Times New Roman" w:cs="Times New Roman"/>
        </w:rPr>
        <w:t xml:space="preserve">determine if there is </w:t>
      </w:r>
      <w:r w:rsidRPr="00855EA9">
        <w:rPr>
          <w:rFonts w:ascii="Times New Roman" w:eastAsia="Times New Roman" w:hAnsi="Times New Roman" w:cs="Times New Roman"/>
        </w:rPr>
        <w:t>potential for improving student outcomes by re-allocating resources from low-productivity uses to higher-productivity uses</w:t>
      </w:r>
      <w:r w:rsidR="004027B2">
        <w:rPr>
          <w:rFonts w:ascii="Times New Roman" w:eastAsia="Times New Roman" w:hAnsi="Times New Roman" w:cs="Times New Roman"/>
        </w:rPr>
        <w:t>.</w:t>
      </w:r>
      <w:r w:rsidRPr="00855EA9">
        <w:rPr>
          <w:rFonts w:ascii="Times New Roman" w:eastAsia="Times New Roman" w:hAnsi="Times New Roman" w:cs="Times New Roman"/>
        </w:rPr>
        <w:t xml:space="preserve"> This involves districts being innovative at </w:t>
      </w:r>
      <w:r w:rsidRPr="00855EA9">
        <w:rPr>
          <w:rFonts w:ascii="Times New Roman" w:eastAsia="Times New Roman" w:hAnsi="Times New Roman" w:cs="Times New Roman"/>
          <w:b/>
        </w:rPr>
        <w:t>doing things differently</w:t>
      </w:r>
      <w:r w:rsidRPr="00855EA9">
        <w:rPr>
          <w:rFonts w:ascii="Times New Roman" w:eastAsia="Times New Roman" w:hAnsi="Times New Roman" w:cs="Times New Roman"/>
        </w:rPr>
        <w:t xml:space="preserve"> to improve the quality of learning and increase </w:t>
      </w:r>
      <w:r w:rsidR="004027B2">
        <w:rPr>
          <w:rFonts w:ascii="Times New Roman" w:eastAsia="Times New Roman" w:hAnsi="Times New Roman" w:cs="Times New Roman"/>
        </w:rPr>
        <w:t xml:space="preserve">student outcomes and the </w:t>
      </w:r>
      <w:r w:rsidRPr="00855EA9">
        <w:rPr>
          <w:rFonts w:ascii="Times New Roman" w:eastAsia="Times New Roman" w:hAnsi="Times New Roman" w:cs="Times New Roman"/>
        </w:rPr>
        <w:t>equity of student experiences</w:t>
      </w:r>
      <w:r w:rsidR="004027B2">
        <w:rPr>
          <w:rFonts w:ascii="Times New Roman" w:eastAsia="Times New Roman" w:hAnsi="Times New Roman" w:cs="Times New Roman"/>
        </w:rPr>
        <w:t xml:space="preserve"> and educational results.</w:t>
      </w:r>
    </w:p>
    <w:p w14:paraId="7809E625" w14:textId="77777777" w:rsidR="00454777" w:rsidRPr="00855EA9" w:rsidRDefault="00454777" w:rsidP="002B5C29">
      <w:pPr>
        <w:spacing w:after="120" w:line="276" w:lineRule="auto"/>
        <w:rPr>
          <w:rFonts w:ascii="Times New Roman" w:eastAsia="Times New Roman" w:hAnsi="Times New Roman" w:cs="Times New Roman"/>
        </w:rPr>
      </w:pPr>
    </w:p>
    <w:p w14:paraId="2ECF2123" w14:textId="77777777" w:rsidR="00454777" w:rsidRPr="00855EA9" w:rsidRDefault="00454777" w:rsidP="002B5C29">
      <w:pPr>
        <w:keepNext/>
        <w:spacing w:after="120" w:line="276" w:lineRule="auto"/>
        <w:rPr>
          <w:rFonts w:ascii="Times New Roman" w:eastAsia="Times New Roman" w:hAnsi="Times New Roman" w:cs="Times New Roman"/>
          <w:b/>
          <w:sz w:val="24"/>
        </w:rPr>
      </w:pPr>
      <w:r w:rsidRPr="00855EA9">
        <w:rPr>
          <w:rFonts w:ascii="Times New Roman" w:eastAsia="Times New Roman" w:hAnsi="Times New Roman" w:cs="Times New Roman"/>
          <w:b/>
          <w:sz w:val="24"/>
        </w:rPr>
        <w:t>Getting Lower Prices for Inputs</w:t>
      </w:r>
    </w:p>
    <w:p w14:paraId="5B3713C1" w14:textId="4E5144D6" w:rsidR="00454777" w:rsidRPr="00855EA9" w:rsidRDefault="00454777" w:rsidP="002B5C29">
      <w:pPr>
        <w:keepNext/>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On the input price side, the options</w:t>
      </w:r>
      <w:r w:rsidR="00DE3D2C">
        <w:rPr>
          <w:rFonts w:ascii="Times New Roman" w:eastAsia="Times New Roman" w:hAnsi="Times New Roman" w:cs="Times New Roman"/>
        </w:rPr>
        <w:t xml:space="preserve"> for realizing substantial savings</w:t>
      </w:r>
      <w:r w:rsidRPr="00855EA9">
        <w:rPr>
          <w:rFonts w:ascii="Times New Roman" w:eastAsia="Times New Roman" w:hAnsi="Times New Roman" w:cs="Times New Roman"/>
        </w:rPr>
        <w:t xml:space="preserve"> are limited: districts </w:t>
      </w:r>
      <w:r w:rsidR="00DE3D2C">
        <w:rPr>
          <w:rFonts w:ascii="Times New Roman" w:eastAsia="Times New Roman" w:hAnsi="Times New Roman" w:cs="Times New Roman"/>
        </w:rPr>
        <w:t xml:space="preserve">can work </w:t>
      </w:r>
      <w:r w:rsidRPr="00855EA9">
        <w:rPr>
          <w:rFonts w:ascii="Times New Roman" w:eastAsia="Times New Roman" w:hAnsi="Times New Roman" w:cs="Times New Roman"/>
        </w:rPr>
        <w:t>together to get better prices</w:t>
      </w:r>
      <w:r w:rsidR="00DE3D2C">
        <w:rPr>
          <w:rFonts w:ascii="Times New Roman" w:eastAsia="Times New Roman" w:hAnsi="Times New Roman" w:cs="Times New Roman"/>
        </w:rPr>
        <w:t xml:space="preserve"> and achieve efficiencies through economies of scale in purchasing</w:t>
      </w:r>
      <w:r w:rsidRPr="00855EA9">
        <w:rPr>
          <w:rFonts w:ascii="Times New Roman" w:eastAsia="Times New Roman" w:hAnsi="Times New Roman" w:cs="Times New Roman"/>
        </w:rPr>
        <w:t>—perhaps through ESD</w:t>
      </w:r>
      <w:r>
        <w:rPr>
          <w:rFonts w:ascii="Times New Roman" w:eastAsia="Times New Roman" w:hAnsi="Times New Roman" w:cs="Times New Roman"/>
        </w:rPr>
        <w:t>s</w:t>
      </w:r>
      <w:r w:rsidRPr="00855EA9">
        <w:rPr>
          <w:rFonts w:ascii="Times New Roman" w:eastAsia="Times New Roman" w:hAnsi="Times New Roman" w:cs="Times New Roman"/>
        </w:rPr>
        <w:t>; being more careful in contract negotiations</w:t>
      </w:r>
      <w:r w:rsidR="00EE6FDB">
        <w:rPr>
          <w:rFonts w:ascii="Times New Roman" w:eastAsia="Times New Roman" w:hAnsi="Times New Roman" w:cs="Times New Roman"/>
        </w:rPr>
        <w:t xml:space="preserve"> </w:t>
      </w:r>
      <w:r w:rsidR="00A679A0">
        <w:rPr>
          <w:rFonts w:ascii="Times New Roman" w:eastAsia="Times New Roman" w:hAnsi="Times New Roman" w:cs="Times New Roman"/>
        </w:rPr>
        <w:t>to avoid</w:t>
      </w:r>
      <w:r w:rsidRPr="00855EA9">
        <w:rPr>
          <w:rFonts w:ascii="Times New Roman" w:eastAsia="Times New Roman" w:hAnsi="Times New Roman" w:cs="Times New Roman"/>
        </w:rPr>
        <w:t xml:space="preserve"> paying too much; </w:t>
      </w:r>
      <w:r w:rsidR="00EE6FDB">
        <w:rPr>
          <w:rFonts w:ascii="Times New Roman" w:eastAsia="Times New Roman" w:hAnsi="Times New Roman" w:cs="Times New Roman"/>
        </w:rPr>
        <w:t xml:space="preserve">and </w:t>
      </w:r>
      <w:r w:rsidRPr="00855EA9">
        <w:rPr>
          <w:rFonts w:ascii="Times New Roman" w:eastAsia="Times New Roman" w:hAnsi="Times New Roman" w:cs="Times New Roman"/>
        </w:rPr>
        <w:t>paying attention to seasonal price variations for items like fuel and other supplies</w:t>
      </w:r>
      <w:r w:rsidR="00EE6FDB">
        <w:rPr>
          <w:rFonts w:ascii="Times New Roman" w:eastAsia="Times New Roman" w:hAnsi="Times New Roman" w:cs="Times New Roman"/>
        </w:rPr>
        <w:t>,</w:t>
      </w:r>
      <w:r w:rsidRPr="00855EA9">
        <w:rPr>
          <w:rFonts w:ascii="Times New Roman" w:eastAsia="Times New Roman" w:hAnsi="Times New Roman" w:cs="Times New Roman"/>
        </w:rPr>
        <w:t xml:space="preserve"> etc. School districts’ biggest cost is </w:t>
      </w:r>
      <w:r w:rsidRPr="00855EA9">
        <w:rPr>
          <w:rFonts w:ascii="Times New Roman" w:eastAsia="Times New Roman" w:hAnsi="Times New Roman" w:cs="Times New Roman"/>
        </w:rPr>
        <w:lastRenderedPageBreak/>
        <w:t>labor, and there are few options for reducing labor costs beyond becoming more efficient</w:t>
      </w:r>
      <w:r w:rsidR="00F8609C">
        <w:rPr>
          <w:rFonts w:ascii="Times New Roman" w:eastAsia="Times New Roman" w:hAnsi="Times New Roman" w:cs="Times New Roman"/>
        </w:rPr>
        <w:t xml:space="preserve"> so that fewer staff are needed,</w:t>
      </w:r>
      <w:r w:rsidRPr="00855EA9">
        <w:rPr>
          <w:rFonts w:ascii="Times New Roman" w:eastAsia="Times New Roman" w:hAnsi="Times New Roman" w:cs="Times New Roman"/>
        </w:rPr>
        <w:t xml:space="preserve"> or trying to reduce salaries, which may make it harder to attract high quality staff. </w:t>
      </w:r>
    </w:p>
    <w:p w14:paraId="6AFDBD5C" w14:textId="77777777" w:rsidR="00454777" w:rsidRPr="00855EA9" w:rsidRDefault="00454777" w:rsidP="002B5C29">
      <w:pPr>
        <w:spacing w:after="120" w:line="276" w:lineRule="auto"/>
        <w:rPr>
          <w:rFonts w:ascii="Times New Roman" w:eastAsia="Times New Roman" w:hAnsi="Times New Roman" w:cs="Times New Roman"/>
        </w:rPr>
      </w:pPr>
    </w:p>
    <w:p w14:paraId="235661FE" w14:textId="77777777" w:rsidR="00454777" w:rsidRPr="00855EA9" w:rsidRDefault="00454777" w:rsidP="002B5C29">
      <w:pPr>
        <w:spacing w:after="120" w:line="276" w:lineRule="auto"/>
        <w:rPr>
          <w:rFonts w:ascii="Times New Roman" w:eastAsia="Times New Roman" w:hAnsi="Times New Roman" w:cs="Times New Roman"/>
          <w:b/>
          <w:sz w:val="24"/>
        </w:rPr>
      </w:pPr>
      <w:r w:rsidRPr="00855EA9">
        <w:rPr>
          <w:rFonts w:ascii="Times New Roman" w:eastAsia="Times New Roman" w:hAnsi="Times New Roman" w:cs="Times New Roman"/>
          <w:b/>
          <w:sz w:val="24"/>
        </w:rPr>
        <w:t>Becoming More Efficient at What You are Already Doing</w:t>
      </w:r>
    </w:p>
    <w:p w14:paraId="43FA1295" w14:textId="60C8CDBC" w:rsidR="00454777" w:rsidRPr="002B5C29" w:rsidRDefault="00454777" w:rsidP="002B5C29">
      <w:pPr>
        <w:spacing w:after="120" w:line="276" w:lineRule="auto"/>
        <w:rPr>
          <w:rFonts w:ascii="Times New Roman" w:eastAsia="Times New Roman" w:hAnsi="Times New Roman" w:cs="Times New Roman"/>
          <w:color w:val="FF0000"/>
        </w:rPr>
      </w:pPr>
      <w:r w:rsidRPr="00855EA9">
        <w:rPr>
          <w:rFonts w:ascii="Times New Roman" w:eastAsia="Times New Roman" w:hAnsi="Times New Roman" w:cs="Times New Roman"/>
        </w:rPr>
        <w:t xml:space="preserve">While it may be useful to conduct performance audits of Oregon </w:t>
      </w:r>
      <w:r w:rsidR="00A679A0">
        <w:rPr>
          <w:rFonts w:ascii="Times New Roman" w:eastAsia="Times New Roman" w:hAnsi="Times New Roman" w:cs="Times New Roman"/>
        </w:rPr>
        <w:t>s</w:t>
      </w:r>
      <w:r w:rsidRPr="00855EA9">
        <w:rPr>
          <w:rFonts w:ascii="Times New Roman" w:eastAsia="Times New Roman" w:hAnsi="Times New Roman" w:cs="Times New Roman"/>
        </w:rPr>
        <w:t xml:space="preserve">chool </w:t>
      </w:r>
      <w:r w:rsidR="00A679A0">
        <w:rPr>
          <w:rFonts w:ascii="Times New Roman" w:eastAsia="Times New Roman" w:hAnsi="Times New Roman" w:cs="Times New Roman"/>
        </w:rPr>
        <w:t>d</w:t>
      </w:r>
      <w:r w:rsidRPr="00855EA9">
        <w:rPr>
          <w:rFonts w:ascii="Times New Roman" w:eastAsia="Times New Roman" w:hAnsi="Times New Roman" w:cs="Times New Roman"/>
        </w:rPr>
        <w:t>istricts to determine if there are inefficiencies in their day to day operations, such audits are labor intensive an</w:t>
      </w:r>
      <w:r w:rsidR="000E291C">
        <w:rPr>
          <w:rFonts w:ascii="Times New Roman" w:eastAsia="Times New Roman" w:hAnsi="Times New Roman" w:cs="Times New Roman"/>
        </w:rPr>
        <w:t>d</w:t>
      </w:r>
      <w:r w:rsidRPr="00855EA9">
        <w:rPr>
          <w:rFonts w:ascii="Times New Roman" w:eastAsia="Times New Roman" w:hAnsi="Times New Roman" w:cs="Times New Roman"/>
        </w:rPr>
        <w:t xml:space="preserve"> are, therefore, very expensive. </w:t>
      </w:r>
      <w:r w:rsidR="00512902">
        <w:rPr>
          <w:rFonts w:ascii="Times New Roman" w:eastAsia="Times New Roman" w:hAnsi="Times New Roman" w:cs="Times New Roman"/>
        </w:rPr>
        <w:t xml:space="preserve">While conducting performance audits for each of Oregon’s school districts is outside the scope of the Secretary of State’s Audits Division’s recommendations to ODE, the Audits Division might consider asking the legislature </w:t>
      </w:r>
      <w:r w:rsidR="00271128">
        <w:rPr>
          <w:rFonts w:ascii="Times New Roman" w:eastAsia="Times New Roman" w:hAnsi="Times New Roman" w:cs="Times New Roman"/>
        </w:rPr>
        <w:t xml:space="preserve">to </w:t>
      </w:r>
      <w:r w:rsidR="00512902">
        <w:rPr>
          <w:rFonts w:ascii="Times New Roman" w:eastAsia="Times New Roman" w:hAnsi="Times New Roman" w:cs="Times New Roman"/>
        </w:rPr>
        <w:t>provide funding for performance audits of school districts</w:t>
      </w:r>
      <w:r w:rsidR="00830B20">
        <w:rPr>
          <w:rFonts w:ascii="Times New Roman" w:eastAsia="Times New Roman" w:hAnsi="Times New Roman" w:cs="Times New Roman"/>
        </w:rPr>
        <w:t>.</w:t>
      </w:r>
      <w:r w:rsidR="00512902">
        <w:rPr>
          <w:rFonts w:ascii="Times New Roman" w:eastAsia="Times New Roman" w:hAnsi="Times New Roman" w:cs="Times New Roman"/>
        </w:rPr>
        <w:t xml:space="preserve"> </w:t>
      </w:r>
    </w:p>
    <w:p w14:paraId="6BA7B8A4" w14:textId="77777777" w:rsidR="00454777" w:rsidRPr="00855EA9" w:rsidRDefault="00454777" w:rsidP="002B5C29">
      <w:pPr>
        <w:spacing w:after="120" w:line="276" w:lineRule="auto"/>
        <w:rPr>
          <w:rFonts w:ascii="Times New Roman" w:eastAsia="Times New Roman" w:hAnsi="Times New Roman" w:cs="Times New Roman"/>
        </w:rPr>
      </w:pPr>
    </w:p>
    <w:p w14:paraId="1C63559B" w14:textId="77777777" w:rsidR="00454777" w:rsidRPr="00855EA9" w:rsidRDefault="00454777" w:rsidP="002B5C29">
      <w:pPr>
        <w:spacing w:after="120" w:line="276" w:lineRule="auto"/>
        <w:rPr>
          <w:rFonts w:ascii="Times New Roman" w:eastAsia="Times New Roman" w:hAnsi="Times New Roman" w:cs="Times New Roman"/>
          <w:b/>
          <w:sz w:val="24"/>
        </w:rPr>
      </w:pPr>
      <w:r w:rsidRPr="00855EA9">
        <w:rPr>
          <w:rFonts w:ascii="Times New Roman" w:eastAsia="Times New Roman" w:hAnsi="Times New Roman" w:cs="Times New Roman"/>
          <w:b/>
          <w:sz w:val="24"/>
        </w:rPr>
        <w:t>Doing Things Differently</w:t>
      </w:r>
    </w:p>
    <w:p w14:paraId="29D7CFAF" w14:textId="2F4D929F" w:rsidR="00454777" w:rsidRPr="00855EA9" w:rsidRDefault="00454777" w:rsidP="002B5C29">
      <w:pPr>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The approach the Department of Education adopted</w:t>
      </w:r>
      <w:r w:rsidR="00DE3D2C">
        <w:rPr>
          <w:rFonts w:ascii="Times New Roman" w:eastAsia="Times New Roman" w:hAnsi="Times New Roman" w:cs="Times New Roman"/>
        </w:rPr>
        <w:t xml:space="preserve"> for this evaluation</w:t>
      </w:r>
      <w:r w:rsidRPr="00855EA9">
        <w:rPr>
          <w:rFonts w:ascii="Times New Roman" w:eastAsia="Times New Roman" w:hAnsi="Times New Roman" w:cs="Times New Roman"/>
        </w:rPr>
        <w:t xml:space="preserve"> comes from </w:t>
      </w:r>
      <w:r w:rsidR="00A8062D">
        <w:rPr>
          <w:rFonts w:ascii="Times New Roman" w:eastAsia="Times New Roman" w:hAnsi="Times New Roman" w:cs="Times New Roman"/>
        </w:rPr>
        <w:t>an</w:t>
      </w:r>
      <w:r w:rsidRPr="00855EA9">
        <w:rPr>
          <w:rFonts w:ascii="Times New Roman" w:eastAsia="Times New Roman" w:hAnsi="Times New Roman" w:cs="Times New Roman"/>
        </w:rPr>
        <w:t xml:space="preserve"> analysis </w:t>
      </w:r>
      <w:r w:rsidR="00512902">
        <w:rPr>
          <w:rFonts w:ascii="Times New Roman" w:eastAsia="Times New Roman" w:hAnsi="Times New Roman" w:cs="Times New Roman"/>
        </w:rPr>
        <w:t>of</w:t>
      </w:r>
      <w:r w:rsidRPr="00855EA9">
        <w:rPr>
          <w:rFonts w:ascii="Times New Roman" w:eastAsia="Times New Roman" w:hAnsi="Times New Roman" w:cs="Times New Roman"/>
        </w:rPr>
        <w:t xml:space="preserve"> district spending patterns and their relationship to student outcomes. By observing variations in spending patterns and student outcomes, while taking into account external factors that are outside of district control</w:t>
      </w:r>
      <w:r w:rsidR="0086543E">
        <w:rPr>
          <w:rFonts w:ascii="Times New Roman" w:eastAsia="Times New Roman" w:hAnsi="Times New Roman" w:cs="Times New Roman"/>
        </w:rPr>
        <w:t xml:space="preserve">, </w:t>
      </w:r>
      <w:r w:rsidRPr="00855EA9">
        <w:rPr>
          <w:rFonts w:ascii="Times New Roman" w:eastAsia="Times New Roman" w:hAnsi="Times New Roman" w:cs="Times New Roman"/>
        </w:rPr>
        <w:t xml:space="preserve">ODE was able to identify which spending categories are associated with better student outcomes and which categories are not. With this information, school districts can devise strategies to move resources from “low-productivity” spending categories to “high-productivity” categories. </w:t>
      </w:r>
    </w:p>
    <w:p w14:paraId="57474523" w14:textId="30191BA9" w:rsidR="00454777" w:rsidRPr="00855EA9" w:rsidRDefault="00454777" w:rsidP="002B5C29">
      <w:pPr>
        <w:spacing w:before="240" w:after="120" w:line="276" w:lineRule="auto"/>
        <w:rPr>
          <w:rFonts w:ascii="Times New Roman" w:eastAsia="Times New Roman" w:hAnsi="Times New Roman" w:cs="Times New Roman"/>
        </w:rPr>
      </w:pPr>
      <w:r w:rsidRPr="00855EA9">
        <w:rPr>
          <w:rFonts w:ascii="Times New Roman" w:eastAsia="Times New Roman" w:hAnsi="Times New Roman" w:cs="Times New Roman"/>
        </w:rPr>
        <w:t xml:space="preserve">This approach </w:t>
      </w:r>
      <w:r w:rsidR="00A8062D">
        <w:rPr>
          <w:rFonts w:ascii="Times New Roman" w:eastAsia="Times New Roman" w:hAnsi="Times New Roman" w:cs="Times New Roman"/>
        </w:rPr>
        <w:t xml:space="preserve">has the advantage </w:t>
      </w:r>
      <w:r w:rsidRPr="00855EA9">
        <w:rPr>
          <w:rFonts w:ascii="Times New Roman" w:eastAsia="Times New Roman" w:hAnsi="Times New Roman" w:cs="Times New Roman"/>
        </w:rPr>
        <w:t xml:space="preserve">that it can be done with data that ODE already collects and does not require the large expense of conducting individual district performance audits. </w:t>
      </w:r>
      <w:r w:rsidR="00A8062D">
        <w:rPr>
          <w:rFonts w:ascii="Times New Roman" w:eastAsia="Times New Roman" w:hAnsi="Times New Roman" w:cs="Times New Roman"/>
        </w:rPr>
        <w:t xml:space="preserve">It also has the advantage of allowing us to compare districts to one another to see how similar or different their spending patterns are, allowing districts to learn from each other. And finally, this approach has the advantage of estimating the impact of different spending patterns on student outcomes, </w:t>
      </w:r>
      <w:r w:rsidR="0044116A">
        <w:rPr>
          <w:rFonts w:ascii="Times New Roman" w:eastAsia="Times New Roman" w:hAnsi="Times New Roman" w:cs="Times New Roman"/>
        </w:rPr>
        <w:t>something that individual district performance audits cannot do.</w:t>
      </w:r>
    </w:p>
    <w:p w14:paraId="64344460" w14:textId="44B144E0" w:rsidR="00454777" w:rsidRPr="00855EA9" w:rsidRDefault="0086543E" w:rsidP="002B5C29">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While the evaluation of spending patterns cannot answer all of a district’s questions about how to become more efficient with their resources, it is an important first step. </w:t>
      </w:r>
      <w:r w:rsidR="004E049C">
        <w:rPr>
          <w:rFonts w:ascii="Times New Roman" w:eastAsia="Times New Roman" w:hAnsi="Times New Roman" w:cs="Times New Roman"/>
        </w:rPr>
        <w:t xml:space="preserve">It can </w:t>
      </w:r>
      <w:r w:rsidR="00454777" w:rsidRPr="00855EA9">
        <w:rPr>
          <w:rFonts w:ascii="Times New Roman" w:eastAsia="Times New Roman" w:hAnsi="Times New Roman" w:cs="Times New Roman"/>
        </w:rPr>
        <w:t>provide districts with evidence, based on the data of all of Oregon’s school districts, of where to find resources (the unproductive spending categories) that can be shifted to the more productive categories. The accompanying data tool, which allows districts to easily compare their spending patterns with those of similar districts, can be the basis of conversations among districts to learn from one another about how to more efficiently use their resources.</w:t>
      </w:r>
    </w:p>
    <w:p w14:paraId="44300FF6" w14:textId="77777777" w:rsidR="00454777" w:rsidRPr="00855EA9" w:rsidRDefault="00454777" w:rsidP="002B5C29">
      <w:pPr>
        <w:spacing w:after="120" w:line="276" w:lineRule="auto"/>
        <w:rPr>
          <w:rFonts w:ascii="Times New Roman" w:eastAsia="Times New Roman" w:hAnsi="Times New Roman" w:cs="Times New Roman"/>
        </w:rPr>
      </w:pPr>
    </w:p>
    <w:p w14:paraId="02E1183A" w14:textId="77777777" w:rsidR="00454777" w:rsidRPr="00AC463A" w:rsidRDefault="00454777" w:rsidP="00AC463A">
      <w:pPr>
        <w:keepNext/>
        <w:spacing w:after="120" w:line="276" w:lineRule="auto"/>
        <w:rPr>
          <w:rFonts w:ascii="Times New Roman" w:eastAsia="Times New Roman" w:hAnsi="Times New Roman" w:cs="Times New Roman"/>
          <w:b/>
          <w:sz w:val="32"/>
          <w:szCs w:val="32"/>
        </w:rPr>
      </w:pPr>
      <w:r w:rsidRPr="00AC463A">
        <w:rPr>
          <w:rFonts w:ascii="Times New Roman" w:eastAsia="Times New Roman" w:hAnsi="Times New Roman" w:cs="Times New Roman"/>
          <w:b/>
          <w:sz w:val="32"/>
          <w:szCs w:val="32"/>
        </w:rPr>
        <w:t>Spending Trends</w:t>
      </w:r>
    </w:p>
    <w:p w14:paraId="106B23F8" w14:textId="547DA3E3" w:rsidR="00454777" w:rsidRDefault="00454777" w:rsidP="00AC463A">
      <w:pPr>
        <w:keepNext/>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 xml:space="preserve">To better understand how school districts allocate resources to different activities and uses, ODE looked at trends over time in spending by category for all districts combined. Exhibit </w:t>
      </w:r>
      <w:r w:rsidR="008E7853">
        <w:rPr>
          <w:rFonts w:ascii="Times New Roman" w:eastAsia="Times New Roman" w:hAnsi="Times New Roman" w:cs="Times New Roman"/>
        </w:rPr>
        <w:t>1</w:t>
      </w:r>
      <w:r w:rsidRPr="00855EA9">
        <w:rPr>
          <w:rFonts w:ascii="Times New Roman" w:eastAsia="Times New Roman" w:hAnsi="Times New Roman" w:cs="Times New Roman"/>
        </w:rPr>
        <w:t xml:space="preserve"> shows that the share of spending in various categories has been remarkably stable over time, even during economic downturns when revenue fell. Spending on instruction, the largest category, ranged from a low of 59.0</w:t>
      </w:r>
      <w:r w:rsidR="003A1374">
        <w:rPr>
          <w:rFonts w:ascii="Times New Roman" w:eastAsia="Times New Roman" w:hAnsi="Times New Roman" w:cs="Times New Roman"/>
        </w:rPr>
        <w:t xml:space="preserve"> p</w:t>
      </w:r>
      <w:r w:rsidRPr="00855EA9">
        <w:rPr>
          <w:rFonts w:ascii="Times New Roman" w:eastAsia="Times New Roman" w:hAnsi="Times New Roman" w:cs="Times New Roman"/>
        </w:rPr>
        <w:t xml:space="preserve">ercent in 2007-08 to a high of 60.0 percent in 2017-18—almost no variation at all. The category with the most </w:t>
      </w:r>
      <w:r w:rsidRPr="00855EA9">
        <w:rPr>
          <w:rFonts w:ascii="Times New Roman" w:eastAsia="Times New Roman" w:hAnsi="Times New Roman" w:cs="Times New Roman"/>
        </w:rPr>
        <w:lastRenderedPageBreak/>
        <w:t>variation, student support, ranged from 5.7 percent in 2007-08 to 7.1 percent in 2018-19—still not much variation.</w:t>
      </w:r>
    </w:p>
    <w:p w14:paraId="794F8BBA" w14:textId="77777777" w:rsidR="00454777" w:rsidRDefault="00454777" w:rsidP="002B5C29">
      <w:pPr>
        <w:spacing w:after="120" w:line="276" w:lineRule="auto"/>
        <w:rPr>
          <w:rFonts w:ascii="Times New Roman" w:eastAsia="Times New Roman" w:hAnsi="Times New Roman" w:cs="Times New Roman"/>
        </w:rPr>
      </w:pPr>
    </w:p>
    <w:p w14:paraId="7BB05CF9" w14:textId="41A059EB" w:rsidR="00454777" w:rsidRPr="00855EA9" w:rsidRDefault="008E7853" w:rsidP="00454777">
      <w:pPr>
        <w:keepNext/>
        <w:spacing w:after="120"/>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t>Exhibit 1</w:t>
      </w:r>
      <w:r w:rsidR="00454777" w:rsidRPr="00855EA9">
        <w:rPr>
          <w:rFonts w:ascii="Copperplate Gothic Light" w:eastAsia="Times New Roman" w:hAnsi="Copperplate Gothic Light" w:cs="Times New Roman"/>
          <w:b/>
          <w:sz w:val="24"/>
        </w:rPr>
        <w:t>: Share of Operating Expenditures by Function</w:t>
      </w:r>
      <w:r w:rsidR="003E4962">
        <w:rPr>
          <w:rFonts w:ascii="Copperplate Gothic Light" w:eastAsia="Times New Roman" w:hAnsi="Copperplate Gothic Light" w:cs="Times New Roman"/>
          <w:b/>
          <w:sz w:val="24"/>
        </w:rPr>
        <w:t>, 2007-08 to 2018-19</w:t>
      </w:r>
    </w:p>
    <w:p w14:paraId="37EBA6C8" w14:textId="222EBF44" w:rsidR="00454777" w:rsidRPr="00855EA9" w:rsidRDefault="008E7853" w:rsidP="00454777">
      <w:pPr>
        <w:keepNext/>
        <w:spacing w:after="12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F0FE076" wp14:editId="49BAD925">
            <wp:extent cx="6165850" cy="4608162"/>
            <wp:effectExtent l="0" t="0" r="6350" b="2540"/>
            <wp:docPr id="1" name="Picture 1" descr="This bar graph shows the share of total operating expenditures that Oregon's school districts spent in various expenditure categories. The graph shows statewide data for the years 2007-08 to 2018-19." title="Exhibit 1: Share of Operating Expenditures by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620" cy="4625179"/>
                    </a:xfrm>
                    <a:prstGeom prst="rect">
                      <a:avLst/>
                    </a:prstGeom>
                    <a:noFill/>
                  </pic:spPr>
                </pic:pic>
              </a:graphicData>
            </a:graphic>
          </wp:inline>
        </w:drawing>
      </w:r>
    </w:p>
    <w:p w14:paraId="666A16E7" w14:textId="77777777" w:rsidR="00454777" w:rsidRPr="00855EA9" w:rsidRDefault="00454777" w:rsidP="00454777">
      <w:pPr>
        <w:spacing w:after="120"/>
        <w:rPr>
          <w:rFonts w:ascii="Times New Roman" w:eastAsia="Times New Roman" w:hAnsi="Times New Roman" w:cs="Times New Roman"/>
        </w:rPr>
      </w:pPr>
    </w:p>
    <w:p w14:paraId="6FEFC974" w14:textId="40EDD850" w:rsidR="00A66A85" w:rsidRDefault="00454777" w:rsidP="002B5C29">
      <w:pPr>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 xml:space="preserve">The stability of spending by function category over time at the state level provides few insights about the factors that influence spending patterns. </w:t>
      </w:r>
      <w:r w:rsidR="00A66A85">
        <w:rPr>
          <w:rFonts w:ascii="Times New Roman" w:eastAsia="Times New Roman" w:hAnsi="Times New Roman" w:cs="Times New Roman"/>
        </w:rPr>
        <w:t xml:space="preserve">The share of spending on Instruction ranged from a low of 59.0 percent in 2007-08 to a high of 60.0 percent in 2017-18. The category with the largest variation—Student Support—varied from 5.7 percent in 2007-08 to 7.1 percent in 2018-19. This lack of variation over time means that data at the state level simply cannot </w:t>
      </w:r>
      <w:r w:rsidR="00867949">
        <w:rPr>
          <w:rFonts w:ascii="Times New Roman" w:eastAsia="Times New Roman" w:hAnsi="Times New Roman" w:cs="Times New Roman"/>
        </w:rPr>
        <w:t>shed light on the impacts that differences in spending patter</w:t>
      </w:r>
      <w:r w:rsidR="009760B5">
        <w:rPr>
          <w:rFonts w:ascii="Times New Roman" w:eastAsia="Times New Roman" w:hAnsi="Times New Roman" w:cs="Times New Roman"/>
        </w:rPr>
        <w:t>n</w:t>
      </w:r>
      <w:r w:rsidR="00867949">
        <w:rPr>
          <w:rFonts w:ascii="Times New Roman" w:eastAsia="Times New Roman" w:hAnsi="Times New Roman" w:cs="Times New Roman"/>
        </w:rPr>
        <w:t>s might have on student outcomes.</w:t>
      </w:r>
    </w:p>
    <w:p w14:paraId="0EFD8A5E" w14:textId="5D9884C1" w:rsidR="00454777" w:rsidRPr="00855EA9" w:rsidRDefault="00454777" w:rsidP="002B5C29">
      <w:pPr>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 xml:space="preserve">Looking at how spending patterns vary </w:t>
      </w:r>
      <w:r w:rsidRPr="002B5C29">
        <w:rPr>
          <w:rFonts w:ascii="Times New Roman" w:eastAsia="Times New Roman" w:hAnsi="Times New Roman" w:cs="Times New Roman"/>
          <w:u w:val="single"/>
        </w:rPr>
        <w:t>among school districts</w:t>
      </w:r>
      <w:r w:rsidRPr="00855EA9">
        <w:rPr>
          <w:rFonts w:ascii="Times New Roman" w:eastAsia="Times New Roman" w:hAnsi="Times New Roman" w:cs="Times New Roman"/>
        </w:rPr>
        <w:t xml:space="preserve">, on the other hand, can give us much more information about the factors that influence how spending varies across different spending categories. That’s because the wide variation in district circumstances, such as size, demographics, etc. </w:t>
      </w:r>
      <w:r w:rsidR="009760B5">
        <w:rPr>
          <w:rFonts w:ascii="Times New Roman" w:eastAsia="Times New Roman" w:hAnsi="Times New Roman" w:cs="Times New Roman"/>
        </w:rPr>
        <w:t xml:space="preserve">are associated with </w:t>
      </w:r>
      <w:r w:rsidRPr="00855EA9">
        <w:rPr>
          <w:rFonts w:ascii="Times New Roman" w:eastAsia="Times New Roman" w:hAnsi="Times New Roman" w:cs="Times New Roman"/>
        </w:rPr>
        <w:t xml:space="preserve">the allocation of </w:t>
      </w:r>
      <w:r w:rsidR="009760B5">
        <w:rPr>
          <w:rFonts w:ascii="Times New Roman" w:eastAsia="Times New Roman" w:hAnsi="Times New Roman" w:cs="Times New Roman"/>
        </w:rPr>
        <w:t xml:space="preserve">much </w:t>
      </w:r>
      <w:r w:rsidRPr="00855EA9">
        <w:rPr>
          <w:rFonts w:ascii="Times New Roman" w:eastAsia="Times New Roman" w:hAnsi="Times New Roman" w:cs="Times New Roman"/>
        </w:rPr>
        <w:t xml:space="preserve">different levels of resources for different uses to serve the specific needs of students in each district. In addition, factors such as economies of scale and variation in input prices (e.g., </w:t>
      </w:r>
      <w:r w:rsidRPr="00855EA9">
        <w:rPr>
          <w:rFonts w:ascii="Times New Roman" w:eastAsia="Times New Roman" w:hAnsi="Times New Roman" w:cs="Times New Roman"/>
        </w:rPr>
        <w:lastRenderedPageBreak/>
        <w:t>teacher and other staff salaries) can have a large impact on how much each district must spend in various categories.</w:t>
      </w:r>
    </w:p>
    <w:p w14:paraId="2FB1E196" w14:textId="77777777" w:rsidR="00454777" w:rsidRPr="00855EA9" w:rsidRDefault="00454777" w:rsidP="002B5C29">
      <w:pPr>
        <w:spacing w:after="120" w:line="276" w:lineRule="auto"/>
        <w:rPr>
          <w:rFonts w:ascii="Times New Roman" w:eastAsia="Times New Roman" w:hAnsi="Times New Roman" w:cs="Times New Roman"/>
        </w:rPr>
      </w:pPr>
    </w:p>
    <w:p w14:paraId="5627FC20" w14:textId="69C0A554" w:rsidR="00454777" w:rsidRPr="00AC463A" w:rsidRDefault="00454777" w:rsidP="002B5C29">
      <w:pPr>
        <w:spacing w:after="120" w:line="276" w:lineRule="auto"/>
        <w:rPr>
          <w:rFonts w:ascii="Times New Roman" w:eastAsia="Times New Roman" w:hAnsi="Times New Roman" w:cs="Times New Roman"/>
          <w:b/>
          <w:sz w:val="32"/>
          <w:szCs w:val="32"/>
        </w:rPr>
      </w:pPr>
      <w:r w:rsidRPr="00AC463A">
        <w:rPr>
          <w:rFonts w:ascii="Times New Roman" w:eastAsia="Times New Roman" w:hAnsi="Times New Roman" w:cs="Times New Roman"/>
          <w:b/>
          <w:sz w:val="32"/>
          <w:szCs w:val="32"/>
        </w:rPr>
        <w:t xml:space="preserve">Spending Pattern Differences </w:t>
      </w:r>
      <w:proofErr w:type="gramStart"/>
      <w:r w:rsidRPr="00AC463A">
        <w:rPr>
          <w:rFonts w:ascii="Times New Roman" w:eastAsia="Times New Roman" w:hAnsi="Times New Roman" w:cs="Times New Roman"/>
          <w:b/>
          <w:sz w:val="32"/>
          <w:szCs w:val="32"/>
        </w:rPr>
        <w:t>Among</w:t>
      </w:r>
      <w:proofErr w:type="gramEnd"/>
      <w:r w:rsidRPr="00AC463A">
        <w:rPr>
          <w:rFonts w:ascii="Times New Roman" w:eastAsia="Times New Roman" w:hAnsi="Times New Roman" w:cs="Times New Roman"/>
          <w:b/>
          <w:sz w:val="32"/>
          <w:szCs w:val="32"/>
        </w:rPr>
        <w:t xml:space="preserve"> School Districts</w:t>
      </w:r>
    </w:p>
    <w:p w14:paraId="1A2D9214" w14:textId="5F17C5E4" w:rsidR="00D34945" w:rsidRPr="00AC463A" w:rsidRDefault="00627D4E" w:rsidP="002B5C29">
      <w:pPr>
        <w:spacing w:after="120" w:line="276" w:lineRule="auto"/>
        <w:rPr>
          <w:rFonts w:ascii="Times New Roman" w:eastAsia="Times New Roman" w:hAnsi="Times New Roman" w:cs="Times New Roman"/>
          <w:szCs w:val="22"/>
        </w:rPr>
      </w:pPr>
      <w:r w:rsidRPr="00AC463A">
        <w:rPr>
          <w:rFonts w:ascii="Times New Roman" w:eastAsia="Times New Roman" w:hAnsi="Times New Roman" w:cs="Times New Roman"/>
          <w:szCs w:val="22"/>
        </w:rPr>
        <w:t>To better understand</w:t>
      </w:r>
      <w:r>
        <w:rPr>
          <w:rFonts w:ascii="Times New Roman" w:eastAsia="Times New Roman" w:hAnsi="Times New Roman" w:cs="Times New Roman"/>
          <w:szCs w:val="22"/>
        </w:rPr>
        <w:t xml:space="preserve"> the factors that influence how school districts allocate spending to different uses, and the impact that those spending patter</w:t>
      </w:r>
      <w:r w:rsidR="000E291C">
        <w:rPr>
          <w:rFonts w:ascii="Times New Roman" w:eastAsia="Times New Roman" w:hAnsi="Times New Roman" w:cs="Times New Roman"/>
          <w:szCs w:val="22"/>
        </w:rPr>
        <w:t>n</w:t>
      </w:r>
      <w:r>
        <w:rPr>
          <w:rFonts w:ascii="Times New Roman" w:eastAsia="Times New Roman" w:hAnsi="Times New Roman" w:cs="Times New Roman"/>
          <w:szCs w:val="22"/>
        </w:rPr>
        <w:t>s have on student outcomes, we perform the analysis in two steps. First, we evaluate what district characteristics are associated with shares of spending in different categories, and second, we evaluate how different spending patterns may have different impacts on student outcomes.</w:t>
      </w:r>
    </w:p>
    <w:p w14:paraId="57004026" w14:textId="58A8D116" w:rsidR="00454777" w:rsidRDefault="00454777" w:rsidP="002B5C29">
      <w:pPr>
        <w:spacing w:after="120" w:line="276" w:lineRule="auto"/>
        <w:rPr>
          <w:rFonts w:ascii="Times New Roman" w:eastAsia="Times New Roman" w:hAnsi="Times New Roman" w:cs="Times New Roman"/>
        </w:rPr>
      </w:pPr>
      <w:r w:rsidRPr="00855EA9">
        <w:rPr>
          <w:rFonts w:ascii="Times New Roman" w:eastAsia="Times New Roman" w:hAnsi="Times New Roman" w:cs="Times New Roman"/>
        </w:rPr>
        <w:t xml:space="preserve">A number of factors can affect the share of total spending that a district allocates to various activities such as instruction, </w:t>
      </w:r>
      <w:r w:rsidR="00AC5C5B">
        <w:rPr>
          <w:rFonts w:ascii="Times New Roman" w:eastAsia="Times New Roman" w:hAnsi="Times New Roman" w:cs="Times New Roman"/>
        </w:rPr>
        <w:t>student support</w:t>
      </w:r>
      <w:r w:rsidRPr="00855EA9">
        <w:rPr>
          <w:rFonts w:ascii="Times New Roman" w:eastAsia="Times New Roman" w:hAnsi="Times New Roman" w:cs="Times New Roman"/>
        </w:rPr>
        <w:t>, administration, transportation, and others. The Department of Education’s analysis explored these factors. Guided by lessons from an initial descriptive analysis, ODE did a deeper analysis using district-level data to better understand the factors associated with variations among districts in expenditures by category. The analysis found that district size is associated with the share spent on district administration and centralized activities</w:t>
      </w:r>
      <w:r w:rsidR="00516FD4">
        <w:rPr>
          <w:rFonts w:ascii="Times New Roman" w:eastAsia="Times New Roman" w:hAnsi="Times New Roman" w:cs="Times New Roman"/>
        </w:rPr>
        <w:t>—smaller districts spend a larger share</w:t>
      </w:r>
      <w:r w:rsidR="003A1374">
        <w:rPr>
          <w:rFonts w:ascii="Times New Roman" w:eastAsia="Times New Roman" w:hAnsi="Times New Roman" w:cs="Times New Roman"/>
        </w:rPr>
        <w:t>—</w:t>
      </w:r>
      <w:r w:rsidR="00516FD4">
        <w:rPr>
          <w:rFonts w:ascii="Times New Roman" w:eastAsia="Times New Roman" w:hAnsi="Times New Roman" w:cs="Times New Roman"/>
        </w:rPr>
        <w:t>indi</w:t>
      </w:r>
      <w:r w:rsidRPr="00855EA9">
        <w:rPr>
          <w:rFonts w:ascii="Times New Roman" w:eastAsia="Times New Roman" w:hAnsi="Times New Roman" w:cs="Times New Roman"/>
        </w:rPr>
        <w:t>cating there are economies of scale for certain district-wide functions. Certain other co</w:t>
      </w:r>
      <w:r w:rsidR="00AC5C5B">
        <w:rPr>
          <w:rFonts w:ascii="Times New Roman" w:eastAsia="Times New Roman" w:hAnsi="Times New Roman" w:cs="Times New Roman"/>
        </w:rPr>
        <w:t>s</w:t>
      </w:r>
      <w:r w:rsidRPr="00855EA9">
        <w:rPr>
          <w:rFonts w:ascii="Times New Roman" w:eastAsia="Times New Roman" w:hAnsi="Times New Roman" w:cs="Times New Roman"/>
        </w:rPr>
        <w:t>ts, such as transportation, are influenced by district size</w:t>
      </w:r>
      <w:r>
        <w:rPr>
          <w:rFonts w:ascii="Times New Roman" w:eastAsia="Times New Roman" w:hAnsi="Times New Roman" w:cs="Times New Roman"/>
        </w:rPr>
        <w:t xml:space="preserve"> </w:t>
      </w:r>
      <w:r w:rsidRPr="00855EA9">
        <w:rPr>
          <w:rFonts w:ascii="Times New Roman" w:eastAsia="Times New Roman" w:hAnsi="Times New Roman" w:cs="Times New Roman"/>
        </w:rPr>
        <w:t xml:space="preserve">and by location. Rural districts, which also tend to </w:t>
      </w:r>
      <w:r>
        <w:rPr>
          <w:rFonts w:ascii="Times New Roman" w:eastAsia="Times New Roman" w:hAnsi="Times New Roman" w:cs="Times New Roman"/>
        </w:rPr>
        <w:t>b</w:t>
      </w:r>
      <w:r w:rsidRPr="00855EA9">
        <w:rPr>
          <w:rFonts w:ascii="Times New Roman" w:eastAsia="Times New Roman" w:hAnsi="Times New Roman" w:cs="Times New Roman"/>
        </w:rPr>
        <w:t>e small, spend the most on transportation bec</w:t>
      </w:r>
      <w:r>
        <w:rPr>
          <w:rFonts w:ascii="Times New Roman" w:eastAsia="Times New Roman" w:hAnsi="Times New Roman" w:cs="Times New Roman"/>
        </w:rPr>
        <w:t>ause of their large geographic size</w:t>
      </w:r>
      <w:r w:rsidRPr="00855EA9">
        <w:rPr>
          <w:rFonts w:ascii="Times New Roman" w:eastAsia="Times New Roman" w:hAnsi="Times New Roman" w:cs="Times New Roman"/>
        </w:rPr>
        <w:t xml:space="preserve"> and low student population densities</w:t>
      </w:r>
      <w:r>
        <w:rPr>
          <w:rFonts w:ascii="Times New Roman" w:eastAsia="Times New Roman" w:hAnsi="Times New Roman" w:cs="Times New Roman"/>
        </w:rPr>
        <w:t>,</w:t>
      </w:r>
      <w:r w:rsidRPr="00855EA9">
        <w:rPr>
          <w:rFonts w:ascii="Times New Roman" w:eastAsia="Times New Roman" w:hAnsi="Times New Roman" w:cs="Times New Roman"/>
        </w:rPr>
        <w:t xml:space="preserve"> requiring long trips. Exhibit </w:t>
      </w:r>
      <w:r w:rsidR="00A66A85">
        <w:rPr>
          <w:rFonts w:ascii="Times New Roman" w:eastAsia="Times New Roman" w:hAnsi="Times New Roman" w:cs="Times New Roman"/>
        </w:rPr>
        <w:t>2</w:t>
      </w:r>
      <w:r w:rsidRPr="00855EA9">
        <w:rPr>
          <w:rFonts w:ascii="Times New Roman" w:eastAsia="Times New Roman" w:hAnsi="Times New Roman" w:cs="Times New Roman"/>
        </w:rPr>
        <w:t xml:space="preserve"> shows the size distribution of districts in Oregon, along with the average spending per student, in the 2018-19 school year. The considerably higher spending per student in the Small and Very Small categories is the result of added revenue provided by the Small School Correction, which provides more funding to districts with small schools.</w:t>
      </w:r>
    </w:p>
    <w:p w14:paraId="3FA9DA8E" w14:textId="77777777" w:rsidR="00454777" w:rsidRPr="00855EA9" w:rsidRDefault="00454777" w:rsidP="00454777">
      <w:pPr>
        <w:spacing w:after="120"/>
        <w:rPr>
          <w:rFonts w:ascii="Times New Roman" w:eastAsia="Times New Roman" w:hAnsi="Times New Roman" w:cs="Times New Roman"/>
        </w:rPr>
      </w:pPr>
    </w:p>
    <w:p w14:paraId="723250E0" w14:textId="285D4958" w:rsidR="00454777" w:rsidRPr="00855EA9" w:rsidRDefault="00454777" w:rsidP="00454777">
      <w:pPr>
        <w:spacing w:after="120"/>
        <w:rPr>
          <w:rFonts w:ascii="Times New Roman" w:eastAsia="Times New Roman" w:hAnsi="Times New Roman" w:cs="Times New Roman"/>
        </w:rPr>
      </w:pPr>
      <w:r w:rsidRPr="00855EA9">
        <w:rPr>
          <w:rFonts w:ascii="Copperplate Gothic Light" w:eastAsia="Times New Roman" w:hAnsi="Copperplate Gothic Light" w:cs="Times New Roman"/>
          <w:b/>
          <w:sz w:val="24"/>
        </w:rPr>
        <w:t xml:space="preserve">Exhibit </w:t>
      </w:r>
      <w:r w:rsidR="00A66A85">
        <w:rPr>
          <w:rFonts w:ascii="Copperplate Gothic Light" w:eastAsia="Times New Roman" w:hAnsi="Copperplate Gothic Light" w:cs="Times New Roman"/>
          <w:b/>
          <w:sz w:val="24"/>
        </w:rPr>
        <w:t>2</w:t>
      </w:r>
      <w:r w:rsidRPr="00855EA9">
        <w:rPr>
          <w:rFonts w:ascii="Copperplate Gothic Light" w:eastAsia="Times New Roman" w:hAnsi="Copperplate Gothic Light" w:cs="Times New Roman"/>
          <w:b/>
          <w:sz w:val="24"/>
        </w:rPr>
        <w:t>: Distribution of School Districts</w:t>
      </w:r>
      <w:r w:rsidR="00040A2F">
        <w:rPr>
          <w:rFonts w:ascii="Copperplate Gothic Light" w:eastAsia="Times New Roman" w:hAnsi="Copperplate Gothic Light" w:cs="Times New Roman"/>
          <w:b/>
          <w:sz w:val="24"/>
        </w:rPr>
        <w:t xml:space="preserve"> by </w:t>
      </w:r>
      <w:r w:rsidR="00040A2F" w:rsidRPr="008C1C89">
        <w:rPr>
          <w:rFonts w:ascii="Copperplate Gothic Light" w:eastAsia="Times New Roman" w:hAnsi="Copperplate Gothic Light" w:cs="Times New Roman"/>
          <w:b/>
          <w:sz w:val="24"/>
          <w:u w:val="single"/>
        </w:rPr>
        <w:t>Size</w:t>
      </w:r>
      <w:r w:rsidR="00040A2F">
        <w:rPr>
          <w:rFonts w:ascii="Copperplate Gothic Light" w:eastAsia="Times New Roman" w:hAnsi="Copperplate Gothic Light" w:cs="Times New Roman"/>
          <w:b/>
          <w:sz w:val="24"/>
        </w:rPr>
        <w:t>,</w:t>
      </w:r>
      <w:r w:rsidRPr="00855EA9">
        <w:rPr>
          <w:rFonts w:ascii="Copperplate Gothic Light" w:eastAsia="Times New Roman" w:hAnsi="Copperplate Gothic Light" w:cs="Times New Roman"/>
          <w:b/>
          <w:sz w:val="24"/>
        </w:rPr>
        <w:t xml:space="preserve"> 2018-19</w:t>
      </w:r>
    </w:p>
    <w:p w14:paraId="0F5592AB" w14:textId="6F736CE1" w:rsidR="00454777" w:rsidRPr="00855EA9" w:rsidRDefault="00BF0456" w:rsidP="00454777">
      <w:pPr>
        <w:spacing w:after="120"/>
        <w:rPr>
          <w:rFonts w:ascii="Times New Roman" w:eastAsia="Times New Roman" w:hAnsi="Times New Roman" w:cs="Times New Roman"/>
        </w:rPr>
      </w:pPr>
      <w:r w:rsidRPr="00BF0456">
        <w:rPr>
          <w:noProof/>
        </w:rPr>
        <w:drawing>
          <wp:inline distT="0" distB="0" distL="0" distR="0" wp14:anchorId="281AF94F" wp14:editId="6765F210">
            <wp:extent cx="5541832" cy="1962150"/>
            <wp:effectExtent l="0" t="0" r="1905" b="0"/>
            <wp:docPr id="5" name="Picture 5" descr="This table shows the number of school districts, the number of students, and the average operating expenditures per student for the districts in 6 size categories, ranging from Very Small (less than 250 students) to Very Large (30,000 or more students)." title="Exhibit 2: Distribution of School Districts by Siz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2227" cy="1965831"/>
                    </a:xfrm>
                    <a:prstGeom prst="rect">
                      <a:avLst/>
                    </a:prstGeom>
                    <a:noFill/>
                    <a:ln>
                      <a:noFill/>
                    </a:ln>
                  </pic:spPr>
                </pic:pic>
              </a:graphicData>
            </a:graphic>
          </wp:inline>
        </w:drawing>
      </w:r>
    </w:p>
    <w:p w14:paraId="60E8762C" w14:textId="77777777" w:rsidR="00454777" w:rsidRPr="00855EA9" w:rsidRDefault="00454777" w:rsidP="00454777">
      <w:pPr>
        <w:spacing w:after="120"/>
        <w:rPr>
          <w:rFonts w:ascii="Times New Roman" w:eastAsia="Times New Roman" w:hAnsi="Times New Roman" w:cs="Times New Roman"/>
        </w:rPr>
      </w:pPr>
    </w:p>
    <w:p w14:paraId="088E1553" w14:textId="77777777" w:rsidR="001C5B62" w:rsidRDefault="001C5B62" w:rsidP="002B5C29">
      <w:pPr>
        <w:spacing w:after="120" w:line="276" w:lineRule="auto"/>
        <w:rPr>
          <w:rFonts w:ascii="Times New Roman" w:eastAsia="Times New Roman" w:hAnsi="Times New Roman" w:cs="Times New Roman"/>
        </w:rPr>
      </w:pPr>
    </w:p>
    <w:p w14:paraId="78E98ABD" w14:textId="77777777" w:rsidR="001C5B62" w:rsidRDefault="001C5B62" w:rsidP="002B5C29">
      <w:pPr>
        <w:spacing w:after="120" w:line="276" w:lineRule="auto"/>
        <w:rPr>
          <w:rFonts w:ascii="Times New Roman" w:eastAsia="Times New Roman" w:hAnsi="Times New Roman" w:cs="Times New Roman"/>
        </w:rPr>
      </w:pPr>
    </w:p>
    <w:p w14:paraId="510A5DD6" w14:textId="536FCA74" w:rsidR="00454777" w:rsidRDefault="00454777" w:rsidP="002B5C29">
      <w:pPr>
        <w:spacing w:after="120" w:line="276" w:lineRule="auto"/>
        <w:rPr>
          <w:rFonts w:ascii="Times New Roman" w:eastAsia="Times New Roman" w:hAnsi="Times New Roman" w:cs="Times New Roman"/>
        </w:rPr>
      </w:pPr>
      <w:r w:rsidRPr="00AA589F">
        <w:rPr>
          <w:rFonts w:ascii="Times New Roman" w:eastAsia="Times New Roman" w:hAnsi="Times New Roman" w:cs="Times New Roman"/>
        </w:rPr>
        <w:t>Exhibit 3 shows the distribution of spending across spending categories broken down by the district size categories described above</w:t>
      </w:r>
      <w:r w:rsidR="001C5B62">
        <w:rPr>
          <w:rFonts w:ascii="Times New Roman" w:eastAsia="Times New Roman" w:hAnsi="Times New Roman" w:cs="Times New Roman"/>
        </w:rPr>
        <w:t xml:space="preserve">. </w:t>
      </w:r>
    </w:p>
    <w:p w14:paraId="2D48CC37" w14:textId="77777777" w:rsidR="001C5B62" w:rsidRDefault="001C5B62" w:rsidP="002B5C29">
      <w:pPr>
        <w:spacing w:after="120" w:line="276" w:lineRule="auto"/>
        <w:rPr>
          <w:rFonts w:ascii="Times New Roman" w:eastAsia="Times New Roman" w:hAnsi="Times New Roman" w:cs="Times New Roman"/>
        </w:rPr>
      </w:pPr>
    </w:p>
    <w:p w14:paraId="10F32037" w14:textId="1C337000" w:rsidR="001C5B62" w:rsidRPr="00855EA9" w:rsidRDefault="001C5B62" w:rsidP="001C5B62">
      <w:pPr>
        <w:keepNext/>
        <w:spacing w:after="120"/>
        <w:rPr>
          <w:rFonts w:ascii="Times New Roman" w:eastAsia="Times New Roman" w:hAnsi="Times New Roman" w:cs="Times New Roman"/>
        </w:rPr>
      </w:pPr>
      <w:r w:rsidRPr="00855EA9">
        <w:rPr>
          <w:rFonts w:ascii="Copperplate Gothic Light" w:eastAsia="Times New Roman" w:hAnsi="Copperplate Gothic Light" w:cs="Times New Roman"/>
          <w:b/>
          <w:sz w:val="24"/>
        </w:rPr>
        <w:t xml:space="preserve">Exhibit 3: Share of Operating Expenditures by District </w:t>
      </w:r>
      <w:r w:rsidRPr="00CF1066">
        <w:rPr>
          <w:rFonts w:ascii="Copperplate Gothic Light" w:eastAsia="Times New Roman" w:hAnsi="Copperplate Gothic Light" w:cs="Times New Roman"/>
          <w:b/>
          <w:sz w:val="24"/>
          <w:u w:val="single"/>
        </w:rPr>
        <w:t>Size</w:t>
      </w:r>
      <w:r w:rsidR="003E4962">
        <w:rPr>
          <w:rFonts w:ascii="Copperplate Gothic Light" w:eastAsia="Times New Roman" w:hAnsi="Copperplate Gothic Light" w:cs="Times New Roman"/>
          <w:b/>
          <w:sz w:val="24"/>
          <w:u w:val="single"/>
        </w:rPr>
        <w:t>,</w:t>
      </w:r>
      <w:r w:rsidRPr="00855EA9">
        <w:rPr>
          <w:rFonts w:ascii="Copperplate Gothic Light" w:eastAsia="Times New Roman" w:hAnsi="Copperplate Gothic Light" w:cs="Times New Roman"/>
          <w:b/>
          <w:sz w:val="24"/>
        </w:rPr>
        <w:t xml:space="preserve"> 2018-19</w:t>
      </w:r>
    </w:p>
    <w:p w14:paraId="097D7CEB" w14:textId="4F8DC84F" w:rsidR="001C5B62" w:rsidRDefault="001C5B62" w:rsidP="002B5C29">
      <w:pPr>
        <w:spacing w:after="120" w:line="276"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D4A6D86" wp14:editId="68457762">
            <wp:extent cx="5943600" cy="3996833"/>
            <wp:effectExtent l="0" t="0" r="0" b="3810"/>
            <wp:docPr id="7" name="Picture 7" descr="This bar graph shows the share of operating expenditures in eleven expenditure categories for districts in the six size categoiries described in Exhibit 2." title="Exhibit 3: Share of Operating Expenditures by District Siz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96833"/>
                    </a:xfrm>
                    <a:prstGeom prst="rect">
                      <a:avLst/>
                    </a:prstGeom>
                    <a:noFill/>
                  </pic:spPr>
                </pic:pic>
              </a:graphicData>
            </a:graphic>
          </wp:inline>
        </w:drawing>
      </w:r>
    </w:p>
    <w:p w14:paraId="370FD5BA" w14:textId="5707E6B2" w:rsidR="001C5B62" w:rsidRDefault="001C5B62" w:rsidP="002B5C29">
      <w:pPr>
        <w:spacing w:after="120" w:line="276" w:lineRule="auto"/>
        <w:rPr>
          <w:rFonts w:ascii="Times New Roman" w:eastAsia="Times New Roman" w:hAnsi="Times New Roman" w:cs="Times New Roman"/>
        </w:rPr>
      </w:pPr>
    </w:p>
    <w:p w14:paraId="652A0EBB" w14:textId="0E440975" w:rsidR="001C5B62" w:rsidRPr="00AA589F" w:rsidRDefault="001C5B62" w:rsidP="002B5C29">
      <w:pPr>
        <w:spacing w:after="120" w:line="276" w:lineRule="auto"/>
        <w:rPr>
          <w:rFonts w:ascii="Times New Roman" w:eastAsia="Times New Roman" w:hAnsi="Times New Roman" w:cs="Times New Roman"/>
        </w:rPr>
      </w:pPr>
      <w:r>
        <w:rPr>
          <w:rFonts w:ascii="Times New Roman" w:eastAsia="Times New Roman" w:hAnsi="Times New Roman" w:cs="Times New Roman"/>
        </w:rPr>
        <w:t>S</w:t>
      </w:r>
      <w:r w:rsidRPr="00AA589F">
        <w:rPr>
          <w:rFonts w:ascii="Times New Roman" w:eastAsia="Times New Roman" w:hAnsi="Times New Roman" w:cs="Times New Roman"/>
        </w:rPr>
        <w:t>ome key relationships jump out:</w:t>
      </w:r>
    </w:p>
    <w:p w14:paraId="3D021E0F" w14:textId="27CD64DD" w:rsidR="00E0309E" w:rsidRPr="00AC463A" w:rsidRDefault="00454777" w:rsidP="00E0309E">
      <w:pPr>
        <w:pStyle w:val="ListParagraph"/>
        <w:numPr>
          <w:ilvl w:val="0"/>
          <w:numId w:val="1"/>
        </w:numPr>
        <w:spacing w:after="120"/>
        <w:contextualSpacing w:val="0"/>
        <w:rPr>
          <w:rFonts w:ascii="Times New Roman" w:eastAsia="Times New Roman" w:hAnsi="Times New Roman" w:cs="Times New Roman"/>
        </w:rPr>
      </w:pPr>
      <w:r w:rsidRPr="00AA589F">
        <w:rPr>
          <w:rFonts w:ascii="Times New Roman" w:eastAsia="Times New Roman" w:hAnsi="Times New Roman" w:cs="Times New Roman"/>
        </w:rPr>
        <w:t>Instruction is by far the largest spending category</w:t>
      </w:r>
      <w:r w:rsidRPr="002B5C29">
        <w:rPr>
          <w:rFonts w:ascii="Times New Roman" w:eastAsia="Times New Roman" w:hAnsi="Times New Roman" w:cs="Times New Roman"/>
        </w:rPr>
        <w:t>.</w:t>
      </w:r>
      <w:r w:rsidR="00945316" w:rsidRPr="002B5C29">
        <w:rPr>
          <w:rFonts w:ascii="Times New Roman" w:eastAsia="Times New Roman" w:hAnsi="Times New Roman" w:cs="Times New Roman"/>
        </w:rPr>
        <w:t xml:space="preserve"> The smallest district</w:t>
      </w:r>
      <w:r w:rsidR="00C11A91">
        <w:rPr>
          <w:rFonts w:ascii="Times New Roman" w:eastAsia="Times New Roman" w:hAnsi="Times New Roman" w:cs="Times New Roman"/>
        </w:rPr>
        <w:t>s</w:t>
      </w:r>
      <w:r w:rsidR="00945316" w:rsidRPr="002B5C29">
        <w:rPr>
          <w:rFonts w:ascii="Times New Roman" w:eastAsia="Times New Roman" w:hAnsi="Times New Roman" w:cs="Times New Roman"/>
        </w:rPr>
        <w:t xml:space="preserve"> spend the lowest share on instruction, but these districts also have considerably hig</w:t>
      </w:r>
      <w:r w:rsidR="00F53F1A">
        <w:rPr>
          <w:rFonts w:ascii="Times New Roman" w:eastAsia="Times New Roman" w:hAnsi="Times New Roman" w:cs="Times New Roman"/>
        </w:rPr>
        <w:t>her</w:t>
      </w:r>
      <w:r w:rsidR="00945316" w:rsidRPr="002B5C29">
        <w:rPr>
          <w:rFonts w:ascii="Times New Roman" w:eastAsia="Times New Roman" w:hAnsi="Times New Roman" w:cs="Times New Roman"/>
        </w:rPr>
        <w:t xml:space="preserve"> </w:t>
      </w:r>
      <w:r w:rsidR="00F53F1A">
        <w:rPr>
          <w:rFonts w:ascii="Times New Roman" w:eastAsia="Times New Roman" w:hAnsi="Times New Roman" w:cs="Times New Roman"/>
        </w:rPr>
        <w:t>funding</w:t>
      </w:r>
      <w:r w:rsidR="00945316" w:rsidRPr="002B5C29">
        <w:rPr>
          <w:rFonts w:ascii="Times New Roman" w:eastAsia="Times New Roman" w:hAnsi="Times New Roman" w:cs="Times New Roman"/>
        </w:rPr>
        <w:t xml:space="preserve"> per student (Exhibit 2) because of the added funding they receive from the Small School Correction.</w:t>
      </w:r>
      <w:r w:rsidR="00945316" w:rsidRPr="002B5C29">
        <w:rPr>
          <w:rStyle w:val="FootnoteReference"/>
          <w:rFonts w:ascii="Times New Roman" w:eastAsia="Times New Roman" w:hAnsi="Times New Roman" w:cs="Times New Roman"/>
        </w:rPr>
        <w:footnoteReference w:id="2"/>
      </w:r>
      <w:r w:rsidR="00C11A91">
        <w:rPr>
          <w:rFonts w:ascii="Times New Roman" w:eastAsia="Times New Roman" w:hAnsi="Times New Roman" w:cs="Times New Roman"/>
        </w:rPr>
        <w:t xml:space="preserve"> </w:t>
      </w:r>
      <w:r w:rsidR="00DE2426">
        <w:rPr>
          <w:rFonts w:ascii="Times New Roman" w:eastAsia="Times New Roman" w:hAnsi="Times New Roman" w:cs="Times New Roman"/>
        </w:rPr>
        <w:t xml:space="preserve">Although the smallest districts spend the </w:t>
      </w:r>
      <w:r w:rsidR="00DE2426" w:rsidRPr="0051133B">
        <w:rPr>
          <w:rFonts w:ascii="Times New Roman" w:eastAsia="Times New Roman" w:hAnsi="Times New Roman" w:cs="Times New Roman"/>
          <w:u w:val="single"/>
        </w:rPr>
        <w:t>smallest share</w:t>
      </w:r>
      <w:r w:rsidR="00DE2426">
        <w:rPr>
          <w:rFonts w:ascii="Times New Roman" w:eastAsia="Times New Roman" w:hAnsi="Times New Roman" w:cs="Times New Roman"/>
        </w:rPr>
        <w:t xml:space="preserve"> on Instruction</w:t>
      </w:r>
      <w:r w:rsidR="00621807">
        <w:rPr>
          <w:rFonts w:ascii="Times New Roman" w:eastAsia="Times New Roman" w:hAnsi="Times New Roman" w:cs="Times New Roman"/>
        </w:rPr>
        <w:t>, they</w:t>
      </w:r>
      <w:r w:rsidR="00DE2426">
        <w:rPr>
          <w:rFonts w:ascii="Times New Roman" w:eastAsia="Times New Roman" w:hAnsi="Times New Roman" w:cs="Times New Roman"/>
        </w:rPr>
        <w:t xml:space="preserve"> spend the </w:t>
      </w:r>
      <w:r w:rsidR="00DE2426" w:rsidRPr="0051133B">
        <w:rPr>
          <w:rFonts w:ascii="Times New Roman" w:eastAsia="Times New Roman" w:hAnsi="Times New Roman" w:cs="Times New Roman"/>
          <w:u w:val="single"/>
        </w:rPr>
        <w:t>largest dollar amount per student</w:t>
      </w:r>
      <w:r w:rsidR="00DE2426">
        <w:rPr>
          <w:rFonts w:ascii="Times New Roman" w:eastAsia="Times New Roman" w:hAnsi="Times New Roman" w:cs="Times New Roman"/>
        </w:rPr>
        <w:t>.</w:t>
      </w:r>
    </w:p>
    <w:p w14:paraId="4EB85A18" w14:textId="1120A9B4" w:rsidR="00454777" w:rsidRPr="002B5C29" w:rsidRDefault="00933F6E" w:rsidP="002B5C29">
      <w:pPr>
        <w:pStyle w:val="ListParagraph"/>
        <w:numPr>
          <w:ilvl w:val="0"/>
          <w:numId w:val="1"/>
        </w:numPr>
        <w:spacing w:after="120"/>
        <w:contextualSpacing w:val="0"/>
        <w:rPr>
          <w:rFonts w:ascii="Times New Roman" w:eastAsia="Times New Roman" w:hAnsi="Times New Roman" w:cs="Times New Roman"/>
        </w:rPr>
      </w:pPr>
      <w:r w:rsidRPr="002B5C29">
        <w:rPr>
          <w:rFonts w:ascii="Times New Roman" w:eastAsia="Times New Roman" w:hAnsi="Times New Roman" w:cs="Times New Roman"/>
        </w:rPr>
        <w:t>In some spending categories, the share spent</w:t>
      </w:r>
      <w:r w:rsidR="00454777" w:rsidRPr="00AA589F">
        <w:rPr>
          <w:rFonts w:ascii="Times New Roman" w:eastAsia="Times New Roman" w:hAnsi="Times New Roman" w:cs="Times New Roman"/>
        </w:rPr>
        <w:t xml:space="preserve"> </w:t>
      </w:r>
      <w:r w:rsidR="00454777" w:rsidRPr="002B5C29">
        <w:rPr>
          <w:rFonts w:ascii="Times New Roman" w:eastAsia="Times New Roman" w:hAnsi="Times New Roman" w:cs="Times New Roman"/>
          <w:u w:val="single"/>
        </w:rPr>
        <w:t>falls</w:t>
      </w:r>
      <w:r w:rsidR="00454777" w:rsidRPr="002B5C29">
        <w:rPr>
          <w:rFonts w:ascii="Times New Roman" w:eastAsia="Times New Roman" w:hAnsi="Times New Roman" w:cs="Times New Roman"/>
        </w:rPr>
        <w:t xml:space="preserve"> as districts get larger, suggesting that in those categories there are economies of scale—certain activities can be performed </w:t>
      </w:r>
      <w:r w:rsidR="00A74A89">
        <w:rPr>
          <w:rFonts w:ascii="Times New Roman" w:eastAsia="Times New Roman" w:hAnsi="Times New Roman" w:cs="Times New Roman"/>
        </w:rPr>
        <w:t>at a lower cost</w:t>
      </w:r>
      <w:r w:rsidR="00454777" w:rsidRPr="002B5C29">
        <w:rPr>
          <w:rFonts w:ascii="Times New Roman" w:eastAsia="Times New Roman" w:hAnsi="Times New Roman" w:cs="Times New Roman"/>
        </w:rPr>
        <w:t xml:space="preserve"> as district size get</w:t>
      </w:r>
      <w:r w:rsidR="000E291C">
        <w:rPr>
          <w:rFonts w:ascii="Times New Roman" w:eastAsia="Times New Roman" w:hAnsi="Times New Roman" w:cs="Times New Roman"/>
        </w:rPr>
        <w:t>s</w:t>
      </w:r>
      <w:r w:rsidR="00454777" w:rsidRPr="002B5C29">
        <w:rPr>
          <w:rFonts w:ascii="Times New Roman" w:eastAsia="Times New Roman" w:hAnsi="Times New Roman" w:cs="Times New Roman"/>
        </w:rPr>
        <w:t xml:space="preserve"> bigger. The categories that stand out are </w:t>
      </w:r>
      <w:r w:rsidRPr="002B5C29">
        <w:rPr>
          <w:rFonts w:ascii="Times New Roman" w:eastAsia="Times New Roman" w:hAnsi="Times New Roman" w:cs="Times New Roman"/>
        </w:rPr>
        <w:t xml:space="preserve">District Administration, Business Services, </w:t>
      </w:r>
      <w:r w:rsidR="00454777" w:rsidRPr="00AA589F">
        <w:rPr>
          <w:rFonts w:ascii="Times New Roman" w:eastAsia="Times New Roman" w:hAnsi="Times New Roman" w:cs="Times New Roman"/>
        </w:rPr>
        <w:t>Operations</w:t>
      </w:r>
      <w:r w:rsidRPr="00AA589F">
        <w:rPr>
          <w:rFonts w:ascii="Times New Roman" w:eastAsia="Times New Roman" w:hAnsi="Times New Roman" w:cs="Times New Roman"/>
        </w:rPr>
        <w:t xml:space="preserve"> &amp;</w:t>
      </w:r>
      <w:r w:rsidR="00454777" w:rsidRPr="00AA589F">
        <w:rPr>
          <w:rFonts w:ascii="Times New Roman" w:eastAsia="Times New Roman" w:hAnsi="Times New Roman" w:cs="Times New Roman"/>
        </w:rPr>
        <w:t xml:space="preserve"> Maintenance, </w:t>
      </w:r>
      <w:r w:rsidRPr="002B5C29">
        <w:rPr>
          <w:rFonts w:ascii="Times New Roman" w:eastAsia="Times New Roman" w:hAnsi="Times New Roman" w:cs="Times New Roman"/>
        </w:rPr>
        <w:t xml:space="preserve">and </w:t>
      </w:r>
      <w:r w:rsidR="00454777" w:rsidRPr="00AA589F">
        <w:rPr>
          <w:rFonts w:ascii="Times New Roman" w:eastAsia="Times New Roman" w:hAnsi="Times New Roman" w:cs="Times New Roman"/>
        </w:rPr>
        <w:t>Transportation</w:t>
      </w:r>
      <w:r w:rsidRPr="002B5C29">
        <w:rPr>
          <w:rFonts w:ascii="Times New Roman" w:eastAsia="Times New Roman" w:hAnsi="Times New Roman" w:cs="Times New Roman"/>
        </w:rPr>
        <w:t>.</w:t>
      </w:r>
      <w:r w:rsidR="00440525" w:rsidRPr="002B5C29">
        <w:rPr>
          <w:rFonts w:ascii="Times New Roman" w:eastAsia="Times New Roman" w:hAnsi="Times New Roman" w:cs="Times New Roman"/>
        </w:rPr>
        <w:t xml:space="preserve"> </w:t>
      </w:r>
      <w:r w:rsidRPr="00AA589F">
        <w:rPr>
          <w:rFonts w:ascii="Times New Roman" w:eastAsia="Times New Roman" w:hAnsi="Times New Roman" w:cs="Times New Roman"/>
        </w:rPr>
        <w:t xml:space="preserve">For Operations &amp; Maintenance </w:t>
      </w:r>
      <w:r w:rsidRPr="002B5C29">
        <w:rPr>
          <w:rFonts w:ascii="Times New Roman" w:eastAsia="Times New Roman" w:hAnsi="Times New Roman" w:cs="Times New Roman"/>
        </w:rPr>
        <w:t>and Transportation the economies of scale appear to be present over the entire range of district sizes. In contrast, for District Administration and Business services the economies of scale are substantially diminished for districts larger than the Medium size category.</w:t>
      </w:r>
    </w:p>
    <w:p w14:paraId="116538A4" w14:textId="6725AB65" w:rsidR="00454777" w:rsidRDefault="00454777" w:rsidP="002B5C29">
      <w:pPr>
        <w:pStyle w:val="ListParagraph"/>
        <w:numPr>
          <w:ilvl w:val="0"/>
          <w:numId w:val="1"/>
        </w:numPr>
        <w:spacing w:after="120"/>
        <w:contextualSpacing w:val="0"/>
        <w:rPr>
          <w:rFonts w:ascii="Times New Roman" w:eastAsia="Times New Roman" w:hAnsi="Times New Roman" w:cs="Times New Roman"/>
        </w:rPr>
      </w:pPr>
      <w:r w:rsidRPr="002B5C29">
        <w:rPr>
          <w:rFonts w:ascii="Times New Roman" w:eastAsia="Times New Roman" w:hAnsi="Times New Roman" w:cs="Times New Roman"/>
        </w:rPr>
        <w:lastRenderedPageBreak/>
        <w:t xml:space="preserve">For </w:t>
      </w:r>
      <w:r w:rsidR="00AA589F">
        <w:rPr>
          <w:rFonts w:ascii="Times New Roman" w:eastAsia="Times New Roman" w:hAnsi="Times New Roman" w:cs="Times New Roman"/>
        </w:rPr>
        <w:t>two</w:t>
      </w:r>
      <w:r w:rsidRPr="00AA589F">
        <w:rPr>
          <w:rFonts w:ascii="Times New Roman" w:eastAsia="Times New Roman" w:hAnsi="Times New Roman" w:cs="Times New Roman"/>
        </w:rPr>
        <w:t xml:space="preserve"> spending categories</w:t>
      </w:r>
      <w:r w:rsidR="00AA589F">
        <w:rPr>
          <w:rFonts w:ascii="Times New Roman" w:eastAsia="Times New Roman" w:hAnsi="Times New Roman" w:cs="Times New Roman"/>
        </w:rPr>
        <w:t>—St</w:t>
      </w:r>
      <w:r w:rsidRPr="00AA589F">
        <w:rPr>
          <w:rFonts w:ascii="Times New Roman" w:eastAsia="Times New Roman" w:hAnsi="Times New Roman" w:cs="Times New Roman"/>
        </w:rPr>
        <w:t>udent Support and Instructional Staff Su</w:t>
      </w:r>
      <w:r w:rsidRPr="002B5C29">
        <w:rPr>
          <w:rFonts w:ascii="Times New Roman" w:eastAsia="Times New Roman" w:hAnsi="Times New Roman" w:cs="Times New Roman"/>
        </w:rPr>
        <w:t>pport</w:t>
      </w:r>
      <w:r w:rsidR="00AA589F">
        <w:rPr>
          <w:rFonts w:ascii="Times New Roman" w:eastAsia="Times New Roman" w:hAnsi="Times New Roman" w:cs="Times New Roman"/>
        </w:rPr>
        <w:t xml:space="preserve">—the </w:t>
      </w:r>
      <w:r w:rsidRPr="00AA589F">
        <w:rPr>
          <w:rFonts w:ascii="Times New Roman" w:eastAsia="Times New Roman" w:hAnsi="Times New Roman" w:cs="Times New Roman"/>
        </w:rPr>
        <w:t>share rises as districts get larger.</w:t>
      </w:r>
      <w:r w:rsidR="00AA589F">
        <w:rPr>
          <w:rFonts w:ascii="Times New Roman" w:eastAsia="Times New Roman" w:hAnsi="Times New Roman" w:cs="Times New Roman"/>
        </w:rPr>
        <w:t xml:space="preserve"> </w:t>
      </w:r>
    </w:p>
    <w:p w14:paraId="733AB0F5" w14:textId="2A43B9DB" w:rsidR="00454777" w:rsidRDefault="00AA589F" w:rsidP="00E0309E">
      <w:pPr>
        <w:pStyle w:val="ListParagraph"/>
        <w:numPr>
          <w:ilvl w:val="0"/>
          <w:numId w:val="1"/>
        </w:numPr>
        <w:spacing w:after="120"/>
        <w:contextualSpacing w:val="0"/>
        <w:rPr>
          <w:rFonts w:ascii="Times New Roman" w:eastAsia="Times New Roman" w:hAnsi="Times New Roman" w:cs="Times New Roman"/>
        </w:rPr>
      </w:pPr>
      <w:r w:rsidRPr="00AA589F">
        <w:rPr>
          <w:rFonts w:ascii="Times New Roman" w:eastAsia="Times New Roman" w:hAnsi="Times New Roman" w:cs="Times New Roman"/>
        </w:rPr>
        <w:t>For the remaining spending categories, district size does not appear to have much impact</w:t>
      </w:r>
      <w:r w:rsidRPr="002B5C29">
        <w:rPr>
          <w:rFonts w:ascii="Times New Roman" w:eastAsia="Times New Roman" w:hAnsi="Times New Roman" w:cs="Times New Roman"/>
        </w:rPr>
        <w:t xml:space="preserve"> on </w:t>
      </w:r>
      <w:r>
        <w:rPr>
          <w:rFonts w:ascii="Times New Roman" w:eastAsia="Times New Roman" w:hAnsi="Times New Roman" w:cs="Times New Roman"/>
        </w:rPr>
        <w:t>the share of total s</w:t>
      </w:r>
      <w:r w:rsidR="00BB1A70">
        <w:rPr>
          <w:rFonts w:ascii="Times New Roman" w:eastAsia="Times New Roman" w:hAnsi="Times New Roman" w:cs="Times New Roman"/>
        </w:rPr>
        <w:t>pending devoted to that category</w:t>
      </w:r>
      <w:r>
        <w:rPr>
          <w:rFonts w:ascii="Times New Roman" w:eastAsia="Times New Roman" w:hAnsi="Times New Roman" w:cs="Times New Roman"/>
        </w:rPr>
        <w:t>.</w:t>
      </w:r>
    </w:p>
    <w:p w14:paraId="033DBEFC" w14:textId="77777777" w:rsidR="001C5B62" w:rsidRPr="00AA589F" w:rsidRDefault="001C5B62" w:rsidP="00AC463A">
      <w:pPr>
        <w:pStyle w:val="ListParagraph"/>
        <w:spacing w:after="120"/>
        <w:contextualSpacing w:val="0"/>
        <w:rPr>
          <w:rFonts w:ascii="Times New Roman" w:eastAsia="Times New Roman" w:hAnsi="Times New Roman" w:cs="Times New Roman"/>
        </w:rPr>
      </w:pPr>
    </w:p>
    <w:p w14:paraId="65017197" w14:textId="5CF97775" w:rsidR="00E0309E" w:rsidRDefault="001C5B62" w:rsidP="00AC463A">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Exhibit 4 </w:t>
      </w:r>
      <w:r w:rsidR="00E0309E">
        <w:rPr>
          <w:rFonts w:ascii="Times New Roman" w:eastAsia="Times New Roman" w:hAnsi="Times New Roman" w:cs="Times New Roman"/>
        </w:rPr>
        <w:t>shows the number of school districts and students</w:t>
      </w:r>
      <w:r w:rsidR="00E0309E" w:rsidRPr="00E0309E">
        <w:rPr>
          <w:rFonts w:ascii="Times New Roman" w:eastAsia="Times New Roman" w:hAnsi="Times New Roman" w:cs="Times New Roman"/>
        </w:rPr>
        <w:t xml:space="preserve"> </w:t>
      </w:r>
      <w:r w:rsidR="00E0309E">
        <w:rPr>
          <w:rFonts w:ascii="Times New Roman" w:eastAsia="Times New Roman" w:hAnsi="Times New Roman" w:cs="Times New Roman"/>
        </w:rPr>
        <w:t>across geographic categories known as “locales</w:t>
      </w:r>
      <w:r w:rsidR="003A1374">
        <w:rPr>
          <w:rFonts w:ascii="Times New Roman" w:eastAsia="Times New Roman" w:hAnsi="Times New Roman" w:cs="Times New Roman"/>
        </w:rPr>
        <w:t>,</w:t>
      </w:r>
      <w:r w:rsidR="00E0309E">
        <w:rPr>
          <w:rFonts w:ascii="Times New Roman" w:eastAsia="Times New Roman" w:hAnsi="Times New Roman" w:cs="Times New Roman"/>
        </w:rPr>
        <w:t>” which are designed to capture the distinctions between urban and rural areas. In the exhibit we display data for the four major locales defined by the National Center for Education Statistics (NCES).</w:t>
      </w:r>
      <w:r w:rsidR="00E0309E">
        <w:rPr>
          <w:rStyle w:val="FootnoteReference"/>
          <w:rFonts w:ascii="Times New Roman" w:eastAsia="Times New Roman" w:hAnsi="Times New Roman" w:cs="Times New Roman"/>
        </w:rPr>
        <w:footnoteReference w:id="3"/>
      </w:r>
      <w:r w:rsidR="00B71860">
        <w:rPr>
          <w:rFonts w:ascii="Times New Roman" w:eastAsia="Times New Roman" w:hAnsi="Times New Roman" w:cs="Times New Roman"/>
        </w:rPr>
        <w:t xml:space="preserve"> The exhibit shows that more half of Oregon’s 197 school districts are in </w:t>
      </w:r>
      <w:proofErr w:type="gramStart"/>
      <w:r w:rsidR="00EE6FDB">
        <w:rPr>
          <w:rFonts w:ascii="Times New Roman" w:eastAsia="Times New Roman" w:hAnsi="Times New Roman" w:cs="Times New Roman"/>
        </w:rPr>
        <w:t>Rural</w:t>
      </w:r>
      <w:proofErr w:type="gramEnd"/>
      <w:r w:rsidR="00EE6FDB">
        <w:rPr>
          <w:rFonts w:ascii="Times New Roman" w:eastAsia="Times New Roman" w:hAnsi="Times New Roman" w:cs="Times New Roman"/>
        </w:rPr>
        <w:t xml:space="preserve"> </w:t>
      </w:r>
      <w:r w:rsidR="00B71860">
        <w:rPr>
          <w:rFonts w:ascii="Times New Roman" w:eastAsia="Times New Roman" w:hAnsi="Times New Roman" w:cs="Times New Roman"/>
        </w:rPr>
        <w:t xml:space="preserve">areas, but those districts serve less than 10% of all K-12 students. In contrast, </w:t>
      </w:r>
      <w:r w:rsidR="0056578A">
        <w:rPr>
          <w:rFonts w:ascii="Times New Roman" w:eastAsia="Times New Roman" w:hAnsi="Times New Roman" w:cs="Times New Roman"/>
        </w:rPr>
        <w:t>the 13 districts in the City category (6.6% of all districts) serve more than 40% of all students.</w:t>
      </w:r>
    </w:p>
    <w:p w14:paraId="4871E196" w14:textId="77777777" w:rsidR="00E0309E" w:rsidRDefault="00E0309E" w:rsidP="00AC463A">
      <w:pPr>
        <w:spacing w:after="120" w:line="276" w:lineRule="auto"/>
        <w:rPr>
          <w:rFonts w:ascii="Times New Roman" w:eastAsia="Times New Roman" w:hAnsi="Times New Roman" w:cs="Times New Roman"/>
        </w:rPr>
      </w:pPr>
    </w:p>
    <w:p w14:paraId="62D08FCB" w14:textId="1F0E0A01" w:rsidR="00E0309E" w:rsidRPr="00855EA9" w:rsidRDefault="00E0309E" w:rsidP="00E0309E">
      <w:pPr>
        <w:spacing w:after="120"/>
        <w:rPr>
          <w:rFonts w:ascii="Times New Roman" w:eastAsia="Times New Roman" w:hAnsi="Times New Roman" w:cs="Times New Roman"/>
        </w:rPr>
      </w:pPr>
      <w:r w:rsidRPr="00855EA9">
        <w:rPr>
          <w:rFonts w:ascii="Copperplate Gothic Light" w:eastAsia="Times New Roman" w:hAnsi="Copperplate Gothic Light" w:cs="Times New Roman"/>
          <w:b/>
          <w:sz w:val="24"/>
        </w:rPr>
        <w:t xml:space="preserve">Exhibit </w:t>
      </w:r>
      <w:r>
        <w:rPr>
          <w:rFonts w:ascii="Copperplate Gothic Light" w:eastAsia="Times New Roman" w:hAnsi="Copperplate Gothic Light" w:cs="Times New Roman"/>
          <w:b/>
          <w:sz w:val="24"/>
        </w:rPr>
        <w:t>4</w:t>
      </w:r>
      <w:r w:rsidRPr="00855EA9">
        <w:rPr>
          <w:rFonts w:ascii="Copperplate Gothic Light" w:eastAsia="Times New Roman" w:hAnsi="Copperplate Gothic Light" w:cs="Times New Roman"/>
          <w:b/>
          <w:sz w:val="24"/>
        </w:rPr>
        <w:t>: Distribution of School Districts</w:t>
      </w:r>
      <w:r>
        <w:rPr>
          <w:rFonts w:ascii="Copperplate Gothic Light" w:eastAsia="Times New Roman" w:hAnsi="Copperplate Gothic Light" w:cs="Times New Roman"/>
          <w:b/>
          <w:sz w:val="24"/>
        </w:rPr>
        <w:t xml:space="preserve"> by </w:t>
      </w:r>
      <w:r w:rsidRPr="008C1C89">
        <w:rPr>
          <w:rFonts w:ascii="Copperplate Gothic Light" w:eastAsia="Times New Roman" w:hAnsi="Copperplate Gothic Light" w:cs="Times New Roman"/>
          <w:b/>
          <w:sz w:val="24"/>
          <w:u w:val="single"/>
        </w:rPr>
        <w:t>Locale</w:t>
      </w:r>
      <w:r>
        <w:rPr>
          <w:rFonts w:ascii="Copperplate Gothic Light" w:eastAsia="Times New Roman" w:hAnsi="Copperplate Gothic Light" w:cs="Times New Roman"/>
          <w:b/>
          <w:sz w:val="24"/>
        </w:rPr>
        <w:t>,</w:t>
      </w:r>
      <w:r w:rsidRPr="00855EA9">
        <w:rPr>
          <w:rFonts w:ascii="Copperplate Gothic Light" w:eastAsia="Times New Roman" w:hAnsi="Copperplate Gothic Light" w:cs="Times New Roman"/>
          <w:b/>
          <w:sz w:val="24"/>
        </w:rPr>
        <w:t xml:space="preserve"> 2018-19</w:t>
      </w:r>
    </w:p>
    <w:p w14:paraId="7B1EC149" w14:textId="038C8903" w:rsidR="00E8756E" w:rsidRDefault="000A764A" w:rsidP="00454777">
      <w:pPr>
        <w:spacing w:after="120"/>
        <w:rPr>
          <w:rFonts w:ascii="Times New Roman" w:eastAsia="Times New Roman" w:hAnsi="Times New Roman" w:cs="Times New Roman"/>
        </w:rPr>
      </w:pPr>
      <w:r w:rsidRPr="000A764A">
        <w:rPr>
          <w:noProof/>
        </w:rPr>
        <w:drawing>
          <wp:inline distT="0" distB="0" distL="0" distR="0" wp14:anchorId="05AE9612" wp14:editId="6DF7AE08">
            <wp:extent cx="5285248" cy="1576387"/>
            <wp:effectExtent l="0" t="0" r="0" b="5080"/>
            <wp:docPr id="12" name="Picture 12" descr="This table shows the number of districts, the number of students, the share of total enrollment, and the average operating expenditures per student for districts in four geographic locale categories: Rural, Town, Suburb, and City." title="Exhibit 4: Distribution of School Districts by Local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0147" cy="1580831"/>
                    </a:xfrm>
                    <a:prstGeom prst="rect">
                      <a:avLst/>
                    </a:prstGeom>
                    <a:noFill/>
                    <a:ln>
                      <a:noFill/>
                    </a:ln>
                  </pic:spPr>
                </pic:pic>
              </a:graphicData>
            </a:graphic>
          </wp:inline>
        </w:drawing>
      </w:r>
    </w:p>
    <w:p w14:paraId="5F4E8292" w14:textId="77777777" w:rsidR="00644A28" w:rsidRDefault="00644A28" w:rsidP="00E0309E">
      <w:pPr>
        <w:keepNext/>
        <w:spacing w:after="120" w:line="276" w:lineRule="auto"/>
        <w:rPr>
          <w:rFonts w:ascii="Times New Roman" w:eastAsia="Times New Roman" w:hAnsi="Times New Roman" w:cs="Times New Roman"/>
        </w:rPr>
      </w:pPr>
    </w:p>
    <w:p w14:paraId="694DF1BA" w14:textId="2BB84396" w:rsidR="00E0309E" w:rsidRDefault="00E0309E" w:rsidP="00E0309E">
      <w:pPr>
        <w:keepNext/>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Because locales are fairly strongly correlated with district size—with smaller districts in </w:t>
      </w:r>
      <w:r w:rsidR="00EE6FDB">
        <w:rPr>
          <w:rFonts w:ascii="Times New Roman" w:eastAsia="Times New Roman" w:hAnsi="Times New Roman" w:cs="Times New Roman"/>
        </w:rPr>
        <w:t xml:space="preserve">Rural </w:t>
      </w:r>
      <w:r>
        <w:rPr>
          <w:rFonts w:ascii="Times New Roman" w:eastAsia="Times New Roman" w:hAnsi="Times New Roman" w:cs="Times New Roman"/>
        </w:rPr>
        <w:t xml:space="preserve">and </w:t>
      </w:r>
      <w:r w:rsidR="00EE6FDB">
        <w:rPr>
          <w:rFonts w:ascii="Times New Roman" w:eastAsia="Times New Roman" w:hAnsi="Times New Roman" w:cs="Times New Roman"/>
        </w:rPr>
        <w:t xml:space="preserve">Town </w:t>
      </w:r>
      <w:r>
        <w:rPr>
          <w:rFonts w:ascii="Times New Roman" w:eastAsia="Times New Roman" w:hAnsi="Times New Roman" w:cs="Times New Roman"/>
        </w:rPr>
        <w:t>areas and larger o</w:t>
      </w:r>
      <w:r w:rsidR="00F53F1A">
        <w:rPr>
          <w:rFonts w:ascii="Times New Roman" w:eastAsia="Times New Roman" w:hAnsi="Times New Roman" w:cs="Times New Roman"/>
        </w:rPr>
        <w:t xml:space="preserve">nes in </w:t>
      </w:r>
      <w:r w:rsidR="00EE6FDB">
        <w:rPr>
          <w:rFonts w:ascii="Times New Roman" w:eastAsia="Times New Roman" w:hAnsi="Times New Roman" w:cs="Times New Roman"/>
        </w:rPr>
        <w:t xml:space="preserve">Suburban </w:t>
      </w:r>
      <w:r w:rsidR="00F53F1A">
        <w:rPr>
          <w:rFonts w:ascii="Times New Roman" w:eastAsia="Times New Roman" w:hAnsi="Times New Roman" w:cs="Times New Roman"/>
        </w:rPr>
        <w:t xml:space="preserve">and </w:t>
      </w:r>
      <w:r w:rsidR="00EE6FDB">
        <w:rPr>
          <w:rFonts w:ascii="Times New Roman" w:eastAsia="Times New Roman" w:hAnsi="Times New Roman" w:cs="Times New Roman"/>
        </w:rPr>
        <w:t xml:space="preserve">City </w:t>
      </w:r>
      <w:r w:rsidR="00F53F1A">
        <w:rPr>
          <w:rFonts w:ascii="Times New Roman" w:eastAsia="Times New Roman" w:hAnsi="Times New Roman" w:cs="Times New Roman"/>
        </w:rPr>
        <w:t xml:space="preserve">areas—the </w:t>
      </w:r>
      <w:r>
        <w:rPr>
          <w:rFonts w:ascii="Times New Roman" w:eastAsia="Times New Roman" w:hAnsi="Times New Roman" w:cs="Times New Roman"/>
        </w:rPr>
        <w:t xml:space="preserve">distribution of spending across </w:t>
      </w:r>
      <w:r w:rsidR="00F53F1A">
        <w:rPr>
          <w:rFonts w:ascii="Times New Roman" w:eastAsia="Times New Roman" w:hAnsi="Times New Roman" w:cs="Times New Roman"/>
        </w:rPr>
        <w:t xml:space="preserve">locale </w:t>
      </w:r>
      <w:r>
        <w:rPr>
          <w:rFonts w:ascii="Times New Roman" w:eastAsia="Times New Roman" w:hAnsi="Times New Roman" w:cs="Times New Roman"/>
        </w:rPr>
        <w:t>categories</w:t>
      </w:r>
      <w:r w:rsidR="00644A28">
        <w:rPr>
          <w:rFonts w:ascii="Times New Roman" w:eastAsia="Times New Roman" w:hAnsi="Times New Roman" w:cs="Times New Roman"/>
        </w:rPr>
        <w:t xml:space="preserve"> shown in Exhibit 5</w:t>
      </w:r>
      <w:r w:rsidR="00F53F1A">
        <w:rPr>
          <w:rFonts w:ascii="Times New Roman" w:eastAsia="Times New Roman" w:hAnsi="Times New Roman" w:cs="Times New Roman"/>
        </w:rPr>
        <w:t xml:space="preserve"> is </w:t>
      </w:r>
      <w:r>
        <w:rPr>
          <w:rFonts w:ascii="Times New Roman" w:eastAsia="Times New Roman" w:hAnsi="Times New Roman" w:cs="Times New Roman"/>
        </w:rPr>
        <w:t>similar to distribution by district size shown in Exhibit 3.</w:t>
      </w:r>
    </w:p>
    <w:p w14:paraId="6E3F6474" w14:textId="77777777" w:rsidR="00E0309E" w:rsidRDefault="00E0309E" w:rsidP="00E0309E">
      <w:pPr>
        <w:spacing w:after="120" w:line="276" w:lineRule="auto"/>
        <w:rPr>
          <w:rFonts w:ascii="Times New Roman" w:eastAsia="Times New Roman" w:hAnsi="Times New Roman" w:cs="Times New Roman"/>
        </w:rPr>
      </w:pPr>
    </w:p>
    <w:p w14:paraId="3AFBCF56" w14:textId="77777777" w:rsidR="00E0309E" w:rsidRPr="00855EA9" w:rsidRDefault="00E0309E" w:rsidP="00454777">
      <w:pPr>
        <w:spacing w:after="120"/>
        <w:rPr>
          <w:rFonts w:ascii="Times New Roman" w:eastAsia="Times New Roman" w:hAnsi="Times New Roman" w:cs="Times New Roman"/>
        </w:rPr>
      </w:pPr>
    </w:p>
    <w:p w14:paraId="37610735" w14:textId="2ACF1100" w:rsidR="00454777" w:rsidRPr="00855EA9" w:rsidRDefault="00454777" w:rsidP="00454777">
      <w:pPr>
        <w:keepNext/>
        <w:spacing w:after="120"/>
        <w:rPr>
          <w:rFonts w:ascii="Times New Roman" w:eastAsia="Times New Roman" w:hAnsi="Times New Roman" w:cs="Times New Roman"/>
        </w:rPr>
      </w:pPr>
    </w:p>
    <w:p w14:paraId="33063518" w14:textId="70541095" w:rsidR="00DE6695" w:rsidRDefault="00DE6695" w:rsidP="002B5C29">
      <w:pPr>
        <w:spacing w:after="120" w:line="276" w:lineRule="auto"/>
        <w:rPr>
          <w:rFonts w:ascii="Times New Roman" w:eastAsia="Times New Roman" w:hAnsi="Times New Roman" w:cs="Times New Roman"/>
          <w:szCs w:val="22"/>
        </w:rPr>
      </w:pPr>
    </w:p>
    <w:p w14:paraId="783A60D5" w14:textId="1F4B36C3" w:rsidR="00DE6695" w:rsidRPr="00855EA9" w:rsidRDefault="00E0309E" w:rsidP="00DE6695">
      <w:pPr>
        <w:keepNext/>
        <w:spacing w:after="120"/>
        <w:rPr>
          <w:rFonts w:ascii="Times New Roman" w:eastAsia="Times New Roman" w:hAnsi="Times New Roman" w:cs="Times New Roman"/>
        </w:rPr>
      </w:pPr>
      <w:r>
        <w:rPr>
          <w:rFonts w:ascii="Copperplate Gothic Light" w:eastAsia="Times New Roman" w:hAnsi="Copperplate Gothic Light" w:cs="Times New Roman"/>
          <w:b/>
          <w:sz w:val="24"/>
        </w:rPr>
        <w:lastRenderedPageBreak/>
        <w:t>Exhibit 5</w:t>
      </w:r>
      <w:r w:rsidR="00DE6695" w:rsidRPr="00855EA9">
        <w:rPr>
          <w:rFonts w:ascii="Copperplate Gothic Light" w:eastAsia="Times New Roman" w:hAnsi="Copperplate Gothic Light" w:cs="Times New Roman"/>
          <w:b/>
          <w:sz w:val="24"/>
        </w:rPr>
        <w:t>: Share of Operati</w:t>
      </w:r>
      <w:r w:rsidR="00DE6695">
        <w:rPr>
          <w:rFonts w:ascii="Copperplate Gothic Light" w:eastAsia="Times New Roman" w:hAnsi="Copperplate Gothic Light" w:cs="Times New Roman"/>
          <w:b/>
          <w:sz w:val="24"/>
        </w:rPr>
        <w:t xml:space="preserve">ng Expenditures by District </w:t>
      </w:r>
      <w:r w:rsidR="00DE6695" w:rsidRPr="00AC463A">
        <w:rPr>
          <w:rFonts w:ascii="Copperplate Gothic Light" w:eastAsia="Times New Roman" w:hAnsi="Copperplate Gothic Light" w:cs="Times New Roman"/>
          <w:b/>
          <w:sz w:val="24"/>
          <w:u w:val="single"/>
        </w:rPr>
        <w:t>Locale</w:t>
      </w:r>
      <w:r w:rsidR="00DE6695" w:rsidRPr="00855EA9">
        <w:rPr>
          <w:rFonts w:ascii="Copperplate Gothic Light" w:eastAsia="Times New Roman" w:hAnsi="Copperplate Gothic Light" w:cs="Times New Roman"/>
          <w:b/>
          <w:sz w:val="24"/>
        </w:rPr>
        <w:t xml:space="preserve"> 2018-19</w:t>
      </w:r>
    </w:p>
    <w:p w14:paraId="0D9B8E12" w14:textId="7EDF2AAA" w:rsidR="00DE6695" w:rsidRDefault="00CC79B6" w:rsidP="002B5C29">
      <w:pPr>
        <w:spacing w:after="120" w:line="276" w:lineRule="auto"/>
        <w:rPr>
          <w:rFonts w:ascii="Times New Roman" w:eastAsia="Times New Roman" w:hAnsi="Times New Roman" w:cs="Times New Roman"/>
          <w:szCs w:val="22"/>
        </w:rPr>
      </w:pPr>
      <w:r>
        <w:rPr>
          <w:rFonts w:ascii="Times New Roman" w:eastAsia="Times New Roman" w:hAnsi="Times New Roman" w:cs="Times New Roman"/>
          <w:noProof/>
          <w:szCs w:val="22"/>
        </w:rPr>
        <w:drawing>
          <wp:inline distT="0" distB="0" distL="0" distR="0" wp14:anchorId="397FFCB2" wp14:editId="2B1813E4">
            <wp:extent cx="6179820" cy="4151544"/>
            <wp:effectExtent l="0" t="0" r="0" b="1905"/>
            <wp:docPr id="8" name="Picture 8" descr="This bar graph shows the share of operating expenditures in eleven expenditure categories for districts in the four locale categoiries described in Exhibit 4." title="Exhibit 5: Share of Operating Expenditures by District Local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0246" cy="4165266"/>
                    </a:xfrm>
                    <a:prstGeom prst="rect">
                      <a:avLst/>
                    </a:prstGeom>
                    <a:noFill/>
                  </pic:spPr>
                </pic:pic>
              </a:graphicData>
            </a:graphic>
          </wp:inline>
        </w:drawing>
      </w:r>
    </w:p>
    <w:p w14:paraId="163B3481" w14:textId="77777777" w:rsidR="0012236D" w:rsidRDefault="0012236D">
      <w:pPr>
        <w:rPr>
          <w:rFonts w:ascii="Times New Roman" w:eastAsia="Times New Roman" w:hAnsi="Times New Roman" w:cs="Times New Roman"/>
          <w:szCs w:val="22"/>
        </w:rPr>
      </w:pPr>
    </w:p>
    <w:p w14:paraId="5D53283C" w14:textId="2A44A7A3" w:rsidR="001F27A6" w:rsidRPr="00AC463A" w:rsidRDefault="001F27A6" w:rsidP="0012236D">
      <w:pPr>
        <w:keepNext/>
        <w:spacing w:after="120"/>
        <w:rPr>
          <w:rFonts w:ascii="Times New Roman" w:eastAsia="Times New Roman" w:hAnsi="Times New Roman" w:cs="Times New Roman"/>
          <w:szCs w:val="22"/>
        </w:rPr>
      </w:pPr>
      <w:r>
        <w:rPr>
          <w:rFonts w:ascii="Times New Roman" w:eastAsia="Times New Roman" w:hAnsi="Times New Roman" w:cs="Times New Roman"/>
          <w:szCs w:val="22"/>
        </w:rPr>
        <w:t>More than a quarter of all Oregon school districts don’t have any students identified as English Language Learners</w:t>
      </w:r>
      <w:r w:rsidR="003A1374">
        <w:rPr>
          <w:rFonts w:ascii="Times New Roman" w:eastAsia="Times New Roman" w:hAnsi="Times New Roman" w:cs="Times New Roman"/>
          <w:szCs w:val="22"/>
        </w:rPr>
        <w:t xml:space="preserve"> (ELL)</w:t>
      </w:r>
      <w:r>
        <w:rPr>
          <w:rFonts w:ascii="Times New Roman" w:eastAsia="Times New Roman" w:hAnsi="Times New Roman" w:cs="Times New Roman"/>
          <w:szCs w:val="22"/>
        </w:rPr>
        <w:t xml:space="preserve">. Those districts are </w:t>
      </w:r>
      <w:r w:rsidR="00B95140">
        <w:rPr>
          <w:rFonts w:ascii="Times New Roman" w:eastAsia="Times New Roman" w:hAnsi="Times New Roman" w:cs="Times New Roman"/>
          <w:szCs w:val="22"/>
        </w:rPr>
        <w:t>all quite small, with more than half of them having fewer than 200 students</w:t>
      </w:r>
      <w:r w:rsidR="00E81FE7">
        <w:rPr>
          <w:rFonts w:ascii="Times New Roman" w:eastAsia="Times New Roman" w:hAnsi="Times New Roman" w:cs="Times New Roman"/>
          <w:szCs w:val="22"/>
        </w:rPr>
        <w:t xml:space="preserve"> and together accounting for less than 2 percent of all K-12 students in the state</w:t>
      </w:r>
      <w:r w:rsidR="00B95140">
        <w:rPr>
          <w:rFonts w:ascii="Times New Roman" w:eastAsia="Times New Roman" w:hAnsi="Times New Roman" w:cs="Times New Roman"/>
          <w:szCs w:val="22"/>
        </w:rPr>
        <w:t xml:space="preserve">. Nearly two thirds of all ELL students are in districts whose ELL students make up less than 10 percent of their total students. Exhibit 6 shows this distribution. </w:t>
      </w:r>
    </w:p>
    <w:p w14:paraId="3762AD40" w14:textId="77777777" w:rsidR="001F27A6" w:rsidRDefault="001F27A6" w:rsidP="0012236D">
      <w:pPr>
        <w:keepNext/>
        <w:spacing w:after="120"/>
        <w:rPr>
          <w:rFonts w:ascii="Copperplate Gothic Light" w:eastAsia="Times New Roman" w:hAnsi="Copperplate Gothic Light" w:cs="Times New Roman"/>
          <w:b/>
          <w:sz w:val="24"/>
        </w:rPr>
      </w:pPr>
    </w:p>
    <w:p w14:paraId="06C3A56A" w14:textId="5A3B7E21" w:rsidR="001F27A6" w:rsidRDefault="0012236D" w:rsidP="0012236D">
      <w:pPr>
        <w:keepNext/>
        <w:spacing w:after="120"/>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t>Exhibit 6</w:t>
      </w:r>
      <w:r w:rsidRPr="00855EA9">
        <w:rPr>
          <w:rFonts w:ascii="Copperplate Gothic Light" w:eastAsia="Times New Roman" w:hAnsi="Copperplate Gothic Light" w:cs="Times New Roman"/>
          <w:b/>
          <w:sz w:val="24"/>
        </w:rPr>
        <w:t>: Distribution of School Districts</w:t>
      </w:r>
      <w:r>
        <w:rPr>
          <w:rFonts w:ascii="Copperplate Gothic Light" w:eastAsia="Times New Roman" w:hAnsi="Copperplate Gothic Light" w:cs="Times New Roman"/>
          <w:b/>
          <w:sz w:val="24"/>
        </w:rPr>
        <w:t xml:space="preserve"> by ELL Percent,</w:t>
      </w:r>
      <w:r w:rsidRPr="00855EA9">
        <w:rPr>
          <w:rFonts w:ascii="Copperplate Gothic Light" w:eastAsia="Times New Roman" w:hAnsi="Copperplate Gothic Light" w:cs="Times New Roman"/>
          <w:b/>
          <w:sz w:val="24"/>
        </w:rPr>
        <w:t xml:space="preserve"> 2018-19</w:t>
      </w:r>
    </w:p>
    <w:p w14:paraId="6E0C30D3" w14:textId="0C4BAD22" w:rsidR="00637F80" w:rsidRDefault="00E81FE7" w:rsidP="0012236D">
      <w:pPr>
        <w:keepNext/>
        <w:spacing w:after="120"/>
        <w:rPr>
          <w:rFonts w:ascii="Times New Roman" w:eastAsia="Times New Roman" w:hAnsi="Times New Roman" w:cs="Times New Roman"/>
          <w:szCs w:val="22"/>
        </w:rPr>
      </w:pPr>
      <w:r w:rsidRPr="00E81FE7">
        <w:rPr>
          <w:noProof/>
        </w:rPr>
        <w:drawing>
          <wp:inline distT="0" distB="0" distL="0" distR="0" wp14:anchorId="692A33E0" wp14:editId="5972C04C">
            <wp:extent cx="4793558" cy="1909763"/>
            <wp:effectExtent l="0" t="0" r="7620" b="0"/>
            <wp:docPr id="15" name="Picture 15" descr="This table shows the number of districts, the number of students, the share of total enrollment, and the average operating expenditures per student for districts in six categories based on the percentage of a district's enrollment that is English Language Learners. The categorises rage from Zero to 20% or Higher." title="Exhibit 6: Distribution of School Districts by ELL Percent,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7285" cy="1915232"/>
                    </a:xfrm>
                    <a:prstGeom prst="rect">
                      <a:avLst/>
                    </a:prstGeom>
                    <a:noFill/>
                    <a:ln>
                      <a:noFill/>
                    </a:ln>
                  </pic:spPr>
                </pic:pic>
              </a:graphicData>
            </a:graphic>
          </wp:inline>
        </w:drawing>
      </w:r>
      <w:r w:rsidR="00637F80">
        <w:rPr>
          <w:rFonts w:ascii="Times New Roman" w:eastAsia="Times New Roman" w:hAnsi="Times New Roman" w:cs="Times New Roman"/>
          <w:szCs w:val="22"/>
        </w:rPr>
        <w:br w:type="page"/>
      </w:r>
    </w:p>
    <w:p w14:paraId="6D91078D" w14:textId="358A4905" w:rsidR="00B95140" w:rsidRDefault="00B95140" w:rsidP="00637F80">
      <w:pPr>
        <w:keepNext/>
        <w:spacing w:after="120"/>
        <w:rPr>
          <w:rFonts w:ascii="Times New Roman" w:eastAsia="Times New Roman" w:hAnsi="Times New Roman" w:cs="Times New Roman"/>
          <w:szCs w:val="22"/>
        </w:rPr>
      </w:pPr>
      <w:r>
        <w:rPr>
          <w:rFonts w:ascii="Times New Roman" w:eastAsia="Times New Roman" w:hAnsi="Times New Roman" w:cs="Times New Roman"/>
          <w:szCs w:val="22"/>
        </w:rPr>
        <w:lastRenderedPageBreak/>
        <w:t>Exhibit 7 shows that dis</w:t>
      </w:r>
      <w:r w:rsidR="00731A9D">
        <w:rPr>
          <w:rFonts w:ascii="Times New Roman" w:eastAsia="Times New Roman" w:hAnsi="Times New Roman" w:cs="Times New Roman"/>
          <w:szCs w:val="22"/>
        </w:rPr>
        <w:t>tricts with the highest share of</w:t>
      </w:r>
      <w:r>
        <w:rPr>
          <w:rFonts w:ascii="Times New Roman" w:eastAsia="Times New Roman" w:hAnsi="Times New Roman" w:cs="Times New Roman"/>
          <w:szCs w:val="22"/>
        </w:rPr>
        <w:t xml:space="preserve"> ELL </w:t>
      </w:r>
      <w:r w:rsidR="00262C50">
        <w:rPr>
          <w:rFonts w:ascii="Times New Roman" w:eastAsia="Times New Roman" w:hAnsi="Times New Roman" w:cs="Times New Roman"/>
          <w:szCs w:val="22"/>
        </w:rPr>
        <w:t>student</w:t>
      </w:r>
      <w:r w:rsidR="00731A9D">
        <w:rPr>
          <w:rFonts w:ascii="Times New Roman" w:eastAsia="Times New Roman" w:hAnsi="Times New Roman" w:cs="Times New Roman"/>
          <w:szCs w:val="22"/>
        </w:rPr>
        <w:t>s</w:t>
      </w:r>
      <w:r w:rsidR="00262C50">
        <w:rPr>
          <w:rFonts w:ascii="Times New Roman" w:eastAsia="Times New Roman" w:hAnsi="Times New Roman" w:cs="Times New Roman"/>
          <w:szCs w:val="22"/>
        </w:rPr>
        <w:t xml:space="preserve"> spend a smaller share on Instruction than other districts, but those</w:t>
      </w:r>
      <w:r w:rsidR="00731A9D">
        <w:rPr>
          <w:rFonts w:ascii="Times New Roman" w:eastAsia="Times New Roman" w:hAnsi="Times New Roman" w:cs="Times New Roman"/>
          <w:szCs w:val="22"/>
        </w:rPr>
        <w:t xml:space="preserve"> same</w:t>
      </w:r>
      <w:r w:rsidR="00262C50">
        <w:rPr>
          <w:rFonts w:ascii="Times New Roman" w:eastAsia="Times New Roman" w:hAnsi="Times New Roman" w:cs="Times New Roman"/>
          <w:szCs w:val="22"/>
        </w:rPr>
        <w:t xml:space="preserve"> districts spend a </w:t>
      </w:r>
      <w:r w:rsidR="00262C50" w:rsidRPr="00AC463A">
        <w:rPr>
          <w:rFonts w:ascii="Times New Roman" w:eastAsia="Times New Roman" w:hAnsi="Times New Roman" w:cs="Times New Roman"/>
          <w:szCs w:val="22"/>
          <w:u w:val="single"/>
        </w:rPr>
        <w:t>larger</w:t>
      </w:r>
      <w:r w:rsidR="00262C50">
        <w:rPr>
          <w:rFonts w:ascii="Times New Roman" w:eastAsia="Times New Roman" w:hAnsi="Times New Roman" w:cs="Times New Roman"/>
          <w:szCs w:val="22"/>
        </w:rPr>
        <w:t xml:space="preserve"> share on Student Support Services. In the other spending categories, there is no consistent relationship between expenditure shares and the share of students who are English Language Learner</w:t>
      </w:r>
      <w:r w:rsidR="00EE6FDB">
        <w:rPr>
          <w:rFonts w:ascii="Times New Roman" w:eastAsia="Times New Roman" w:hAnsi="Times New Roman" w:cs="Times New Roman"/>
          <w:szCs w:val="22"/>
        </w:rPr>
        <w:t>s</w:t>
      </w:r>
      <w:r w:rsidR="00262C50">
        <w:rPr>
          <w:rFonts w:ascii="Times New Roman" w:eastAsia="Times New Roman" w:hAnsi="Times New Roman" w:cs="Times New Roman"/>
          <w:szCs w:val="22"/>
        </w:rPr>
        <w:t>.</w:t>
      </w:r>
    </w:p>
    <w:p w14:paraId="722A3DB3" w14:textId="77777777" w:rsidR="00262C50" w:rsidRPr="00AC463A" w:rsidRDefault="00262C50" w:rsidP="00637F80">
      <w:pPr>
        <w:keepNext/>
        <w:spacing w:after="120"/>
        <w:rPr>
          <w:rFonts w:ascii="Times New Roman" w:eastAsia="Times New Roman" w:hAnsi="Times New Roman" w:cs="Times New Roman"/>
          <w:szCs w:val="22"/>
        </w:rPr>
      </w:pPr>
    </w:p>
    <w:p w14:paraId="4535CC17" w14:textId="27CC8EDA" w:rsidR="00637F80" w:rsidRPr="00855EA9" w:rsidRDefault="00637F80" w:rsidP="00637F80">
      <w:pPr>
        <w:keepNext/>
        <w:spacing w:after="120"/>
        <w:rPr>
          <w:rFonts w:ascii="Times New Roman" w:eastAsia="Times New Roman" w:hAnsi="Times New Roman" w:cs="Times New Roman"/>
        </w:rPr>
      </w:pPr>
      <w:r>
        <w:rPr>
          <w:rFonts w:ascii="Copperplate Gothic Light" w:eastAsia="Times New Roman" w:hAnsi="Copperplate Gothic Light" w:cs="Times New Roman"/>
          <w:b/>
          <w:sz w:val="24"/>
        </w:rPr>
        <w:t xml:space="preserve">Exhibit </w:t>
      </w:r>
      <w:r w:rsidR="0012236D">
        <w:rPr>
          <w:rFonts w:ascii="Copperplate Gothic Light" w:eastAsia="Times New Roman" w:hAnsi="Copperplate Gothic Light" w:cs="Times New Roman"/>
          <w:b/>
          <w:sz w:val="24"/>
        </w:rPr>
        <w:t>7</w:t>
      </w:r>
      <w:r w:rsidRPr="00855EA9">
        <w:rPr>
          <w:rFonts w:ascii="Copperplate Gothic Light" w:eastAsia="Times New Roman" w:hAnsi="Copperplate Gothic Light" w:cs="Times New Roman"/>
          <w:b/>
          <w:sz w:val="24"/>
        </w:rPr>
        <w:t>: Share of Operati</w:t>
      </w:r>
      <w:r>
        <w:rPr>
          <w:rFonts w:ascii="Copperplate Gothic Light" w:eastAsia="Times New Roman" w:hAnsi="Copperplate Gothic Light" w:cs="Times New Roman"/>
          <w:b/>
          <w:sz w:val="24"/>
        </w:rPr>
        <w:t>ng Expenditures by Percent ELL Students, 2018-19</w:t>
      </w:r>
    </w:p>
    <w:p w14:paraId="595A64DB" w14:textId="49059495" w:rsidR="00693F06" w:rsidRDefault="009935DA" w:rsidP="002B5C29">
      <w:pPr>
        <w:spacing w:after="120" w:line="276" w:lineRule="auto"/>
        <w:rPr>
          <w:rFonts w:ascii="Times New Roman" w:eastAsia="Times New Roman" w:hAnsi="Times New Roman" w:cs="Times New Roman"/>
          <w:szCs w:val="22"/>
        </w:rPr>
      </w:pPr>
      <w:r>
        <w:rPr>
          <w:rFonts w:ascii="Times New Roman" w:eastAsia="Times New Roman" w:hAnsi="Times New Roman" w:cs="Times New Roman"/>
          <w:noProof/>
          <w:szCs w:val="22"/>
        </w:rPr>
        <w:drawing>
          <wp:inline distT="0" distB="0" distL="0" distR="0" wp14:anchorId="07A54896" wp14:editId="1B9778CA">
            <wp:extent cx="6246495" cy="4200907"/>
            <wp:effectExtent l="0" t="0" r="1905" b="9525"/>
            <wp:docPr id="3" name="Picture 3" descr="This bar graph shows the share of operating expenditures in eleven expenditure categories for districts in the six percent ELL categoiries described in Exhibit 6." title="Exhibit 7: Share of Operating Expenditures by Percent ELL Students,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9456" cy="4209624"/>
                    </a:xfrm>
                    <a:prstGeom prst="rect">
                      <a:avLst/>
                    </a:prstGeom>
                    <a:noFill/>
                  </pic:spPr>
                </pic:pic>
              </a:graphicData>
            </a:graphic>
          </wp:inline>
        </w:drawing>
      </w:r>
    </w:p>
    <w:p w14:paraId="5F3FB0D8" w14:textId="01E85480" w:rsidR="00D14A4D" w:rsidRDefault="00D14A4D" w:rsidP="002B5C29">
      <w:pPr>
        <w:spacing w:after="120" w:line="276" w:lineRule="auto"/>
        <w:rPr>
          <w:rFonts w:ascii="Times New Roman" w:eastAsia="Times New Roman" w:hAnsi="Times New Roman" w:cs="Times New Roman"/>
          <w:szCs w:val="22"/>
        </w:rPr>
      </w:pPr>
    </w:p>
    <w:p w14:paraId="11BAE632" w14:textId="7BF4316E" w:rsidR="00605416" w:rsidRDefault="00605416" w:rsidP="002B5C29">
      <w:pPr>
        <w:spacing w:after="120" w:line="276" w:lineRule="auto"/>
        <w:rPr>
          <w:rFonts w:ascii="Copperplate Gothic Light" w:eastAsia="Times New Roman" w:hAnsi="Copperplate Gothic Light" w:cs="Times New Roman"/>
          <w:b/>
          <w:sz w:val="24"/>
        </w:rPr>
      </w:pPr>
      <w:r>
        <w:rPr>
          <w:rFonts w:ascii="Times New Roman" w:eastAsia="Times New Roman" w:hAnsi="Times New Roman" w:cs="Times New Roman"/>
          <w:szCs w:val="22"/>
        </w:rPr>
        <w:t>Exhibit 8 shows the number of districts and students across categories of districts’ shares of students who are economically disadvantaged, defined as the students qualifying for free or reduced</w:t>
      </w:r>
      <w:r w:rsidR="00E41019">
        <w:rPr>
          <w:rFonts w:ascii="Times New Roman" w:eastAsia="Times New Roman" w:hAnsi="Times New Roman" w:cs="Times New Roman"/>
          <w:szCs w:val="22"/>
        </w:rPr>
        <w:t xml:space="preserve"> price lunches under the U.S. Department of Agriculture’s School Lunch Program. More than 68 percent of all districts, and more than 61 percent of all students, attend districts where over 40% students are economically disadvantaged. Figure 9 shows that there is no clear relationship between the share of students who are economically disadvantaged and the share of operating expenditures allocated to different uses. The one exception is </w:t>
      </w:r>
      <w:r w:rsidR="00061818">
        <w:rPr>
          <w:rFonts w:ascii="Times New Roman" w:eastAsia="Times New Roman" w:hAnsi="Times New Roman" w:cs="Times New Roman"/>
          <w:szCs w:val="22"/>
        </w:rPr>
        <w:t>the share</w:t>
      </w:r>
      <w:r w:rsidR="00E41019">
        <w:rPr>
          <w:rFonts w:ascii="Times New Roman" w:eastAsia="Times New Roman" w:hAnsi="Times New Roman" w:cs="Times New Roman"/>
          <w:szCs w:val="22"/>
        </w:rPr>
        <w:t xml:space="preserve"> spent on food service, which </w:t>
      </w:r>
      <w:r w:rsidR="002D2856">
        <w:rPr>
          <w:rFonts w:ascii="Times New Roman" w:eastAsia="Times New Roman" w:hAnsi="Times New Roman" w:cs="Times New Roman"/>
          <w:szCs w:val="22"/>
        </w:rPr>
        <w:t>is what we would expect.</w:t>
      </w:r>
    </w:p>
    <w:p w14:paraId="48FE5D82" w14:textId="28E91AEE" w:rsidR="0012236D" w:rsidRDefault="0012236D" w:rsidP="00726A89">
      <w:pPr>
        <w:keepNext/>
        <w:spacing w:after="120" w:line="276" w:lineRule="auto"/>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lastRenderedPageBreak/>
        <w:t>Exhibit 8</w:t>
      </w:r>
      <w:r w:rsidRPr="00855EA9">
        <w:rPr>
          <w:rFonts w:ascii="Copperplate Gothic Light" w:eastAsia="Times New Roman" w:hAnsi="Copperplate Gothic Light" w:cs="Times New Roman"/>
          <w:b/>
          <w:sz w:val="24"/>
        </w:rPr>
        <w:t>: Distribution of School Districts</w:t>
      </w:r>
      <w:r>
        <w:rPr>
          <w:rFonts w:ascii="Copperplate Gothic Light" w:eastAsia="Times New Roman" w:hAnsi="Copperplate Gothic Light" w:cs="Times New Roman"/>
          <w:b/>
          <w:sz w:val="24"/>
        </w:rPr>
        <w:t xml:space="preserve"> by Economically Disadvantage</w:t>
      </w:r>
      <w:r w:rsidR="006B46FC">
        <w:rPr>
          <w:rFonts w:ascii="Copperplate Gothic Light" w:eastAsia="Times New Roman" w:hAnsi="Copperplate Gothic Light" w:cs="Times New Roman"/>
          <w:b/>
          <w:sz w:val="24"/>
        </w:rPr>
        <w:t>d</w:t>
      </w:r>
      <w:r>
        <w:rPr>
          <w:rFonts w:ascii="Copperplate Gothic Light" w:eastAsia="Times New Roman" w:hAnsi="Copperplate Gothic Light" w:cs="Times New Roman"/>
          <w:b/>
          <w:sz w:val="24"/>
        </w:rPr>
        <w:t xml:space="preserve"> Percent,</w:t>
      </w:r>
      <w:r w:rsidRPr="00855EA9">
        <w:rPr>
          <w:rFonts w:ascii="Copperplate Gothic Light" w:eastAsia="Times New Roman" w:hAnsi="Copperplate Gothic Light" w:cs="Times New Roman"/>
          <w:b/>
          <w:sz w:val="24"/>
        </w:rPr>
        <w:t xml:space="preserve"> 2018-19</w:t>
      </w:r>
    </w:p>
    <w:p w14:paraId="79580AA3" w14:textId="1489CDEE" w:rsidR="006448A8" w:rsidRDefault="006448A8" w:rsidP="00726A89">
      <w:pPr>
        <w:keepNext/>
        <w:spacing w:after="120" w:line="276" w:lineRule="auto"/>
        <w:rPr>
          <w:rFonts w:ascii="Times New Roman" w:eastAsia="Times New Roman" w:hAnsi="Times New Roman" w:cs="Times New Roman"/>
          <w:szCs w:val="22"/>
        </w:rPr>
      </w:pPr>
      <w:r w:rsidRPr="006448A8">
        <w:rPr>
          <w:noProof/>
        </w:rPr>
        <w:drawing>
          <wp:inline distT="0" distB="0" distL="0" distR="0" wp14:anchorId="7FFAD5FF" wp14:editId="560DB29E">
            <wp:extent cx="5153818" cy="1733550"/>
            <wp:effectExtent l="0" t="0" r="8890" b="0"/>
            <wp:docPr id="16" name="Picture 16" descr="This table shows the number of districts, the number of students, the share of total enrollment, and the average operating expenditures per student for districts in five categories based on the percentage of a district's enrollment that is economically disadvantaged students The categories range from Less Than 20% to 80% or Higher." title="Exhibit 8: Distribution of School Districts by Economically Disadvantaged Percent,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1152" cy="1736017"/>
                    </a:xfrm>
                    <a:prstGeom prst="rect">
                      <a:avLst/>
                    </a:prstGeom>
                    <a:noFill/>
                    <a:ln>
                      <a:noFill/>
                    </a:ln>
                  </pic:spPr>
                </pic:pic>
              </a:graphicData>
            </a:graphic>
          </wp:inline>
        </w:drawing>
      </w:r>
    </w:p>
    <w:p w14:paraId="67CB9BDA" w14:textId="77777777" w:rsidR="002D2856" w:rsidRDefault="002D2856" w:rsidP="00D14A4D">
      <w:pPr>
        <w:keepNext/>
        <w:spacing w:after="120"/>
        <w:rPr>
          <w:rFonts w:ascii="Copperplate Gothic Light" w:eastAsia="Times New Roman" w:hAnsi="Copperplate Gothic Light" w:cs="Times New Roman"/>
          <w:b/>
          <w:sz w:val="24"/>
        </w:rPr>
      </w:pPr>
    </w:p>
    <w:p w14:paraId="1D8EA405" w14:textId="77CC403F" w:rsidR="00D14A4D" w:rsidRPr="00855EA9" w:rsidRDefault="0012236D" w:rsidP="00D14A4D">
      <w:pPr>
        <w:keepNext/>
        <w:spacing w:after="120"/>
        <w:rPr>
          <w:rFonts w:ascii="Times New Roman" w:eastAsia="Times New Roman" w:hAnsi="Times New Roman" w:cs="Times New Roman"/>
        </w:rPr>
      </w:pPr>
      <w:r>
        <w:rPr>
          <w:rFonts w:ascii="Copperplate Gothic Light" w:eastAsia="Times New Roman" w:hAnsi="Copperplate Gothic Light" w:cs="Times New Roman"/>
          <w:b/>
          <w:sz w:val="24"/>
        </w:rPr>
        <w:t>Exhibit 9</w:t>
      </w:r>
      <w:r w:rsidR="00D14A4D" w:rsidRPr="00855EA9">
        <w:rPr>
          <w:rFonts w:ascii="Copperplate Gothic Light" w:eastAsia="Times New Roman" w:hAnsi="Copperplate Gothic Light" w:cs="Times New Roman"/>
          <w:b/>
          <w:sz w:val="24"/>
        </w:rPr>
        <w:t>: Share of Operati</w:t>
      </w:r>
      <w:r w:rsidR="00D14A4D">
        <w:rPr>
          <w:rFonts w:ascii="Copperplate Gothic Light" w:eastAsia="Times New Roman" w:hAnsi="Copperplate Gothic Light" w:cs="Times New Roman"/>
          <w:b/>
          <w:sz w:val="24"/>
        </w:rPr>
        <w:t>ng Expenditures by Percent Economically Disadvantaged Students, 2018-19</w:t>
      </w:r>
    </w:p>
    <w:p w14:paraId="4E45D631" w14:textId="06E063C1" w:rsidR="00D14A4D" w:rsidRDefault="00F26E8A" w:rsidP="002B5C29">
      <w:pPr>
        <w:spacing w:after="120" w:line="276" w:lineRule="auto"/>
        <w:rPr>
          <w:rFonts w:ascii="Times New Roman" w:eastAsia="Times New Roman" w:hAnsi="Times New Roman" w:cs="Times New Roman"/>
          <w:szCs w:val="22"/>
        </w:rPr>
      </w:pPr>
      <w:r>
        <w:rPr>
          <w:rFonts w:ascii="Times New Roman" w:eastAsia="Times New Roman" w:hAnsi="Times New Roman" w:cs="Times New Roman"/>
          <w:noProof/>
          <w:szCs w:val="22"/>
        </w:rPr>
        <w:drawing>
          <wp:inline distT="0" distB="0" distL="0" distR="0" wp14:anchorId="122FB18D" wp14:editId="25C2EB9B">
            <wp:extent cx="6235382" cy="4196505"/>
            <wp:effectExtent l="0" t="0" r="0" b="0"/>
            <wp:docPr id="2" name="Picture 2" descr="This bar graph shows the share of operating expenditures in eleven expenditure categories for districts in the five Percent Economically Disadvantaged categoiries described in Exhibit 8." title="Exhibit 9: Share of Operating Expenditures by Percent Economically Disadvantaged,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5902" cy="4210315"/>
                    </a:xfrm>
                    <a:prstGeom prst="rect">
                      <a:avLst/>
                    </a:prstGeom>
                    <a:noFill/>
                  </pic:spPr>
                </pic:pic>
              </a:graphicData>
            </a:graphic>
          </wp:inline>
        </w:drawing>
      </w:r>
    </w:p>
    <w:p w14:paraId="695F8B6C" w14:textId="63894C19" w:rsidR="002D2856" w:rsidRDefault="002D2856" w:rsidP="002B5C29">
      <w:pPr>
        <w:spacing w:after="120" w:line="276" w:lineRule="auto"/>
        <w:rPr>
          <w:rFonts w:ascii="Times New Roman" w:eastAsia="Times New Roman" w:hAnsi="Times New Roman" w:cs="Times New Roman"/>
          <w:szCs w:val="22"/>
        </w:rPr>
      </w:pPr>
    </w:p>
    <w:p w14:paraId="0EC0B75B" w14:textId="7881FADA" w:rsidR="002D2856" w:rsidRDefault="002D2856" w:rsidP="002B5C29">
      <w:pPr>
        <w:spacing w:after="120" w:line="276" w:lineRule="auto"/>
        <w:rPr>
          <w:rFonts w:ascii="Times New Roman" w:eastAsia="Times New Roman" w:hAnsi="Times New Roman" w:cs="Times New Roman"/>
          <w:szCs w:val="22"/>
        </w:rPr>
      </w:pPr>
      <w:r>
        <w:rPr>
          <w:rFonts w:ascii="Times New Roman" w:eastAsia="Times New Roman" w:hAnsi="Times New Roman" w:cs="Times New Roman"/>
          <w:szCs w:val="22"/>
        </w:rPr>
        <w:t xml:space="preserve">Exhibit 10 shows the number of districts and students by teacher salary levels. With the statewide average teacher salary level at </w:t>
      </w:r>
      <w:r w:rsidR="0097479E">
        <w:rPr>
          <w:rFonts w:ascii="Times New Roman" w:eastAsia="Times New Roman" w:hAnsi="Times New Roman" w:cs="Times New Roman"/>
          <w:szCs w:val="22"/>
        </w:rPr>
        <w:t>$65,019, the table shows that only 18 districts 9 percent) have average salaries above the statewide average, but more tha</w:t>
      </w:r>
      <w:r w:rsidR="00061818">
        <w:rPr>
          <w:rFonts w:ascii="Times New Roman" w:eastAsia="Times New Roman" w:hAnsi="Times New Roman" w:cs="Times New Roman"/>
          <w:szCs w:val="22"/>
        </w:rPr>
        <w:t xml:space="preserve">n </w:t>
      </w:r>
      <w:r w:rsidR="0097479E">
        <w:rPr>
          <w:rFonts w:ascii="Times New Roman" w:eastAsia="Times New Roman" w:hAnsi="Times New Roman" w:cs="Times New Roman"/>
          <w:szCs w:val="22"/>
        </w:rPr>
        <w:t>57 percent</w:t>
      </w:r>
      <w:r w:rsidR="00061818">
        <w:rPr>
          <w:rFonts w:ascii="Times New Roman" w:eastAsia="Times New Roman" w:hAnsi="Times New Roman" w:cs="Times New Roman"/>
          <w:szCs w:val="22"/>
        </w:rPr>
        <w:t xml:space="preserve"> of students attend those 18 districts.  This shows clearly that larger districts tend to pay higher salaries than smaller districts, but because Oregon’s small </w:t>
      </w:r>
      <w:r w:rsidR="00061818">
        <w:rPr>
          <w:rFonts w:ascii="Times New Roman" w:eastAsia="Times New Roman" w:hAnsi="Times New Roman" w:cs="Times New Roman"/>
          <w:szCs w:val="22"/>
        </w:rPr>
        <w:lastRenderedPageBreak/>
        <w:t>districts are located primarily in rural areas, the observed salary differences are more likely a result of the labor market and cost of living differences between rural and urban areas.</w:t>
      </w:r>
    </w:p>
    <w:p w14:paraId="478204B0" w14:textId="77777777" w:rsidR="00964050" w:rsidRDefault="00964050" w:rsidP="00AC463A">
      <w:pPr>
        <w:spacing w:after="120" w:line="276" w:lineRule="auto"/>
        <w:rPr>
          <w:rFonts w:ascii="Times New Roman" w:eastAsia="Times New Roman" w:hAnsi="Times New Roman" w:cs="Times New Roman"/>
        </w:rPr>
      </w:pPr>
    </w:p>
    <w:p w14:paraId="61FA9E6A" w14:textId="22523C22" w:rsidR="00964050" w:rsidRDefault="00696BF4" w:rsidP="00726A89">
      <w:pPr>
        <w:keepNext/>
        <w:spacing w:after="120" w:line="276" w:lineRule="auto"/>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t>Exhibit 10</w:t>
      </w:r>
      <w:r w:rsidR="00964050" w:rsidRPr="00855EA9">
        <w:rPr>
          <w:rFonts w:ascii="Copperplate Gothic Light" w:eastAsia="Times New Roman" w:hAnsi="Copperplate Gothic Light" w:cs="Times New Roman"/>
          <w:b/>
          <w:sz w:val="24"/>
        </w:rPr>
        <w:t>: Distribution of School Districts</w:t>
      </w:r>
      <w:r w:rsidR="00E6321F">
        <w:rPr>
          <w:rFonts w:ascii="Copperplate Gothic Light" w:eastAsia="Times New Roman" w:hAnsi="Copperplate Gothic Light" w:cs="Times New Roman"/>
          <w:b/>
          <w:sz w:val="24"/>
        </w:rPr>
        <w:t xml:space="preserve"> by Teacher Salary Range</w:t>
      </w:r>
      <w:r w:rsidR="00964050">
        <w:rPr>
          <w:rFonts w:ascii="Copperplate Gothic Light" w:eastAsia="Times New Roman" w:hAnsi="Copperplate Gothic Light" w:cs="Times New Roman"/>
          <w:b/>
          <w:sz w:val="24"/>
        </w:rPr>
        <w:t>,</w:t>
      </w:r>
      <w:r w:rsidR="00964050" w:rsidRPr="00855EA9">
        <w:rPr>
          <w:rFonts w:ascii="Copperplate Gothic Light" w:eastAsia="Times New Roman" w:hAnsi="Copperplate Gothic Light" w:cs="Times New Roman"/>
          <w:b/>
          <w:sz w:val="24"/>
        </w:rPr>
        <w:t xml:space="preserve"> 2018-19</w:t>
      </w:r>
    </w:p>
    <w:p w14:paraId="680E4DE4" w14:textId="10C649B1" w:rsidR="00DC703B" w:rsidRDefault="0086235C" w:rsidP="00726A89">
      <w:pPr>
        <w:keepNext/>
        <w:rPr>
          <w:rFonts w:ascii="Times New Roman" w:eastAsia="Times New Roman" w:hAnsi="Times New Roman" w:cs="Times New Roman"/>
          <w:highlight w:val="yellow"/>
        </w:rPr>
      </w:pPr>
      <w:r w:rsidRPr="00AC463A">
        <w:rPr>
          <w:noProof/>
        </w:rPr>
        <w:drawing>
          <wp:inline distT="0" distB="0" distL="0" distR="0" wp14:anchorId="4719647B" wp14:editId="147A4DFD">
            <wp:extent cx="4748530" cy="1614805"/>
            <wp:effectExtent l="0" t="0" r="0" b="4445"/>
            <wp:docPr id="18" name="Picture 18" descr="This table shows the number of districts, the number of students, the share of total enrollment, and the average operating expenditures per student for districts in six categories based on teacher average salaries. The categories range from Less Than $50,000 to $70,000 and Higher." title="Exhibit 10: Distribution of School Districts by Teacher Salary Rang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8530" cy="1614805"/>
                    </a:xfrm>
                    <a:prstGeom prst="rect">
                      <a:avLst/>
                    </a:prstGeom>
                    <a:noFill/>
                    <a:ln>
                      <a:noFill/>
                    </a:ln>
                  </pic:spPr>
                </pic:pic>
              </a:graphicData>
            </a:graphic>
          </wp:inline>
        </w:drawing>
      </w:r>
    </w:p>
    <w:p w14:paraId="1EB6F81D" w14:textId="77777777" w:rsidR="006E22C4" w:rsidRDefault="006E22C4" w:rsidP="00DC703B">
      <w:pPr>
        <w:keepNext/>
        <w:spacing w:after="120"/>
        <w:rPr>
          <w:rFonts w:ascii="Times New Roman" w:eastAsia="Times New Roman" w:hAnsi="Times New Roman" w:cs="Times New Roman"/>
          <w:highlight w:val="yellow"/>
        </w:rPr>
      </w:pPr>
    </w:p>
    <w:p w14:paraId="07CF150C" w14:textId="58CE4F0E" w:rsidR="00DC703B" w:rsidRDefault="00DC703B" w:rsidP="00DC703B">
      <w:pPr>
        <w:keepNext/>
        <w:spacing w:after="120"/>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t xml:space="preserve">Exhibit </w:t>
      </w:r>
      <w:r w:rsidR="00696BF4">
        <w:rPr>
          <w:rFonts w:ascii="Copperplate Gothic Light" w:eastAsia="Times New Roman" w:hAnsi="Copperplate Gothic Light" w:cs="Times New Roman"/>
          <w:b/>
          <w:sz w:val="24"/>
        </w:rPr>
        <w:t>11</w:t>
      </w:r>
      <w:r w:rsidRPr="00855EA9">
        <w:rPr>
          <w:rFonts w:ascii="Copperplate Gothic Light" w:eastAsia="Times New Roman" w:hAnsi="Copperplate Gothic Light" w:cs="Times New Roman"/>
          <w:b/>
          <w:sz w:val="24"/>
        </w:rPr>
        <w:t>: Share of Operati</w:t>
      </w:r>
      <w:r>
        <w:rPr>
          <w:rFonts w:ascii="Copperplate Gothic Light" w:eastAsia="Times New Roman" w:hAnsi="Copperplate Gothic Light" w:cs="Times New Roman"/>
          <w:b/>
          <w:sz w:val="24"/>
        </w:rPr>
        <w:t>ng Expe</w:t>
      </w:r>
      <w:r w:rsidR="00035AF6">
        <w:rPr>
          <w:rFonts w:ascii="Copperplate Gothic Light" w:eastAsia="Times New Roman" w:hAnsi="Copperplate Gothic Light" w:cs="Times New Roman"/>
          <w:b/>
          <w:sz w:val="24"/>
        </w:rPr>
        <w:t>nditures by Teacher Salary Range</w:t>
      </w:r>
      <w:r>
        <w:rPr>
          <w:rFonts w:ascii="Copperplate Gothic Light" w:eastAsia="Times New Roman" w:hAnsi="Copperplate Gothic Light" w:cs="Times New Roman"/>
          <w:b/>
          <w:sz w:val="24"/>
        </w:rPr>
        <w:t>, 2018-19</w:t>
      </w:r>
    </w:p>
    <w:p w14:paraId="0598B94C" w14:textId="474ACC39" w:rsidR="00DC703B" w:rsidRDefault="00203ECD" w:rsidP="00DC703B">
      <w:pPr>
        <w:keepNext/>
        <w:spacing w:after="120"/>
        <w:rPr>
          <w:rFonts w:ascii="Copperplate Gothic Light" w:eastAsia="Times New Roman" w:hAnsi="Copperplate Gothic Light" w:cs="Times New Roman"/>
          <w:b/>
          <w:sz w:val="24"/>
        </w:rPr>
      </w:pPr>
      <w:r>
        <w:rPr>
          <w:rFonts w:ascii="Copperplate Gothic Light" w:eastAsia="Times New Roman" w:hAnsi="Copperplate Gothic Light" w:cs="Times New Roman"/>
          <w:b/>
          <w:noProof/>
          <w:sz w:val="24"/>
        </w:rPr>
        <w:drawing>
          <wp:inline distT="0" distB="0" distL="0" distR="0" wp14:anchorId="40995A0E" wp14:editId="5A94EF83">
            <wp:extent cx="5996940" cy="4028686"/>
            <wp:effectExtent l="0" t="0" r="3810" b="0"/>
            <wp:docPr id="4" name="Picture 4" descr="This bar graph shows the share of operating expenditures in eleven expenditure categories for districts in the six Average Teacher Salary Range categoiries described in Exhibit 10." title="Exhibit 11: Share of Operating Expenditures by Teacher Salary Rang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96940" cy="4028686"/>
                    </a:xfrm>
                    <a:prstGeom prst="rect">
                      <a:avLst/>
                    </a:prstGeom>
                    <a:noFill/>
                  </pic:spPr>
                </pic:pic>
              </a:graphicData>
            </a:graphic>
          </wp:inline>
        </w:drawing>
      </w:r>
    </w:p>
    <w:p w14:paraId="6D63E2DC" w14:textId="77777777" w:rsidR="000E3049" w:rsidRPr="00855EA9" w:rsidRDefault="000E3049" w:rsidP="00B2332D">
      <w:pPr>
        <w:keepNext/>
        <w:spacing w:after="120" w:line="276" w:lineRule="auto"/>
        <w:rPr>
          <w:rFonts w:ascii="Times New Roman" w:eastAsia="Times New Roman" w:hAnsi="Times New Roman" w:cs="Times New Roman"/>
        </w:rPr>
      </w:pPr>
    </w:p>
    <w:p w14:paraId="237B2C03" w14:textId="7C7ED55B" w:rsidR="00CF725C" w:rsidRDefault="003729B5" w:rsidP="00726A89">
      <w:pPr>
        <w:keepNext/>
        <w:spacing w:after="120" w:line="276" w:lineRule="auto"/>
        <w:rPr>
          <w:rFonts w:ascii="Times New Roman" w:eastAsia="Times New Roman" w:hAnsi="Times New Roman" w:cs="Times New Roman"/>
        </w:rPr>
      </w:pPr>
      <w:r w:rsidRPr="00AC463A">
        <w:rPr>
          <w:rFonts w:ascii="Times New Roman" w:eastAsia="Times New Roman" w:hAnsi="Times New Roman" w:cs="Times New Roman"/>
        </w:rPr>
        <w:t xml:space="preserve">It </w:t>
      </w:r>
      <w:r>
        <w:rPr>
          <w:rFonts w:ascii="Times New Roman" w:eastAsia="Times New Roman" w:hAnsi="Times New Roman" w:cs="Times New Roman"/>
        </w:rPr>
        <w:t>may seem counter-intuitive that districts with lower teacher salary levels spend a larger share on Instruction, but the reason becomes cl</w:t>
      </w:r>
      <w:r w:rsidR="00CF725C">
        <w:rPr>
          <w:rFonts w:ascii="Times New Roman" w:eastAsia="Times New Roman" w:hAnsi="Times New Roman" w:cs="Times New Roman"/>
        </w:rPr>
        <w:t>ear whe</w:t>
      </w:r>
      <w:r w:rsidR="00696BF4">
        <w:rPr>
          <w:rFonts w:ascii="Times New Roman" w:eastAsia="Times New Roman" w:hAnsi="Times New Roman" w:cs="Times New Roman"/>
        </w:rPr>
        <w:t>n you look at Exhibit 12</w:t>
      </w:r>
      <w:r w:rsidR="00CF725C">
        <w:rPr>
          <w:rFonts w:ascii="Times New Roman" w:eastAsia="Times New Roman" w:hAnsi="Times New Roman" w:cs="Times New Roman"/>
        </w:rPr>
        <w:t xml:space="preserve">. It shows that median class sizes </w:t>
      </w:r>
      <w:r w:rsidR="00CF725C">
        <w:rPr>
          <w:rFonts w:ascii="Times New Roman" w:eastAsia="Times New Roman" w:hAnsi="Times New Roman" w:cs="Times New Roman"/>
        </w:rPr>
        <w:lastRenderedPageBreak/>
        <w:t xml:space="preserve">are considerably higher in districts with higher teacher salaries. The high salary districts are concentrated in larger school districts which tend to be in larger cities and suburbs, with lower salaries being more common in smaller districts that are primarily in smaller towns and rural </w:t>
      </w:r>
      <w:r w:rsidR="00E93E2A">
        <w:rPr>
          <w:rFonts w:ascii="Times New Roman" w:eastAsia="Times New Roman" w:hAnsi="Times New Roman" w:cs="Times New Roman"/>
        </w:rPr>
        <w:t>areas. The</w:t>
      </w:r>
      <w:r w:rsidR="00CF725C">
        <w:rPr>
          <w:rFonts w:ascii="Times New Roman" w:eastAsia="Times New Roman" w:hAnsi="Times New Roman" w:cs="Times New Roman"/>
        </w:rPr>
        <w:t xml:space="preserve"> higher salaries that districts in larger urban </w:t>
      </w:r>
      <w:r w:rsidR="00A11403">
        <w:rPr>
          <w:rFonts w:ascii="Times New Roman" w:eastAsia="Times New Roman" w:hAnsi="Times New Roman" w:cs="Times New Roman"/>
        </w:rPr>
        <w:t xml:space="preserve">and </w:t>
      </w:r>
      <w:r w:rsidR="00CF725C">
        <w:rPr>
          <w:rFonts w:ascii="Times New Roman" w:eastAsia="Times New Roman" w:hAnsi="Times New Roman" w:cs="Times New Roman"/>
        </w:rPr>
        <w:t>suburban districts must pay their teachers (and other s</w:t>
      </w:r>
      <w:r w:rsidR="00A11403">
        <w:rPr>
          <w:rFonts w:ascii="Times New Roman" w:eastAsia="Times New Roman" w:hAnsi="Times New Roman" w:cs="Times New Roman"/>
        </w:rPr>
        <w:t>taff) mean they do not have sufficient</w:t>
      </w:r>
      <w:r w:rsidR="00CF725C">
        <w:rPr>
          <w:rFonts w:ascii="Times New Roman" w:eastAsia="Times New Roman" w:hAnsi="Times New Roman" w:cs="Times New Roman"/>
        </w:rPr>
        <w:t xml:space="preserve"> resources</w:t>
      </w:r>
      <w:r w:rsidR="00A11403">
        <w:rPr>
          <w:rFonts w:ascii="Times New Roman" w:eastAsia="Times New Roman" w:hAnsi="Times New Roman" w:cs="Times New Roman"/>
        </w:rPr>
        <w:t xml:space="preserve"> to</w:t>
      </w:r>
      <w:r w:rsidR="00CF725C">
        <w:rPr>
          <w:rFonts w:ascii="Times New Roman" w:eastAsia="Times New Roman" w:hAnsi="Times New Roman" w:cs="Times New Roman"/>
        </w:rPr>
        <w:t xml:space="preserve"> have the smaller class sizes that lower-salary districts can offer. </w:t>
      </w:r>
    </w:p>
    <w:p w14:paraId="669F8971" w14:textId="77777777" w:rsidR="000E3049" w:rsidRDefault="000E3049" w:rsidP="00BA36F3">
      <w:pPr>
        <w:keepNext/>
        <w:spacing w:after="120"/>
        <w:rPr>
          <w:rFonts w:ascii="Copperplate Gothic Light" w:eastAsia="Times New Roman" w:hAnsi="Copperplate Gothic Light" w:cs="Times New Roman"/>
          <w:b/>
          <w:sz w:val="24"/>
        </w:rPr>
      </w:pPr>
    </w:p>
    <w:p w14:paraId="4F4547E4" w14:textId="38C7DE14" w:rsidR="00BA36F3" w:rsidRDefault="00BA36F3" w:rsidP="00BA36F3">
      <w:pPr>
        <w:keepNext/>
        <w:spacing w:after="120"/>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t>Exhibit 12: Median Cl</w:t>
      </w:r>
      <w:r w:rsidR="00E95113">
        <w:rPr>
          <w:rFonts w:ascii="Copperplate Gothic Light" w:eastAsia="Times New Roman" w:hAnsi="Copperplate Gothic Light" w:cs="Times New Roman"/>
          <w:b/>
          <w:sz w:val="24"/>
        </w:rPr>
        <w:t>ass Size by Teacher Salary range</w:t>
      </w:r>
      <w:r>
        <w:rPr>
          <w:rFonts w:ascii="Copperplate Gothic Light" w:eastAsia="Times New Roman" w:hAnsi="Copperplate Gothic Light" w:cs="Times New Roman"/>
          <w:b/>
          <w:sz w:val="24"/>
        </w:rPr>
        <w:t>, 2018-19</w:t>
      </w:r>
    </w:p>
    <w:p w14:paraId="2FE3E240" w14:textId="77777777" w:rsidR="00BA36F3" w:rsidRDefault="00BA36F3" w:rsidP="00BA36F3">
      <w:pPr>
        <w:rPr>
          <w:rFonts w:ascii="Times New Roman" w:eastAsia="Times New Roman" w:hAnsi="Times New Roman" w:cs="Times New Roman"/>
        </w:rPr>
      </w:pPr>
      <w:r w:rsidRPr="006448A8">
        <w:rPr>
          <w:noProof/>
        </w:rPr>
        <w:drawing>
          <wp:inline distT="0" distB="0" distL="0" distR="0" wp14:anchorId="3BCF6E05" wp14:editId="6D5B1C89">
            <wp:extent cx="5204961" cy="2386012"/>
            <wp:effectExtent l="0" t="0" r="0" b="0"/>
            <wp:docPr id="17" name="Picture 17" descr="This table shows the number of districts, the number of students, the average salary, and the median class size for districts in six categories based on teacher average salaries. The categories range from Less Than $50,000 to $70,000 and Higher." title="Exhibit 12: Median Class Size by Teacher Salary Range, 2018-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6683" cy="2391386"/>
                    </a:xfrm>
                    <a:prstGeom prst="rect">
                      <a:avLst/>
                    </a:prstGeom>
                    <a:noFill/>
                    <a:ln>
                      <a:noFill/>
                    </a:ln>
                  </pic:spPr>
                </pic:pic>
              </a:graphicData>
            </a:graphic>
          </wp:inline>
        </w:drawing>
      </w:r>
    </w:p>
    <w:p w14:paraId="44FA44D4" w14:textId="77777777" w:rsidR="00BA36F3" w:rsidRDefault="00BA36F3" w:rsidP="00AC463A">
      <w:pPr>
        <w:spacing w:after="120" w:line="276" w:lineRule="auto"/>
        <w:rPr>
          <w:rFonts w:ascii="Times New Roman" w:eastAsia="Times New Roman" w:hAnsi="Times New Roman" w:cs="Times New Roman"/>
        </w:rPr>
      </w:pPr>
    </w:p>
    <w:p w14:paraId="62F1CA51" w14:textId="20D49450" w:rsidR="00A11403" w:rsidRPr="00296C6E" w:rsidRDefault="00A11403" w:rsidP="00AC463A">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The </w:t>
      </w:r>
      <w:r w:rsidR="00A06412">
        <w:rPr>
          <w:rFonts w:ascii="Times New Roman" w:eastAsia="Times New Roman" w:hAnsi="Times New Roman" w:cs="Times New Roman"/>
        </w:rPr>
        <w:t>wide variation in</w:t>
      </w:r>
      <w:r>
        <w:rPr>
          <w:rFonts w:ascii="Times New Roman" w:eastAsia="Times New Roman" w:hAnsi="Times New Roman" w:cs="Times New Roman"/>
        </w:rPr>
        <w:t xml:space="preserve"> salaries across school districts in Oregon</w:t>
      </w:r>
      <w:r w:rsidR="00296C6E">
        <w:rPr>
          <w:rFonts w:ascii="Times New Roman" w:eastAsia="Times New Roman" w:hAnsi="Times New Roman" w:cs="Times New Roman"/>
        </w:rPr>
        <w:t xml:space="preserve"> shown</w:t>
      </w:r>
      <w:r w:rsidR="00BA36F3">
        <w:rPr>
          <w:rFonts w:ascii="Times New Roman" w:eastAsia="Times New Roman" w:hAnsi="Times New Roman" w:cs="Times New Roman"/>
        </w:rPr>
        <w:t xml:space="preserve"> in Exhibit 12</w:t>
      </w:r>
      <w:r>
        <w:rPr>
          <w:rFonts w:ascii="Times New Roman" w:eastAsia="Times New Roman" w:hAnsi="Times New Roman" w:cs="Times New Roman"/>
        </w:rPr>
        <w:t>—ranging from around $40,000 in some small,</w:t>
      </w:r>
      <w:r w:rsidR="00DF2C12">
        <w:rPr>
          <w:rFonts w:ascii="Times New Roman" w:eastAsia="Times New Roman" w:hAnsi="Times New Roman" w:cs="Times New Roman"/>
        </w:rPr>
        <w:t xml:space="preserve"> rural districts</w:t>
      </w:r>
      <w:r>
        <w:rPr>
          <w:rFonts w:ascii="Times New Roman" w:eastAsia="Times New Roman" w:hAnsi="Times New Roman" w:cs="Times New Roman"/>
        </w:rPr>
        <w:t xml:space="preserve"> to nearly $80,000 in </w:t>
      </w:r>
      <w:r w:rsidR="00DF2C12">
        <w:rPr>
          <w:rFonts w:ascii="Times New Roman" w:eastAsia="Times New Roman" w:hAnsi="Times New Roman" w:cs="Times New Roman"/>
        </w:rPr>
        <w:t xml:space="preserve">districts in </w:t>
      </w:r>
      <w:r>
        <w:rPr>
          <w:rFonts w:ascii="Times New Roman" w:eastAsia="Times New Roman" w:hAnsi="Times New Roman" w:cs="Times New Roman"/>
        </w:rPr>
        <w:t xml:space="preserve">the Portland metropolitan area—means the higher-salary </w:t>
      </w:r>
      <w:r w:rsidR="00BD1D9C">
        <w:rPr>
          <w:rFonts w:ascii="Times New Roman" w:eastAsia="Times New Roman" w:hAnsi="Times New Roman" w:cs="Times New Roman"/>
        </w:rPr>
        <w:t>districts have much lower purchasing power,</w:t>
      </w:r>
      <w:r w:rsidR="00296C6E">
        <w:rPr>
          <w:rFonts w:ascii="Times New Roman" w:eastAsia="Times New Roman" w:hAnsi="Times New Roman" w:cs="Times New Roman"/>
        </w:rPr>
        <w:t xml:space="preserve"> leaving them </w:t>
      </w:r>
      <w:r>
        <w:rPr>
          <w:rFonts w:ascii="Times New Roman" w:eastAsia="Times New Roman" w:hAnsi="Times New Roman" w:cs="Times New Roman"/>
        </w:rPr>
        <w:t>at a distinct disadvantage in serving their students</w:t>
      </w:r>
      <w:r w:rsidR="00296C6E">
        <w:rPr>
          <w:rFonts w:ascii="Times New Roman" w:eastAsia="Times New Roman" w:hAnsi="Times New Roman" w:cs="Times New Roman"/>
        </w:rPr>
        <w:t xml:space="preserve"> compared to</w:t>
      </w:r>
      <w:r w:rsidR="00A06412">
        <w:rPr>
          <w:rFonts w:ascii="Times New Roman" w:eastAsia="Times New Roman" w:hAnsi="Times New Roman" w:cs="Times New Roman"/>
        </w:rPr>
        <w:t xml:space="preserve"> low and moderate salary</w:t>
      </w:r>
      <w:r>
        <w:rPr>
          <w:rFonts w:ascii="Times New Roman" w:eastAsia="Times New Roman" w:hAnsi="Times New Roman" w:cs="Times New Roman"/>
        </w:rPr>
        <w:t xml:space="preserve"> districts.</w:t>
      </w:r>
      <w:r w:rsidR="00A06412">
        <w:rPr>
          <w:rFonts w:ascii="Times New Roman" w:eastAsia="Times New Roman" w:hAnsi="Times New Roman" w:cs="Times New Roman"/>
        </w:rPr>
        <w:t xml:space="preserve"> </w:t>
      </w:r>
    </w:p>
    <w:p w14:paraId="3E93C320" w14:textId="1B160B8E" w:rsidR="00482671" w:rsidRDefault="00296C6E" w:rsidP="00AC463A">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These large salaries variations, </w:t>
      </w:r>
      <w:r w:rsidR="00DF2C12">
        <w:rPr>
          <w:rFonts w:ascii="Times New Roman" w:eastAsia="Times New Roman" w:hAnsi="Times New Roman" w:cs="Times New Roman"/>
        </w:rPr>
        <w:t>and the associated higher class sizes</w:t>
      </w:r>
      <w:r>
        <w:rPr>
          <w:rFonts w:ascii="Times New Roman" w:eastAsia="Times New Roman" w:hAnsi="Times New Roman" w:cs="Times New Roman"/>
        </w:rPr>
        <w:t xml:space="preserve">, </w:t>
      </w:r>
      <w:r w:rsidR="00DF2C12">
        <w:rPr>
          <w:rFonts w:ascii="Times New Roman" w:eastAsia="Times New Roman" w:hAnsi="Times New Roman" w:cs="Times New Roman"/>
        </w:rPr>
        <w:t xml:space="preserve">represents a potentially serious </w:t>
      </w:r>
      <w:r>
        <w:rPr>
          <w:rFonts w:ascii="Times New Roman" w:eastAsia="Times New Roman" w:hAnsi="Times New Roman" w:cs="Times New Roman"/>
        </w:rPr>
        <w:t>in</w:t>
      </w:r>
      <w:r w:rsidR="00DF2C12">
        <w:rPr>
          <w:rFonts w:ascii="Times New Roman" w:eastAsia="Times New Roman" w:hAnsi="Times New Roman" w:cs="Times New Roman"/>
        </w:rPr>
        <w:t>equity in</w:t>
      </w:r>
      <w:r>
        <w:rPr>
          <w:rFonts w:ascii="Times New Roman" w:eastAsia="Times New Roman" w:hAnsi="Times New Roman" w:cs="Times New Roman"/>
        </w:rPr>
        <w:t xml:space="preserve"> Oregon’s </w:t>
      </w:r>
      <w:r w:rsidR="00DF2C12">
        <w:rPr>
          <w:rFonts w:ascii="Times New Roman" w:eastAsia="Times New Roman" w:hAnsi="Times New Roman" w:cs="Times New Roman"/>
        </w:rPr>
        <w:t xml:space="preserve">K-12 </w:t>
      </w:r>
      <w:r>
        <w:rPr>
          <w:rFonts w:ascii="Times New Roman" w:eastAsia="Times New Roman" w:hAnsi="Times New Roman" w:cs="Times New Roman"/>
        </w:rPr>
        <w:t xml:space="preserve">funding system. </w:t>
      </w:r>
      <w:r w:rsidR="00DF2C12">
        <w:rPr>
          <w:rFonts w:ascii="Times New Roman" w:eastAsia="Times New Roman" w:hAnsi="Times New Roman" w:cs="Times New Roman"/>
        </w:rPr>
        <w:t xml:space="preserve">The 28 school districts with average salaries above </w:t>
      </w:r>
      <w:r w:rsidR="00004408">
        <w:rPr>
          <w:rFonts w:ascii="Times New Roman" w:eastAsia="Times New Roman" w:hAnsi="Times New Roman" w:cs="Times New Roman"/>
        </w:rPr>
        <w:t xml:space="preserve">$65,000 </w:t>
      </w:r>
      <w:r w:rsidR="00A37585">
        <w:rPr>
          <w:rFonts w:ascii="Times New Roman" w:eastAsia="Times New Roman" w:hAnsi="Times New Roman" w:cs="Times New Roman"/>
        </w:rPr>
        <w:t>serve 57 percent</w:t>
      </w:r>
      <w:r w:rsidR="00004408">
        <w:rPr>
          <w:rFonts w:ascii="Times New Roman" w:eastAsia="Times New Roman" w:hAnsi="Times New Roman" w:cs="Times New Roman"/>
        </w:rPr>
        <w:t xml:space="preserve"> of all students in Oregon and even larger shares of African American students (86%), </w:t>
      </w:r>
      <w:r w:rsidR="005B3ACD">
        <w:rPr>
          <w:rFonts w:ascii="Times New Roman" w:eastAsia="Times New Roman" w:hAnsi="Times New Roman" w:cs="Times New Roman"/>
        </w:rPr>
        <w:t xml:space="preserve">Native Hawaiian/Alaska Native students (80%), </w:t>
      </w:r>
      <w:proofErr w:type="gramStart"/>
      <w:r w:rsidR="005B3ACD">
        <w:rPr>
          <w:rFonts w:ascii="Times New Roman" w:eastAsia="Times New Roman" w:hAnsi="Times New Roman" w:cs="Times New Roman"/>
        </w:rPr>
        <w:t>English</w:t>
      </w:r>
      <w:proofErr w:type="gramEnd"/>
      <w:r w:rsidR="005B3ACD">
        <w:rPr>
          <w:rFonts w:ascii="Times New Roman" w:eastAsia="Times New Roman" w:hAnsi="Times New Roman" w:cs="Times New Roman"/>
        </w:rPr>
        <w:t xml:space="preserve"> Language Learners (69%), and Hispanic students (60%). </w:t>
      </w:r>
      <w:r w:rsidR="00482671">
        <w:rPr>
          <w:rFonts w:ascii="Times New Roman" w:eastAsia="Times New Roman" w:hAnsi="Times New Roman" w:cs="Times New Roman"/>
        </w:rPr>
        <w:t>While this issue needs further e</w:t>
      </w:r>
      <w:r w:rsidR="005B3ACD">
        <w:rPr>
          <w:rFonts w:ascii="Times New Roman" w:eastAsia="Times New Roman" w:hAnsi="Times New Roman" w:cs="Times New Roman"/>
        </w:rPr>
        <w:t xml:space="preserve">xploration, </w:t>
      </w:r>
      <w:r w:rsidR="00482671">
        <w:rPr>
          <w:rFonts w:ascii="Times New Roman" w:eastAsia="Times New Roman" w:hAnsi="Times New Roman" w:cs="Times New Roman"/>
        </w:rPr>
        <w:t>these</w:t>
      </w:r>
      <w:r w:rsidR="005B3ACD">
        <w:rPr>
          <w:rFonts w:ascii="Times New Roman" w:eastAsia="Times New Roman" w:hAnsi="Times New Roman" w:cs="Times New Roman"/>
        </w:rPr>
        <w:t xml:space="preserve"> large salary variations, for which Oregon’s K-12 funding </w:t>
      </w:r>
      <w:r w:rsidR="0091116F">
        <w:rPr>
          <w:rFonts w:ascii="Times New Roman" w:eastAsia="Times New Roman" w:hAnsi="Times New Roman" w:cs="Times New Roman"/>
        </w:rPr>
        <w:t>system</w:t>
      </w:r>
      <w:r w:rsidR="005B3ACD">
        <w:rPr>
          <w:rFonts w:ascii="Times New Roman" w:eastAsia="Times New Roman" w:hAnsi="Times New Roman" w:cs="Times New Roman"/>
        </w:rPr>
        <w:t xml:space="preserve"> does </w:t>
      </w:r>
      <w:r w:rsidR="00677488">
        <w:rPr>
          <w:rFonts w:ascii="Times New Roman" w:eastAsia="Times New Roman" w:hAnsi="Times New Roman" w:cs="Times New Roman"/>
        </w:rPr>
        <w:t>not compensate high-salary districts</w:t>
      </w:r>
      <w:r w:rsidR="005B3ACD">
        <w:rPr>
          <w:rFonts w:ascii="Times New Roman" w:eastAsia="Times New Roman" w:hAnsi="Times New Roman" w:cs="Times New Roman"/>
        </w:rPr>
        <w:t xml:space="preserve">, may be resulting </w:t>
      </w:r>
      <w:r w:rsidR="005C2185">
        <w:rPr>
          <w:rFonts w:ascii="Times New Roman" w:eastAsia="Times New Roman" w:hAnsi="Times New Roman" w:cs="Times New Roman"/>
        </w:rPr>
        <w:t xml:space="preserve">in continuing inequities for large numbers of Oregon’s historically underserved </w:t>
      </w:r>
      <w:r w:rsidR="00CD72D6">
        <w:rPr>
          <w:rFonts w:ascii="Times New Roman" w:eastAsia="Times New Roman" w:hAnsi="Times New Roman" w:cs="Times New Roman"/>
        </w:rPr>
        <w:t>students</w:t>
      </w:r>
      <w:r w:rsidR="005C2185">
        <w:rPr>
          <w:rFonts w:ascii="Times New Roman" w:eastAsia="Times New Roman" w:hAnsi="Times New Roman" w:cs="Times New Roman"/>
        </w:rPr>
        <w:t>.</w:t>
      </w:r>
    </w:p>
    <w:p w14:paraId="64F4EED7" w14:textId="77777777" w:rsidR="005B3ACD" w:rsidRDefault="005B3ACD" w:rsidP="00964050">
      <w:pPr>
        <w:spacing w:after="120" w:line="276" w:lineRule="auto"/>
        <w:rPr>
          <w:rFonts w:ascii="Times New Roman" w:eastAsia="Times New Roman" w:hAnsi="Times New Roman" w:cs="Times New Roman"/>
          <w:szCs w:val="22"/>
        </w:rPr>
      </w:pPr>
    </w:p>
    <w:p w14:paraId="0F6D79D4" w14:textId="77777777" w:rsidR="000E3049" w:rsidRDefault="000E3049">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58CFB5E8" w14:textId="47E74C78" w:rsidR="005B3ACD" w:rsidRPr="000F735E" w:rsidRDefault="005B3ACD" w:rsidP="00964050">
      <w:pPr>
        <w:spacing w:after="120" w:line="276" w:lineRule="auto"/>
        <w:rPr>
          <w:rFonts w:ascii="Times New Roman" w:eastAsia="Times New Roman" w:hAnsi="Times New Roman" w:cs="Times New Roman"/>
          <w:b/>
          <w:sz w:val="32"/>
          <w:szCs w:val="32"/>
        </w:rPr>
      </w:pPr>
      <w:r w:rsidRPr="000F735E">
        <w:rPr>
          <w:rFonts w:ascii="Times New Roman" w:eastAsia="Times New Roman" w:hAnsi="Times New Roman" w:cs="Times New Roman"/>
          <w:b/>
          <w:sz w:val="32"/>
          <w:szCs w:val="32"/>
        </w:rPr>
        <w:lastRenderedPageBreak/>
        <w:t>A Deeper Analysis</w:t>
      </w:r>
    </w:p>
    <w:p w14:paraId="4E8DEE74" w14:textId="62AA5BD0" w:rsidR="00964050" w:rsidRDefault="00964050" w:rsidP="00964050">
      <w:pPr>
        <w:spacing w:after="120" w:line="276" w:lineRule="auto"/>
        <w:rPr>
          <w:rFonts w:ascii="Times New Roman" w:eastAsia="Times New Roman" w:hAnsi="Times New Roman" w:cs="Times New Roman"/>
          <w:szCs w:val="22"/>
        </w:rPr>
      </w:pPr>
      <w:r>
        <w:rPr>
          <w:rFonts w:ascii="Times New Roman" w:eastAsia="Times New Roman" w:hAnsi="Times New Roman" w:cs="Times New Roman"/>
          <w:szCs w:val="22"/>
        </w:rPr>
        <w:t>The graphs above provide an initial look at the relationship between spending patterns and various district characteristics. The graphs, however, look at only one characteristic at a time (district size, the share of students who are English Language Learners, etc.). A more in-depth analysis that looks at multiple district characteristics at the same time can help identify which of the district characteristics have the most influence on spending patterns.</w:t>
      </w:r>
    </w:p>
    <w:p w14:paraId="3C913512" w14:textId="77777777" w:rsidR="00D11B90" w:rsidRDefault="00D11B90" w:rsidP="00964050">
      <w:pPr>
        <w:spacing w:after="120" w:line="276" w:lineRule="auto"/>
        <w:rPr>
          <w:rFonts w:ascii="Times New Roman" w:eastAsia="Times New Roman" w:hAnsi="Times New Roman" w:cs="Times New Roman"/>
          <w:szCs w:val="22"/>
        </w:rPr>
      </w:pPr>
    </w:p>
    <w:p w14:paraId="28BA1943" w14:textId="3EBE0786" w:rsidR="00644783" w:rsidRPr="00CF1066" w:rsidRDefault="00644783" w:rsidP="00644783">
      <w:pPr>
        <w:keepNext/>
        <w:keepLines/>
        <w:spacing w:before="40" w:after="120" w:line="276" w:lineRule="auto"/>
        <w:outlineLvl w:val="2"/>
        <w:rPr>
          <w:rFonts w:ascii="Times New Roman" w:eastAsiaTheme="majorEastAsia" w:hAnsi="Times New Roman" w:cs="Times New Roman"/>
          <w:b/>
          <w:sz w:val="28"/>
          <w:szCs w:val="28"/>
        </w:rPr>
      </w:pPr>
      <w:r w:rsidRPr="00CF1066">
        <w:rPr>
          <w:rFonts w:ascii="Times New Roman" w:eastAsiaTheme="majorEastAsia" w:hAnsi="Times New Roman" w:cs="Times New Roman"/>
          <w:b/>
          <w:sz w:val="28"/>
          <w:szCs w:val="28"/>
        </w:rPr>
        <w:t xml:space="preserve">Regression </w:t>
      </w:r>
      <w:r>
        <w:rPr>
          <w:rFonts w:ascii="Times New Roman" w:eastAsiaTheme="majorEastAsia" w:hAnsi="Times New Roman" w:cs="Times New Roman"/>
          <w:b/>
          <w:sz w:val="28"/>
          <w:szCs w:val="28"/>
        </w:rPr>
        <w:t xml:space="preserve">Model </w:t>
      </w:r>
      <w:r w:rsidRPr="00CF1066">
        <w:rPr>
          <w:rFonts w:ascii="Times New Roman" w:eastAsiaTheme="majorEastAsia" w:hAnsi="Times New Roman" w:cs="Times New Roman"/>
          <w:b/>
          <w:sz w:val="28"/>
          <w:szCs w:val="28"/>
        </w:rPr>
        <w:t>Results</w:t>
      </w:r>
    </w:p>
    <w:p w14:paraId="46798765" w14:textId="6F003299" w:rsidR="001B26CE" w:rsidRDefault="00DC703B" w:rsidP="00AC463A">
      <w:pPr>
        <w:spacing w:after="120" w:line="276" w:lineRule="auto"/>
        <w:rPr>
          <w:rFonts w:ascii="Times New Roman" w:eastAsia="Times New Roman" w:hAnsi="Times New Roman" w:cs="Times New Roman"/>
        </w:rPr>
      </w:pPr>
      <w:r w:rsidRPr="0051133B">
        <w:rPr>
          <w:rFonts w:ascii="Times New Roman" w:eastAsia="Times New Roman" w:hAnsi="Times New Roman" w:cs="Times New Roman"/>
        </w:rPr>
        <w:t>E</w:t>
      </w:r>
      <w:r w:rsidR="00A627DE" w:rsidRPr="0051133B">
        <w:rPr>
          <w:rFonts w:ascii="Times New Roman" w:eastAsia="Times New Roman" w:hAnsi="Times New Roman" w:cs="Times New Roman"/>
        </w:rPr>
        <w:t xml:space="preserve">xhibit </w:t>
      </w:r>
      <w:r w:rsidR="00C92275" w:rsidRPr="0051133B">
        <w:rPr>
          <w:rFonts w:ascii="Times New Roman" w:eastAsia="Times New Roman" w:hAnsi="Times New Roman" w:cs="Times New Roman"/>
        </w:rPr>
        <w:t>1</w:t>
      </w:r>
      <w:r w:rsidR="00A627DE" w:rsidRPr="0051133B">
        <w:rPr>
          <w:rFonts w:ascii="Times New Roman" w:eastAsia="Times New Roman" w:hAnsi="Times New Roman" w:cs="Times New Roman"/>
        </w:rPr>
        <w:t>3</w:t>
      </w:r>
      <w:r w:rsidR="00A627DE" w:rsidRPr="00A627DE">
        <w:rPr>
          <w:rFonts w:ascii="Times New Roman" w:eastAsia="Times New Roman" w:hAnsi="Times New Roman" w:cs="Times New Roman"/>
        </w:rPr>
        <w:t xml:space="preserve"> </w:t>
      </w:r>
      <w:r w:rsidR="006E22C4">
        <w:rPr>
          <w:rFonts w:ascii="Times New Roman" w:eastAsia="Times New Roman" w:hAnsi="Times New Roman" w:cs="Times New Roman"/>
        </w:rPr>
        <w:t xml:space="preserve">on the following page </w:t>
      </w:r>
      <w:r w:rsidR="00A627DE" w:rsidRPr="00A627DE">
        <w:rPr>
          <w:rFonts w:ascii="Times New Roman" w:eastAsia="Times New Roman" w:hAnsi="Times New Roman" w:cs="Times New Roman"/>
        </w:rPr>
        <w:t>shows the results of a set of statistical regressions</w:t>
      </w:r>
      <w:r w:rsidR="008E3D06">
        <w:rPr>
          <w:rFonts w:ascii="Times New Roman" w:eastAsia="Times New Roman" w:hAnsi="Times New Roman" w:cs="Times New Roman"/>
        </w:rPr>
        <w:t xml:space="preserve"> where we regressed</w:t>
      </w:r>
      <w:r w:rsidR="00A627DE" w:rsidRPr="00A627DE">
        <w:rPr>
          <w:rFonts w:ascii="Times New Roman" w:eastAsia="Times New Roman" w:hAnsi="Times New Roman" w:cs="Times New Roman"/>
        </w:rPr>
        <w:t xml:space="preserve"> the expenditure shares of districts</w:t>
      </w:r>
      <w:r w:rsidR="00F00064">
        <w:rPr>
          <w:rFonts w:ascii="Times New Roman" w:eastAsia="Times New Roman" w:hAnsi="Times New Roman" w:cs="Times New Roman"/>
        </w:rPr>
        <w:t>, for each of eight key expenditure categories,</w:t>
      </w:r>
      <w:r w:rsidR="00A627DE" w:rsidRPr="00A627DE">
        <w:rPr>
          <w:rFonts w:ascii="Times New Roman" w:eastAsia="Times New Roman" w:hAnsi="Times New Roman" w:cs="Times New Roman"/>
        </w:rPr>
        <w:t xml:space="preserve"> against a set of </w:t>
      </w:r>
      <w:r w:rsidR="00CF041C">
        <w:rPr>
          <w:rFonts w:ascii="Times New Roman" w:eastAsia="Times New Roman" w:hAnsi="Times New Roman" w:cs="Times New Roman"/>
        </w:rPr>
        <w:t xml:space="preserve">independent </w:t>
      </w:r>
      <w:r w:rsidR="00A627DE" w:rsidRPr="00A627DE">
        <w:rPr>
          <w:rFonts w:ascii="Times New Roman" w:eastAsia="Times New Roman" w:hAnsi="Times New Roman" w:cs="Times New Roman"/>
        </w:rPr>
        <w:t>variables associated with differences in district</w:t>
      </w:r>
      <w:r w:rsidR="00294C74">
        <w:rPr>
          <w:rFonts w:ascii="Times New Roman" w:eastAsia="Times New Roman" w:hAnsi="Times New Roman" w:cs="Times New Roman"/>
        </w:rPr>
        <w:t xml:space="preserve"> </w:t>
      </w:r>
      <w:r w:rsidR="00B7360A">
        <w:rPr>
          <w:rFonts w:ascii="Times New Roman" w:eastAsia="Times New Roman" w:hAnsi="Times New Roman" w:cs="Times New Roman"/>
        </w:rPr>
        <w:t>characteristics</w:t>
      </w:r>
      <w:r w:rsidR="00294C74">
        <w:rPr>
          <w:rFonts w:ascii="Times New Roman" w:eastAsia="Times New Roman" w:hAnsi="Times New Roman" w:cs="Times New Roman"/>
        </w:rPr>
        <w:t xml:space="preserve"> that might affect</w:t>
      </w:r>
      <w:r w:rsidR="00A627DE" w:rsidRPr="00A627DE">
        <w:rPr>
          <w:rFonts w:ascii="Times New Roman" w:eastAsia="Times New Roman" w:hAnsi="Times New Roman" w:cs="Times New Roman"/>
        </w:rPr>
        <w:t xml:space="preserve"> allocative decisions</w:t>
      </w:r>
      <w:r w:rsidR="00294C74">
        <w:rPr>
          <w:rFonts w:ascii="Times New Roman" w:eastAsia="Times New Roman" w:hAnsi="Times New Roman" w:cs="Times New Roman"/>
        </w:rPr>
        <w:t>.</w:t>
      </w:r>
      <w:r w:rsidR="00DE2562" w:rsidDel="00DE2562">
        <w:rPr>
          <w:rStyle w:val="FootnoteReference"/>
          <w:rFonts w:ascii="Times New Roman" w:eastAsia="Times New Roman" w:hAnsi="Times New Roman" w:cs="Times New Roman"/>
        </w:rPr>
        <w:t xml:space="preserve"> </w:t>
      </w:r>
      <w:r w:rsidR="00294C74">
        <w:rPr>
          <w:rFonts w:ascii="Times New Roman" w:eastAsia="Times New Roman" w:hAnsi="Times New Roman" w:cs="Times New Roman"/>
        </w:rPr>
        <w:t xml:space="preserve">These characteristics </w:t>
      </w:r>
    </w:p>
    <w:p w14:paraId="0D98FFDE" w14:textId="77777777" w:rsidR="001B26CE" w:rsidRDefault="001B26CE">
      <w:pPr>
        <w:rPr>
          <w:rFonts w:ascii="Times New Roman" w:eastAsia="Times New Roman" w:hAnsi="Times New Roman" w:cs="Times New Roman"/>
        </w:rPr>
        <w:sectPr w:rsidR="001B26CE" w:rsidSect="008C1C89">
          <w:footerReference w:type="default" r:id="rId24"/>
          <w:pgSz w:w="12240" w:h="15840"/>
          <w:pgMar w:top="1440" w:right="1440" w:bottom="1296" w:left="1440" w:header="720" w:footer="720" w:gutter="0"/>
          <w:cols w:space="720"/>
          <w:titlePg/>
          <w:docGrid w:linePitch="360"/>
        </w:sectPr>
      </w:pPr>
    </w:p>
    <w:p w14:paraId="08B5D0B4" w14:textId="15A99B9F" w:rsidR="001B26CE" w:rsidRDefault="001B26CE" w:rsidP="001B26CE">
      <w:pPr>
        <w:keepNext/>
        <w:spacing w:after="120"/>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lastRenderedPageBreak/>
        <w:t>Exhibit 13: Regression of Factors Associated with Share of Operating Expenditures, 2018-19</w:t>
      </w:r>
    </w:p>
    <w:p w14:paraId="640BAF97" w14:textId="399C2D74" w:rsidR="001B26CE" w:rsidRDefault="00DE617B">
      <w:pPr>
        <w:rPr>
          <w:rFonts w:ascii="Times New Roman" w:eastAsia="Times New Roman" w:hAnsi="Times New Roman" w:cs="Times New Roman"/>
        </w:rPr>
      </w:pPr>
      <w:r w:rsidRPr="00DE617B" w:rsidDel="00DE617B">
        <w:t xml:space="preserve">   </w:t>
      </w:r>
      <w:r w:rsidR="00DC05E4" w:rsidRPr="00DC05E4">
        <w:rPr>
          <w:noProof/>
        </w:rPr>
        <w:drawing>
          <wp:inline distT="0" distB="0" distL="0" distR="0" wp14:anchorId="6D6C6AA1" wp14:editId="109D1D38">
            <wp:extent cx="8072438" cy="54718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9402" cy="5476561"/>
                    </a:xfrm>
                    <a:prstGeom prst="rect">
                      <a:avLst/>
                    </a:prstGeom>
                    <a:noFill/>
                    <a:ln>
                      <a:noFill/>
                    </a:ln>
                  </pic:spPr>
                </pic:pic>
              </a:graphicData>
            </a:graphic>
          </wp:inline>
        </w:drawing>
      </w:r>
      <w:r w:rsidR="00DC05E4" w:rsidRPr="00DC05E4">
        <w:t xml:space="preserve"> </w:t>
      </w:r>
      <w:r w:rsidR="001B26CE">
        <w:rPr>
          <w:rFonts w:ascii="Times New Roman" w:eastAsia="Times New Roman" w:hAnsi="Times New Roman" w:cs="Times New Roman"/>
        </w:rPr>
        <w:br w:type="page"/>
      </w:r>
    </w:p>
    <w:p w14:paraId="3311489B" w14:textId="77777777" w:rsidR="001B26CE" w:rsidRDefault="001B26CE" w:rsidP="00AC463A">
      <w:pPr>
        <w:spacing w:after="120" w:line="276" w:lineRule="auto"/>
        <w:rPr>
          <w:rFonts w:ascii="Times New Roman" w:eastAsia="Times New Roman" w:hAnsi="Times New Roman" w:cs="Times New Roman"/>
        </w:rPr>
        <w:sectPr w:rsidR="001B26CE" w:rsidSect="001B26CE">
          <w:pgSz w:w="15840" w:h="12240" w:orient="landscape"/>
          <w:pgMar w:top="1440" w:right="1440" w:bottom="1440" w:left="1440" w:header="720" w:footer="720" w:gutter="0"/>
          <w:cols w:space="720"/>
          <w:docGrid w:linePitch="360"/>
        </w:sectPr>
      </w:pPr>
    </w:p>
    <w:p w14:paraId="4AF229BD" w14:textId="419CAFCE" w:rsidR="00E0309E" w:rsidRPr="00A627DE" w:rsidRDefault="00294C74" w:rsidP="00AC463A">
      <w:pPr>
        <w:spacing w:after="120" w:line="276" w:lineRule="auto"/>
        <w:rPr>
          <w:rFonts w:ascii="Times New Roman" w:eastAsia="Times New Roman" w:hAnsi="Times New Roman" w:cs="Times New Roman"/>
        </w:rPr>
      </w:pPr>
      <w:r>
        <w:rPr>
          <w:rFonts w:ascii="Times New Roman" w:eastAsia="Times New Roman" w:hAnsi="Times New Roman" w:cs="Times New Roman"/>
        </w:rPr>
        <w:lastRenderedPageBreak/>
        <w:t>include</w:t>
      </w:r>
      <w:r w:rsidR="00A627DE" w:rsidRPr="00A627DE">
        <w:rPr>
          <w:rFonts w:ascii="Times New Roman" w:eastAsia="Times New Roman" w:hAnsi="Times New Roman" w:cs="Times New Roman"/>
        </w:rPr>
        <w:t xml:space="preserve"> per-pupil expenditures, </w:t>
      </w:r>
      <w:r w:rsidR="00F00064">
        <w:rPr>
          <w:rFonts w:ascii="Times New Roman" w:eastAsia="Times New Roman" w:hAnsi="Times New Roman" w:cs="Times New Roman"/>
        </w:rPr>
        <w:t>district enrollment (Fall Membership)</w:t>
      </w:r>
      <w:r w:rsidR="00A627DE" w:rsidRPr="00A627DE">
        <w:rPr>
          <w:rFonts w:ascii="Times New Roman" w:eastAsia="Times New Roman" w:hAnsi="Times New Roman" w:cs="Times New Roman"/>
        </w:rPr>
        <w:t>, self-contained median class size, average teacher salar</w:t>
      </w:r>
      <w:r w:rsidR="00F00064">
        <w:rPr>
          <w:rFonts w:ascii="Times New Roman" w:eastAsia="Times New Roman" w:hAnsi="Times New Roman" w:cs="Times New Roman"/>
        </w:rPr>
        <w:t>y</w:t>
      </w:r>
      <w:r w:rsidR="00A627DE" w:rsidRPr="00A627DE">
        <w:rPr>
          <w:rFonts w:ascii="Times New Roman" w:eastAsia="Times New Roman" w:hAnsi="Times New Roman" w:cs="Times New Roman"/>
        </w:rPr>
        <w:t xml:space="preserve">, </w:t>
      </w:r>
      <w:r w:rsidR="00B7360A">
        <w:rPr>
          <w:rFonts w:ascii="Times New Roman" w:eastAsia="Times New Roman" w:hAnsi="Times New Roman" w:cs="Times New Roman"/>
        </w:rPr>
        <w:t>the length of the school year</w:t>
      </w:r>
      <w:r w:rsidR="00F00064">
        <w:rPr>
          <w:rFonts w:ascii="Times New Roman" w:eastAsia="Times New Roman" w:hAnsi="Times New Roman" w:cs="Times New Roman"/>
        </w:rPr>
        <w:t xml:space="preserve"> (days in session)</w:t>
      </w:r>
      <w:r w:rsidR="00A627DE" w:rsidRPr="00A627DE">
        <w:rPr>
          <w:rFonts w:ascii="Times New Roman" w:eastAsia="Times New Roman" w:hAnsi="Times New Roman" w:cs="Times New Roman"/>
        </w:rPr>
        <w:t xml:space="preserve">, NCES locale code classification status (Rural, Suburb, Town or City), </w:t>
      </w:r>
      <w:r w:rsidR="00B7360A">
        <w:rPr>
          <w:rFonts w:ascii="Times New Roman" w:eastAsia="Times New Roman" w:hAnsi="Times New Roman" w:cs="Times New Roman"/>
        </w:rPr>
        <w:t>d</w:t>
      </w:r>
      <w:r w:rsidR="00A627DE" w:rsidRPr="00A627DE">
        <w:rPr>
          <w:rFonts w:ascii="Times New Roman" w:eastAsia="Times New Roman" w:hAnsi="Times New Roman" w:cs="Times New Roman"/>
        </w:rPr>
        <w:t xml:space="preserve">istrict </w:t>
      </w:r>
      <w:r w:rsidR="00B7360A">
        <w:rPr>
          <w:rFonts w:ascii="Times New Roman" w:eastAsia="Times New Roman" w:hAnsi="Times New Roman" w:cs="Times New Roman"/>
        </w:rPr>
        <w:t>s</w:t>
      </w:r>
      <w:r w:rsidR="00A627DE" w:rsidRPr="00A627DE">
        <w:rPr>
          <w:rFonts w:ascii="Times New Roman" w:eastAsia="Times New Roman" w:hAnsi="Times New Roman" w:cs="Times New Roman"/>
        </w:rPr>
        <w:t xml:space="preserve">ize, </w:t>
      </w:r>
      <w:r w:rsidR="00B7360A">
        <w:rPr>
          <w:rFonts w:ascii="Times New Roman" w:eastAsia="Times New Roman" w:hAnsi="Times New Roman" w:cs="Times New Roman"/>
        </w:rPr>
        <w:t>d</w:t>
      </w:r>
      <w:r w:rsidR="00A627DE" w:rsidRPr="00A627DE">
        <w:rPr>
          <w:rFonts w:ascii="Times New Roman" w:eastAsia="Times New Roman" w:hAnsi="Times New Roman" w:cs="Times New Roman"/>
        </w:rPr>
        <w:t xml:space="preserve">emographic </w:t>
      </w:r>
      <w:r w:rsidR="00B7360A">
        <w:rPr>
          <w:rFonts w:ascii="Times New Roman" w:eastAsia="Times New Roman" w:hAnsi="Times New Roman" w:cs="Times New Roman"/>
        </w:rPr>
        <w:t>s</w:t>
      </w:r>
      <w:r w:rsidR="00A627DE" w:rsidRPr="00A627DE">
        <w:rPr>
          <w:rFonts w:ascii="Times New Roman" w:eastAsia="Times New Roman" w:hAnsi="Times New Roman" w:cs="Times New Roman"/>
        </w:rPr>
        <w:t xml:space="preserve">tudent </w:t>
      </w:r>
      <w:r w:rsidR="00B7360A">
        <w:rPr>
          <w:rFonts w:ascii="Times New Roman" w:eastAsia="Times New Roman" w:hAnsi="Times New Roman" w:cs="Times New Roman"/>
        </w:rPr>
        <w:t>g</w:t>
      </w:r>
      <w:r w:rsidR="00A627DE" w:rsidRPr="00A627DE">
        <w:rPr>
          <w:rFonts w:ascii="Times New Roman" w:eastAsia="Times New Roman" w:hAnsi="Times New Roman" w:cs="Times New Roman"/>
        </w:rPr>
        <w:t xml:space="preserve">roup shares, and </w:t>
      </w:r>
      <w:r w:rsidR="00971FBA">
        <w:rPr>
          <w:rFonts w:ascii="Times New Roman" w:eastAsia="Times New Roman" w:hAnsi="Times New Roman" w:cs="Times New Roman"/>
        </w:rPr>
        <w:t>o</w:t>
      </w:r>
      <w:r w:rsidR="00A627DE" w:rsidRPr="00A627DE">
        <w:rPr>
          <w:rFonts w:ascii="Times New Roman" w:eastAsia="Times New Roman" w:hAnsi="Times New Roman" w:cs="Times New Roman"/>
        </w:rPr>
        <w:t xml:space="preserve">ther </w:t>
      </w:r>
      <w:r w:rsidR="00971FBA">
        <w:rPr>
          <w:rFonts w:ascii="Times New Roman" w:eastAsia="Times New Roman" w:hAnsi="Times New Roman" w:cs="Times New Roman"/>
        </w:rPr>
        <w:t>s</w:t>
      </w:r>
      <w:r w:rsidR="00A627DE" w:rsidRPr="00A627DE">
        <w:rPr>
          <w:rFonts w:ascii="Times New Roman" w:eastAsia="Times New Roman" w:hAnsi="Times New Roman" w:cs="Times New Roman"/>
        </w:rPr>
        <w:t xml:space="preserve">tudent </w:t>
      </w:r>
      <w:r w:rsidR="00971FBA">
        <w:rPr>
          <w:rFonts w:ascii="Times New Roman" w:eastAsia="Times New Roman" w:hAnsi="Times New Roman" w:cs="Times New Roman"/>
        </w:rPr>
        <w:t>g</w:t>
      </w:r>
      <w:r w:rsidR="00A627DE" w:rsidRPr="00A627DE">
        <w:rPr>
          <w:rFonts w:ascii="Times New Roman" w:eastAsia="Times New Roman" w:hAnsi="Times New Roman" w:cs="Times New Roman"/>
        </w:rPr>
        <w:t>roup shares.</w:t>
      </w:r>
    </w:p>
    <w:p w14:paraId="015D436F" w14:textId="23464E71" w:rsidR="00E0309E" w:rsidRDefault="00A627DE" w:rsidP="00AC463A">
      <w:pPr>
        <w:spacing w:after="120" w:line="276" w:lineRule="auto"/>
        <w:rPr>
          <w:rFonts w:ascii="Times New Roman" w:eastAsia="Times New Roman" w:hAnsi="Times New Roman" w:cs="Times New Roman"/>
        </w:rPr>
      </w:pPr>
      <w:r w:rsidRPr="00A627DE">
        <w:rPr>
          <w:rFonts w:ascii="Times New Roman" w:eastAsia="Times New Roman" w:hAnsi="Times New Roman" w:cs="Times New Roman"/>
        </w:rPr>
        <w:t xml:space="preserve">Expenditures used in this analysis were classified according to the </w:t>
      </w:r>
      <w:r w:rsidR="0023388D">
        <w:rPr>
          <w:rFonts w:ascii="Times New Roman" w:eastAsia="Times New Roman" w:hAnsi="Times New Roman" w:cs="Times New Roman"/>
        </w:rPr>
        <w:t>requirements</w:t>
      </w:r>
      <w:r w:rsidRPr="00A627DE">
        <w:rPr>
          <w:rFonts w:ascii="Times New Roman" w:eastAsia="Times New Roman" w:hAnsi="Times New Roman" w:cs="Times New Roman"/>
        </w:rPr>
        <w:t xml:space="preserve"> in the 2018 Program Budgeting and Accounting Manual for School Districts and Education Service Districts in Oregon</w:t>
      </w:r>
      <w:r w:rsidRPr="00A627DE">
        <w:rPr>
          <w:rFonts w:ascii="Times New Roman" w:eastAsia="Times New Roman" w:hAnsi="Times New Roman" w:cs="Times New Roman"/>
          <w:vertAlign w:val="superscript"/>
        </w:rPr>
        <w:footnoteReference w:id="4"/>
      </w:r>
      <w:r w:rsidRPr="00A627DE">
        <w:rPr>
          <w:rFonts w:ascii="Times New Roman" w:eastAsia="Times New Roman" w:hAnsi="Times New Roman" w:cs="Times New Roman"/>
        </w:rPr>
        <w:t xml:space="preserve">. </w:t>
      </w:r>
      <w:r w:rsidR="0080293E">
        <w:rPr>
          <w:rFonts w:ascii="Times New Roman" w:eastAsia="Times New Roman" w:hAnsi="Times New Roman" w:cs="Times New Roman"/>
        </w:rPr>
        <w:t xml:space="preserve">These requirements define a common set of expenditure classifications so that the data for all of Oregon’s school districts are comparable. </w:t>
      </w:r>
      <w:r w:rsidR="00A4510C">
        <w:rPr>
          <w:rFonts w:ascii="Times New Roman" w:eastAsia="Times New Roman" w:hAnsi="Times New Roman" w:cs="Times New Roman"/>
        </w:rPr>
        <w:t>However, b</w:t>
      </w:r>
      <w:r w:rsidRPr="00A627DE">
        <w:rPr>
          <w:rFonts w:ascii="Times New Roman" w:eastAsia="Times New Roman" w:hAnsi="Times New Roman" w:cs="Times New Roman"/>
        </w:rPr>
        <w:t xml:space="preserve">ecause of differences in the expenditure reporting requirements for charter schools, </w:t>
      </w:r>
      <w:r w:rsidR="0080293E">
        <w:rPr>
          <w:rFonts w:ascii="Times New Roman" w:eastAsia="Times New Roman" w:hAnsi="Times New Roman" w:cs="Times New Roman"/>
        </w:rPr>
        <w:t>in our analysis we excluded the</w:t>
      </w:r>
      <w:r w:rsidRPr="00A627DE">
        <w:rPr>
          <w:rFonts w:ascii="Times New Roman" w:eastAsia="Times New Roman" w:hAnsi="Times New Roman" w:cs="Times New Roman"/>
        </w:rPr>
        <w:t xml:space="preserve"> expenditures</w:t>
      </w:r>
      <w:r w:rsidR="0080293E">
        <w:rPr>
          <w:rFonts w:ascii="Times New Roman" w:eastAsia="Times New Roman" w:hAnsi="Times New Roman" w:cs="Times New Roman"/>
        </w:rPr>
        <w:t xml:space="preserve"> </w:t>
      </w:r>
      <w:r w:rsidR="00A4510C">
        <w:rPr>
          <w:rFonts w:ascii="Times New Roman" w:eastAsia="Times New Roman" w:hAnsi="Times New Roman" w:cs="Times New Roman"/>
        </w:rPr>
        <w:t>districts made for</w:t>
      </w:r>
      <w:r w:rsidR="0080293E">
        <w:rPr>
          <w:rFonts w:ascii="Times New Roman" w:eastAsia="Times New Roman" w:hAnsi="Times New Roman" w:cs="Times New Roman"/>
        </w:rPr>
        <w:t xml:space="preserve"> </w:t>
      </w:r>
      <w:r w:rsidRPr="00A627DE">
        <w:rPr>
          <w:rFonts w:ascii="Times New Roman" w:eastAsia="Times New Roman" w:hAnsi="Times New Roman" w:cs="Times New Roman"/>
        </w:rPr>
        <w:t>charter school</w:t>
      </w:r>
      <w:r w:rsidR="0080293E">
        <w:rPr>
          <w:rFonts w:ascii="Times New Roman" w:eastAsia="Times New Roman" w:hAnsi="Times New Roman" w:cs="Times New Roman"/>
        </w:rPr>
        <w:t>s</w:t>
      </w:r>
      <w:r w:rsidRPr="00A627DE">
        <w:rPr>
          <w:rFonts w:ascii="Times New Roman" w:eastAsia="Times New Roman" w:hAnsi="Times New Roman" w:cs="Times New Roman"/>
        </w:rPr>
        <w:t xml:space="preserve"> </w:t>
      </w:r>
      <w:r w:rsidR="0080293E">
        <w:rPr>
          <w:rFonts w:ascii="Times New Roman" w:eastAsia="Times New Roman" w:hAnsi="Times New Roman" w:cs="Times New Roman"/>
        </w:rPr>
        <w:t>(</w:t>
      </w:r>
      <w:r w:rsidRPr="00A627DE">
        <w:rPr>
          <w:rFonts w:ascii="Times New Roman" w:eastAsia="Times New Roman" w:hAnsi="Times New Roman" w:cs="Times New Roman"/>
        </w:rPr>
        <w:t>expenditure function 1280</w:t>
      </w:r>
      <w:r w:rsidR="0023388D">
        <w:rPr>
          <w:rFonts w:ascii="Times New Roman" w:eastAsia="Times New Roman" w:hAnsi="Times New Roman" w:cs="Times New Roman"/>
        </w:rPr>
        <w:t>)</w:t>
      </w:r>
      <w:r w:rsidRPr="00A627DE">
        <w:rPr>
          <w:rFonts w:ascii="Times New Roman" w:eastAsia="Times New Roman" w:hAnsi="Times New Roman" w:cs="Times New Roman"/>
        </w:rPr>
        <w:t>. We also excluded students enrolled in these</w:t>
      </w:r>
      <w:r w:rsidR="00FA6AB3">
        <w:rPr>
          <w:rFonts w:ascii="Times New Roman" w:eastAsia="Times New Roman" w:hAnsi="Times New Roman" w:cs="Times New Roman"/>
        </w:rPr>
        <w:t xml:space="preserve"> charter</w:t>
      </w:r>
      <w:r w:rsidRPr="00A627DE">
        <w:rPr>
          <w:rFonts w:ascii="Times New Roman" w:eastAsia="Times New Roman" w:hAnsi="Times New Roman" w:cs="Times New Roman"/>
        </w:rPr>
        <w:t xml:space="preserve"> schools from the calculation of enrollment, per-pupil expenditures, and all student group shares. </w:t>
      </w:r>
    </w:p>
    <w:p w14:paraId="3FCD6EB7" w14:textId="14CF7AD6" w:rsidR="00E0309E" w:rsidRDefault="00A627DE" w:rsidP="00AC463A">
      <w:pPr>
        <w:spacing w:after="120" w:line="276" w:lineRule="auto"/>
        <w:rPr>
          <w:rFonts w:ascii="Times New Roman" w:eastAsia="Times New Roman" w:hAnsi="Times New Roman" w:cs="Times New Roman"/>
        </w:rPr>
      </w:pPr>
      <w:r w:rsidRPr="00A627DE">
        <w:rPr>
          <w:rFonts w:ascii="Times New Roman" w:eastAsia="Times New Roman" w:hAnsi="Times New Roman" w:cs="Times New Roman"/>
        </w:rPr>
        <w:t xml:space="preserve">To avoid doubly counting expenditures, we excluded expenditures with object codes in the 370 group. This group is designed to track tuition </w:t>
      </w:r>
      <w:r w:rsidR="0023388D">
        <w:rPr>
          <w:rFonts w:ascii="Times New Roman" w:eastAsia="Times New Roman" w:hAnsi="Times New Roman" w:cs="Times New Roman"/>
        </w:rPr>
        <w:t>payments</w:t>
      </w:r>
      <w:r w:rsidR="006B077B">
        <w:rPr>
          <w:rFonts w:ascii="Times New Roman" w:eastAsia="Times New Roman" w:hAnsi="Times New Roman" w:cs="Times New Roman"/>
        </w:rPr>
        <w:t xml:space="preserve"> from </w:t>
      </w:r>
      <w:r w:rsidR="0023388D">
        <w:rPr>
          <w:rFonts w:ascii="Times New Roman" w:eastAsia="Times New Roman" w:hAnsi="Times New Roman" w:cs="Times New Roman"/>
        </w:rPr>
        <w:t>one district to another in cases where a student transfers to another district under a contract between the two districts. T</w:t>
      </w:r>
      <w:r w:rsidRPr="00A627DE">
        <w:rPr>
          <w:rFonts w:ascii="Times New Roman" w:eastAsia="Times New Roman" w:hAnsi="Times New Roman" w:cs="Times New Roman"/>
        </w:rPr>
        <w:t>hese expenditures do not reflect the purchase of</w:t>
      </w:r>
      <w:r w:rsidR="00A4510C">
        <w:rPr>
          <w:rFonts w:ascii="Times New Roman" w:eastAsia="Times New Roman" w:hAnsi="Times New Roman" w:cs="Times New Roman"/>
        </w:rPr>
        <w:t xml:space="preserve"> </w:t>
      </w:r>
      <w:r w:rsidRPr="00A627DE">
        <w:rPr>
          <w:rFonts w:ascii="Times New Roman" w:eastAsia="Times New Roman" w:hAnsi="Times New Roman" w:cs="Times New Roman"/>
        </w:rPr>
        <w:t>educational good</w:t>
      </w:r>
      <w:r w:rsidR="00A4510C">
        <w:rPr>
          <w:rFonts w:ascii="Times New Roman" w:eastAsia="Times New Roman" w:hAnsi="Times New Roman" w:cs="Times New Roman"/>
        </w:rPr>
        <w:t>s</w:t>
      </w:r>
      <w:r w:rsidRPr="00A627DE">
        <w:rPr>
          <w:rFonts w:ascii="Times New Roman" w:eastAsia="Times New Roman" w:hAnsi="Times New Roman" w:cs="Times New Roman"/>
        </w:rPr>
        <w:t xml:space="preserve"> or service</w:t>
      </w:r>
      <w:r w:rsidR="00A4510C">
        <w:rPr>
          <w:rFonts w:ascii="Times New Roman" w:eastAsia="Times New Roman" w:hAnsi="Times New Roman" w:cs="Times New Roman"/>
        </w:rPr>
        <w:t xml:space="preserve">s but </w:t>
      </w:r>
      <w:r w:rsidRPr="00A627DE">
        <w:rPr>
          <w:rFonts w:ascii="Times New Roman" w:eastAsia="Times New Roman" w:hAnsi="Times New Roman" w:cs="Times New Roman"/>
        </w:rPr>
        <w:t xml:space="preserve">are merely an accounting method for documenting transfer payments from one </w:t>
      </w:r>
      <w:r w:rsidR="0023388D">
        <w:rPr>
          <w:rFonts w:ascii="Times New Roman" w:eastAsia="Times New Roman" w:hAnsi="Times New Roman" w:cs="Times New Roman"/>
        </w:rPr>
        <w:t>district to another</w:t>
      </w:r>
      <w:r w:rsidRPr="00A627DE">
        <w:rPr>
          <w:rFonts w:ascii="Times New Roman" w:eastAsia="Times New Roman" w:hAnsi="Times New Roman" w:cs="Times New Roman"/>
        </w:rPr>
        <w:t xml:space="preserve">. </w:t>
      </w:r>
    </w:p>
    <w:p w14:paraId="37BCF1AA" w14:textId="48075E6D" w:rsidR="001E0254" w:rsidRDefault="00A627DE" w:rsidP="00AC463A">
      <w:pPr>
        <w:keepNext/>
        <w:keepLines/>
        <w:spacing w:before="40" w:after="120" w:line="276" w:lineRule="auto"/>
        <w:outlineLvl w:val="2"/>
        <w:rPr>
          <w:rFonts w:ascii="Times New Roman" w:eastAsia="Times New Roman" w:hAnsi="Times New Roman" w:cs="Times New Roman"/>
        </w:rPr>
      </w:pPr>
      <w:r w:rsidRPr="00A627DE">
        <w:rPr>
          <w:rFonts w:ascii="Times New Roman" w:eastAsia="Times New Roman" w:hAnsi="Times New Roman" w:cs="Times New Roman"/>
        </w:rPr>
        <w:t xml:space="preserve">To restrict the analysis of expenditures to only those used for providing </w:t>
      </w:r>
      <w:r w:rsidR="001763C0">
        <w:rPr>
          <w:rFonts w:ascii="Times New Roman" w:eastAsia="Times New Roman" w:hAnsi="Times New Roman" w:cs="Times New Roman"/>
        </w:rPr>
        <w:t xml:space="preserve">current </w:t>
      </w:r>
      <w:r w:rsidRPr="00A627DE">
        <w:rPr>
          <w:rFonts w:ascii="Times New Roman" w:eastAsia="Times New Roman" w:hAnsi="Times New Roman" w:cs="Times New Roman"/>
        </w:rPr>
        <w:t>educational services to students, and not for revenues such as bond funds earmarked for capital acquisition or debt service, we include only those expenditures which were financed by revenues in the General Fund, Special Revenue Funds</w:t>
      </w:r>
      <w:r w:rsidR="00FA6AB3">
        <w:rPr>
          <w:rFonts w:ascii="Times New Roman" w:eastAsia="Times New Roman" w:hAnsi="Times New Roman" w:cs="Times New Roman"/>
        </w:rPr>
        <w:t>,</w:t>
      </w:r>
      <w:r w:rsidRPr="00A627DE">
        <w:rPr>
          <w:rFonts w:ascii="Times New Roman" w:eastAsia="Times New Roman" w:hAnsi="Times New Roman" w:cs="Times New Roman"/>
        </w:rPr>
        <w:t xml:space="preserve"> and Enterprise </w:t>
      </w:r>
      <w:r w:rsidR="0023388D">
        <w:rPr>
          <w:rFonts w:ascii="Times New Roman" w:eastAsia="Times New Roman" w:hAnsi="Times New Roman" w:cs="Times New Roman"/>
        </w:rPr>
        <w:t>F</w:t>
      </w:r>
      <w:r w:rsidRPr="00A627DE">
        <w:rPr>
          <w:rFonts w:ascii="Times New Roman" w:eastAsia="Times New Roman" w:hAnsi="Times New Roman" w:cs="Times New Roman"/>
        </w:rPr>
        <w:t>unds</w:t>
      </w:r>
      <w:r w:rsidR="001763C0">
        <w:rPr>
          <w:rFonts w:ascii="Times New Roman" w:eastAsia="Times New Roman" w:hAnsi="Times New Roman" w:cs="Times New Roman"/>
        </w:rPr>
        <w:t xml:space="preserve">. This </w:t>
      </w:r>
      <w:r w:rsidR="00F00064">
        <w:rPr>
          <w:rFonts w:ascii="Times New Roman" w:eastAsia="Times New Roman" w:hAnsi="Times New Roman" w:cs="Times New Roman"/>
        </w:rPr>
        <w:t>definition</w:t>
      </w:r>
      <w:r w:rsidR="001763C0">
        <w:rPr>
          <w:rFonts w:ascii="Times New Roman" w:eastAsia="Times New Roman" w:hAnsi="Times New Roman" w:cs="Times New Roman"/>
        </w:rPr>
        <w:t xml:space="preserve"> of expenditure is most commonly referred to as ‘Operating Expenditures”. We </w:t>
      </w:r>
      <w:r w:rsidRPr="00A627DE">
        <w:rPr>
          <w:rFonts w:ascii="Times New Roman" w:eastAsia="Times New Roman" w:hAnsi="Times New Roman" w:cs="Times New Roman"/>
        </w:rPr>
        <w:t xml:space="preserve">excluded </w:t>
      </w:r>
      <w:r w:rsidR="00980999">
        <w:rPr>
          <w:rFonts w:ascii="Times New Roman" w:eastAsia="Times New Roman" w:hAnsi="Times New Roman" w:cs="Times New Roman"/>
        </w:rPr>
        <w:t>expenditures</w:t>
      </w:r>
      <w:r w:rsidRPr="00A627DE">
        <w:rPr>
          <w:rFonts w:ascii="Times New Roman" w:eastAsia="Times New Roman" w:hAnsi="Times New Roman" w:cs="Times New Roman"/>
        </w:rPr>
        <w:t xml:space="preserve"> from the De</w:t>
      </w:r>
      <w:r w:rsidR="006261E9">
        <w:rPr>
          <w:rFonts w:ascii="Times New Roman" w:eastAsia="Times New Roman" w:hAnsi="Times New Roman" w:cs="Times New Roman"/>
        </w:rPr>
        <w:t>bt</w:t>
      </w:r>
      <w:r w:rsidRPr="00A627DE">
        <w:rPr>
          <w:rFonts w:ascii="Times New Roman" w:eastAsia="Times New Roman" w:hAnsi="Times New Roman" w:cs="Times New Roman"/>
        </w:rPr>
        <w:t xml:space="preserve"> Service Funds, Capital Projects Funds, Internal Service Funds, and Trust and Agency Funds. </w:t>
      </w:r>
      <w:r w:rsidR="006261E9">
        <w:rPr>
          <w:rFonts w:ascii="Times New Roman" w:eastAsia="Times New Roman" w:hAnsi="Times New Roman" w:cs="Times New Roman"/>
        </w:rPr>
        <w:t>T</w:t>
      </w:r>
      <w:r w:rsidRPr="00A627DE">
        <w:rPr>
          <w:rFonts w:ascii="Times New Roman" w:eastAsia="Times New Roman" w:hAnsi="Times New Roman" w:cs="Times New Roman"/>
        </w:rPr>
        <w:t>his set of restrictions allow us to meaningfully analyze only those differences in expenditure allocations that may measurably impact student outcomes.</w:t>
      </w:r>
    </w:p>
    <w:p w14:paraId="4FF4BAF1" w14:textId="77777777" w:rsidR="00021ADC" w:rsidRDefault="00021ADC" w:rsidP="00AC463A">
      <w:pPr>
        <w:keepNext/>
        <w:keepLines/>
        <w:spacing w:before="40" w:after="120" w:line="276" w:lineRule="auto"/>
        <w:outlineLvl w:val="2"/>
        <w:rPr>
          <w:rFonts w:ascii="Times New Roman" w:eastAsia="Times New Roman" w:hAnsi="Times New Roman" w:cs="Times New Roman"/>
        </w:rPr>
      </w:pPr>
    </w:p>
    <w:p w14:paraId="7718EE56" w14:textId="1F4A7ACF" w:rsidR="00E7657B" w:rsidRPr="00177AC9" w:rsidRDefault="003D0EC1" w:rsidP="00AC463A">
      <w:pPr>
        <w:keepNext/>
        <w:keepLines/>
        <w:spacing w:before="40" w:after="120" w:line="276" w:lineRule="auto"/>
        <w:outlineLvl w:val="2"/>
        <w:rPr>
          <w:rFonts w:ascii="Times New Roman" w:eastAsiaTheme="majorEastAsia" w:hAnsi="Times New Roman" w:cs="Times New Roman"/>
          <w:b/>
          <w:sz w:val="24"/>
        </w:rPr>
      </w:pPr>
      <w:r w:rsidRPr="00A627DE" w:rsidDel="003D0EC1">
        <w:rPr>
          <w:rFonts w:ascii="Times New Roman" w:eastAsia="Times New Roman" w:hAnsi="Times New Roman" w:cs="Times New Roman"/>
        </w:rPr>
        <w:t xml:space="preserve"> </w:t>
      </w:r>
      <w:r w:rsidR="00DE74B5" w:rsidRPr="00177AC9">
        <w:rPr>
          <w:rFonts w:ascii="Times New Roman" w:eastAsiaTheme="majorEastAsia" w:hAnsi="Times New Roman" w:cs="Times New Roman"/>
          <w:b/>
          <w:sz w:val="24"/>
        </w:rPr>
        <w:t>Instructional Expenditure</w:t>
      </w:r>
      <w:r w:rsidR="00D82DAF" w:rsidRPr="00177AC9">
        <w:rPr>
          <w:rFonts w:ascii="Times New Roman" w:eastAsiaTheme="majorEastAsia" w:hAnsi="Times New Roman" w:cs="Times New Roman"/>
          <w:b/>
          <w:sz w:val="24"/>
        </w:rPr>
        <w:t>s</w:t>
      </w:r>
      <w:r w:rsidR="00E7657B" w:rsidRPr="00177AC9">
        <w:rPr>
          <w:rFonts w:ascii="Times New Roman" w:eastAsiaTheme="majorEastAsia" w:hAnsi="Times New Roman" w:cs="Times New Roman"/>
          <w:b/>
          <w:sz w:val="24"/>
        </w:rPr>
        <w:t xml:space="preserve"> </w:t>
      </w:r>
    </w:p>
    <w:p w14:paraId="51EC9291" w14:textId="005A6110" w:rsidR="004000D8" w:rsidRPr="00177AC9" w:rsidRDefault="004000D8" w:rsidP="00177AC9">
      <w:pPr>
        <w:spacing w:after="120" w:line="276" w:lineRule="auto"/>
        <w:rPr>
          <w:rFonts w:ascii="Times New Roman" w:hAnsi="Times New Roman" w:cs="Times New Roman"/>
        </w:rPr>
      </w:pPr>
      <w:r w:rsidRPr="00177AC9">
        <w:rPr>
          <w:rFonts w:ascii="Times New Roman" w:hAnsi="Times New Roman" w:cs="Times New Roman"/>
        </w:rPr>
        <w:t xml:space="preserve">Increases in </w:t>
      </w:r>
      <w:r w:rsidR="00545561">
        <w:rPr>
          <w:rFonts w:ascii="Times New Roman" w:hAnsi="Times New Roman" w:cs="Times New Roman"/>
        </w:rPr>
        <w:t xml:space="preserve">total </w:t>
      </w:r>
      <w:r w:rsidRPr="00177AC9">
        <w:rPr>
          <w:rFonts w:ascii="Times New Roman" w:hAnsi="Times New Roman" w:cs="Times New Roman"/>
        </w:rPr>
        <w:t xml:space="preserve">per-pupil expenditures within a district are statistically significantly correlated with </w:t>
      </w:r>
      <w:r w:rsidR="00545561">
        <w:rPr>
          <w:rFonts w:ascii="Times New Roman" w:hAnsi="Times New Roman" w:cs="Times New Roman"/>
        </w:rPr>
        <w:t>a</w:t>
      </w:r>
      <w:r w:rsidRPr="00177AC9">
        <w:rPr>
          <w:rFonts w:ascii="Times New Roman" w:hAnsi="Times New Roman" w:cs="Times New Roman"/>
        </w:rPr>
        <w:t xml:space="preserve"> reduction in</w:t>
      </w:r>
      <w:r w:rsidR="00416A8D">
        <w:rPr>
          <w:rFonts w:ascii="Times New Roman" w:hAnsi="Times New Roman" w:cs="Times New Roman"/>
        </w:rPr>
        <w:t xml:space="preserve"> </w:t>
      </w:r>
      <w:r w:rsidR="00283DDD">
        <w:rPr>
          <w:rFonts w:ascii="Times New Roman" w:hAnsi="Times New Roman" w:cs="Times New Roman"/>
        </w:rPr>
        <w:t xml:space="preserve">the share of </w:t>
      </w:r>
      <w:r w:rsidR="00416A8D">
        <w:rPr>
          <w:rFonts w:ascii="Times New Roman" w:hAnsi="Times New Roman" w:cs="Times New Roman"/>
        </w:rPr>
        <w:t>expenditures allocated to</w:t>
      </w:r>
      <w:r w:rsidR="008F38C6">
        <w:rPr>
          <w:rFonts w:ascii="Times New Roman" w:hAnsi="Times New Roman" w:cs="Times New Roman"/>
        </w:rPr>
        <w:t xml:space="preserve"> Instruction</w:t>
      </w:r>
      <w:r w:rsidRPr="00177AC9">
        <w:rPr>
          <w:rFonts w:ascii="Times New Roman" w:hAnsi="Times New Roman" w:cs="Times New Roman"/>
        </w:rPr>
        <w:t>. This is consistent with the idea that instructional resources are allocated to schools in a fixed proportion to enrollment in order to achieve metrics such as target class sizes or staffing ratios</w:t>
      </w:r>
      <w:r w:rsidRPr="00177AC9">
        <w:rPr>
          <w:rFonts w:ascii="Times New Roman" w:hAnsi="Times New Roman" w:cs="Times New Roman"/>
          <w:vertAlign w:val="superscript"/>
        </w:rPr>
        <w:footnoteReference w:id="5"/>
      </w:r>
      <w:r w:rsidRPr="00177AC9">
        <w:rPr>
          <w:rFonts w:ascii="Times New Roman" w:hAnsi="Times New Roman" w:cs="Times New Roman"/>
        </w:rPr>
        <w:t>. When school districts have additional funding beyond what is required to achieve these targeted metrics, the tendency to spend it on non-instructio</w:t>
      </w:r>
      <w:r w:rsidR="002E6C09" w:rsidRPr="002E6C09">
        <w:rPr>
          <w:rFonts w:ascii="Times New Roman" w:hAnsi="Times New Roman" w:cs="Times New Roman"/>
        </w:rPr>
        <w:t>nal activities implies that revenue</w:t>
      </w:r>
      <w:r w:rsidRPr="00177AC9">
        <w:rPr>
          <w:rFonts w:ascii="Times New Roman" w:hAnsi="Times New Roman" w:cs="Times New Roman"/>
        </w:rPr>
        <w:t xml:space="preserve">-constrained districts may have been making allocative decisions to preserve </w:t>
      </w:r>
      <w:r w:rsidRPr="00177AC9">
        <w:rPr>
          <w:rFonts w:ascii="Times New Roman" w:hAnsi="Times New Roman" w:cs="Times New Roman"/>
        </w:rPr>
        <w:lastRenderedPageBreak/>
        <w:t>instructional expenditures at the expense of non-instructional activities, and that additional funding is used to restore these activities.</w:t>
      </w:r>
    </w:p>
    <w:p w14:paraId="7BBF9392" w14:textId="546AFE43" w:rsidR="004000D8" w:rsidRPr="00177AC9" w:rsidRDefault="004000D8" w:rsidP="00177AC9">
      <w:pPr>
        <w:spacing w:after="120" w:line="276" w:lineRule="auto"/>
        <w:rPr>
          <w:rFonts w:ascii="Times New Roman" w:hAnsi="Times New Roman" w:cs="Times New Roman"/>
        </w:rPr>
      </w:pPr>
      <w:r w:rsidRPr="00177AC9">
        <w:rPr>
          <w:rFonts w:ascii="Times New Roman" w:hAnsi="Times New Roman" w:cs="Times New Roman"/>
        </w:rPr>
        <w:t xml:space="preserve">Increases in enrollment within a district are statistically significantly correlated with a reduction in the share of expenditures allocated to </w:t>
      </w:r>
      <w:r w:rsidR="00416A8D" w:rsidRPr="00177AC9">
        <w:rPr>
          <w:rFonts w:ascii="Times New Roman" w:hAnsi="Times New Roman" w:cs="Times New Roman"/>
        </w:rPr>
        <w:t>Instruction</w:t>
      </w:r>
      <w:r w:rsidRPr="00177AC9">
        <w:rPr>
          <w:rFonts w:ascii="Times New Roman" w:hAnsi="Times New Roman" w:cs="Times New Roman"/>
        </w:rPr>
        <w:t>. This may be because increases in enrollment that do not significantly negative</w:t>
      </w:r>
      <w:r w:rsidR="00A73119">
        <w:rPr>
          <w:rFonts w:ascii="Times New Roman" w:hAnsi="Times New Roman" w:cs="Times New Roman"/>
        </w:rPr>
        <w:t>ly</w:t>
      </w:r>
      <w:r w:rsidRPr="00177AC9">
        <w:rPr>
          <w:rFonts w:ascii="Times New Roman" w:hAnsi="Times New Roman" w:cs="Times New Roman"/>
        </w:rPr>
        <w:t xml:space="preserve"> impact the class size or staffing ratio targets selected by districts enough to trigger the hiring of additional instruction</w:t>
      </w:r>
      <w:r w:rsidR="00A73119">
        <w:rPr>
          <w:rFonts w:ascii="Times New Roman" w:hAnsi="Times New Roman" w:cs="Times New Roman"/>
        </w:rPr>
        <w:t>al</w:t>
      </w:r>
      <w:r w:rsidRPr="00177AC9">
        <w:rPr>
          <w:rFonts w:ascii="Times New Roman" w:hAnsi="Times New Roman" w:cs="Times New Roman"/>
        </w:rPr>
        <w:t xml:space="preserve"> resources can lead to additional students being spread across teachers and classrooms, slightly increasing enrollment at no additional financial cost to the district</w:t>
      </w:r>
      <w:r w:rsidR="00916A87">
        <w:rPr>
          <w:rFonts w:ascii="Times New Roman" w:hAnsi="Times New Roman" w:cs="Times New Roman"/>
        </w:rPr>
        <w:t xml:space="preserve">. </w:t>
      </w:r>
      <w:r w:rsidR="00586915">
        <w:rPr>
          <w:rFonts w:ascii="Times New Roman" w:hAnsi="Times New Roman" w:cs="Times New Roman"/>
        </w:rPr>
        <w:t>These effects may be more likely in the smallest districts, where very small class sizes can be increased considerably without requiring additional staff.</w:t>
      </w:r>
    </w:p>
    <w:p w14:paraId="7F8D5281" w14:textId="62222B36" w:rsidR="004000D8" w:rsidRPr="00177AC9" w:rsidRDefault="004000D8" w:rsidP="00177AC9">
      <w:pPr>
        <w:spacing w:after="120" w:line="276" w:lineRule="auto"/>
        <w:rPr>
          <w:rFonts w:ascii="Times New Roman" w:hAnsi="Times New Roman" w:cs="Times New Roman"/>
        </w:rPr>
      </w:pPr>
      <w:r w:rsidRPr="00177AC9">
        <w:rPr>
          <w:rFonts w:ascii="Times New Roman" w:hAnsi="Times New Roman" w:cs="Times New Roman"/>
        </w:rPr>
        <w:t>Increases in median class size within a district are weakly statistica</w:t>
      </w:r>
      <w:r w:rsidR="008F38C6" w:rsidRPr="00177AC9">
        <w:rPr>
          <w:rFonts w:ascii="Times New Roman" w:hAnsi="Times New Roman" w:cs="Times New Roman"/>
        </w:rPr>
        <w:t>lly correlated with</w:t>
      </w:r>
      <w:r w:rsidRPr="00177AC9">
        <w:rPr>
          <w:rFonts w:ascii="Times New Roman" w:hAnsi="Times New Roman" w:cs="Times New Roman"/>
        </w:rPr>
        <w:t xml:space="preserve"> reduction</w:t>
      </w:r>
      <w:r w:rsidR="00667E1D">
        <w:rPr>
          <w:rFonts w:ascii="Times New Roman" w:hAnsi="Times New Roman" w:cs="Times New Roman"/>
        </w:rPr>
        <w:t>s</w:t>
      </w:r>
      <w:r w:rsidRPr="00177AC9">
        <w:rPr>
          <w:rFonts w:ascii="Times New Roman" w:hAnsi="Times New Roman" w:cs="Times New Roman"/>
        </w:rPr>
        <w:t xml:space="preserve"> in the share of expenditures allocated to </w:t>
      </w:r>
      <w:r w:rsidR="00B75E0B" w:rsidRPr="00177AC9">
        <w:rPr>
          <w:rFonts w:ascii="Times New Roman" w:hAnsi="Times New Roman" w:cs="Times New Roman"/>
        </w:rPr>
        <w:t>Instruction</w:t>
      </w:r>
      <w:r w:rsidRPr="00177AC9">
        <w:rPr>
          <w:rFonts w:ascii="Times New Roman" w:hAnsi="Times New Roman" w:cs="Times New Roman"/>
        </w:rPr>
        <w:t>. This may be because districts facing the marginal decision to add teachers may opt to increase class size instead, at no additional cost to the district, and opt to use the avoided costs of hiring addi</w:t>
      </w:r>
      <w:r w:rsidR="00B75E0B" w:rsidRPr="00177AC9">
        <w:rPr>
          <w:rFonts w:ascii="Times New Roman" w:hAnsi="Times New Roman" w:cs="Times New Roman"/>
        </w:rPr>
        <w:t>tional instructional resources for non-instructional purposes</w:t>
      </w:r>
      <w:r w:rsidRPr="00177AC9">
        <w:rPr>
          <w:rFonts w:ascii="Times New Roman" w:hAnsi="Times New Roman" w:cs="Times New Roman"/>
        </w:rPr>
        <w:t xml:space="preserve">. </w:t>
      </w:r>
      <w:r w:rsidR="00381759">
        <w:rPr>
          <w:rFonts w:ascii="Times New Roman" w:hAnsi="Times New Roman" w:cs="Times New Roman"/>
        </w:rPr>
        <w:t>Again, this is more likely to occur in smaller districts with small class sizes.</w:t>
      </w:r>
    </w:p>
    <w:p w14:paraId="6BA3127A" w14:textId="37C6151D" w:rsidR="004000D8" w:rsidRDefault="004000D8" w:rsidP="00177AC9">
      <w:pPr>
        <w:spacing w:after="120" w:line="276" w:lineRule="auto"/>
        <w:rPr>
          <w:rFonts w:ascii="Times New Roman" w:hAnsi="Times New Roman" w:cs="Times New Roman"/>
        </w:rPr>
      </w:pPr>
      <w:r w:rsidRPr="00177AC9">
        <w:rPr>
          <w:rFonts w:ascii="Times New Roman" w:hAnsi="Times New Roman" w:cs="Times New Roman"/>
        </w:rPr>
        <w:t>Increases in the level of average teacher salaries are statistically significantly correlated with increase</w:t>
      </w:r>
      <w:r w:rsidR="00381759">
        <w:rPr>
          <w:rFonts w:ascii="Times New Roman" w:hAnsi="Times New Roman" w:cs="Times New Roman"/>
        </w:rPr>
        <w:t>s</w:t>
      </w:r>
      <w:r w:rsidRPr="00177AC9">
        <w:rPr>
          <w:rFonts w:ascii="Times New Roman" w:hAnsi="Times New Roman" w:cs="Times New Roman"/>
        </w:rPr>
        <w:t xml:space="preserve"> in the share of e</w:t>
      </w:r>
      <w:r w:rsidR="00416A8D" w:rsidRPr="00177AC9">
        <w:rPr>
          <w:rFonts w:ascii="Times New Roman" w:hAnsi="Times New Roman" w:cs="Times New Roman"/>
        </w:rPr>
        <w:t xml:space="preserve">xpenditures </w:t>
      </w:r>
      <w:r w:rsidR="008F38C6" w:rsidRPr="00177AC9">
        <w:rPr>
          <w:rFonts w:ascii="Times New Roman" w:hAnsi="Times New Roman" w:cs="Times New Roman"/>
        </w:rPr>
        <w:t>allocate</w:t>
      </w:r>
      <w:r w:rsidR="008F38C6">
        <w:rPr>
          <w:rFonts w:ascii="Times New Roman" w:hAnsi="Times New Roman" w:cs="Times New Roman"/>
        </w:rPr>
        <w:t>d</w:t>
      </w:r>
      <w:r w:rsidRPr="00177AC9">
        <w:rPr>
          <w:rFonts w:ascii="Times New Roman" w:hAnsi="Times New Roman" w:cs="Times New Roman"/>
        </w:rPr>
        <w:t xml:space="preserve"> to Instruction. The small magnitude of this effect may indicate that districts </w:t>
      </w:r>
      <w:r w:rsidR="00B85FDD">
        <w:rPr>
          <w:rFonts w:ascii="Times New Roman" w:hAnsi="Times New Roman" w:cs="Times New Roman"/>
        </w:rPr>
        <w:t>that</w:t>
      </w:r>
      <w:r w:rsidRPr="00177AC9">
        <w:rPr>
          <w:rFonts w:ascii="Times New Roman" w:hAnsi="Times New Roman" w:cs="Times New Roman"/>
        </w:rPr>
        <w:t xml:space="preserve"> face higher than average teacher wages may make decisions that reduce the quantity of teachers they hire to offset the cost impact of higher teacher wages, such as increasing class sizes or utilizing relatively more instructional assistants or paraprofessionals in lieu of fully accredited teachers.</w:t>
      </w:r>
      <w:r w:rsidR="00B75E0B">
        <w:rPr>
          <w:rFonts w:ascii="Times New Roman" w:hAnsi="Times New Roman" w:cs="Times New Roman"/>
        </w:rPr>
        <w:t xml:space="preserve"> </w:t>
      </w:r>
      <w:r w:rsidR="00C909AD">
        <w:rPr>
          <w:rFonts w:ascii="Times New Roman" w:hAnsi="Times New Roman" w:cs="Times New Roman"/>
        </w:rPr>
        <w:t>As Exhibit 12 above shows, there is a strong positive correlation between teacher salary levels and median class sizes.</w:t>
      </w:r>
      <w:r w:rsidR="00B85FDD">
        <w:rPr>
          <w:rFonts w:ascii="Times New Roman" w:hAnsi="Times New Roman" w:cs="Times New Roman"/>
        </w:rPr>
        <w:t xml:space="preserve"> As we discussed above, </w:t>
      </w:r>
      <w:r w:rsidR="00305981">
        <w:rPr>
          <w:rFonts w:ascii="Times New Roman" w:hAnsi="Times New Roman" w:cs="Times New Roman"/>
        </w:rPr>
        <w:t xml:space="preserve">Oregon’s school funding </w:t>
      </w:r>
      <w:r w:rsidR="0091116F">
        <w:rPr>
          <w:rFonts w:ascii="Times New Roman" w:hAnsi="Times New Roman" w:cs="Times New Roman"/>
        </w:rPr>
        <w:t>system</w:t>
      </w:r>
      <w:r w:rsidR="00305981">
        <w:rPr>
          <w:rFonts w:ascii="Times New Roman" w:hAnsi="Times New Roman" w:cs="Times New Roman"/>
        </w:rPr>
        <w:t xml:space="preserve"> does not account for the </w:t>
      </w:r>
      <w:r w:rsidR="00B85FDD">
        <w:rPr>
          <w:rFonts w:ascii="Times New Roman" w:hAnsi="Times New Roman" w:cs="Times New Roman"/>
        </w:rPr>
        <w:t xml:space="preserve">variation </w:t>
      </w:r>
      <w:r w:rsidR="00305981">
        <w:rPr>
          <w:rFonts w:ascii="Times New Roman" w:hAnsi="Times New Roman" w:cs="Times New Roman"/>
        </w:rPr>
        <w:t xml:space="preserve">in salaries </w:t>
      </w:r>
      <w:r w:rsidR="00B85FDD">
        <w:rPr>
          <w:rFonts w:ascii="Times New Roman" w:hAnsi="Times New Roman" w:cs="Times New Roman"/>
        </w:rPr>
        <w:t>around the state</w:t>
      </w:r>
      <w:r w:rsidR="00305981">
        <w:rPr>
          <w:rFonts w:ascii="Times New Roman" w:hAnsi="Times New Roman" w:cs="Times New Roman"/>
        </w:rPr>
        <w:t>,</w:t>
      </w:r>
      <w:r w:rsidR="00B85FDD">
        <w:rPr>
          <w:rFonts w:ascii="Times New Roman" w:hAnsi="Times New Roman" w:cs="Times New Roman"/>
        </w:rPr>
        <w:t xml:space="preserve"> </w:t>
      </w:r>
      <w:r w:rsidR="00305981">
        <w:rPr>
          <w:rFonts w:ascii="Times New Roman" w:hAnsi="Times New Roman" w:cs="Times New Roman"/>
        </w:rPr>
        <w:t xml:space="preserve">creating a funding inequity across school districts. </w:t>
      </w:r>
    </w:p>
    <w:p w14:paraId="6A08B6A6" w14:textId="5621E879" w:rsidR="004000D8" w:rsidRPr="00177AC9" w:rsidRDefault="004000D8" w:rsidP="00177AC9">
      <w:pPr>
        <w:spacing w:after="120" w:line="276" w:lineRule="auto"/>
        <w:rPr>
          <w:rFonts w:ascii="Times New Roman" w:hAnsi="Times New Roman" w:cs="Times New Roman"/>
        </w:rPr>
      </w:pPr>
      <w:r w:rsidRPr="00177AC9">
        <w:rPr>
          <w:rFonts w:ascii="Times New Roman" w:hAnsi="Times New Roman" w:cs="Times New Roman"/>
        </w:rPr>
        <w:t xml:space="preserve">Districts classified as </w:t>
      </w:r>
      <w:r w:rsidR="00C909AD">
        <w:rPr>
          <w:rFonts w:ascii="Times New Roman" w:hAnsi="Times New Roman" w:cs="Times New Roman"/>
        </w:rPr>
        <w:t xml:space="preserve">Rural, </w:t>
      </w:r>
      <w:r w:rsidRPr="00177AC9">
        <w:rPr>
          <w:rFonts w:ascii="Times New Roman" w:hAnsi="Times New Roman" w:cs="Times New Roman"/>
        </w:rPr>
        <w:t xml:space="preserve">Suburban, or Town districts appear to spend a lower share on </w:t>
      </w:r>
      <w:r w:rsidR="001A4252">
        <w:rPr>
          <w:rFonts w:ascii="Times New Roman" w:hAnsi="Times New Roman" w:cs="Times New Roman"/>
        </w:rPr>
        <w:t>i</w:t>
      </w:r>
      <w:r w:rsidRPr="00177AC9">
        <w:rPr>
          <w:rFonts w:ascii="Times New Roman" w:hAnsi="Times New Roman" w:cs="Times New Roman"/>
        </w:rPr>
        <w:t>ns</w:t>
      </w:r>
      <w:r w:rsidR="00184DD6" w:rsidRPr="00177AC9">
        <w:rPr>
          <w:rFonts w:ascii="Times New Roman" w:hAnsi="Times New Roman" w:cs="Times New Roman"/>
        </w:rPr>
        <w:t>tructional activities than</w:t>
      </w:r>
      <w:r w:rsidRPr="00177AC9">
        <w:rPr>
          <w:rFonts w:ascii="Times New Roman" w:hAnsi="Times New Roman" w:cs="Times New Roman"/>
        </w:rPr>
        <w:t xml:space="preserve"> City districts, although this difference is weakly statistically significant for Town districts.</w:t>
      </w:r>
      <w:r w:rsidR="00C909AD">
        <w:rPr>
          <w:rStyle w:val="FootnoteReference"/>
          <w:rFonts w:ascii="Times New Roman" w:hAnsi="Times New Roman" w:cs="Times New Roman"/>
        </w:rPr>
        <w:footnoteReference w:id="6"/>
      </w:r>
      <w:r w:rsidRPr="00177AC9">
        <w:rPr>
          <w:rFonts w:ascii="Times New Roman" w:hAnsi="Times New Roman" w:cs="Times New Roman"/>
        </w:rPr>
        <w:t xml:space="preserve"> The differences may arise because the unavoidable fixed facility and maintenance costs of operating school districts that districts must incur are comparable to the costs that larger districts must incur yet must be spread across a smaller number of students. This may create an additional budget constraint on small districts that larger districts do not face that forces smaller districts to reduce the share they have remaining to allocate to Instruction. It may also be possible for large school districts to coordinate the hiring and scheduling of less-used instructional resources between groups of schools, while smaller districts may lack the ability to effectively coordinate between groups of schools, either due to geographical remoteness, or to the fact that there are too few schools (or solitary schools) within the district. </w:t>
      </w:r>
    </w:p>
    <w:p w14:paraId="6B53E089" w14:textId="73E2074E" w:rsidR="004000D8" w:rsidRPr="00177AC9" w:rsidRDefault="004000D8" w:rsidP="00177AC9">
      <w:pPr>
        <w:spacing w:after="120" w:line="276" w:lineRule="auto"/>
        <w:rPr>
          <w:rFonts w:ascii="Times New Roman" w:hAnsi="Times New Roman" w:cs="Times New Roman"/>
        </w:rPr>
      </w:pPr>
      <w:r w:rsidRPr="00177AC9">
        <w:rPr>
          <w:rFonts w:ascii="Times New Roman" w:hAnsi="Times New Roman" w:cs="Times New Roman"/>
        </w:rPr>
        <w:t xml:space="preserve">Very Small, Small, Medium, Moderately Large, and Large Districts also appear to spend lower shares on </w:t>
      </w:r>
      <w:r w:rsidR="001A4252">
        <w:rPr>
          <w:rFonts w:ascii="Times New Roman" w:hAnsi="Times New Roman" w:cs="Times New Roman"/>
        </w:rPr>
        <w:t>i</w:t>
      </w:r>
      <w:r w:rsidRPr="00177AC9">
        <w:rPr>
          <w:rFonts w:ascii="Times New Roman" w:hAnsi="Times New Roman" w:cs="Times New Roman"/>
        </w:rPr>
        <w:t>nstructional activities than Very Large districts with 30,000 students or more; however, this difference is only statistically significant for Medium, Moderately Large, and Large Districts.</w:t>
      </w:r>
      <w:r w:rsidR="00184DD6">
        <w:rPr>
          <w:rStyle w:val="FootnoteReference"/>
          <w:rFonts w:ascii="Times New Roman" w:hAnsi="Times New Roman" w:cs="Times New Roman"/>
        </w:rPr>
        <w:footnoteReference w:id="7"/>
      </w:r>
      <w:r w:rsidRPr="00177AC9">
        <w:rPr>
          <w:rFonts w:ascii="Times New Roman" w:hAnsi="Times New Roman" w:cs="Times New Roman"/>
        </w:rPr>
        <w:t xml:space="preserve"> </w:t>
      </w:r>
      <w:r w:rsidR="00417FA1">
        <w:rPr>
          <w:rFonts w:ascii="Times New Roman" w:hAnsi="Times New Roman" w:cs="Times New Roman"/>
        </w:rPr>
        <w:t xml:space="preserve">This negative impact relative to districts in the Very large category may be related to economies of scale. Because the largest </w:t>
      </w:r>
      <w:r w:rsidR="00417FA1">
        <w:rPr>
          <w:rFonts w:ascii="Times New Roman" w:hAnsi="Times New Roman" w:cs="Times New Roman"/>
        </w:rPr>
        <w:lastRenderedPageBreak/>
        <w:t>districts are able to spend less on categories suc</w:t>
      </w:r>
      <w:r w:rsidR="00BA3B17">
        <w:rPr>
          <w:rFonts w:ascii="Times New Roman" w:hAnsi="Times New Roman" w:cs="Times New Roman"/>
        </w:rPr>
        <w:t>h as District A</w:t>
      </w:r>
      <w:r w:rsidR="00F54034">
        <w:rPr>
          <w:rFonts w:ascii="Times New Roman" w:hAnsi="Times New Roman" w:cs="Times New Roman"/>
        </w:rPr>
        <w:t>dministration, Operations and Maintenance, and Transportation</w:t>
      </w:r>
      <w:r w:rsidR="00BA3B17">
        <w:rPr>
          <w:rFonts w:ascii="Times New Roman" w:hAnsi="Times New Roman" w:cs="Times New Roman"/>
        </w:rPr>
        <w:t>, they free up more resources for Instruction.</w:t>
      </w:r>
    </w:p>
    <w:p w14:paraId="5066A235" w14:textId="77777777" w:rsidR="00405556" w:rsidRPr="00177AC9" w:rsidRDefault="00405556" w:rsidP="00177AC9">
      <w:pPr>
        <w:spacing w:after="120" w:line="276" w:lineRule="auto"/>
        <w:rPr>
          <w:rFonts w:ascii="Times New Roman" w:hAnsi="Times New Roman" w:cs="Times New Roman"/>
        </w:rPr>
      </w:pPr>
    </w:p>
    <w:p w14:paraId="5C905697" w14:textId="49684764" w:rsidR="00DE74B5" w:rsidRPr="00177AC9" w:rsidRDefault="00DE74B5" w:rsidP="00177AC9">
      <w:pPr>
        <w:keepNext/>
        <w:keepLines/>
        <w:spacing w:after="120" w:line="276" w:lineRule="auto"/>
        <w:outlineLvl w:val="2"/>
        <w:rPr>
          <w:rFonts w:ascii="Times New Roman" w:eastAsiaTheme="majorEastAsia" w:hAnsi="Times New Roman" w:cs="Times New Roman"/>
          <w:b/>
          <w:sz w:val="24"/>
        </w:rPr>
      </w:pPr>
      <w:r w:rsidRPr="00177AC9">
        <w:rPr>
          <w:rFonts w:ascii="Times New Roman" w:eastAsiaTheme="majorEastAsia" w:hAnsi="Times New Roman" w:cs="Times New Roman"/>
          <w:b/>
          <w:sz w:val="24"/>
        </w:rPr>
        <w:t>Student Support Expenditure</w:t>
      </w:r>
      <w:r w:rsidR="00D82DAF" w:rsidRPr="00177AC9">
        <w:rPr>
          <w:rFonts w:ascii="Times New Roman" w:eastAsiaTheme="majorEastAsia" w:hAnsi="Times New Roman" w:cs="Times New Roman"/>
          <w:b/>
          <w:sz w:val="24"/>
        </w:rPr>
        <w:t>s</w:t>
      </w:r>
    </w:p>
    <w:p w14:paraId="3321ED86" w14:textId="19E158A6" w:rsidR="004000D8" w:rsidRPr="00177AC9" w:rsidRDefault="004000D8"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Increases in </w:t>
      </w:r>
      <w:r w:rsidR="00283DDD">
        <w:rPr>
          <w:rFonts w:ascii="Times New Roman" w:hAnsi="Times New Roman" w:cs="Times New Roman"/>
          <w:szCs w:val="22"/>
        </w:rPr>
        <w:t xml:space="preserve">total </w:t>
      </w:r>
      <w:r w:rsidRPr="00177AC9">
        <w:rPr>
          <w:rFonts w:ascii="Times New Roman" w:hAnsi="Times New Roman" w:cs="Times New Roman"/>
          <w:szCs w:val="22"/>
        </w:rPr>
        <w:t>per-pupil expenditures within a district are statistically signi</w:t>
      </w:r>
      <w:r w:rsidR="00283DDD" w:rsidRPr="00177AC9">
        <w:rPr>
          <w:rFonts w:ascii="Times New Roman" w:hAnsi="Times New Roman" w:cs="Times New Roman"/>
          <w:szCs w:val="22"/>
        </w:rPr>
        <w:t xml:space="preserve">ficantly correlated with </w:t>
      </w:r>
      <w:r w:rsidRPr="00177AC9">
        <w:rPr>
          <w:rFonts w:ascii="Times New Roman" w:hAnsi="Times New Roman" w:cs="Times New Roman"/>
          <w:szCs w:val="22"/>
        </w:rPr>
        <w:t>increases in the share of expenditures allocated to Student Suppo</w:t>
      </w:r>
      <w:r w:rsidR="00283DDD" w:rsidRPr="00177AC9">
        <w:rPr>
          <w:rFonts w:ascii="Times New Roman" w:hAnsi="Times New Roman" w:cs="Times New Roman"/>
          <w:szCs w:val="22"/>
        </w:rPr>
        <w:t>rt Services</w:t>
      </w:r>
      <w:r w:rsidRPr="00177AC9">
        <w:rPr>
          <w:rFonts w:ascii="Times New Roman" w:hAnsi="Times New Roman" w:cs="Times New Roman"/>
          <w:szCs w:val="22"/>
        </w:rPr>
        <w:t xml:space="preserve">. If districts make the decision to allocate </w:t>
      </w:r>
      <w:r w:rsidR="001A4252">
        <w:rPr>
          <w:rFonts w:ascii="Times New Roman" w:hAnsi="Times New Roman" w:cs="Times New Roman"/>
          <w:szCs w:val="22"/>
        </w:rPr>
        <w:t>i</w:t>
      </w:r>
      <w:r w:rsidRPr="00177AC9">
        <w:rPr>
          <w:rFonts w:ascii="Times New Roman" w:hAnsi="Times New Roman" w:cs="Times New Roman"/>
          <w:szCs w:val="22"/>
        </w:rPr>
        <w:t>nstructional resources to schools in proportion to enrollment in order to achieve target class sizes, then additional per-pupil funding beyond what is required to achieve those targets enables districts to allocate relat</w:t>
      </w:r>
      <w:r w:rsidR="00184CD0" w:rsidRPr="00177AC9">
        <w:rPr>
          <w:rFonts w:ascii="Times New Roman" w:hAnsi="Times New Roman" w:cs="Times New Roman"/>
          <w:szCs w:val="22"/>
        </w:rPr>
        <w:t>ively more</w:t>
      </w:r>
      <w:r w:rsidRPr="00177AC9">
        <w:rPr>
          <w:rFonts w:ascii="Times New Roman" w:hAnsi="Times New Roman" w:cs="Times New Roman"/>
          <w:szCs w:val="22"/>
        </w:rPr>
        <w:t xml:space="preserve"> to non-</w:t>
      </w:r>
      <w:r w:rsidR="001A4252">
        <w:rPr>
          <w:rFonts w:ascii="Times New Roman" w:hAnsi="Times New Roman" w:cs="Times New Roman"/>
          <w:szCs w:val="22"/>
        </w:rPr>
        <w:t>i</w:t>
      </w:r>
      <w:r w:rsidRPr="00177AC9">
        <w:rPr>
          <w:rFonts w:ascii="Times New Roman" w:hAnsi="Times New Roman" w:cs="Times New Roman"/>
          <w:szCs w:val="22"/>
        </w:rPr>
        <w:t>nstructional activities</w:t>
      </w:r>
      <w:r w:rsidR="00184CD0">
        <w:rPr>
          <w:rFonts w:ascii="Times New Roman" w:hAnsi="Times New Roman" w:cs="Times New Roman"/>
          <w:szCs w:val="22"/>
        </w:rPr>
        <w:t xml:space="preserve">, such as </w:t>
      </w:r>
      <w:r w:rsidR="00184CD0" w:rsidRPr="001A6112">
        <w:rPr>
          <w:rFonts w:ascii="Times New Roman" w:hAnsi="Times New Roman" w:cs="Times New Roman"/>
          <w:szCs w:val="22"/>
        </w:rPr>
        <w:t>Student Support Services</w:t>
      </w:r>
      <w:r w:rsidR="00184CD0">
        <w:rPr>
          <w:rFonts w:ascii="Times New Roman" w:hAnsi="Times New Roman" w:cs="Times New Roman"/>
          <w:szCs w:val="22"/>
        </w:rPr>
        <w:t>.</w:t>
      </w:r>
    </w:p>
    <w:p w14:paraId="37A1EC78" w14:textId="282D4E59" w:rsidR="004000D8" w:rsidRPr="00177AC9" w:rsidRDefault="004000D8" w:rsidP="00177AC9">
      <w:pPr>
        <w:spacing w:after="120" w:line="276" w:lineRule="auto"/>
        <w:rPr>
          <w:rFonts w:ascii="Times New Roman" w:hAnsi="Times New Roman" w:cs="Times New Roman"/>
          <w:szCs w:val="22"/>
        </w:rPr>
      </w:pPr>
      <w:r w:rsidRPr="00177AC9">
        <w:rPr>
          <w:rFonts w:ascii="Times New Roman" w:hAnsi="Times New Roman" w:cs="Times New Roman"/>
          <w:szCs w:val="22"/>
        </w:rPr>
        <w:t>Increases in enrollment within a district are statistically signif</w:t>
      </w:r>
      <w:r w:rsidR="00283DDD" w:rsidRPr="00177AC9">
        <w:rPr>
          <w:rFonts w:ascii="Times New Roman" w:hAnsi="Times New Roman" w:cs="Times New Roman"/>
          <w:szCs w:val="22"/>
        </w:rPr>
        <w:t>icantly correlated with an</w:t>
      </w:r>
      <w:r w:rsidRPr="00177AC9">
        <w:rPr>
          <w:rFonts w:ascii="Times New Roman" w:hAnsi="Times New Roman" w:cs="Times New Roman"/>
          <w:szCs w:val="22"/>
        </w:rPr>
        <w:t xml:space="preserve"> increase in the share of expenditures allocated to Student Suppo</w:t>
      </w:r>
      <w:r w:rsidR="00283DDD" w:rsidRPr="00177AC9">
        <w:rPr>
          <w:rFonts w:ascii="Times New Roman" w:hAnsi="Times New Roman" w:cs="Times New Roman"/>
          <w:szCs w:val="22"/>
        </w:rPr>
        <w:t>rt Services</w:t>
      </w:r>
      <w:r w:rsidRPr="00177AC9">
        <w:rPr>
          <w:rFonts w:ascii="Times New Roman" w:hAnsi="Times New Roman" w:cs="Times New Roman"/>
          <w:szCs w:val="22"/>
        </w:rPr>
        <w:t>. This suggests that, for small changes in enrollment, districts make decisions indicating that they perceive the value from altering instructional expenditures to reduce class sizes to be less than the value of providing additional non-</w:t>
      </w:r>
      <w:r w:rsidR="001A4252">
        <w:rPr>
          <w:rFonts w:ascii="Times New Roman" w:hAnsi="Times New Roman" w:cs="Times New Roman"/>
          <w:szCs w:val="22"/>
        </w:rPr>
        <w:t>i</w:t>
      </w:r>
      <w:r w:rsidRPr="00177AC9">
        <w:rPr>
          <w:rFonts w:ascii="Times New Roman" w:hAnsi="Times New Roman" w:cs="Times New Roman"/>
          <w:szCs w:val="22"/>
        </w:rPr>
        <w:t>nstructional resources to students.</w:t>
      </w:r>
    </w:p>
    <w:p w14:paraId="59F999AC" w14:textId="77777777" w:rsidR="004000D8" w:rsidRPr="00177AC9" w:rsidRDefault="004000D8" w:rsidP="00177AC9">
      <w:pPr>
        <w:spacing w:after="120" w:line="276" w:lineRule="auto"/>
        <w:rPr>
          <w:rFonts w:ascii="Times New Roman" w:hAnsi="Times New Roman" w:cs="Times New Roman"/>
          <w:szCs w:val="22"/>
        </w:rPr>
      </w:pPr>
      <w:r w:rsidRPr="00177AC9">
        <w:rPr>
          <w:rFonts w:ascii="Times New Roman" w:hAnsi="Times New Roman" w:cs="Times New Roman"/>
          <w:szCs w:val="22"/>
        </w:rPr>
        <w:t>Increases in the level of average teacher salaries are statistically significantly correlated with a reduction in the share of expenditures a district allocates to Student Support Services. This may indicate that some districts that face higher wages and do not choose to counteract this by increasing class sizes or employing alternative staffing resources to supplant teaching staff are left with a relative smaller fraction of their total revenues to allocate to non-instructional activities.</w:t>
      </w:r>
    </w:p>
    <w:p w14:paraId="578952C5" w14:textId="1E0D294C" w:rsidR="004000D8" w:rsidRPr="00177AC9" w:rsidRDefault="004000D8" w:rsidP="00177AC9">
      <w:pPr>
        <w:spacing w:after="120" w:line="276" w:lineRule="auto"/>
        <w:rPr>
          <w:rFonts w:ascii="Times New Roman" w:hAnsi="Times New Roman" w:cs="Times New Roman"/>
          <w:szCs w:val="22"/>
        </w:rPr>
      </w:pPr>
      <w:r w:rsidRPr="00177AC9">
        <w:rPr>
          <w:rFonts w:ascii="Times New Roman" w:hAnsi="Times New Roman" w:cs="Times New Roman"/>
          <w:szCs w:val="22"/>
        </w:rPr>
        <w:t>Districts</w:t>
      </w:r>
      <w:r w:rsidR="00104B23" w:rsidRPr="00177AC9">
        <w:rPr>
          <w:rFonts w:ascii="Times New Roman" w:hAnsi="Times New Roman" w:cs="Times New Roman"/>
          <w:szCs w:val="22"/>
        </w:rPr>
        <w:t xml:space="preserve"> classified as Town districts </w:t>
      </w:r>
      <w:r w:rsidRPr="00177AC9">
        <w:rPr>
          <w:rFonts w:ascii="Times New Roman" w:hAnsi="Times New Roman" w:cs="Times New Roman"/>
          <w:szCs w:val="22"/>
        </w:rPr>
        <w:t xml:space="preserve">spend a </w:t>
      </w:r>
      <w:r w:rsidR="00104B23">
        <w:rPr>
          <w:rFonts w:ascii="Times New Roman" w:hAnsi="Times New Roman" w:cs="Times New Roman"/>
          <w:szCs w:val="22"/>
        </w:rPr>
        <w:t xml:space="preserve">statistically significantly </w:t>
      </w:r>
      <w:r w:rsidRPr="00177AC9">
        <w:rPr>
          <w:rFonts w:ascii="Times New Roman" w:hAnsi="Times New Roman" w:cs="Times New Roman"/>
          <w:szCs w:val="22"/>
        </w:rPr>
        <w:t>higher share on Stud</w:t>
      </w:r>
      <w:r w:rsidR="00184CD0" w:rsidRPr="00177AC9">
        <w:rPr>
          <w:rFonts w:ascii="Times New Roman" w:hAnsi="Times New Roman" w:cs="Times New Roman"/>
          <w:szCs w:val="22"/>
        </w:rPr>
        <w:t>ent Support Services than</w:t>
      </w:r>
      <w:r w:rsidR="00131FDC">
        <w:rPr>
          <w:rFonts w:ascii="Times New Roman" w:hAnsi="Times New Roman" w:cs="Times New Roman"/>
          <w:szCs w:val="22"/>
        </w:rPr>
        <w:t xml:space="preserve"> </w:t>
      </w:r>
      <w:r w:rsidR="00780214" w:rsidRPr="00177AC9">
        <w:rPr>
          <w:rFonts w:ascii="Times New Roman" w:hAnsi="Times New Roman" w:cs="Times New Roman"/>
          <w:szCs w:val="22"/>
        </w:rPr>
        <w:t xml:space="preserve">City districts. </w:t>
      </w:r>
      <w:r w:rsidR="00780214">
        <w:rPr>
          <w:rFonts w:ascii="Times New Roman" w:hAnsi="Times New Roman" w:cs="Times New Roman"/>
          <w:szCs w:val="22"/>
        </w:rPr>
        <w:t>The</w:t>
      </w:r>
      <w:r w:rsidR="00780214" w:rsidRPr="00177AC9">
        <w:rPr>
          <w:rFonts w:ascii="Times New Roman" w:hAnsi="Times New Roman" w:cs="Times New Roman"/>
          <w:szCs w:val="22"/>
        </w:rPr>
        <w:t xml:space="preserve"> </w:t>
      </w:r>
      <w:r w:rsidR="00104B23">
        <w:rPr>
          <w:rFonts w:ascii="Times New Roman" w:hAnsi="Times New Roman" w:cs="Times New Roman"/>
          <w:szCs w:val="22"/>
        </w:rPr>
        <w:t>share for Suburban d</w:t>
      </w:r>
      <w:r w:rsidR="00780214">
        <w:rPr>
          <w:rFonts w:ascii="Times New Roman" w:hAnsi="Times New Roman" w:cs="Times New Roman"/>
          <w:szCs w:val="22"/>
        </w:rPr>
        <w:t xml:space="preserve">istricts is also higher, but is not statistically </w:t>
      </w:r>
      <w:r w:rsidR="00EE3A99">
        <w:rPr>
          <w:rFonts w:ascii="Times New Roman" w:hAnsi="Times New Roman" w:cs="Times New Roman"/>
          <w:szCs w:val="22"/>
        </w:rPr>
        <w:t xml:space="preserve">significant, and the share for </w:t>
      </w:r>
      <w:proofErr w:type="gramStart"/>
      <w:r w:rsidR="00EE3A99">
        <w:rPr>
          <w:rFonts w:ascii="Times New Roman" w:hAnsi="Times New Roman" w:cs="Times New Roman"/>
          <w:szCs w:val="22"/>
        </w:rPr>
        <w:t>Rural</w:t>
      </w:r>
      <w:proofErr w:type="gramEnd"/>
      <w:r w:rsidR="00EE3A99">
        <w:rPr>
          <w:rFonts w:ascii="Times New Roman" w:hAnsi="Times New Roman" w:cs="Times New Roman"/>
          <w:szCs w:val="22"/>
        </w:rPr>
        <w:t xml:space="preserve"> districts is lower, but it also is not </w:t>
      </w:r>
      <w:r w:rsidRPr="00177AC9">
        <w:rPr>
          <w:rFonts w:ascii="Times New Roman" w:hAnsi="Times New Roman" w:cs="Times New Roman"/>
          <w:szCs w:val="22"/>
        </w:rPr>
        <w:t xml:space="preserve">statistically significant. </w:t>
      </w:r>
    </w:p>
    <w:p w14:paraId="4A393000" w14:textId="622CE5E2" w:rsidR="004000D8" w:rsidRPr="00177AC9" w:rsidRDefault="004000D8" w:rsidP="00177AC9">
      <w:pPr>
        <w:spacing w:after="120" w:line="276" w:lineRule="auto"/>
        <w:rPr>
          <w:rFonts w:ascii="Times New Roman" w:hAnsi="Times New Roman" w:cs="Times New Roman"/>
          <w:szCs w:val="22"/>
        </w:rPr>
      </w:pPr>
      <w:r w:rsidRPr="00177AC9">
        <w:rPr>
          <w:rFonts w:ascii="Times New Roman" w:hAnsi="Times New Roman" w:cs="Times New Roman"/>
          <w:szCs w:val="22"/>
        </w:rPr>
        <w:t>Very Small, Small, Medium, Moderately Large, and Large Districts also appear to spend lower shares on Student Support Services activities than Very Large districts with 30,000 students or more</w:t>
      </w:r>
      <w:r w:rsidR="00F86623">
        <w:rPr>
          <w:rFonts w:ascii="Times New Roman" w:hAnsi="Times New Roman" w:cs="Times New Roman"/>
          <w:szCs w:val="22"/>
        </w:rPr>
        <w:t xml:space="preserve"> students</w:t>
      </w:r>
      <w:r w:rsidRPr="00177AC9">
        <w:rPr>
          <w:rFonts w:ascii="Times New Roman" w:hAnsi="Times New Roman" w:cs="Times New Roman"/>
          <w:szCs w:val="22"/>
        </w:rPr>
        <w:t>. This difference is strongly statistically significant for Small, Medium, Moderately Large, and Large Districts and weakly significant for Very Small districts. The weaker result among Very Small districts may again be due to districts that receive the Small School Correction gaining additional funding that enables them to make different allocative decisions than their peers that do not receive the Small School Correction.</w:t>
      </w:r>
    </w:p>
    <w:p w14:paraId="6C86DFE1" w14:textId="77777777" w:rsidR="006A2AEB" w:rsidRPr="002E6C09" w:rsidRDefault="006A2AEB" w:rsidP="00177AC9">
      <w:pPr>
        <w:spacing w:after="120" w:line="276" w:lineRule="auto"/>
        <w:rPr>
          <w:rFonts w:ascii="Times New Roman" w:hAnsi="Times New Roman" w:cs="Times New Roman"/>
          <w:sz w:val="24"/>
        </w:rPr>
      </w:pPr>
    </w:p>
    <w:p w14:paraId="2D21CC23" w14:textId="2B070EFD" w:rsidR="00405556" w:rsidRPr="00AC463A" w:rsidRDefault="00405556" w:rsidP="00177AC9">
      <w:pPr>
        <w:keepNext/>
        <w:keepLines/>
        <w:spacing w:after="120" w:line="276" w:lineRule="auto"/>
        <w:outlineLvl w:val="2"/>
        <w:rPr>
          <w:rFonts w:ascii="Times New Roman" w:eastAsiaTheme="majorEastAsia" w:hAnsi="Times New Roman" w:cs="Times New Roman"/>
          <w:b/>
          <w:sz w:val="28"/>
          <w:szCs w:val="28"/>
        </w:rPr>
      </w:pPr>
      <w:r w:rsidRPr="00177AC9">
        <w:rPr>
          <w:rFonts w:ascii="Times New Roman" w:eastAsiaTheme="majorEastAsia" w:hAnsi="Times New Roman" w:cs="Times New Roman"/>
          <w:b/>
          <w:sz w:val="24"/>
        </w:rPr>
        <w:t>Instructional Staff Support</w:t>
      </w:r>
      <w:r w:rsidR="00466F34" w:rsidRPr="00177AC9">
        <w:rPr>
          <w:rFonts w:ascii="Times New Roman" w:eastAsiaTheme="majorEastAsia" w:hAnsi="Times New Roman" w:cs="Times New Roman"/>
          <w:b/>
          <w:sz w:val="24"/>
        </w:rPr>
        <w:t xml:space="preserve"> Expenditures</w:t>
      </w:r>
    </w:p>
    <w:p w14:paraId="4D49B24E" w14:textId="1AC4EAF1"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Increases in </w:t>
      </w:r>
      <w:r w:rsidR="00C27CEA">
        <w:rPr>
          <w:rFonts w:ascii="Times New Roman" w:hAnsi="Times New Roman" w:cs="Times New Roman"/>
          <w:szCs w:val="22"/>
        </w:rPr>
        <w:t xml:space="preserve">total </w:t>
      </w:r>
      <w:r w:rsidRPr="00177AC9">
        <w:rPr>
          <w:rFonts w:ascii="Times New Roman" w:hAnsi="Times New Roman" w:cs="Times New Roman"/>
          <w:szCs w:val="22"/>
        </w:rPr>
        <w:t>per-pupil expenditures within a district are statistically signi</w:t>
      </w:r>
      <w:r w:rsidR="002E05B2" w:rsidRPr="00177AC9">
        <w:rPr>
          <w:rFonts w:ascii="Times New Roman" w:hAnsi="Times New Roman" w:cs="Times New Roman"/>
          <w:szCs w:val="22"/>
        </w:rPr>
        <w:t xml:space="preserve">ficantly correlated with </w:t>
      </w:r>
      <w:r w:rsidRPr="00177AC9">
        <w:rPr>
          <w:rFonts w:ascii="Times New Roman" w:hAnsi="Times New Roman" w:cs="Times New Roman"/>
          <w:szCs w:val="22"/>
        </w:rPr>
        <w:t>increases in the share of expenditures allocated to Instructional Staff Suppo</w:t>
      </w:r>
      <w:r w:rsidR="00C27CEA" w:rsidRPr="00177AC9">
        <w:rPr>
          <w:rFonts w:ascii="Times New Roman" w:hAnsi="Times New Roman" w:cs="Times New Roman"/>
          <w:szCs w:val="22"/>
        </w:rPr>
        <w:t>rt Services</w:t>
      </w:r>
      <w:r w:rsidRPr="00177AC9">
        <w:rPr>
          <w:rFonts w:ascii="Times New Roman" w:hAnsi="Times New Roman" w:cs="Times New Roman"/>
          <w:szCs w:val="22"/>
        </w:rPr>
        <w:t xml:space="preserve">. </w:t>
      </w:r>
    </w:p>
    <w:p w14:paraId="1F4A3C0B" w14:textId="2CB5A363"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Increases in enrollment within a district are statistically signifi</w:t>
      </w:r>
      <w:r w:rsidR="002E05B2" w:rsidRPr="00177AC9">
        <w:rPr>
          <w:rFonts w:ascii="Times New Roman" w:hAnsi="Times New Roman" w:cs="Times New Roman"/>
          <w:szCs w:val="22"/>
        </w:rPr>
        <w:t xml:space="preserve">cantly correlated with </w:t>
      </w:r>
      <w:r w:rsidRPr="00177AC9">
        <w:rPr>
          <w:rFonts w:ascii="Times New Roman" w:hAnsi="Times New Roman" w:cs="Times New Roman"/>
          <w:szCs w:val="22"/>
        </w:rPr>
        <w:t>increase</w:t>
      </w:r>
      <w:r w:rsidR="002E05B2">
        <w:rPr>
          <w:rFonts w:ascii="Times New Roman" w:hAnsi="Times New Roman" w:cs="Times New Roman"/>
          <w:szCs w:val="22"/>
        </w:rPr>
        <w:t>s</w:t>
      </w:r>
      <w:r w:rsidRPr="00177AC9">
        <w:rPr>
          <w:rFonts w:ascii="Times New Roman" w:hAnsi="Times New Roman" w:cs="Times New Roman"/>
          <w:szCs w:val="22"/>
        </w:rPr>
        <w:t xml:space="preserve"> in the share of expenditures allocated to Instructional Staff Suppo</w:t>
      </w:r>
      <w:r w:rsidR="002E05B2" w:rsidRPr="00177AC9">
        <w:rPr>
          <w:rFonts w:ascii="Times New Roman" w:hAnsi="Times New Roman" w:cs="Times New Roman"/>
          <w:szCs w:val="22"/>
        </w:rPr>
        <w:t>rt Services</w:t>
      </w:r>
      <w:r w:rsidRPr="00177AC9">
        <w:rPr>
          <w:rFonts w:ascii="Times New Roman" w:hAnsi="Times New Roman" w:cs="Times New Roman"/>
          <w:szCs w:val="22"/>
        </w:rPr>
        <w:t xml:space="preserve">. </w:t>
      </w:r>
    </w:p>
    <w:p w14:paraId="7DEE4670" w14:textId="30D62F85"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Districts classified as Suburban or Town districts spend a </w:t>
      </w:r>
      <w:r w:rsidR="002E05B2" w:rsidRPr="001A6112">
        <w:rPr>
          <w:rFonts w:ascii="Times New Roman" w:hAnsi="Times New Roman" w:cs="Times New Roman"/>
          <w:szCs w:val="22"/>
        </w:rPr>
        <w:t xml:space="preserve">statistically significantly </w:t>
      </w:r>
      <w:r w:rsidRPr="00177AC9">
        <w:rPr>
          <w:rFonts w:ascii="Times New Roman" w:hAnsi="Times New Roman" w:cs="Times New Roman"/>
          <w:szCs w:val="22"/>
        </w:rPr>
        <w:t xml:space="preserve">higher share of their expenditures on </w:t>
      </w:r>
      <w:r w:rsidR="001A4252" w:rsidRPr="00177AC9">
        <w:rPr>
          <w:rFonts w:ascii="Times New Roman" w:hAnsi="Times New Roman" w:cs="Times New Roman"/>
          <w:szCs w:val="22"/>
        </w:rPr>
        <w:t>Instructional Staff Support Services</w:t>
      </w:r>
      <w:r w:rsidR="002E05B2" w:rsidRPr="00177AC9">
        <w:rPr>
          <w:rFonts w:ascii="Times New Roman" w:hAnsi="Times New Roman" w:cs="Times New Roman"/>
          <w:szCs w:val="22"/>
        </w:rPr>
        <w:t xml:space="preserve"> than </w:t>
      </w:r>
      <w:r w:rsidRPr="00177AC9">
        <w:rPr>
          <w:rFonts w:ascii="Times New Roman" w:hAnsi="Times New Roman" w:cs="Times New Roman"/>
          <w:szCs w:val="22"/>
        </w:rPr>
        <w:t>City districts. Rural districts also appear to spend a high</w:t>
      </w:r>
      <w:r w:rsidR="00177AC9" w:rsidRPr="00177AC9">
        <w:rPr>
          <w:rFonts w:ascii="Times New Roman" w:hAnsi="Times New Roman" w:cs="Times New Roman"/>
          <w:szCs w:val="22"/>
        </w:rPr>
        <w:t>er share although this effect is not</w:t>
      </w:r>
      <w:r w:rsidRPr="00177AC9">
        <w:rPr>
          <w:rFonts w:ascii="Times New Roman" w:hAnsi="Times New Roman" w:cs="Times New Roman"/>
          <w:szCs w:val="22"/>
        </w:rPr>
        <w:t xml:space="preserve"> statistically significant. </w:t>
      </w:r>
    </w:p>
    <w:p w14:paraId="39112BBA" w14:textId="3E586410"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Increases in the share of Special Education Students are statistically significantly correlated with a decrease in the share which districts allocate to Instructional Staff Support. This appears inconsistent with </w:t>
      </w:r>
      <w:r w:rsidRPr="00177AC9">
        <w:rPr>
          <w:rFonts w:ascii="Times New Roman" w:hAnsi="Times New Roman" w:cs="Times New Roman"/>
          <w:szCs w:val="22"/>
        </w:rPr>
        <w:lastRenderedPageBreak/>
        <w:t xml:space="preserve">the fact that additional weighting provided for Special Education Students in the </w:t>
      </w:r>
      <w:r w:rsidR="006E3690">
        <w:rPr>
          <w:rFonts w:ascii="Times New Roman" w:hAnsi="Times New Roman" w:cs="Times New Roman"/>
          <w:szCs w:val="22"/>
        </w:rPr>
        <w:t xml:space="preserve">Oregon’s </w:t>
      </w:r>
      <w:r w:rsidR="006E3690" w:rsidRPr="00177AC9">
        <w:rPr>
          <w:rFonts w:ascii="Times New Roman" w:hAnsi="Times New Roman" w:cs="Times New Roman"/>
          <w:szCs w:val="22"/>
        </w:rPr>
        <w:t>school</w:t>
      </w:r>
      <w:r w:rsidRPr="00177AC9">
        <w:rPr>
          <w:rFonts w:ascii="Times New Roman" w:hAnsi="Times New Roman" w:cs="Times New Roman"/>
          <w:szCs w:val="22"/>
        </w:rPr>
        <w:t xml:space="preserve"> </w:t>
      </w:r>
      <w:r w:rsidR="006E3690">
        <w:rPr>
          <w:rFonts w:ascii="Times New Roman" w:hAnsi="Times New Roman" w:cs="Times New Roman"/>
          <w:szCs w:val="22"/>
        </w:rPr>
        <w:t>f</w:t>
      </w:r>
      <w:r w:rsidRPr="00177AC9">
        <w:rPr>
          <w:rFonts w:ascii="Times New Roman" w:hAnsi="Times New Roman" w:cs="Times New Roman"/>
          <w:szCs w:val="22"/>
        </w:rPr>
        <w:t xml:space="preserve">unding formula allocates additional funding to districts for the higher costs of educating Special Education </w:t>
      </w:r>
      <w:r w:rsidR="00A81CAC">
        <w:rPr>
          <w:rFonts w:ascii="Times New Roman" w:hAnsi="Times New Roman" w:cs="Times New Roman"/>
          <w:szCs w:val="22"/>
        </w:rPr>
        <w:t>S</w:t>
      </w:r>
      <w:r w:rsidRPr="00177AC9">
        <w:rPr>
          <w:rFonts w:ascii="Times New Roman" w:hAnsi="Times New Roman" w:cs="Times New Roman"/>
          <w:szCs w:val="22"/>
        </w:rPr>
        <w:t xml:space="preserve">tudents. </w:t>
      </w:r>
      <w:r w:rsidR="002271A5">
        <w:rPr>
          <w:rFonts w:ascii="Times New Roman" w:hAnsi="Times New Roman" w:cs="Times New Roman"/>
          <w:szCs w:val="22"/>
        </w:rPr>
        <w:t xml:space="preserve">Because many Special Education </w:t>
      </w:r>
      <w:r w:rsidR="00A81CAC">
        <w:rPr>
          <w:rFonts w:ascii="Times New Roman" w:hAnsi="Times New Roman" w:cs="Times New Roman"/>
          <w:szCs w:val="22"/>
        </w:rPr>
        <w:t>S</w:t>
      </w:r>
      <w:r w:rsidR="002271A5">
        <w:rPr>
          <w:rFonts w:ascii="Times New Roman" w:hAnsi="Times New Roman" w:cs="Times New Roman"/>
          <w:szCs w:val="22"/>
        </w:rPr>
        <w:t xml:space="preserve">tudents require services from non-instructional staff such as physical and occupational therapists, speech pathologists, audiologist, nurses, and other staff, it may be that spending on those staff “crowd out” spending for </w:t>
      </w:r>
      <w:r w:rsidR="000C53A3">
        <w:rPr>
          <w:rFonts w:ascii="Times New Roman" w:hAnsi="Times New Roman" w:cs="Times New Roman"/>
          <w:szCs w:val="22"/>
        </w:rPr>
        <w:t>Instructional</w:t>
      </w:r>
      <w:r w:rsidR="002271A5">
        <w:rPr>
          <w:rFonts w:ascii="Times New Roman" w:hAnsi="Times New Roman" w:cs="Times New Roman"/>
          <w:szCs w:val="22"/>
        </w:rPr>
        <w:t xml:space="preserve"> Staff Support. If this is the case, it suggests that the added 0.5 weight in the school funding formula for </w:t>
      </w:r>
      <w:r w:rsidR="00A81CAC">
        <w:rPr>
          <w:rFonts w:ascii="Times New Roman" w:hAnsi="Times New Roman" w:cs="Times New Roman"/>
          <w:szCs w:val="22"/>
        </w:rPr>
        <w:t>Sp</w:t>
      </w:r>
      <w:r w:rsidR="002271A5">
        <w:rPr>
          <w:rFonts w:ascii="Times New Roman" w:hAnsi="Times New Roman" w:cs="Times New Roman"/>
          <w:szCs w:val="22"/>
        </w:rPr>
        <w:t xml:space="preserve">ecial </w:t>
      </w:r>
      <w:r w:rsidR="001A4252">
        <w:rPr>
          <w:rFonts w:ascii="Times New Roman" w:hAnsi="Times New Roman" w:cs="Times New Roman"/>
          <w:szCs w:val="22"/>
        </w:rPr>
        <w:t>E</w:t>
      </w:r>
      <w:r w:rsidR="002271A5">
        <w:rPr>
          <w:rFonts w:ascii="Times New Roman" w:hAnsi="Times New Roman" w:cs="Times New Roman"/>
          <w:szCs w:val="22"/>
        </w:rPr>
        <w:t xml:space="preserve">ducation </w:t>
      </w:r>
      <w:r w:rsidR="001A4252">
        <w:rPr>
          <w:rFonts w:ascii="Times New Roman" w:hAnsi="Times New Roman" w:cs="Times New Roman"/>
          <w:szCs w:val="22"/>
        </w:rPr>
        <w:t>S</w:t>
      </w:r>
      <w:r w:rsidR="002271A5">
        <w:rPr>
          <w:rFonts w:ascii="Times New Roman" w:hAnsi="Times New Roman" w:cs="Times New Roman"/>
          <w:szCs w:val="22"/>
        </w:rPr>
        <w:t xml:space="preserve">tudents may not be sufficient to fund services for Special Education </w:t>
      </w:r>
      <w:r w:rsidR="00A81CAC">
        <w:rPr>
          <w:rFonts w:ascii="Times New Roman" w:hAnsi="Times New Roman" w:cs="Times New Roman"/>
          <w:szCs w:val="22"/>
        </w:rPr>
        <w:t>St</w:t>
      </w:r>
      <w:r w:rsidR="002271A5">
        <w:rPr>
          <w:rFonts w:ascii="Times New Roman" w:hAnsi="Times New Roman" w:cs="Times New Roman"/>
          <w:szCs w:val="22"/>
        </w:rPr>
        <w:t xml:space="preserve">udents without </w:t>
      </w:r>
      <w:r w:rsidR="000C53A3">
        <w:rPr>
          <w:rFonts w:ascii="Times New Roman" w:hAnsi="Times New Roman" w:cs="Times New Roman"/>
          <w:szCs w:val="22"/>
        </w:rPr>
        <w:t xml:space="preserve">reducing funding for other activities, or that the 11% cap on the share of a districts students who can receive the extra 0.5 weight for Special Education </w:t>
      </w:r>
      <w:r w:rsidR="00A81CAC">
        <w:rPr>
          <w:rFonts w:ascii="Times New Roman" w:hAnsi="Times New Roman" w:cs="Times New Roman"/>
          <w:szCs w:val="22"/>
        </w:rPr>
        <w:t>St</w:t>
      </w:r>
      <w:r w:rsidR="000C53A3">
        <w:rPr>
          <w:rFonts w:ascii="Times New Roman" w:hAnsi="Times New Roman" w:cs="Times New Roman"/>
          <w:szCs w:val="22"/>
        </w:rPr>
        <w:t>udents is too low</w:t>
      </w:r>
      <w:r w:rsidR="001A4252">
        <w:rPr>
          <w:rFonts w:ascii="Times New Roman" w:hAnsi="Times New Roman" w:cs="Times New Roman"/>
          <w:szCs w:val="22"/>
        </w:rPr>
        <w:t xml:space="preserve">. </w:t>
      </w:r>
    </w:p>
    <w:p w14:paraId="3A1E07E6" w14:textId="77777777" w:rsidR="00405556" w:rsidRPr="00DE74B5" w:rsidRDefault="00405556" w:rsidP="00177AC9">
      <w:pPr>
        <w:spacing w:after="120" w:line="276" w:lineRule="auto"/>
        <w:rPr>
          <w:rFonts w:ascii="Times New Roman" w:hAnsi="Times New Roman" w:cs="Times New Roman"/>
          <w:sz w:val="24"/>
        </w:rPr>
      </w:pPr>
    </w:p>
    <w:p w14:paraId="7E08AD29" w14:textId="421A85F5" w:rsidR="00405556" w:rsidRPr="00177AC9" w:rsidRDefault="00DE74B5" w:rsidP="00177AC9">
      <w:pPr>
        <w:keepNext/>
        <w:keepLines/>
        <w:spacing w:after="120" w:line="276" w:lineRule="auto"/>
        <w:outlineLvl w:val="2"/>
        <w:rPr>
          <w:rFonts w:ascii="Times New Roman" w:eastAsiaTheme="majorEastAsia" w:hAnsi="Times New Roman" w:cs="Times New Roman"/>
          <w:b/>
          <w:sz w:val="24"/>
        </w:rPr>
      </w:pPr>
      <w:r w:rsidRPr="00177AC9">
        <w:rPr>
          <w:rFonts w:ascii="Times New Roman" w:eastAsiaTheme="majorEastAsia" w:hAnsi="Times New Roman" w:cs="Times New Roman"/>
          <w:b/>
          <w:sz w:val="24"/>
        </w:rPr>
        <w:t xml:space="preserve">District Administration </w:t>
      </w:r>
      <w:r w:rsidR="009727F5" w:rsidRPr="00177AC9">
        <w:rPr>
          <w:rFonts w:ascii="Times New Roman" w:eastAsiaTheme="majorEastAsia" w:hAnsi="Times New Roman" w:cs="Times New Roman"/>
          <w:b/>
          <w:sz w:val="24"/>
        </w:rPr>
        <w:t>Expenditures</w:t>
      </w:r>
    </w:p>
    <w:p w14:paraId="14673D4C" w14:textId="2EDE9317"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Increases in enrollment within a district are statistically significantly correlated with decrease</w:t>
      </w:r>
      <w:r w:rsidR="009762AD">
        <w:rPr>
          <w:rFonts w:ascii="Times New Roman" w:hAnsi="Times New Roman" w:cs="Times New Roman"/>
          <w:szCs w:val="22"/>
        </w:rPr>
        <w:t>s</w:t>
      </w:r>
      <w:r w:rsidRPr="00177AC9">
        <w:rPr>
          <w:rFonts w:ascii="Times New Roman" w:hAnsi="Times New Roman" w:cs="Times New Roman"/>
          <w:szCs w:val="22"/>
        </w:rPr>
        <w:t xml:space="preserve"> in the share of expenditures allocated to District Administration</w:t>
      </w:r>
      <w:r w:rsidR="009762AD">
        <w:rPr>
          <w:rFonts w:ascii="Times New Roman" w:hAnsi="Times New Roman" w:cs="Times New Roman"/>
          <w:szCs w:val="22"/>
        </w:rPr>
        <w:t xml:space="preserve">. </w:t>
      </w:r>
      <w:r w:rsidR="001A1E71">
        <w:rPr>
          <w:rFonts w:ascii="Times New Roman" w:hAnsi="Times New Roman" w:cs="Times New Roman"/>
          <w:szCs w:val="22"/>
        </w:rPr>
        <w:t>Because centralized administrative activities have a fixed cost component, this negative relationship suggests there are economies of scale in District Administration.</w:t>
      </w:r>
    </w:p>
    <w:p w14:paraId="57A740C2" w14:textId="506227AB"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Very Small, Small, Medium, Moderately Large, and Large </w:t>
      </w:r>
      <w:r w:rsidR="000D04AA">
        <w:rPr>
          <w:rFonts w:ascii="Times New Roman" w:hAnsi="Times New Roman" w:cs="Times New Roman"/>
          <w:szCs w:val="22"/>
        </w:rPr>
        <w:t>d</w:t>
      </w:r>
      <w:r w:rsidRPr="00177AC9">
        <w:rPr>
          <w:rFonts w:ascii="Times New Roman" w:hAnsi="Times New Roman" w:cs="Times New Roman"/>
          <w:szCs w:val="22"/>
        </w:rPr>
        <w:t xml:space="preserve">istricts allocate lower shares to District Administration than Very Large </w:t>
      </w:r>
      <w:r w:rsidR="00936E16">
        <w:rPr>
          <w:rFonts w:ascii="Times New Roman" w:hAnsi="Times New Roman" w:cs="Times New Roman"/>
          <w:szCs w:val="22"/>
        </w:rPr>
        <w:t>D</w:t>
      </w:r>
      <w:r w:rsidRPr="00177AC9">
        <w:rPr>
          <w:rFonts w:ascii="Times New Roman" w:hAnsi="Times New Roman" w:cs="Times New Roman"/>
          <w:szCs w:val="22"/>
        </w:rPr>
        <w:t>istricts</w:t>
      </w:r>
      <w:r w:rsidR="00936E16">
        <w:rPr>
          <w:rFonts w:ascii="Times New Roman" w:hAnsi="Times New Roman" w:cs="Times New Roman"/>
          <w:szCs w:val="22"/>
        </w:rPr>
        <w:t xml:space="preserve"> (the base category)</w:t>
      </w:r>
      <w:r w:rsidRPr="00177AC9">
        <w:rPr>
          <w:rFonts w:ascii="Times New Roman" w:hAnsi="Times New Roman" w:cs="Times New Roman"/>
          <w:szCs w:val="22"/>
        </w:rPr>
        <w:t xml:space="preserve">, with a high level of statistical significance. This </w:t>
      </w:r>
      <w:r w:rsidR="00936E16">
        <w:rPr>
          <w:rFonts w:ascii="Times New Roman" w:hAnsi="Times New Roman" w:cs="Times New Roman"/>
          <w:szCs w:val="22"/>
        </w:rPr>
        <w:t>suggests that the very largest districts or more difficult and require more resources to run than smaller districts.</w:t>
      </w:r>
    </w:p>
    <w:p w14:paraId="466C3C80" w14:textId="5CC0A322"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Increases in the share of </w:t>
      </w:r>
      <w:r w:rsidR="0095356A">
        <w:rPr>
          <w:rFonts w:ascii="Times New Roman" w:hAnsi="Times New Roman" w:cs="Times New Roman"/>
          <w:szCs w:val="22"/>
        </w:rPr>
        <w:t>e</w:t>
      </w:r>
      <w:r w:rsidRPr="00177AC9">
        <w:rPr>
          <w:rFonts w:ascii="Times New Roman" w:hAnsi="Times New Roman" w:cs="Times New Roman"/>
          <w:szCs w:val="22"/>
        </w:rPr>
        <w:t xml:space="preserve">conomically </w:t>
      </w:r>
      <w:r w:rsidR="0095356A">
        <w:rPr>
          <w:rFonts w:ascii="Times New Roman" w:hAnsi="Times New Roman" w:cs="Times New Roman"/>
          <w:szCs w:val="22"/>
        </w:rPr>
        <w:t>d</w:t>
      </w:r>
      <w:r w:rsidRPr="00177AC9">
        <w:rPr>
          <w:rFonts w:ascii="Times New Roman" w:hAnsi="Times New Roman" w:cs="Times New Roman"/>
          <w:szCs w:val="22"/>
        </w:rPr>
        <w:t xml:space="preserve">isadvantaged </w:t>
      </w:r>
      <w:r w:rsidR="0095356A">
        <w:rPr>
          <w:rFonts w:ascii="Times New Roman" w:hAnsi="Times New Roman" w:cs="Times New Roman"/>
          <w:szCs w:val="22"/>
        </w:rPr>
        <w:t>s</w:t>
      </w:r>
      <w:r w:rsidRPr="00177AC9">
        <w:rPr>
          <w:rFonts w:ascii="Times New Roman" w:hAnsi="Times New Roman" w:cs="Times New Roman"/>
          <w:szCs w:val="22"/>
        </w:rPr>
        <w:t xml:space="preserve">tudents are statistically significantly correlated with </w:t>
      </w:r>
      <w:r w:rsidR="0095356A">
        <w:rPr>
          <w:rFonts w:ascii="Times New Roman" w:hAnsi="Times New Roman" w:cs="Times New Roman"/>
          <w:szCs w:val="22"/>
        </w:rPr>
        <w:t>reductions</w:t>
      </w:r>
      <w:r w:rsidRPr="00177AC9">
        <w:rPr>
          <w:rFonts w:ascii="Times New Roman" w:hAnsi="Times New Roman" w:cs="Times New Roman"/>
          <w:szCs w:val="22"/>
        </w:rPr>
        <w:t xml:space="preserve"> in the share districts allocate to District Administration</w:t>
      </w:r>
      <w:r w:rsidR="0095356A">
        <w:rPr>
          <w:rFonts w:ascii="Times New Roman" w:hAnsi="Times New Roman" w:cs="Times New Roman"/>
          <w:szCs w:val="22"/>
        </w:rPr>
        <w:t xml:space="preserve">. It’s not clear why having more economically disadvantaged students would </w:t>
      </w:r>
      <w:r w:rsidR="00DF4F0A">
        <w:rPr>
          <w:rFonts w:ascii="Times New Roman" w:hAnsi="Times New Roman" w:cs="Times New Roman"/>
          <w:szCs w:val="22"/>
        </w:rPr>
        <w:t xml:space="preserve">be associated with </w:t>
      </w:r>
      <w:r w:rsidR="0095356A">
        <w:rPr>
          <w:rFonts w:ascii="Times New Roman" w:hAnsi="Times New Roman" w:cs="Times New Roman"/>
          <w:szCs w:val="22"/>
        </w:rPr>
        <w:t xml:space="preserve">centralized administrative costs, but </w:t>
      </w:r>
      <w:r w:rsidR="004E60A3">
        <w:rPr>
          <w:rFonts w:ascii="Times New Roman" w:hAnsi="Times New Roman" w:cs="Times New Roman"/>
          <w:szCs w:val="22"/>
        </w:rPr>
        <w:t>it</w:t>
      </w:r>
      <w:r w:rsidRPr="00177AC9">
        <w:rPr>
          <w:rFonts w:ascii="Times New Roman" w:hAnsi="Times New Roman" w:cs="Times New Roman"/>
          <w:szCs w:val="22"/>
        </w:rPr>
        <w:t xml:space="preserve"> may be partially driven by</w:t>
      </w:r>
      <w:r w:rsidR="004E60A3">
        <w:rPr>
          <w:rFonts w:ascii="Times New Roman" w:hAnsi="Times New Roman" w:cs="Times New Roman"/>
          <w:szCs w:val="22"/>
        </w:rPr>
        <w:t xml:space="preserve"> a</w:t>
      </w:r>
      <w:r w:rsidRPr="00177AC9">
        <w:rPr>
          <w:rFonts w:ascii="Times New Roman" w:hAnsi="Times New Roman" w:cs="Times New Roman"/>
          <w:szCs w:val="22"/>
        </w:rPr>
        <w:t xml:space="preserve"> correlation between this student group’s enrollment share and district size.</w:t>
      </w:r>
    </w:p>
    <w:p w14:paraId="52943376" w14:textId="77777777" w:rsidR="00405556" w:rsidRPr="00177AC9" w:rsidRDefault="00405556" w:rsidP="00177AC9">
      <w:pPr>
        <w:spacing w:after="120" w:line="276" w:lineRule="auto"/>
        <w:rPr>
          <w:rFonts w:ascii="Times New Roman" w:hAnsi="Times New Roman" w:cs="Times New Roman"/>
          <w:sz w:val="24"/>
        </w:rPr>
      </w:pPr>
    </w:p>
    <w:p w14:paraId="2BD1710A" w14:textId="091E5E9A" w:rsidR="00DE74B5" w:rsidRPr="00177AC9" w:rsidRDefault="00DE74B5" w:rsidP="00177AC9">
      <w:pPr>
        <w:keepNext/>
        <w:keepLines/>
        <w:spacing w:after="120" w:line="276" w:lineRule="auto"/>
        <w:outlineLvl w:val="2"/>
        <w:rPr>
          <w:rFonts w:ascii="Times New Roman" w:eastAsiaTheme="majorEastAsia" w:hAnsi="Times New Roman" w:cs="Times New Roman"/>
          <w:b/>
          <w:sz w:val="24"/>
        </w:rPr>
      </w:pPr>
      <w:r w:rsidRPr="00177AC9">
        <w:rPr>
          <w:rFonts w:ascii="Times New Roman" w:eastAsiaTheme="majorEastAsia" w:hAnsi="Times New Roman" w:cs="Times New Roman"/>
          <w:b/>
          <w:sz w:val="24"/>
        </w:rPr>
        <w:t>School Administration</w:t>
      </w:r>
      <w:r w:rsidR="009727F5" w:rsidRPr="00177AC9">
        <w:rPr>
          <w:rFonts w:ascii="Times New Roman" w:eastAsiaTheme="majorEastAsia" w:hAnsi="Times New Roman" w:cs="Times New Roman"/>
          <w:b/>
          <w:sz w:val="24"/>
        </w:rPr>
        <w:t xml:space="preserve"> Expenditures</w:t>
      </w:r>
    </w:p>
    <w:p w14:paraId="5CB5404A" w14:textId="5D2B106F"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Rural districts are </w:t>
      </w:r>
      <w:r w:rsidR="004E60A3">
        <w:rPr>
          <w:rFonts w:ascii="Times New Roman" w:hAnsi="Times New Roman" w:cs="Times New Roman"/>
          <w:szCs w:val="22"/>
        </w:rPr>
        <w:t>estimated</w:t>
      </w:r>
      <w:r w:rsidRPr="00177AC9">
        <w:rPr>
          <w:rFonts w:ascii="Times New Roman" w:hAnsi="Times New Roman" w:cs="Times New Roman"/>
          <w:szCs w:val="22"/>
        </w:rPr>
        <w:t xml:space="preserve"> to spend a </w:t>
      </w:r>
      <w:r w:rsidR="00E62B27">
        <w:rPr>
          <w:rFonts w:ascii="Times New Roman" w:hAnsi="Times New Roman" w:cs="Times New Roman"/>
          <w:szCs w:val="22"/>
        </w:rPr>
        <w:t xml:space="preserve">statistically significantly </w:t>
      </w:r>
      <w:r w:rsidRPr="00177AC9">
        <w:rPr>
          <w:rFonts w:ascii="Times New Roman" w:hAnsi="Times New Roman" w:cs="Times New Roman"/>
          <w:szCs w:val="22"/>
        </w:rPr>
        <w:t>higher share on School Administration</w:t>
      </w:r>
      <w:r w:rsidR="004E60A3">
        <w:rPr>
          <w:rFonts w:ascii="Times New Roman" w:hAnsi="Times New Roman" w:cs="Times New Roman"/>
          <w:szCs w:val="22"/>
        </w:rPr>
        <w:t xml:space="preserve"> than </w:t>
      </w:r>
      <w:r w:rsidR="00E62B27">
        <w:rPr>
          <w:rFonts w:ascii="Times New Roman" w:hAnsi="Times New Roman" w:cs="Times New Roman"/>
          <w:szCs w:val="22"/>
        </w:rPr>
        <w:t>City districts.</w:t>
      </w:r>
      <w:r w:rsidRPr="00177AC9">
        <w:rPr>
          <w:rFonts w:ascii="Times New Roman" w:hAnsi="Times New Roman" w:cs="Times New Roman"/>
          <w:szCs w:val="22"/>
        </w:rPr>
        <w:t xml:space="preserve"> </w:t>
      </w:r>
      <w:r w:rsidR="00305981">
        <w:rPr>
          <w:rFonts w:ascii="Times New Roman" w:hAnsi="Times New Roman" w:cs="Times New Roman"/>
          <w:szCs w:val="22"/>
        </w:rPr>
        <w:t xml:space="preserve">Given that our </w:t>
      </w:r>
      <w:r w:rsidR="00E62B27">
        <w:rPr>
          <w:rFonts w:ascii="Times New Roman" w:hAnsi="Times New Roman" w:cs="Times New Roman"/>
          <w:szCs w:val="22"/>
        </w:rPr>
        <w:t xml:space="preserve">model has already accounted for </w:t>
      </w:r>
      <w:r w:rsidR="00305981">
        <w:rPr>
          <w:rFonts w:ascii="Times New Roman" w:hAnsi="Times New Roman" w:cs="Times New Roman"/>
          <w:szCs w:val="22"/>
        </w:rPr>
        <w:t xml:space="preserve">variations in </w:t>
      </w:r>
      <w:r w:rsidR="00E62B27">
        <w:rPr>
          <w:rFonts w:ascii="Times New Roman" w:hAnsi="Times New Roman" w:cs="Times New Roman"/>
          <w:szCs w:val="22"/>
        </w:rPr>
        <w:t xml:space="preserve">district size, </w:t>
      </w:r>
      <w:r w:rsidR="00305981">
        <w:rPr>
          <w:rFonts w:ascii="Times New Roman" w:hAnsi="Times New Roman" w:cs="Times New Roman"/>
          <w:szCs w:val="22"/>
        </w:rPr>
        <w:t>this finding suggest</w:t>
      </w:r>
      <w:r w:rsidR="00471127">
        <w:rPr>
          <w:rFonts w:ascii="Times New Roman" w:hAnsi="Times New Roman" w:cs="Times New Roman"/>
          <w:szCs w:val="22"/>
        </w:rPr>
        <w:t>s</w:t>
      </w:r>
      <w:r w:rsidR="00305981">
        <w:rPr>
          <w:rFonts w:ascii="Times New Roman" w:hAnsi="Times New Roman" w:cs="Times New Roman"/>
          <w:szCs w:val="22"/>
        </w:rPr>
        <w:t xml:space="preserve"> that there may be economies of scale</w:t>
      </w:r>
      <w:r w:rsidR="00296606">
        <w:rPr>
          <w:rFonts w:ascii="Times New Roman" w:hAnsi="Times New Roman" w:cs="Times New Roman"/>
          <w:szCs w:val="22"/>
        </w:rPr>
        <w:t xml:space="preserve"> for administration</w:t>
      </w:r>
      <w:r w:rsidR="00305981">
        <w:rPr>
          <w:rFonts w:ascii="Times New Roman" w:hAnsi="Times New Roman" w:cs="Times New Roman"/>
          <w:szCs w:val="22"/>
        </w:rPr>
        <w:t xml:space="preserve"> at the school level</w:t>
      </w:r>
      <w:r w:rsidR="00296606">
        <w:rPr>
          <w:rFonts w:ascii="Times New Roman" w:hAnsi="Times New Roman" w:cs="Times New Roman"/>
          <w:szCs w:val="22"/>
        </w:rPr>
        <w:t>—that is, administrative activities become more efficient as school size increases</w:t>
      </w:r>
      <w:r w:rsidR="00305981">
        <w:rPr>
          <w:rFonts w:ascii="Times New Roman" w:hAnsi="Times New Roman" w:cs="Times New Roman"/>
          <w:szCs w:val="22"/>
        </w:rPr>
        <w:t>. Rural school</w:t>
      </w:r>
      <w:r w:rsidR="0070003A">
        <w:rPr>
          <w:rFonts w:ascii="Times New Roman" w:hAnsi="Times New Roman" w:cs="Times New Roman"/>
          <w:szCs w:val="22"/>
        </w:rPr>
        <w:t>s</w:t>
      </w:r>
      <w:r w:rsidR="00305981">
        <w:rPr>
          <w:rFonts w:ascii="Times New Roman" w:hAnsi="Times New Roman" w:cs="Times New Roman"/>
          <w:szCs w:val="22"/>
        </w:rPr>
        <w:t xml:space="preserve"> tend to be smaller than schools in </w:t>
      </w:r>
      <w:r w:rsidR="002A45DE">
        <w:rPr>
          <w:rFonts w:ascii="Times New Roman" w:hAnsi="Times New Roman" w:cs="Times New Roman"/>
          <w:szCs w:val="22"/>
        </w:rPr>
        <w:t>T</w:t>
      </w:r>
      <w:r w:rsidR="00305981">
        <w:rPr>
          <w:rFonts w:ascii="Times New Roman" w:hAnsi="Times New Roman" w:cs="Times New Roman"/>
          <w:szCs w:val="22"/>
        </w:rPr>
        <w:t xml:space="preserve">owns, </w:t>
      </w:r>
      <w:r w:rsidR="002A45DE">
        <w:rPr>
          <w:rFonts w:ascii="Times New Roman" w:hAnsi="Times New Roman" w:cs="Times New Roman"/>
          <w:szCs w:val="22"/>
        </w:rPr>
        <w:t>S</w:t>
      </w:r>
      <w:r w:rsidR="00305981">
        <w:rPr>
          <w:rFonts w:ascii="Times New Roman" w:hAnsi="Times New Roman" w:cs="Times New Roman"/>
          <w:szCs w:val="22"/>
        </w:rPr>
        <w:t xml:space="preserve">uburbs, and </w:t>
      </w:r>
      <w:r w:rsidR="002A45DE">
        <w:rPr>
          <w:rFonts w:ascii="Times New Roman" w:hAnsi="Times New Roman" w:cs="Times New Roman"/>
          <w:szCs w:val="22"/>
        </w:rPr>
        <w:t>C</w:t>
      </w:r>
      <w:r w:rsidR="00305981">
        <w:rPr>
          <w:rFonts w:ascii="Times New Roman" w:hAnsi="Times New Roman" w:cs="Times New Roman"/>
          <w:szCs w:val="22"/>
        </w:rPr>
        <w:t xml:space="preserve">ities, </w:t>
      </w:r>
      <w:r w:rsidR="00352703">
        <w:rPr>
          <w:rFonts w:ascii="Times New Roman" w:hAnsi="Times New Roman" w:cs="Times New Roman"/>
          <w:szCs w:val="22"/>
        </w:rPr>
        <w:t xml:space="preserve">so the fixed administrative costs at small, </w:t>
      </w:r>
      <w:r w:rsidR="002A45DE">
        <w:rPr>
          <w:rFonts w:ascii="Times New Roman" w:hAnsi="Times New Roman" w:cs="Times New Roman"/>
          <w:szCs w:val="22"/>
        </w:rPr>
        <w:t>R</w:t>
      </w:r>
      <w:r w:rsidR="00352703">
        <w:rPr>
          <w:rFonts w:ascii="Times New Roman" w:hAnsi="Times New Roman" w:cs="Times New Roman"/>
          <w:szCs w:val="22"/>
        </w:rPr>
        <w:t>ural school</w:t>
      </w:r>
      <w:r w:rsidR="0070003A">
        <w:rPr>
          <w:rFonts w:ascii="Times New Roman" w:hAnsi="Times New Roman" w:cs="Times New Roman"/>
          <w:szCs w:val="22"/>
        </w:rPr>
        <w:t xml:space="preserve">s—primarily </w:t>
      </w:r>
      <w:r w:rsidR="00352703">
        <w:rPr>
          <w:rFonts w:ascii="Times New Roman" w:hAnsi="Times New Roman" w:cs="Times New Roman"/>
          <w:szCs w:val="22"/>
        </w:rPr>
        <w:t>the principal and other administrative staff</w:t>
      </w:r>
      <w:r w:rsidR="0070003A">
        <w:rPr>
          <w:rFonts w:ascii="Times New Roman" w:hAnsi="Times New Roman" w:cs="Times New Roman"/>
          <w:szCs w:val="22"/>
        </w:rPr>
        <w:t>—cost</w:t>
      </w:r>
      <w:r w:rsidR="00352703">
        <w:rPr>
          <w:rFonts w:ascii="Times New Roman" w:hAnsi="Times New Roman" w:cs="Times New Roman"/>
          <w:szCs w:val="22"/>
        </w:rPr>
        <w:t xml:space="preserve"> proportionally more in </w:t>
      </w:r>
      <w:r w:rsidR="002A45DE">
        <w:rPr>
          <w:rFonts w:ascii="Times New Roman" w:hAnsi="Times New Roman" w:cs="Times New Roman"/>
          <w:szCs w:val="22"/>
        </w:rPr>
        <w:t>R</w:t>
      </w:r>
      <w:r w:rsidR="00352703">
        <w:rPr>
          <w:rFonts w:ascii="Times New Roman" w:hAnsi="Times New Roman" w:cs="Times New Roman"/>
          <w:szCs w:val="22"/>
        </w:rPr>
        <w:t>ural schools than they do in non-</w:t>
      </w:r>
      <w:r w:rsidR="002A45DE">
        <w:rPr>
          <w:rFonts w:ascii="Times New Roman" w:hAnsi="Times New Roman" w:cs="Times New Roman"/>
          <w:szCs w:val="22"/>
        </w:rPr>
        <w:t>R</w:t>
      </w:r>
      <w:r w:rsidR="00352703">
        <w:rPr>
          <w:rFonts w:ascii="Times New Roman" w:hAnsi="Times New Roman" w:cs="Times New Roman"/>
          <w:szCs w:val="22"/>
        </w:rPr>
        <w:t>ural locations.</w:t>
      </w:r>
    </w:p>
    <w:p w14:paraId="6B867F02" w14:textId="7EBF0B49" w:rsidR="00AA02AC" w:rsidRPr="00177AC9" w:rsidRDefault="00AA02AC" w:rsidP="00177AC9">
      <w:pPr>
        <w:spacing w:after="120" w:line="276" w:lineRule="auto"/>
        <w:rPr>
          <w:rFonts w:ascii="Times New Roman" w:hAnsi="Times New Roman" w:cs="Times New Roman"/>
          <w:szCs w:val="22"/>
        </w:rPr>
      </w:pPr>
      <w:r w:rsidRPr="00177AC9">
        <w:rPr>
          <w:rFonts w:ascii="Times New Roman" w:hAnsi="Times New Roman" w:cs="Times New Roman"/>
          <w:szCs w:val="22"/>
        </w:rPr>
        <w:t>Districts with small schools that are rel</w:t>
      </w:r>
      <w:r w:rsidR="00471127">
        <w:rPr>
          <w:rFonts w:ascii="Times New Roman" w:hAnsi="Times New Roman" w:cs="Times New Roman"/>
          <w:szCs w:val="22"/>
        </w:rPr>
        <w:t>atively close to each other may</w:t>
      </w:r>
      <w:bookmarkStart w:id="0" w:name="_GoBack"/>
      <w:bookmarkEnd w:id="0"/>
      <w:r w:rsidR="008D528F">
        <w:rPr>
          <w:rFonts w:ascii="Times New Roman" w:hAnsi="Times New Roman" w:cs="Times New Roman"/>
          <w:szCs w:val="22"/>
        </w:rPr>
        <w:t xml:space="preserve"> </w:t>
      </w:r>
      <w:r w:rsidRPr="00177AC9">
        <w:rPr>
          <w:rFonts w:ascii="Times New Roman" w:hAnsi="Times New Roman" w:cs="Times New Roman"/>
          <w:szCs w:val="22"/>
        </w:rPr>
        <w:t>be able to share school administration resources, effectively leveraging school site proximity to buy a fraction of a school administrator. Rural districts</w:t>
      </w:r>
      <w:r w:rsidR="00E62B27">
        <w:rPr>
          <w:rFonts w:ascii="Times New Roman" w:hAnsi="Times New Roman" w:cs="Times New Roman"/>
          <w:szCs w:val="22"/>
        </w:rPr>
        <w:t>, in contrast,</w:t>
      </w:r>
      <w:r w:rsidRPr="00177AC9">
        <w:rPr>
          <w:rFonts w:ascii="Times New Roman" w:hAnsi="Times New Roman" w:cs="Times New Roman"/>
          <w:szCs w:val="22"/>
        </w:rPr>
        <w:t xml:space="preserve"> are more likely to have geographically remote schools which are unable to effectively share school administration resources between facilities</w:t>
      </w:r>
      <w:r w:rsidR="00E62B27">
        <w:rPr>
          <w:rFonts w:ascii="Times New Roman" w:hAnsi="Times New Roman" w:cs="Times New Roman"/>
          <w:szCs w:val="22"/>
        </w:rPr>
        <w:t>.</w:t>
      </w:r>
      <w:r w:rsidRPr="00177AC9">
        <w:rPr>
          <w:rFonts w:ascii="Times New Roman" w:hAnsi="Times New Roman" w:cs="Times New Roman"/>
          <w:szCs w:val="22"/>
        </w:rPr>
        <w:t xml:space="preserve"> These factors may combine to prohibit </w:t>
      </w:r>
      <w:proofErr w:type="gramStart"/>
      <w:r w:rsidR="002A45DE">
        <w:rPr>
          <w:rFonts w:ascii="Times New Roman" w:hAnsi="Times New Roman" w:cs="Times New Roman"/>
          <w:szCs w:val="22"/>
        </w:rPr>
        <w:t>R</w:t>
      </w:r>
      <w:r w:rsidRPr="00177AC9">
        <w:rPr>
          <w:rFonts w:ascii="Times New Roman" w:hAnsi="Times New Roman" w:cs="Times New Roman"/>
          <w:szCs w:val="22"/>
        </w:rPr>
        <w:t>ural</w:t>
      </w:r>
      <w:proofErr w:type="gramEnd"/>
      <w:r w:rsidRPr="00177AC9">
        <w:rPr>
          <w:rFonts w:ascii="Times New Roman" w:hAnsi="Times New Roman" w:cs="Times New Roman"/>
          <w:szCs w:val="22"/>
        </w:rPr>
        <w:t xml:space="preserve"> districts from taking advantage of the economies of scale in School Administration that less rural or remote districts are able to </w:t>
      </w:r>
      <w:r w:rsidR="00281B29">
        <w:rPr>
          <w:rFonts w:ascii="Times New Roman" w:hAnsi="Times New Roman" w:cs="Times New Roman"/>
          <w:szCs w:val="22"/>
        </w:rPr>
        <w:t>achieve.</w:t>
      </w:r>
    </w:p>
    <w:p w14:paraId="1330431A" w14:textId="77777777" w:rsidR="00405556" w:rsidRPr="00DE74B5" w:rsidRDefault="00405556" w:rsidP="00177AC9">
      <w:pPr>
        <w:spacing w:after="120" w:line="276" w:lineRule="auto"/>
        <w:rPr>
          <w:rFonts w:ascii="Times New Roman" w:hAnsi="Times New Roman" w:cs="Times New Roman"/>
          <w:sz w:val="24"/>
        </w:rPr>
      </w:pPr>
    </w:p>
    <w:p w14:paraId="0370E800" w14:textId="4FACFBDD" w:rsidR="00DE74B5" w:rsidRPr="00177AC9" w:rsidRDefault="00DE74B5" w:rsidP="00177AC9">
      <w:pPr>
        <w:keepNext/>
        <w:keepLines/>
        <w:spacing w:after="120" w:line="276" w:lineRule="auto"/>
        <w:outlineLvl w:val="2"/>
        <w:rPr>
          <w:rFonts w:ascii="Times New Roman" w:eastAsiaTheme="majorEastAsia" w:hAnsi="Times New Roman" w:cs="Times New Roman"/>
          <w:b/>
          <w:sz w:val="24"/>
        </w:rPr>
      </w:pPr>
      <w:r w:rsidRPr="00177AC9">
        <w:rPr>
          <w:rFonts w:ascii="Times New Roman" w:eastAsiaTheme="majorEastAsia" w:hAnsi="Times New Roman" w:cs="Times New Roman"/>
          <w:b/>
          <w:sz w:val="24"/>
        </w:rPr>
        <w:lastRenderedPageBreak/>
        <w:t>Business Services</w:t>
      </w:r>
      <w:r w:rsidR="009727F5" w:rsidRPr="00177AC9">
        <w:rPr>
          <w:rFonts w:ascii="Times New Roman" w:eastAsiaTheme="majorEastAsia" w:hAnsi="Times New Roman" w:cs="Times New Roman"/>
          <w:b/>
          <w:sz w:val="24"/>
        </w:rPr>
        <w:t xml:space="preserve"> Expenditures</w:t>
      </w:r>
    </w:p>
    <w:p w14:paraId="006640B1" w14:textId="254A6581" w:rsidR="006A2AEB" w:rsidRPr="00177AC9" w:rsidRDefault="006A2AEB"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Increases in enrollment within a district are statistically significantly correlated with a reduction in the share of expenditures </w:t>
      </w:r>
      <w:r w:rsidR="00CA0EB1">
        <w:rPr>
          <w:rFonts w:ascii="Times New Roman" w:hAnsi="Times New Roman" w:cs="Times New Roman"/>
          <w:szCs w:val="22"/>
        </w:rPr>
        <w:t xml:space="preserve">on </w:t>
      </w:r>
      <w:r w:rsidRPr="00177AC9">
        <w:rPr>
          <w:rFonts w:ascii="Times New Roman" w:hAnsi="Times New Roman" w:cs="Times New Roman"/>
          <w:szCs w:val="22"/>
        </w:rPr>
        <w:t xml:space="preserve">Business Services. </w:t>
      </w:r>
      <w:r w:rsidR="00CA0EB1">
        <w:rPr>
          <w:rFonts w:ascii="Times New Roman" w:hAnsi="Times New Roman" w:cs="Times New Roman"/>
          <w:szCs w:val="22"/>
        </w:rPr>
        <w:t>As with District Administration, this suggests there are economies of scale in Business Services, with larger districts able to perform these services more efficiently than smaller districts.</w:t>
      </w:r>
      <w:r w:rsidR="008D2451">
        <w:rPr>
          <w:rFonts w:ascii="Times New Roman" w:hAnsi="Times New Roman" w:cs="Times New Roman"/>
          <w:szCs w:val="22"/>
        </w:rPr>
        <w:t xml:space="preserve"> The negative </w:t>
      </w:r>
      <w:r w:rsidR="00021ADC">
        <w:rPr>
          <w:rFonts w:ascii="Times New Roman" w:hAnsi="Times New Roman" w:cs="Times New Roman"/>
          <w:szCs w:val="22"/>
        </w:rPr>
        <w:t>coefficients that decline at larger district sizes</w:t>
      </w:r>
      <w:r w:rsidR="008D2451">
        <w:rPr>
          <w:rFonts w:ascii="Times New Roman" w:hAnsi="Times New Roman" w:cs="Times New Roman"/>
          <w:szCs w:val="22"/>
        </w:rPr>
        <w:t xml:space="preserve"> (in ab</w:t>
      </w:r>
      <w:r w:rsidR="00021ADC">
        <w:rPr>
          <w:rFonts w:ascii="Times New Roman" w:hAnsi="Times New Roman" w:cs="Times New Roman"/>
          <w:szCs w:val="22"/>
        </w:rPr>
        <w:t>solute terms)</w:t>
      </w:r>
      <w:r w:rsidR="008D2451">
        <w:rPr>
          <w:rFonts w:ascii="Times New Roman" w:hAnsi="Times New Roman" w:cs="Times New Roman"/>
          <w:szCs w:val="22"/>
        </w:rPr>
        <w:t xml:space="preserve"> indicate that the economies of scale diminish as district size increases.</w:t>
      </w:r>
    </w:p>
    <w:p w14:paraId="735E1125" w14:textId="77777777" w:rsidR="00405556" w:rsidRPr="002E6C09" w:rsidRDefault="00405556" w:rsidP="00177AC9">
      <w:pPr>
        <w:spacing w:after="120" w:line="276" w:lineRule="auto"/>
        <w:rPr>
          <w:rFonts w:ascii="Times New Roman" w:hAnsi="Times New Roman" w:cs="Times New Roman"/>
          <w:sz w:val="24"/>
        </w:rPr>
      </w:pPr>
    </w:p>
    <w:p w14:paraId="55F74FC9" w14:textId="6A7149AF" w:rsidR="00DE74B5" w:rsidRPr="00177AC9" w:rsidRDefault="00DE74B5" w:rsidP="00177AC9">
      <w:pPr>
        <w:keepNext/>
        <w:keepLines/>
        <w:spacing w:after="120" w:line="276" w:lineRule="auto"/>
        <w:outlineLvl w:val="2"/>
        <w:rPr>
          <w:rFonts w:ascii="Times New Roman" w:eastAsiaTheme="majorEastAsia" w:hAnsi="Times New Roman" w:cs="Times New Roman"/>
          <w:b/>
          <w:sz w:val="24"/>
        </w:rPr>
      </w:pPr>
      <w:r w:rsidRPr="00177AC9">
        <w:rPr>
          <w:rFonts w:ascii="Times New Roman" w:eastAsiaTheme="majorEastAsia" w:hAnsi="Times New Roman" w:cs="Times New Roman"/>
          <w:b/>
          <w:sz w:val="24"/>
        </w:rPr>
        <w:t xml:space="preserve">Operation and Maintenance </w:t>
      </w:r>
      <w:r w:rsidR="009727F5" w:rsidRPr="00177AC9">
        <w:rPr>
          <w:rFonts w:ascii="Times New Roman" w:eastAsiaTheme="majorEastAsia" w:hAnsi="Times New Roman" w:cs="Times New Roman"/>
          <w:b/>
          <w:sz w:val="24"/>
        </w:rPr>
        <w:t>Expenditures</w:t>
      </w:r>
    </w:p>
    <w:p w14:paraId="46A33D72" w14:textId="3E40851A" w:rsidR="006A2AEB" w:rsidRPr="00177AC9" w:rsidRDefault="006A2AEB" w:rsidP="00177AC9">
      <w:pPr>
        <w:spacing w:after="120" w:line="276" w:lineRule="auto"/>
        <w:rPr>
          <w:rFonts w:ascii="Times New Roman" w:hAnsi="Times New Roman" w:cs="Times New Roman"/>
          <w:szCs w:val="22"/>
        </w:rPr>
      </w:pPr>
      <w:r w:rsidRPr="00177AC9">
        <w:rPr>
          <w:rFonts w:ascii="Times New Roman" w:hAnsi="Times New Roman" w:cs="Times New Roman"/>
          <w:szCs w:val="22"/>
        </w:rPr>
        <w:t xml:space="preserve">Increases in </w:t>
      </w:r>
      <w:r w:rsidR="00554C82">
        <w:rPr>
          <w:rFonts w:ascii="Times New Roman" w:hAnsi="Times New Roman" w:cs="Times New Roman"/>
          <w:szCs w:val="22"/>
        </w:rPr>
        <w:t xml:space="preserve">total </w:t>
      </w:r>
      <w:r w:rsidRPr="00177AC9">
        <w:rPr>
          <w:rFonts w:ascii="Times New Roman" w:hAnsi="Times New Roman" w:cs="Times New Roman"/>
          <w:szCs w:val="22"/>
        </w:rPr>
        <w:t xml:space="preserve">per-pupil expenditures within a district are statistically significantly correlated with higher </w:t>
      </w:r>
      <w:r w:rsidR="00324647">
        <w:rPr>
          <w:rFonts w:ascii="Times New Roman" w:hAnsi="Times New Roman" w:cs="Times New Roman"/>
          <w:szCs w:val="22"/>
        </w:rPr>
        <w:t>shares</w:t>
      </w:r>
      <w:r w:rsidRPr="00177AC9">
        <w:rPr>
          <w:rFonts w:ascii="Times New Roman" w:hAnsi="Times New Roman" w:cs="Times New Roman"/>
          <w:szCs w:val="22"/>
        </w:rPr>
        <w:t xml:space="preserve"> of expenditure allocat</w:t>
      </w:r>
      <w:r w:rsidR="00324647">
        <w:rPr>
          <w:rFonts w:ascii="Times New Roman" w:hAnsi="Times New Roman" w:cs="Times New Roman"/>
          <w:szCs w:val="22"/>
        </w:rPr>
        <w:t>ed</w:t>
      </w:r>
      <w:r w:rsidRPr="00177AC9">
        <w:rPr>
          <w:rFonts w:ascii="Times New Roman" w:hAnsi="Times New Roman" w:cs="Times New Roman"/>
          <w:szCs w:val="22"/>
        </w:rPr>
        <w:t xml:space="preserve"> to Operation and Maintenance.</w:t>
      </w:r>
      <w:r w:rsidR="00BC7E24">
        <w:rPr>
          <w:rFonts w:ascii="Times New Roman" w:hAnsi="Times New Roman" w:cs="Times New Roman"/>
          <w:szCs w:val="22"/>
        </w:rPr>
        <w:t xml:space="preserve"> This suggests higher funding allows district</w:t>
      </w:r>
      <w:r w:rsidR="00324647">
        <w:rPr>
          <w:rFonts w:ascii="Times New Roman" w:hAnsi="Times New Roman" w:cs="Times New Roman"/>
          <w:szCs w:val="22"/>
        </w:rPr>
        <w:t>s</w:t>
      </w:r>
      <w:r w:rsidR="00BC7E24">
        <w:rPr>
          <w:rFonts w:ascii="Times New Roman" w:hAnsi="Times New Roman" w:cs="Times New Roman"/>
          <w:szCs w:val="22"/>
        </w:rPr>
        <w:t xml:space="preserve"> to devote more resources to maintaining their buildings, something that is often deferred when resources are inadequate</w:t>
      </w:r>
    </w:p>
    <w:p w14:paraId="7F79145A" w14:textId="2CD77631" w:rsidR="006A2AEB" w:rsidRPr="00177AC9" w:rsidRDefault="006A2AEB" w:rsidP="00177AC9">
      <w:pPr>
        <w:spacing w:after="120" w:line="276" w:lineRule="auto"/>
        <w:rPr>
          <w:rFonts w:ascii="Times New Roman" w:hAnsi="Times New Roman" w:cs="Times New Roman"/>
          <w:szCs w:val="22"/>
        </w:rPr>
      </w:pPr>
      <w:r w:rsidRPr="00177AC9">
        <w:rPr>
          <w:rFonts w:ascii="Times New Roman" w:hAnsi="Times New Roman" w:cs="Times New Roman"/>
          <w:szCs w:val="22"/>
        </w:rPr>
        <w:t>Increases in average teacher salar</w:t>
      </w:r>
      <w:r w:rsidR="00324647">
        <w:rPr>
          <w:rFonts w:ascii="Times New Roman" w:hAnsi="Times New Roman" w:cs="Times New Roman"/>
          <w:szCs w:val="22"/>
        </w:rPr>
        <w:t>ies</w:t>
      </w:r>
      <w:r w:rsidRPr="00177AC9">
        <w:rPr>
          <w:rFonts w:ascii="Times New Roman" w:hAnsi="Times New Roman" w:cs="Times New Roman"/>
          <w:szCs w:val="22"/>
        </w:rPr>
        <w:t xml:space="preserve"> in a district are statistically significantly correlated with reductions in the share of Operations and Maintenance expenditures allocated by a district.</w:t>
      </w:r>
    </w:p>
    <w:p w14:paraId="01DF1A56" w14:textId="77777777" w:rsidR="00BC7E24" w:rsidRDefault="00BC7E24" w:rsidP="00BC7E24">
      <w:pPr>
        <w:spacing w:after="120" w:line="276" w:lineRule="auto"/>
        <w:rPr>
          <w:rFonts w:ascii="Times New Roman" w:hAnsi="Times New Roman" w:cs="Times New Roman"/>
          <w:szCs w:val="22"/>
        </w:rPr>
      </w:pPr>
      <w:r>
        <w:rPr>
          <w:rFonts w:ascii="Times New Roman" w:hAnsi="Times New Roman" w:cs="Times New Roman"/>
          <w:szCs w:val="22"/>
        </w:rPr>
        <w:t>There is a negative relationship between district enrollment and the share spent on Operations and Maintenance, indicating that economies of scale may be present in this activity as well, but the relationship is not statistically significant.</w:t>
      </w:r>
    </w:p>
    <w:p w14:paraId="65825F6B" w14:textId="77777777" w:rsidR="00405556" w:rsidRDefault="00405556" w:rsidP="00177AC9">
      <w:pPr>
        <w:spacing w:after="120" w:line="276" w:lineRule="auto"/>
        <w:rPr>
          <w:rFonts w:ascii="Times New Roman" w:hAnsi="Times New Roman" w:cs="Times New Roman"/>
          <w:sz w:val="24"/>
        </w:rPr>
      </w:pPr>
    </w:p>
    <w:p w14:paraId="4128BBC8" w14:textId="5A7DB6D2" w:rsidR="00DE74B5" w:rsidRPr="00177AC9" w:rsidRDefault="00DE74B5" w:rsidP="00177AC9">
      <w:pPr>
        <w:keepNext/>
        <w:keepLines/>
        <w:spacing w:after="120" w:line="276" w:lineRule="auto"/>
        <w:outlineLvl w:val="2"/>
        <w:rPr>
          <w:rFonts w:ascii="Times New Roman" w:eastAsiaTheme="majorEastAsia" w:hAnsi="Times New Roman" w:cs="Times New Roman"/>
          <w:b/>
          <w:sz w:val="24"/>
        </w:rPr>
      </w:pPr>
      <w:r w:rsidRPr="00177AC9">
        <w:rPr>
          <w:rFonts w:ascii="Times New Roman" w:eastAsiaTheme="majorEastAsia" w:hAnsi="Times New Roman" w:cs="Times New Roman"/>
          <w:b/>
          <w:sz w:val="24"/>
        </w:rPr>
        <w:t>Central Activities</w:t>
      </w:r>
      <w:r w:rsidR="009727F5" w:rsidRPr="00177AC9">
        <w:rPr>
          <w:rFonts w:ascii="Times New Roman" w:eastAsiaTheme="majorEastAsia" w:hAnsi="Times New Roman" w:cs="Times New Roman"/>
          <w:b/>
          <w:sz w:val="24"/>
        </w:rPr>
        <w:t xml:space="preserve"> Expenditures</w:t>
      </w:r>
    </w:p>
    <w:p w14:paraId="33110949" w14:textId="069FA596" w:rsidR="006A2AEB" w:rsidRPr="00177AC9" w:rsidRDefault="006A2AEB" w:rsidP="00177AC9">
      <w:pPr>
        <w:spacing w:after="120" w:line="276" w:lineRule="auto"/>
        <w:rPr>
          <w:rFonts w:ascii="Times New Roman" w:hAnsi="Times New Roman" w:cs="Times New Roman"/>
          <w:szCs w:val="22"/>
        </w:rPr>
      </w:pPr>
      <w:r w:rsidRPr="00177AC9">
        <w:rPr>
          <w:rFonts w:ascii="Times New Roman" w:hAnsi="Times New Roman" w:cs="Times New Roman"/>
          <w:szCs w:val="22"/>
        </w:rPr>
        <w:t>Increases in enrollment within a district are statistically significantly correlated with increase</w:t>
      </w:r>
      <w:r w:rsidR="00411334">
        <w:rPr>
          <w:rFonts w:ascii="Times New Roman" w:hAnsi="Times New Roman" w:cs="Times New Roman"/>
          <w:szCs w:val="22"/>
        </w:rPr>
        <w:t>s</w:t>
      </w:r>
      <w:r w:rsidRPr="00177AC9">
        <w:rPr>
          <w:rFonts w:ascii="Times New Roman" w:hAnsi="Times New Roman" w:cs="Times New Roman"/>
          <w:szCs w:val="22"/>
        </w:rPr>
        <w:t xml:space="preserve"> in the share of expenditures districts allocate to Central Activities.</w:t>
      </w:r>
      <w:r w:rsidR="007D0770">
        <w:rPr>
          <w:rFonts w:ascii="Times New Roman" w:hAnsi="Times New Roman" w:cs="Times New Roman"/>
          <w:szCs w:val="22"/>
        </w:rPr>
        <w:t xml:space="preserve"> These activities include technology and information services, statistical services, research and development, human resource services, etc. The positive relationship between district size and the share spent on these services may be a result of smaller districts receiving such services from their Education Service District (ESD) while larger districts perform these services themselves.</w:t>
      </w:r>
      <w:r w:rsidR="00A25751">
        <w:rPr>
          <w:rFonts w:ascii="Times New Roman" w:hAnsi="Times New Roman" w:cs="Times New Roman"/>
          <w:szCs w:val="22"/>
        </w:rPr>
        <w:t xml:space="preserve"> The relationship is particularly strong for Medium and Moderately Large sized districts.</w:t>
      </w:r>
    </w:p>
    <w:p w14:paraId="2F9E15A7" w14:textId="40EE450E" w:rsidR="006A2AEB" w:rsidRPr="00177AC9" w:rsidRDefault="006A2AEB" w:rsidP="00177AC9">
      <w:pPr>
        <w:spacing w:after="120" w:line="276" w:lineRule="auto"/>
        <w:rPr>
          <w:rFonts w:ascii="Times New Roman" w:hAnsi="Times New Roman" w:cs="Times New Roman"/>
          <w:szCs w:val="22"/>
        </w:rPr>
      </w:pPr>
      <w:r w:rsidRPr="00177AC9">
        <w:rPr>
          <w:rFonts w:ascii="Times New Roman" w:hAnsi="Times New Roman" w:cs="Times New Roman"/>
          <w:szCs w:val="22"/>
        </w:rPr>
        <w:t>Increases in the average actual teacher salary in a district are statistically significantly correlated with reductions in the share of expenditures districts allocate to Central Activities.</w:t>
      </w:r>
    </w:p>
    <w:p w14:paraId="5EB1833B" w14:textId="0FDBF578" w:rsidR="006A2AEB" w:rsidRPr="00177AC9" w:rsidRDefault="006A2AEB" w:rsidP="00177AC9">
      <w:pPr>
        <w:spacing w:after="120" w:line="276" w:lineRule="auto"/>
        <w:rPr>
          <w:rFonts w:ascii="Times New Roman" w:hAnsi="Times New Roman" w:cs="Times New Roman"/>
          <w:szCs w:val="22"/>
        </w:rPr>
      </w:pPr>
      <w:r w:rsidRPr="00177AC9">
        <w:rPr>
          <w:rFonts w:ascii="Times New Roman" w:hAnsi="Times New Roman" w:cs="Times New Roman"/>
          <w:szCs w:val="22"/>
        </w:rPr>
        <w:t>District</w:t>
      </w:r>
      <w:r w:rsidR="00A25751">
        <w:rPr>
          <w:rFonts w:ascii="Times New Roman" w:hAnsi="Times New Roman" w:cs="Times New Roman"/>
          <w:szCs w:val="22"/>
        </w:rPr>
        <w:t>s</w:t>
      </w:r>
      <w:r w:rsidRPr="00177AC9">
        <w:rPr>
          <w:rFonts w:ascii="Times New Roman" w:hAnsi="Times New Roman" w:cs="Times New Roman"/>
          <w:szCs w:val="22"/>
        </w:rPr>
        <w:t xml:space="preserve"> classified as Rural, Suburban or Town are statistically significantly predicted to allocate lower shares of expenditures to Central Activities than districts classified as City districts.</w:t>
      </w:r>
    </w:p>
    <w:p w14:paraId="33E99297" w14:textId="77777777" w:rsidR="00405556" w:rsidRPr="00DE74B5" w:rsidRDefault="00405556" w:rsidP="00AC463A">
      <w:pPr>
        <w:spacing w:after="120" w:line="276" w:lineRule="auto"/>
        <w:rPr>
          <w:rFonts w:ascii="Times New Roman" w:hAnsi="Times New Roman" w:cs="Times New Roman"/>
          <w:sz w:val="24"/>
        </w:rPr>
      </w:pPr>
    </w:p>
    <w:p w14:paraId="5C689CF2" w14:textId="77777777" w:rsidR="00A25751" w:rsidRDefault="00A25751">
      <w:pP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br w:type="page"/>
      </w:r>
    </w:p>
    <w:p w14:paraId="3190EEF6" w14:textId="58A40FD6" w:rsidR="00DE74B5" w:rsidRPr="00AC463A" w:rsidRDefault="00DE74B5" w:rsidP="00AC463A">
      <w:pPr>
        <w:keepNext/>
        <w:keepLines/>
        <w:spacing w:before="40" w:after="120" w:line="276" w:lineRule="auto"/>
        <w:outlineLvl w:val="1"/>
        <w:rPr>
          <w:rFonts w:ascii="Times New Roman" w:eastAsiaTheme="majorEastAsia" w:hAnsi="Times New Roman" w:cs="Times New Roman"/>
          <w:b/>
          <w:sz w:val="32"/>
          <w:szCs w:val="32"/>
        </w:rPr>
      </w:pPr>
      <w:r w:rsidRPr="00AC463A">
        <w:rPr>
          <w:rFonts w:ascii="Times New Roman" w:eastAsiaTheme="majorEastAsia" w:hAnsi="Times New Roman" w:cs="Times New Roman"/>
          <w:b/>
          <w:sz w:val="32"/>
          <w:szCs w:val="32"/>
        </w:rPr>
        <w:lastRenderedPageBreak/>
        <w:t xml:space="preserve">Are variations spending </w:t>
      </w:r>
      <w:r w:rsidR="00B21974">
        <w:rPr>
          <w:rFonts w:ascii="Times New Roman" w:eastAsiaTheme="majorEastAsia" w:hAnsi="Times New Roman" w:cs="Times New Roman"/>
          <w:b/>
          <w:sz w:val="32"/>
          <w:szCs w:val="32"/>
        </w:rPr>
        <w:t>patterns</w:t>
      </w:r>
      <w:r w:rsidRPr="00AC463A">
        <w:rPr>
          <w:rFonts w:ascii="Times New Roman" w:eastAsiaTheme="majorEastAsia" w:hAnsi="Times New Roman" w:cs="Times New Roman"/>
          <w:b/>
          <w:sz w:val="32"/>
          <w:szCs w:val="32"/>
        </w:rPr>
        <w:t xml:space="preserve"> related to student outcomes?</w:t>
      </w:r>
    </w:p>
    <w:p w14:paraId="1FEA16A8" w14:textId="4ED8DCF9" w:rsidR="00341702" w:rsidRDefault="00454777">
      <w:pPr>
        <w:spacing w:after="120" w:line="276" w:lineRule="auto"/>
        <w:rPr>
          <w:rFonts w:ascii="Times New Roman" w:eastAsia="Times New Roman" w:hAnsi="Times New Roman" w:cs="Times New Roman"/>
        </w:rPr>
      </w:pPr>
      <w:r w:rsidRPr="00F00064">
        <w:rPr>
          <w:rFonts w:ascii="Times New Roman" w:eastAsia="Times New Roman" w:hAnsi="Times New Roman" w:cs="Times New Roman"/>
        </w:rPr>
        <w:t xml:space="preserve">The goal of the spending pattern analysis summarized above is to determine </w:t>
      </w:r>
      <w:r w:rsidR="00341702">
        <w:rPr>
          <w:rFonts w:ascii="Times New Roman" w:eastAsia="Times New Roman" w:hAnsi="Times New Roman" w:cs="Times New Roman"/>
        </w:rPr>
        <w:t xml:space="preserve">how district characteristics influence how they allocate spending to different activities. Now we turn our attention to whether those spending patterns have an impact on student outcomes. </w:t>
      </w:r>
      <w:r w:rsidRPr="00F00064">
        <w:rPr>
          <w:rFonts w:ascii="Times New Roman" w:eastAsia="Times New Roman" w:hAnsi="Times New Roman" w:cs="Times New Roman"/>
        </w:rPr>
        <w:t>That is, can spending the same amount of money, but in different ways, achieve better results</w:t>
      </w:r>
      <w:r w:rsidR="00341702">
        <w:rPr>
          <w:rFonts w:ascii="Times New Roman" w:eastAsia="Times New Roman" w:hAnsi="Times New Roman" w:cs="Times New Roman"/>
        </w:rPr>
        <w:t xml:space="preserve"> for students</w:t>
      </w:r>
      <w:r w:rsidRPr="00F00064">
        <w:rPr>
          <w:rFonts w:ascii="Times New Roman" w:eastAsia="Times New Roman" w:hAnsi="Times New Roman" w:cs="Times New Roman"/>
        </w:rPr>
        <w:t xml:space="preserve">? </w:t>
      </w:r>
    </w:p>
    <w:p w14:paraId="7E2B4E96" w14:textId="2A24BEE8" w:rsidR="00F762A9" w:rsidRDefault="00454777">
      <w:pPr>
        <w:spacing w:after="120" w:line="276" w:lineRule="auto"/>
        <w:rPr>
          <w:rFonts w:ascii="Times New Roman" w:eastAsia="Times New Roman" w:hAnsi="Times New Roman" w:cs="Times New Roman"/>
        </w:rPr>
      </w:pPr>
      <w:r w:rsidRPr="00F00064">
        <w:rPr>
          <w:rFonts w:ascii="Times New Roman" w:eastAsia="Times New Roman" w:hAnsi="Times New Roman" w:cs="Times New Roman"/>
        </w:rPr>
        <w:t>The Department of Education used the results of their spending pattern analysis to evaluate whether or not variations in spending patterns are systematically associated with student outcomes, using high school graduation as their</w:t>
      </w:r>
      <w:r w:rsidR="00BA37C1">
        <w:rPr>
          <w:rFonts w:ascii="Times New Roman" w:eastAsia="Times New Roman" w:hAnsi="Times New Roman" w:cs="Times New Roman"/>
        </w:rPr>
        <w:t xml:space="preserve"> student outcome</w:t>
      </w:r>
      <w:r w:rsidRPr="00F00064">
        <w:rPr>
          <w:rFonts w:ascii="Times New Roman" w:eastAsia="Times New Roman" w:hAnsi="Times New Roman" w:cs="Times New Roman"/>
        </w:rPr>
        <w:t xml:space="preserve"> measure. </w:t>
      </w:r>
      <w:r w:rsidR="00F762A9">
        <w:rPr>
          <w:rFonts w:ascii="Times New Roman" w:eastAsia="Times New Roman" w:hAnsi="Times New Roman" w:cs="Times New Roman"/>
        </w:rPr>
        <w:t>Using a multivariate linear regression model, we estimated the relationship between high school graduation rates and the shares of spending in vario</w:t>
      </w:r>
      <w:r w:rsidR="00E252B1">
        <w:rPr>
          <w:rFonts w:ascii="Times New Roman" w:eastAsia="Times New Roman" w:hAnsi="Times New Roman" w:cs="Times New Roman"/>
        </w:rPr>
        <w:t>us categories. Using this type o</w:t>
      </w:r>
      <w:r w:rsidR="00F762A9">
        <w:rPr>
          <w:rFonts w:ascii="Times New Roman" w:eastAsia="Times New Roman" w:hAnsi="Times New Roman" w:cs="Times New Roman"/>
        </w:rPr>
        <w:t>f model allows us to take into account other factors that influence graduation rates so that we are able to isolate the impacts of spending patterns. These other factors include district spending levels, district size, district location (</w:t>
      </w:r>
      <w:r w:rsidR="00985785">
        <w:rPr>
          <w:rFonts w:ascii="Times New Roman" w:eastAsia="Times New Roman" w:hAnsi="Times New Roman" w:cs="Times New Roman"/>
        </w:rPr>
        <w:t>C</w:t>
      </w:r>
      <w:r w:rsidR="00F762A9">
        <w:rPr>
          <w:rFonts w:ascii="Times New Roman" w:eastAsia="Times New Roman" w:hAnsi="Times New Roman" w:cs="Times New Roman"/>
        </w:rPr>
        <w:t xml:space="preserve">ity, </w:t>
      </w:r>
      <w:r w:rsidR="00985785">
        <w:rPr>
          <w:rFonts w:ascii="Times New Roman" w:eastAsia="Times New Roman" w:hAnsi="Times New Roman" w:cs="Times New Roman"/>
        </w:rPr>
        <w:t>S</w:t>
      </w:r>
      <w:r w:rsidR="00F762A9">
        <w:rPr>
          <w:rFonts w:ascii="Times New Roman" w:eastAsia="Times New Roman" w:hAnsi="Times New Roman" w:cs="Times New Roman"/>
        </w:rPr>
        <w:t xml:space="preserve">uburb, </w:t>
      </w:r>
      <w:r w:rsidR="00985785">
        <w:rPr>
          <w:rFonts w:ascii="Times New Roman" w:eastAsia="Times New Roman" w:hAnsi="Times New Roman" w:cs="Times New Roman"/>
        </w:rPr>
        <w:t>T</w:t>
      </w:r>
      <w:r w:rsidR="00F762A9">
        <w:rPr>
          <w:rFonts w:ascii="Times New Roman" w:eastAsia="Times New Roman" w:hAnsi="Times New Roman" w:cs="Times New Roman"/>
        </w:rPr>
        <w:t xml:space="preserve">own, and </w:t>
      </w:r>
      <w:r w:rsidR="00985785">
        <w:rPr>
          <w:rFonts w:ascii="Times New Roman" w:eastAsia="Times New Roman" w:hAnsi="Times New Roman" w:cs="Times New Roman"/>
        </w:rPr>
        <w:t>R</w:t>
      </w:r>
      <w:r w:rsidR="00F762A9">
        <w:rPr>
          <w:rFonts w:ascii="Times New Roman" w:eastAsia="Times New Roman" w:hAnsi="Times New Roman" w:cs="Times New Roman"/>
        </w:rPr>
        <w:t xml:space="preserve">ural), student demographics, and the share of students who are low income, English language learners, and special education. </w:t>
      </w:r>
    </w:p>
    <w:p w14:paraId="73080E94" w14:textId="3F863DB8" w:rsidR="00A23E33" w:rsidRDefault="00A23E33">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Exhibit </w:t>
      </w:r>
      <w:r w:rsidR="00AF7000">
        <w:rPr>
          <w:rFonts w:ascii="Times New Roman" w:eastAsia="Times New Roman" w:hAnsi="Times New Roman" w:cs="Times New Roman"/>
        </w:rPr>
        <w:t>14</w:t>
      </w:r>
      <w:r>
        <w:rPr>
          <w:rFonts w:ascii="Times New Roman" w:eastAsia="Times New Roman" w:hAnsi="Times New Roman" w:cs="Times New Roman"/>
        </w:rPr>
        <w:t xml:space="preserve"> </w:t>
      </w:r>
      <w:r w:rsidR="00492C69">
        <w:rPr>
          <w:rFonts w:ascii="Times New Roman" w:eastAsia="Times New Roman" w:hAnsi="Times New Roman" w:cs="Times New Roman"/>
        </w:rPr>
        <w:t>summarizes</w:t>
      </w:r>
      <w:r>
        <w:rPr>
          <w:rFonts w:ascii="Times New Roman" w:eastAsia="Times New Roman" w:hAnsi="Times New Roman" w:cs="Times New Roman"/>
        </w:rPr>
        <w:t xml:space="preserve"> the results of the regression equation</w:t>
      </w:r>
      <w:r w:rsidR="00B1025F">
        <w:rPr>
          <w:rFonts w:ascii="Times New Roman" w:eastAsia="Times New Roman" w:hAnsi="Times New Roman" w:cs="Times New Roman"/>
        </w:rPr>
        <w:t xml:space="preserve"> for </w:t>
      </w:r>
      <w:r w:rsidR="00E309AC">
        <w:rPr>
          <w:rFonts w:ascii="Times New Roman" w:eastAsia="Times New Roman" w:hAnsi="Times New Roman" w:cs="Times New Roman"/>
        </w:rPr>
        <w:t xml:space="preserve">just </w:t>
      </w:r>
      <w:r w:rsidR="00B1025F">
        <w:rPr>
          <w:rFonts w:ascii="Times New Roman" w:eastAsia="Times New Roman" w:hAnsi="Times New Roman" w:cs="Times New Roman"/>
        </w:rPr>
        <w:t>the spending share variables</w:t>
      </w:r>
      <w:r>
        <w:rPr>
          <w:rFonts w:ascii="Times New Roman" w:eastAsia="Times New Roman" w:hAnsi="Times New Roman" w:cs="Times New Roman"/>
        </w:rPr>
        <w:t xml:space="preserve">. </w:t>
      </w:r>
      <w:r w:rsidR="00E309AC">
        <w:rPr>
          <w:rFonts w:ascii="Times New Roman" w:eastAsia="Times New Roman" w:hAnsi="Times New Roman" w:cs="Times New Roman"/>
        </w:rPr>
        <w:t xml:space="preserve">We present the </w:t>
      </w:r>
      <w:r w:rsidR="00492C69">
        <w:rPr>
          <w:rFonts w:ascii="Times New Roman" w:eastAsia="Times New Roman" w:hAnsi="Times New Roman" w:cs="Times New Roman"/>
        </w:rPr>
        <w:t>full regression results</w:t>
      </w:r>
      <w:r w:rsidR="00E309AC">
        <w:rPr>
          <w:rFonts w:ascii="Times New Roman" w:eastAsia="Times New Roman" w:hAnsi="Times New Roman" w:cs="Times New Roman"/>
        </w:rPr>
        <w:t xml:space="preserve">, showing the relationship to high school graduation of the spending share variables and all of the control variables, </w:t>
      </w:r>
      <w:r w:rsidR="00492C69">
        <w:rPr>
          <w:rFonts w:ascii="Times New Roman" w:eastAsia="Times New Roman" w:hAnsi="Times New Roman" w:cs="Times New Roman"/>
        </w:rPr>
        <w:t>in Appendix A.</w:t>
      </w:r>
      <w:r>
        <w:rPr>
          <w:rFonts w:ascii="Times New Roman" w:eastAsia="Times New Roman" w:hAnsi="Times New Roman" w:cs="Times New Roman"/>
        </w:rPr>
        <w:t xml:space="preserve"> </w:t>
      </w:r>
    </w:p>
    <w:p w14:paraId="5C8994A4" w14:textId="77777777" w:rsidR="00AF7000" w:rsidRDefault="00AF7000">
      <w:pPr>
        <w:spacing w:after="120" w:line="276" w:lineRule="auto"/>
        <w:rPr>
          <w:rFonts w:ascii="Times New Roman" w:eastAsia="Times New Roman" w:hAnsi="Times New Roman" w:cs="Times New Roman"/>
        </w:rPr>
      </w:pPr>
    </w:p>
    <w:p w14:paraId="2E65F91F" w14:textId="1BFA8BF2" w:rsidR="00746AE2" w:rsidRDefault="00746AE2" w:rsidP="00746AE2">
      <w:pPr>
        <w:keepNext/>
        <w:spacing w:after="120"/>
        <w:rPr>
          <w:rFonts w:ascii="Copperplate Gothic Light" w:eastAsia="Times New Roman" w:hAnsi="Copperplate Gothic Light" w:cs="Times New Roman"/>
          <w:b/>
          <w:sz w:val="24"/>
        </w:rPr>
      </w:pPr>
      <w:r>
        <w:rPr>
          <w:rFonts w:ascii="Copperplate Gothic Light" w:eastAsia="Times New Roman" w:hAnsi="Copperplate Gothic Light" w:cs="Times New Roman"/>
          <w:b/>
          <w:sz w:val="24"/>
        </w:rPr>
        <w:t>Exhibit 1</w:t>
      </w:r>
      <w:r w:rsidR="00AF7000">
        <w:rPr>
          <w:rFonts w:ascii="Copperplate Gothic Light" w:eastAsia="Times New Roman" w:hAnsi="Copperplate Gothic Light" w:cs="Times New Roman"/>
          <w:b/>
          <w:sz w:val="24"/>
        </w:rPr>
        <w:t>4</w:t>
      </w:r>
      <w:r>
        <w:rPr>
          <w:rFonts w:ascii="Copperplate Gothic Light" w:eastAsia="Times New Roman" w:hAnsi="Copperplate Gothic Light" w:cs="Times New Roman"/>
          <w:b/>
          <w:sz w:val="24"/>
        </w:rPr>
        <w:t xml:space="preserve">: Summary of </w:t>
      </w:r>
      <w:r w:rsidR="00E309AC">
        <w:rPr>
          <w:rFonts w:ascii="Copperplate Gothic Light" w:eastAsia="Times New Roman" w:hAnsi="Copperplate Gothic Light" w:cs="Times New Roman"/>
          <w:b/>
          <w:sz w:val="24"/>
        </w:rPr>
        <w:t>Estimated Impact</w:t>
      </w:r>
      <w:r>
        <w:rPr>
          <w:rFonts w:ascii="Copperplate Gothic Light" w:eastAsia="Times New Roman" w:hAnsi="Copperplate Gothic Light" w:cs="Times New Roman"/>
          <w:b/>
          <w:sz w:val="24"/>
        </w:rPr>
        <w:t xml:space="preserve"> of Spending Shares on High School Graduation Rates, 2018-19</w:t>
      </w:r>
    </w:p>
    <w:p w14:paraId="65B59870" w14:textId="6B86ACA8" w:rsidR="00B1025F" w:rsidRDefault="00746AE2">
      <w:pPr>
        <w:spacing w:after="120" w:line="276" w:lineRule="auto"/>
        <w:rPr>
          <w:rFonts w:ascii="Times New Roman" w:eastAsia="Times New Roman" w:hAnsi="Times New Roman" w:cs="Times New Roman"/>
        </w:rPr>
      </w:pPr>
      <w:r w:rsidRPr="00DE617B" w:rsidDel="00DE617B">
        <w:t xml:space="preserve">  </w:t>
      </w:r>
      <w:r w:rsidR="00EE570D" w:rsidRPr="00EE570D">
        <w:rPr>
          <w:noProof/>
        </w:rPr>
        <w:drawing>
          <wp:inline distT="0" distB="0" distL="0" distR="0" wp14:anchorId="3BCAA3F7" wp14:editId="05E0C75A">
            <wp:extent cx="5030099" cy="2428875"/>
            <wp:effectExtent l="0" t="0" r="0" b="0"/>
            <wp:docPr id="10" name="Picture 10" descr="This table shows the estimated impact on high school graduation rates of spending more or less ins certain spending categories.  The based category is Instruction." title="Exhibit 14: Summary of Estimated Impact of Spending Shares on  High School Graduation Rates,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9784" cy="2433551"/>
                    </a:xfrm>
                    <a:prstGeom prst="rect">
                      <a:avLst/>
                    </a:prstGeom>
                    <a:noFill/>
                    <a:ln>
                      <a:noFill/>
                    </a:ln>
                  </pic:spPr>
                </pic:pic>
              </a:graphicData>
            </a:graphic>
          </wp:inline>
        </w:drawing>
      </w:r>
    </w:p>
    <w:p w14:paraId="746CBD9D" w14:textId="77777777" w:rsidR="00F762A9" w:rsidRDefault="00F762A9">
      <w:pPr>
        <w:spacing w:after="120" w:line="276" w:lineRule="auto"/>
        <w:rPr>
          <w:rFonts w:ascii="Times New Roman" w:eastAsia="Times New Roman" w:hAnsi="Times New Roman" w:cs="Times New Roman"/>
        </w:rPr>
      </w:pPr>
    </w:p>
    <w:p w14:paraId="2EFA8360" w14:textId="470AF887" w:rsidR="00E309AC" w:rsidRDefault="00E309AC">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Focusing on the factors that have a statistically significant relationship with high school graduation, we see that a one percentage point reduction of the share of total operating spending devoted to Instructional Staff Support activities, and raising </w:t>
      </w:r>
      <w:r w:rsidR="00D1185D">
        <w:rPr>
          <w:rFonts w:ascii="Times New Roman" w:eastAsia="Times New Roman" w:hAnsi="Times New Roman" w:cs="Times New Roman"/>
        </w:rPr>
        <w:t xml:space="preserve">the </w:t>
      </w:r>
      <w:r>
        <w:rPr>
          <w:rFonts w:ascii="Times New Roman" w:eastAsia="Times New Roman" w:hAnsi="Times New Roman" w:cs="Times New Roman"/>
        </w:rPr>
        <w:t xml:space="preserve">share to Instruction by one percentage point, will result in an estimated increase in the </w:t>
      </w:r>
      <w:r w:rsidR="000E78D9">
        <w:rPr>
          <w:rFonts w:ascii="Times New Roman" w:eastAsia="Times New Roman" w:hAnsi="Times New Roman" w:cs="Times New Roman"/>
        </w:rPr>
        <w:t>graduation rate by 1.29</w:t>
      </w:r>
      <w:r>
        <w:rPr>
          <w:rFonts w:ascii="Times New Roman" w:eastAsia="Times New Roman" w:hAnsi="Times New Roman" w:cs="Times New Roman"/>
        </w:rPr>
        <w:t xml:space="preserve"> percentage points.</w:t>
      </w:r>
    </w:p>
    <w:p w14:paraId="433C2401" w14:textId="59FE0586" w:rsidR="00E309AC" w:rsidRDefault="00E309AC">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Similarly, reducing </w:t>
      </w:r>
      <w:r w:rsidR="005C1613">
        <w:rPr>
          <w:rFonts w:ascii="Times New Roman" w:eastAsia="Times New Roman" w:hAnsi="Times New Roman" w:cs="Times New Roman"/>
        </w:rPr>
        <w:t xml:space="preserve">the </w:t>
      </w:r>
      <w:r>
        <w:rPr>
          <w:rFonts w:ascii="Times New Roman" w:eastAsia="Times New Roman" w:hAnsi="Times New Roman" w:cs="Times New Roman"/>
        </w:rPr>
        <w:t xml:space="preserve">share </w:t>
      </w:r>
      <w:r w:rsidR="00D1185D">
        <w:rPr>
          <w:rFonts w:ascii="Times New Roman" w:eastAsia="Times New Roman" w:hAnsi="Times New Roman" w:cs="Times New Roman"/>
        </w:rPr>
        <w:t>spent on</w:t>
      </w:r>
      <w:r>
        <w:rPr>
          <w:rFonts w:ascii="Times New Roman" w:eastAsia="Times New Roman" w:hAnsi="Times New Roman" w:cs="Times New Roman"/>
        </w:rPr>
        <w:t xml:space="preserve"> Business Services by one percentage point</w:t>
      </w:r>
      <w:r w:rsidR="000E78D9">
        <w:rPr>
          <w:rFonts w:ascii="Times New Roman" w:eastAsia="Times New Roman" w:hAnsi="Times New Roman" w:cs="Times New Roman"/>
        </w:rPr>
        <w:t xml:space="preserve"> and devoting those resources to Instruction </w:t>
      </w:r>
      <w:r w:rsidR="005C1613">
        <w:rPr>
          <w:rFonts w:ascii="Times New Roman" w:eastAsia="Times New Roman" w:hAnsi="Times New Roman" w:cs="Times New Roman"/>
        </w:rPr>
        <w:t>is</w:t>
      </w:r>
      <w:r w:rsidR="008E3BEC">
        <w:rPr>
          <w:rFonts w:ascii="Times New Roman" w:eastAsia="Times New Roman" w:hAnsi="Times New Roman" w:cs="Times New Roman"/>
        </w:rPr>
        <w:t xml:space="preserve"> predicted to </w:t>
      </w:r>
      <w:r w:rsidR="000E78D9">
        <w:rPr>
          <w:rFonts w:ascii="Times New Roman" w:eastAsia="Times New Roman" w:hAnsi="Times New Roman" w:cs="Times New Roman"/>
        </w:rPr>
        <w:t xml:space="preserve">raise the graduation rate by 1.07 percentage points. For Central </w:t>
      </w:r>
      <w:r w:rsidR="000E78D9">
        <w:rPr>
          <w:rFonts w:ascii="Times New Roman" w:eastAsia="Times New Roman" w:hAnsi="Times New Roman" w:cs="Times New Roman"/>
        </w:rPr>
        <w:lastRenderedPageBreak/>
        <w:t xml:space="preserve">Activities, </w:t>
      </w:r>
      <w:r w:rsidR="005C1613">
        <w:rPr>
          <w:rFonts w:ascii="Times New Roman" w:eastAsia="Times New Roman" w:hAnsi="Times New Roman" w:cs="Times New Roman"/>
        </w:rPr>
        <w:t xml:space="preserve">we predict </w:t>
      </w:r>
      <w:r w:rsidR="000E78D9">
        <w:rPr>
          <w:rFonts w:ascii="Times New Roman" w:eastAsia="Times New Roman" w:hAnsi="Times New Roman" w:cs="Times New Roman"/>
        </w:rPr>
        <w:t>a shift of a one percentage point share of total spending to Instruction will increase the graduation rate 1.19 percentage points.</w:t>
      </w:r>
    </w:p>
    <w:p w14:paraId="438BE10F" w14:textId="20E3CDA6" w:rsidR="00454777" w:rsidRPr="00F00064" w:rsidRDefault="00454777">
      <w:pPr>
        <w:spacing w:after="120" w:line="276" w:lineRule="auto"/>
        <w:rPr>
          <w:rFonts w:ascii="Times New Roman" w:eastAsia="Times New Roman" w:hAnsi="Times New Roman" w:cs="Times New Roman"/>
        </w:rPr>
      </w:pPr>
      <w:r w:rsidRPr="00F00064">
        <w:rPr>
          <w:rFonts w:ascii="Times New Roman" w:eastAsia="Times New Roman" w:hAnsi="Times New Roman" w:cs="Times New Roman"/>
        </w:rPr>
        <w:t>These findings suggest that districts may be able to improve student outcomes by reallocating resources, where possible, toward instruction and student support activities and away from activities that are more administrative in nature.</w:t>
      </w:r>
      <w:r w:rsidR="000E78D9">
        <w:rPr>
          <w:rFonts w:ascii="Times New Roman" w:eastAsia="Times New Roman" w:hAnsi="Times New Roman" w:cs="Times New Roman"/>
        </w:rPr>
        <w:t xml:space="preserve"> In pa</w:t>
      </w:r>
      <w:r w:rsidR="007E1B99">
        <w:rPr>
          <w:rFonts w:ascii="Times New Roman" w:eastAsia="Times New Roman" w:hAnsi="Times New Roman" w:cs="Times New Roman"/>
        </w:rPr>
        <w:t>rticular, shifting spending to Instruction from administrative and support activities that are less directly related to student learning has the potential to improve student outcomes.</w:t>
      </w:r>
    </w:p>
    <w:p w14:paraId="6845CFD8" w14:textId="77777777" w:rsidR="00454777" w:rsidRPr="00F00064" w:rsidRDefault="00454777">
      <w:pPr>
        <w:spacing w:after="120" w:line="276" w:lineRule="auto"/>
        <w:rPr>
          <w:rFonts w:ascii="Times New Roman" w:eastAsia="Times New Roman" w:hAnsi="Times New Roman" w:cs="Times New Roman"/>
        </w:rPr>
      </w:pPr>
      <w:r w:rsidRPr="00F00064">
        <w:rPr>
          <w:rFonts w:ascii="Times New Roman" w:eastAsia="Times New Roman" w:hAnsi="Times New Roman" w:cs="Times New Roman"/>
        </w:rPr>
        <w:t>To assist districts in evaluating how they allocate resources to different activities, the Department of Education has developed a tool that allows districts to compare their resource allocations to those of similar districts. The hope is that similar districts can learn from one another how to better use their resources.</w:t>
      </w:r>
    </w:p>
    <w:p w14:paraId="594371AD" w14:textId="77777777" w:rsidR="00454777" w:rsidRPr="00F00064" w:rsidRDefault="00454777">
      <w:pPr>
        <w:spacing w:after="120" w:line="276" w:lineRule="auto"/>
        <w:rPr>
          <w:rFonts w:ascii="Times New Roman" w:eastAsia="Times New Roman" w:hAnsi="Times New Roman" w:cs="Times New Roman"/>
        </w:rPr>
      </w:pPr>
    </w:p>
    <w:p w14:paraId="0B6CDC62" w14:textId="77777777" w:rsidR="00454777" w:rsidRPr="00AC463A" w:rsidRDefault="00454777">
      <w:pPr>
        <w:keepNext/>
        <w:spacing w:after="120" w:line="276" w:lineRule="auto"/>
        <w:rPr>
          <w:rFonts w:ascii="Times New Roman" w:eastAsia="Times New Roman" w:hAnsi="Times New Roman" w:cs="Times New Roman"/>
          <w:b/>
          <w:sz w:val="32"/>
          <w:szCs w:val="32"/>
        </w:rPr>
      </w:pPr>
      <w:r w:rsidRPr="00AC463A">
        <w:rPr>
          <w:rFonts w:ascii="Times New Roman" w:eastAsia="Times New Roman" w:hAnsi="Times New Roman" w:cs="Times New Roman"/>
          <w:b/>
          <w:sz w:val="32"/>
          <w:szCs w:val="32"/>
        </w:rPr>
        <w:t>A Tool for School Districts</w:t>
      </w:r>
    </w:p>
    <w:p w14:paraId="6A4F499B" w14:textId="6C38307B" w:rsidR="00454777" w:rsidRPr="00F00064" w:rsidRDefault="00454777">
      <w:pPr>
        <w:keepNext/>
        <w:spacing w:after="120" w:line="276" w:lineRule="auto"/>
        <w:rPr>
          <w:rFonts w:ascii="Times New Roman" w:eastAsia="Times New Roman" w:hAnsi="Times New Roman" w:cs="Times New Roman"/>
        </w:rPr>
      </w:pPr>
      <w:r w:rsidRPr="00F00064">
        <w:rPr>
          <w:rFonts w:ascii="Times New Roman" w:eastAsia="Times New Roman" w:hAnsi="Times New Roman" w:cs="Times New Roman"/>
        </w:rPr>
        <w:t>The analysis of how spending patterns are related to student outcomes may be of use to school districts in making budgeting and spending decisions. The analysis shows, for example, that districts that spend a higher share of their resources on classroom instruction get better student outcomes. With this knowledge, a district that currently spends less on instruction than other districts in similar circumstances may be able learn from the other districts how to find savings in the non-instructional areas.</w:t>
      </w:r>
    </w:p>
    <w:p w14:paraId="62F49704" w14:textId="6CE38F34" w:rsidR="00205C9D" w:rsidRDefault="00454777" w:rsidP="00821CD5">
      <w:pPr>
        <w:spacing w:after="120" w:line="276" w:lineRule="auto"/>
        <w:rPr>
          <w:rFonts w:ascii="Times New Roman" w:eastAsia="Times New Roman" w:hAnsi="Times New Roman" w:cs="Times New Roman"/>
        </w:rPr>
      </w:pPr>
      <w:r w:rsidRPr="00F00064">
        <w:rPr>
          <w:rFonts w:ascii="Times New Roman" w:eastAsia="Times New Roman" w:hAnsi="Times New Roman" w:cs="Times New Roman"/>
        </w:rPr>
        <w:t xml:space="preserve">The tool developed by the Department of </w:t>
      </w:r>
      <w:r w:rsidR="00985785">
        <w:rPr>
          <w:rFonts w:ascii="Times New Roman" w:eastAsia="Times New Roman" w:hAnsi="Times New Roman" w:cs="Times New Roman"/>
        </w:rPr>
        <w:t>E</w:t>
      </w:r>
      <w:r w:rsidRPr="00F00064">
        <w:rPr>
          <w:rFonts w:ascii="Times New Roman" w:eastAsia="Times New Roman" w:hAnsi="Times New Roman" w:cs="Times New Roman"/>
        </w:rPr>
        <w:t>ducation provides the information that districts need to make such comparisons. The tool provides, for each school district in the state, expenditure data in a range of categories. This information, along with demographic and student performance data, will allow districts to compare themselves with their peer districts and quickly see how different spending patterns may be related to different outcomes. Perhaps more importantly, it may generate conversations among school districts so they can share knowledge about what seems to be effective and what doesn’t</w:t>
      </w:r>
      <w:r w:rsidR="00205C9D">
        <w:rPr>
          <w:rFonts w:ascii="Times New Roman" w:eastAsia="Times New Roman" w:hAnsi="Times New Roman" w:cs="Times New Roman"/>
        </w:rPr>
        <w:t>.</w:t>
      </w:r>
    </w:p>
    <w:p w14:paraId="70CBF485" w14:textId="77777777" w:rsidR="00205C9D" w:rsidRPr="00821CD5" w:rsidRDefault="00205C9D" w:rsidP="00821CD5">
      <w:pPr>
        <w:spacing w:after="120" w:line="276" w:lineRule="auto"/>
        <w:rPr>
          <w:rFonts w:ascii="Times New Roman" w:eastAsia="Times New Roman" w:hAnsi="Times New Roman" w:cs="Times New Roman"/>
        </w:rPr>
      </w:pPr>
      <w:r w:rsidRPr="00821CD5">
        <w:rPr>
          <w:rFonts w:ascii="Times New Roman" w:eastAsia="Times New Roman" w:hAnsi="Times New Roman" w:cs="Times New Roman"/>
        </w:rPr>
        <w:t>In making these comparisons, districts should compare themselves to other districts of roughly the same size. Our analysis shows that district size impacts spending patterns, so districts have the most to learn from other districts of the same size.</w:t>
      </w:r>
    </w:p>
    <w:p w14:paraId="4D53358F" w14:textId="74F1CA79" w:rsidR="00454777" w:rsidRPr="00821CD5" w:rsidRDefault="00454777">
      <w:pPr>
        <w:spacing w:after="120" w:line="276" w:lineRule="auto"/>
        <w:rPr>
          <w:rFonts w:ascii="Times New Roman" w:eastAsia="Times New Roman" w:hAnsi="Times New Roman" w:cs="Times New Roman"/>
          <w:color w:val="0070C0"/>
          <w:u w:val="single"/>
        </w:rPr>
      </w:pPr>
      <w:r w:rsidRPr="00F00064">
        <w:rPr>
          <w:rFonts w:ascii="Times New Roman" w:eastAsia="Times New Roman" w:hAnsi="Times New Roman" w:cs="Times New Roman"/>
        </w:rPr>
        <w:t>The tool</w:t>
      </w:r>
      <w:r w:rsidR="002315BC">
        <w:rPr>
          <w:rFonts w:ascii="Times New Roman" w:eastAsia="Times New Roman" w:hAnsi="Times New Roman" w:cs="Times New Roman"/>
        </w:rPr>
        <w:t xml:space="preserve"> is</w:t>
      </w:r>
      <w:r w:rsidRPr="00F00064">
        <w:rPr>
          <w:rFonts w:ascii="Times New Roman" w:eastAsia="Times New Roman" w:hAnsi="Times New Roman" w:cs="Times New Roman"/>
        </w:rPr>
        <w:t xml:space="preserve"> available for download on the Department of Education’s website </w:t>
      </w:r>
      <w:hyperlink r:id="rId27" w:history="1">
        <w:r w:rsidR="000057CB" w:rsidRPr="002315BC">
          <w:rPr>
            <w:rStyle w:val="Hyperlink"/>
            <w:rFonts w:ascii="Times New Roman" w:eastAsia="Times New Roman" w:hAnsi="Times New Roman" w:cs="Times New Roman"/>
          </w:rPr>
          <w:t>here.</w:t>
        </w:r>
      </w:hyperlink>
    </w:p>
    <w:p w14:paraId="75BF6F45" w14:textId="5F21C191" w:rsidR="00591E96" w:rsidRDefault="00205C9D" w:rsidP="00821CD5">
      <w:pPr>
        <w:spacing w:after="120" w:line="276" w:lineRule="auto"/>
        <w:rPr>
          <w:rFonts w:ascii="Times New Roman" w:eastAsia="Times New Roman" w:hAnsi="Times New Roman" w:cs="Times New Roman"/>
        </w:rPr>
      </w:pPr>
      <w:r w:rsidDel="00205C9D">
        <w:rPr>
          <w:rFonts w:ascii="Times New Roman" w:eastAsia="Times New Roman" w:hAnsi="Times New Roman" w:cs="Times New Roman"/>
          <w:color w:val="FF0000"/>
        </w:rPr>
        <w:t xml:space="preserve"> </w:t>
      </w:r>
    </w:p>
    <w:p w14:paraId="734F297C" w14:textId="77777777" w:rsidR="00492C69" w:rsidRDefault="00492C69">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35FD27BA" w14:textId="756ECF4A" w:rsidR="00591E96" w:rsidRPr="0051133B" w:rsidRDefault="00492C69" w:rsidP="0051133B">
      <w:pPr>
        <w:spacing w:after="120" w:line="276" w:lineRule="auto"/>
        <w:jc w:val="center"/>
        <w:rPr>
          <w:rFonts w:ascii="Times New Roman" w:eastAsia="Times New Roman" w:hAnsi="Times New Roman" w:cs="Times New Roman"/>
          <w:b/>
          <w:sz w:val="32"/>
          <w:szCs w:val="32"/>
        </w:rPr>
      </w:pPr>
      <w:r w:rsidRPr="0051133B">
        <w:rPr>
          <w:rFonts w:ascii="Times New Roman" w:eastAsia="Times New Roman" w:hAnsi="Times New Roman" w:cs="Times New Roman"/>
          <w:b/>
          <w:sz w:val="32"/>
          <w:szCs w:val="32"/>
        </w:rPr>
        <w:lastRenderedPageBreak/>
        <w:t>Appendix</w:t>
      </w:r>
      <w:r w:rsidR="007E1B99">
        <w:rPr>
          <w:rFonts w:ascii="Times New Roman" w:eastAsia="Times New Roman" w:hAnsi="Times New Roman" w:cs="Times New Roman"/>
          <w:b/>
          <w:sz w:val="32"/>
          <w:szCs w:val="32"/>
        </w:rPr>
        <w:t>—High School Graduation Rat</w:t>
      </w:r>
      <w:r w:rsidR="0054199D">
        <w:rPr>
          <w:rFonts w:ascii="Times New Roman" w:eastAsia="Times New Roman" w:hAnsi="Times New Roman" w:cs="Times New Roman"/>
          <w:b/>
          <w:sz w:val="32"/>
          <w:szCs w:val="32"/>
        </w:rPr>
        <w:t>e</w:t>
      </w:r>
      <w:r w:rsidR="007E1B99">
        <w:rPr>
          <w:rFonts w:ascii="Times New Roman" w:eastAsia="Times New Roman" w:hAnsi="Times New Roman" w:cs="Times New Roman"/>
          <w:b/>
          <w:sz w:val="32"/>
          <w:szCs w:val="32"/>
        </w:rPr>
        <w:t xml:space="preserve"> Regression Results</w:t>
      </w:r>
    </w:p>
    <w:p w14:paraId="0C3A8831" w14:textId="27666CB8" w:rsidR="00F648A3" w:rsidRPr="0051133B" w:rsidRDefault="00FF707A" w:rsidP="0051133B">
      <w:pPr>
        <w:spacing w:after="120" w:line="276" w:lineRule="auto"/>
        <w:ind w:left="360"/>
        <w:rPr>
          <w:rFonts w:ascii="Times New Roman" w:eastAsia="Times New Roman" w:hAnsi="Times New Roman" w:cs="Times New Roman"/>
          <w:b/>
          <w:szCs w:val="22"/>
        </w:rPr>
      </w:pPr>
      <w:r w:rsidRPr="00FF707A">
        <w:rPr>
          <w:noProof/>
        </w:rPr>
        <w:drawing>
          <wp:inline distT="0" distB="0" distL="0" distR="0" wp14:anchorId="23710FC9" wp14:editId="3771D671">
            <wp:extent cx="5505450" cy="7810500"/>
            <wp:effectExtent l="0" t="0" r="0" b="0"/>
            <wp:docPr id="11" name="Picture 11" descr="This table shows the detailed results of the the regression equation that was estimated to identify the factors that are associeated with high school graduation rates." title="Appendix A: High School Graduation Rate Regression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05450" cy="7810500"/>
                    </a:xfrm>
                    <a:prstGeom prst="rect">
                      <a:avLst/>
                    </a:prstGeom>
                    <a:noFill/>
                    <a:ln>
                      <a:noFill/>
                    </a:ln>
                  </pic:spPr>
                </pic:pic>
              </a:graphicData>
            </a:graphic>
          </wp:inline>
        </w:drawing>
      </w:r>
    </w:p>
    <w:sectPr w:rsidR="00F648A3" w:rsidRPr="0051133B" w:rsidSect="002E6C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5BAD9" w14:textId="77777777" w:rsidR="009454E5" w:rsidRDefault="009454E5" w:rsidP="00454777">
      <w:pPr>
        <w:spacing w:after="0"/>
      </w:pPr>
      <w:r>
        <w:separator/>
      </w:r>
    </w:p>
  </w:endnote>
  <w:endnote w:type="continuationSeparator" w:id="0">
    <w:p w14:paraId="51DC51FC" w14:textId="77777777" w:rsidR="009454E5" w:rsidRDefault="009454E5" w:rsidP="00454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281287"/>
      <w:docPartObj>
        <w:docPartGallery w:val="Page Numbers (Bottom of Page)"/>
        <w:docPartUnique/>
      </w:docPartObj>
    </w:sdtPr>
    <w:sdtEndPr>
      <w:rPr>
        <w:noProof/>
      </w:rPr>
    </w:sdtEndPr>
    <w:sdtContent>
      <w:p w14:paraId="2B6487A8" w14:textId="3F46EE9C" w:rsidR="00632589" w:rsidRDefault="00632589">
        <w:pPr>
          <w:pStyle w:val="Footer"/>
          <w:jc w:val="center"/>
        </w:pPr>
        <w:r>
          <w:fldChar w:fldCharType="begin"/>
        </w:r>
        <w:r>
          <w:instrText xml:space="preserve"> PAGE   \* MERGEFORMAT </w:instrText>
        </w:r>
        <w:r>
          <w:fldChar w:fldCharType="separate"/>
        </w:r>
        <w:r w:rsidR="00471127">
          <w:rPr>
            <w:noProof/>
          </w:rPr>
          <w:t>26</w:t>
        </w:r>
        <w:r>
          <w:rPr>
            <w:noProof/>
          </w:rPr>
          <w:fldChar w:fldCharType="end"/>
        </w:r>
      </w:p>
    </w:sdtContent>
  </w:sdt>
  <w:p w14:paraId="08A1881A" w14:textId="77777777" w:rsidR="00632589" w:rsidRDefault="00632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EE10" w14:textId="77777777" w:rsidR="009454E5" w:rsidRDefault="009454E5" w:rsidP="00454777">
      <w:pPr>
        <w:spacing w:after="0"/>
      </w:pPr>
      <w:r>
        <w:separator/>
      </w:r>
    </w:p>
  </w:footnote>
  <w:footnote w:type="continuationSeparator" w:id="0">
    <w:p w14:paraId="4EF2EE2D" w14:textId="77777777" w:rsidR="009454E5" w:rsidRDefault="009454E5" w:rsidP="00454777">
      <w:pPr>
        <w:spacing w:after="0"/>
      </w:pPr>
      <w:r>
        <w:continuationSeparator/>
      </w:r>
    </w:p>
  </w:footnote>
  <w:footnote w:id="1">
    <w:p w14:paraId="4BD7C2B1" w14:textId="77777777" w:rsidR="00867F7C" w:rsidRPr="002D2F62" w:rsidRDefault="00973642" w:rsidP="00867F7C">
      <w:pPr>
        <w:spacing w:before="240"/>
        <w:rPr>
          <w:rFonts w:ascii="Times New Roman" w:eastAsia="Times New Roman" w:hAnsi="Times New Roman" w:cs="Times New Roman"/>
          <w:sz w:val="20"/>
          <w:szCs w:val="20"/>
        </w:rPr>
      </w:pPr>
      <w:r>
        <w:rPr>
          <w:rStyle w:val="FootnoteReference"/>
        </w:rPr>
        <w:footnoteRef/>
      </w:r>
      <w:r>
        <w:t xml:space="preserve"> </w:t>
      </w:r>
      <w:r w:rsidR="00867F7C" w:rsidRPr="002D2F62">
        <w:rPr>
          <w:rFonts w:ascii="Times New Roman" w:eastAsia="Times New Roman" w:hAnsi="Times New Roman" w:cs="Times New Roman"/>
          <w:sz w:val="20"/>
          <w:szCs w:val="20"/>
        </w:rPr>
        <w:t>Oregon Secretary of State’s Office, “ODE and PPS Must Do More to Monitor Spending and Address Systemic Obstacles to Student Performance, Particularly at Struggling Schools”</w:t>
      </w:r>
      <w:r w:rsidR="00867F7C">
        <w:rPr>
          <w:rFonts w:ascii="Times New Roman" w:eastAsia="Times New Roman" w:hAnsi="Times New Roman" w:cs="Times New Roman"/>
          <w:sz w:val="20"/>
          <w:szCs w:val="20"/>
        </w:rPr>
        <w:t>, Audit Report 2019-01, January 2019</w:t>
      </w:r>
    </w:p>
    <w:p w14:paraId="2F54E561" w14:textId="77777777" w:rsidR="00867F7C" w:rsidRPr="002A2680" w:rsidRDefault="00867F7C" w:rsidP="00867F7C">
      <w:pPr>
        <w:pStyle w:val="FootnoteText"/>
        <w:rPr>
          <w:lang w:val="en-US"/>
        </w:rPr>
      </w:pPr>
    </w:p>
    <w:p w14:paraId="115D3DEF" w14:textId="2E1A8BC7" w:rsidR="00973642" w:rsidRPr="000F735E" w:rsidRDefault="00973642">
      <w:pPr>
        <w:pStyle w:val="FootnoteText"/>
        <w:rPr>
          <w:lang w:val="en-US"/>
        </w:rPr>
      </w:pPr>
    </w:p>
  </w:footnote>
  <w:footnote w:id="2">
    <w:p w14:paraId="1FA3F9BB" w14:textId="69C944EB" w:rsidR="008F38C6" w:rsidRPr="002B5C29" w:rsidRDefault="008F38C6">
      <w:pPr>
        <w:pStyle w:val="FootnoteText"/>
        <w:rPr>
          <w:rFonts w:ascii="Times New Roman" w:hAnsi="Times New Roman" w:cs="Times New Roman"/>
          <w:lang w:val="en-US"/>
        </w:rPr>
      </w:pPr>
      <w:r w:rsidRPr="002B5C29">
        <w:rPr>
          <w:rStyle w:val="FootnoteReference"/>
          <w:rFonts w:ascii="Times New Roman" w:hAnsi="Times New Roman" w:cs="Times New Roman"/>
        </w:rPr>
        <w:footnoteRef/>
      </w:r>
      <w:r w:rsidRPr="002B5C29">
        <w:rPr>
          <w:rFonts w:ascii="Times New Roman" w:hAnsi="Times New Roman" w:cs="Times New Roman"/>
        </w:rPr>
        <w:t xml:space="preserve"> </w:t>
      </w:r>
      <w:r w:rsidRPr="002B5C29">
        <w:rPr>
          <w:rFonts w:ascii="Times New Roman" w:hAnsi="Times New Roman" w:cs="Times New Roman"/>
          <w:lang w:val="en-US"/>
        </w:rPr>
        <w:t>ORS 327.077</w:t>
      </w:r>
    </w:p>
  </w:footnote>
  <w:footnote w:id="3">
    <w:p w14:paraId="55613AE9" w14:textId="77777777" w:rsidR="008F38C6" w:rsidRPr="00CF1066" w:rsidRDefault="008F38C6" w:rsidP="00E0309E">
      <w:pPr>
        <w:pStyle w:val="FootnoteText"/>
        <w:rPr>
          <w:rFonts w:ascii="Times New Roman" w:hAnsi="Times New Roman" w:cs="Times New Roman"/>
          <w:lang w:val="en-US"/>
        </w:rPr>
      </w:pPr>
      <w:r w:rsidRPr="00CF1066">
        <w:rPr>
          <w:rStyle w:val="FootnoteReference"/>
          <w:rFonts w:ascii="Times New Roman" w:hAnsi="Times New Roman" w:cs="Times New Roman"/>
        </w:rPr>
        <w:footnoteRef/>
      </w:r>
      <w:r w:rsidRPr="00CF1066">
        <w:rPr>
          <w:rFonts w:ascii="Times New Roman" w:hAnsi="Times New Roman" w:cs="Times New Roman"/>
        </w:rPr>
        <w:t xml:space="preserve"> https://nces.ed.gov/programs/edge/Geographic/SchoolLocations</w:t>
      </w:r>
    </w:p>
  </w:footnote>
  <w:footnote w:id="4">
    <w:p w14:paraId="32CF1486" w14:textId="77777777" w:rsidR="008F38C6" w:rsidRPr="002B5C29" w:rsidRDefault="008F38C6" w:rsidP="00A627DE">
      <w:pPr>
        <w:pStyle w:val="FootnoteText"/>
        <w:rPr>
          <w:rFonts w:ascii="Times New Roman" w:hAnsi="Times New Roman" w:cs="Times New Roman"/>
        </w:rPr>
      </w:pPr>
      <w:r w:rsidRPr="002B5C29">
        <w:rPr>
          <w:rStyle w:val="FootnoteReference"/>
          <w:rFonts w:ascii="Times New Roman" w:hAnsi="Times New Roman" w:cs="Times New Roman"/>
        </w:rPr>
        <w:footnoteRef/>
      </w:r>
      <w:r w:rsidRPr="002B5C29">
        <w:rPr>
          <w:rFonts w:ascii="Times New Roman" w:hAnsi="Times New Roman" w:cs="Times New Roman"/>
        </w:rPr>
        <w:t xml:space="preserve"> The current version of this document is available from </w:t>
      </w:r>
      <w:hyperlink r:id="rId1" w:history="1">
        <w:r w:rsidRPr="002B5C29">
          <w:rPr>
            <w:rStyle w:val="Hyperlink"/>
            <w:rFonts w:ascii="Times New Roman" w:hAnsi="Times New Roman" w:cs="Times New Roman"/>
          </w:rPr>
          <w:t>the ODE website</w:t>
        </w:r>
      </w:hyperlink>
      <w:r w:rsidRPr="002B5C29">
        <w:rPr>
          <w:rFonts w:ascii="Times New Roman" w:hAnsi="Times New Roman" w:cs="Times New Roman"/>
        </w:rPr>
        <w:t>.</w:t>
      </w:r>
    </w:p>
  </w:footnote>
  <w:footnote w:id="5">
    <w:p w14:paraId="0BD9C6A2" w14:textId="77777777" w:rsidR="008F38C6" w:rsidRPr="00177AC9" w:rsidRDefault="008F38C6" w:rsidP="004000D8">
      <w:pPr>
        <w:pStyle w:val="FootnoteText"/>
        <w:rPr>
          <w:rFonts w:ascii="Times New Roman" w:hAnsi="Times New Roman" w:cs="Times New Roman"/>
        </w:rPr>
      </w:pPr>
      <w:r w:rsidRPr="00177AC9">
        <w:rPr>
          <w:rStyle w:val="FootnoteReference"/>
          <w:rFonts w:ascii="Times New Roman" w:hAnsi="Times New Roman" w:cs="Times New Roman"/>
        </w:rPr>
        <w:footnoteRef/>
      </w:r>
      <w:r w:rsidRPr="00177AC9">
        <w:rPr>
          <w:rFonts w:ascii="Times New Roman" w:hAnsi="Times New Roman" w:cs="Times New Roman"/>
        </w:rPr>
        <w:t xml:space="preserve"> This appears to be how many districts make their budgetary decisions regarding the level of instructional staff they hire. For example, “In elementary, middle and K-8 schools, staff will be allocated based on the number of classes required by grade level or subject based on the projected enrollment in those grade levels. Previously, the FTE allocation was allocated on a ratio of projected enrollment for the entire school. This change will ensure that each grade level has the necessary number of teachers. High school FTE allocation will continue to be based on a ratio, but all high schools will start with a minimum base number of FTE, to ensure adequate staffing at under-enrolled and small schools and ensure students receive instruction in core academic and state mandated courses.” Approved Budget For the fiscal year 2018/19, School District No. 1J, Multnomah County, Oregon Portland Public Schools, p.28; See also “Increase the staffing ratio in grades 3-12 by two, for a staffing ratio of 31:1 (loss of 37.5 licensed full-time equivalent (FTE) positions; add back 6 FTE in hot spots for a net loss of 31.5 FTE)” Adopted Budget For Fiscal Year 2019-20, Hillsboro School District 1J, p. 3.</w:t>
      </w:r>
    </w:p>
  </w:footnote>
  <w:footnote w:id="6">
    <w:p w14:paraId="573DB4AE" w14:textId="067CA6C7" w:rsidR="00C909AD" w:rsidRPr="00177AC9" w:rsidRDefault="00C909AD">
      <w:pPr>
        <w:pStyle w:val="FootnoteText"/>
        <w:rPr>
          <w:rFonts w:ascii="Times New Roman" w:hAnsi="Times New Roman" w:cs="Times New Roman"/>
          <w:lang w:val="en-US"/>
        </w:rPr>
      </w:pPr>
      <w:r w:rsidRPr="00177AC9">
        <w:rPr>
          <w:rStyle w:val="FootnoteReference"/>
          <w:rFonts w:ascii="Times New Roman" w:hAnsi="Times New Roman" w:cs="Times New Roman"/>
        </w:rPr>
        <w:footnoteRef/>
      </w:r>
      <w:r w:rsidRPr="00177AC9">
        <w:rPr>
          <w:rFonts w:ascii="Times New Roman" w:hAnsi="Times New Roman" w:cs="Times New Roman"/>
        </w:rPr>
        <w:t xml:space="preserve"> </w:t>
      </w:r>
      <w:r w:rsidRPr="00177AC9">
        <w:rPr>
          <w:rFonts w:ascii="Times New Roman" w:hAnsi="Times New Roman" w:cs="Times New Roman"/>
          <w:lang w:val="en-US"/>
        </w:rPr>
        <w:t xml:space="preserve">City districts are the base category, so the </w:t>
      </w:r>
      <w:r w:rsidR="00184DD6" w:rsidRPr="00177AC9">
        <w:rPr>
          <w:rFonts w:ascii="Times New Roman" w:hAnsi="Times New Roman" w:cs="Times New Roman"/>
          <w:lang w:val="en-US"/>
        </w:rPr>
        <w:t xml:space="preserve">impacts of the other </w:t>
      </w:r>
      <w:r w:rsidR="00184DD6">
        <w:rPr>
          <w:rFonts w:ascii="Times New Roman" w:hAnsi="Times New Roman" w:cs="Times New Roman"/>
          <w:lang w:val="en-US"/>
        </w:rPr>
        <w:t xml:space="preserve">geographic </w:t>
      </w:r>
      <w:r w:rsidR="00184DD6" w:rsidRPr="00177AC9">
        <w:rPr>
          <w:rFonts w:ascii="Times New Roman" w:hAnsi="Times New Roman" w:cs="Times New Roman"/>
          <w:lang w:val="en-US"/>
        </w:rPr>
        <w:t xml:space="preserve">locale categories are relative to </w:t>
      </w:r>
      <w:r w:rsidR="00184DD6">
        <w:rPr>
          <w:rFonts w:ascii="Times New Roman" w:hAnsi="Times New Roman" w:cs="Times New Roman"/>
          <w:lang w:val="en-US"/>
        </w:rPr>
        <w:t xml:space="preserve">districts in </w:t>
      </w:r>
      <w:r w:rsidR="00184DD6" w:rsidRPr="00177AC9">
        <w:rPr>
          <w:rFonts w:ascii="Times New Roman" w:hAnsi="Times New Roman" w:cs="Times New Roman"/>
          <w:lang w:val="en-US"/>
        </w:rPr>
        <w:t>the City category.</w:t>
      </w:r>
    </w:p>
  </w:footnote>
  <w:footnote w:id="7">
    <w:p w14:paraId="57A51A5D" w14:textId="23A9667F" w:rsidR="00184DD6" w:rsidRPr="00177AC9" w:rsidRDefault="00184DD6">
      <w:pPr>
        <w:pStyle w:val="FootnoteText"/>
        <w:rPr>
          <w:rFonts w:ascii="Times New Roman" w:hAnsi="Times New Roman" w:cs="Times New Roman"/>
          <w:lang w:val="en-US"/>
        </w:rPr>
      </w:pPr>
      <w:r w:rsidRPr="00177AC9">
        <w:rPr>
          <w:rStyle w:val="FootnoteReference"/>
          <w:rFonts w:ascii="Times New Roman" w:hAnsi="Times New Roman" w:cs="Times New Roman"/>
        </w:rPr>
        <w:footnoteRef/>
      </w:r>
      <w:r w:rsidRPr="00177AC9">
        <w:rPr>
          <w:rFonts w:ascii="Times New Roman" w:hAnsi="Times New Roman" w:cs="Times New Roman"/>
        </w:rPr>
        <w:t xml:space="preserve"> </w:t>
      </w:r>
      <w:r w:rsidR="00417FA1" w:rsidRPr="00177AC9">
        <w:rPr>
          <w:rFonts w:ascii="Times New Roman" w:hAnsi="Times New Roman" w:cs="Times New Roman"/>
          <w:lang w:val="en-US"/>
        </w:rPr>
        <w:t>Very Large d</w:t>
      </w:r>
      <w:r w:rsidRPr="00177AC9">
        <w:rPr>
          <w:rFonts w:ascii="Times New Roman" w:hAnsi="Times New Roman" w:cs="Times New Roman"/>
          <w:lang w:val="en-US"/>
        </w:rPr>
        <w:t xml:space="preserve">istricts are the base category, so the impacts of the other </w:t>
      </w:r>
      <w:r w:rsidR="005056AB" w:rsidRPr="00177AC9">
        <w:rPr>
          <w:rFonts w:ascii="Times New Roman" w:hAnsi="Times New Roman" w:cs="Times New Roman"/>
          <w:lang w:val="en-US"/>
        </w:rPr>
        <w:t xml:space="preserve">size </w:t>
      </w:r>
      <w:r w:rsidR="009963B2" w:rsidRPr="00177AC9">
        <w:rPr>
          <w:rFonts w:ascii="Times New Roman" w:hAnsi="Times New Roman" w:cs="Times New Roman"/>
          <w:lang w:val="en-US"/>
        </w:rPr>
        <w:t>categories are</w:t>
      </w:r>
      <w:r w:rsidR="005056AB" w:rsidRPr="00177AC9">
        <w:rPr>
          <w:rFonts w:ascii="Times New Roman" w:hAnsi="Times New Roman" w:cs="Times New Roman"/>
          <w:lang w:val="en-US"/>
        </w:rPr>
        <w:t xml:space="preserve"> relative to </w:t>
      </w:r>
      <w:r w:rsidR="00417FA1" w:rsidRPr="00177AC9">
        <w:rPr>
          <w:rFonts w:ascii="Times New Roman" w:hAnsi="Times New Roman" w:cs="Times New Roman"/>
          <w:lang w:val="en-US"/>
        </w:rPr>
        <w:t>districts in the Very Large category.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5D9C"/>
    <w:multiLevelType w:val="hybridMultilevel"/>
    <w:tmpl w:val="01F8086C"/>
    <w:lvl w:ilvl="0" w:tplc="D8AE2E12">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544D3"/>
    <w:multiLevelType w:val="hybridMultilevel"/>
    <w:tmpl w:val="EB80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23C6D"/>
    <w:multiLevelType w:val="hybridMultilevel"/>
    <w:tmpl w:val="E5C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27D83"/>
    <w:multiLevelType w:val="hybridMultilevel"/>
    <w:tmpl w:val="9932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E30EB"/>
    <w:multiLevelType w:val="hybridMultilevel"/>
    <w:tmpl w:val="1990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313E1"/>
    <w:multiLevelType w:val="hybridMultilevel"/>
    <w:tmpl w:val="9F6E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90AB6"/>
    <w:multiLevelType w:val="hybridMultilevel"/>
    <w:tmpl w:val="58C84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74D60"/>
    <w:multiLevelType w:val="hybridMultilevel"/>
    <w:tmpl w:val="32B49720"/>
    <w:lvl w:ilvl="0" w:tplc="D8AE2E12">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52301"/>
    <w:multiLevelType w:val="hybridMultilevel"/>
    <w:tmpl w:val="B2946D42"/>
    <w:lvl w:ilvl="0" w:tplc="D792931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5"/>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A3"/>
    <w:rsid w:val="00004408"/>
    <w:rsid w:val="000057CB"/>
    <w:rsid w:val="00021ADC"/>
    <w:rsid w:val="00035AF6"/>
    <w:rsid w:val="00040A2F"/>
    <w:rsid w:val="00055C0E"/>
    <w:rsid w:val="00061818"/>
    <w:rsid w:val="00063791"/>
    <w:rsid w:val="00066176"/>
    <w:rsid w:val="0006647A"/>
    <w:rsid w:val="0007646C"/>
    <w:rsid w:val="00084BC2"/>
    <w:rsid w:val="0009162F"/>
    <w:rsid w:val="0009345E"/>
    <w:rsid w:val="0009768C"/>
    <w:rsid w:val="000A764A"/>
    <w:rsid w:val="000B20BB"/>
    <w:rsid w:val="000C14A2"/>
    <w:rsid w:val="000C53A3"/>
    <w:rsid w:val="000C6FD9"/>
    <w:rsid w:val="000C7C77"/>
    <w:rsid w:val="000D04AA"/>
    <w:rsid w:val="000D23FC"/>
    <w:rsid w:val="000D36B7"/>
    <w:rsid w:val="000E291C"/>
    <w:rsid w:val="000E3049"/>
    <w:rsid w:val="000E470A"/>
    <w:rsid w:val="000E6ED2"/>
    <w:rsid w:val="000E78D9"/>
    <w:rsid w:val="000E7BC7"/>
    <w:rsid w:val="000F4127"/>
    <w:rsid w:val="000F4CCD"/>
    <w:rsid w:val="000F735E"/>
    <w:rsid w:val="00100A48"/>
    <w:rsid w:val="00102748"/>
    <w:rsid w:val="00104B23"/>
    <w:rsid w:val="00120913"/>
    <w:rsid w:val="0012236D"/>
    <w:rsid w:val="00131FDC"/>
    <w:rsid w:val="001437D5"/>
    <w:rsid w:val="00155ECA"/>
    <w:rsid w:val="00157AC7"/>
    <w:rsid w:val="001763C0"/>
    <w:rsid w:val="00177AC9"/>
    <w:rsid w:val="00184791"/>
    <w:rsid w:val="00184CD0"/>
    <w:rsid w:val="00184DD6"/>
    <w:rsid w:val="00190FF5"/>
    <w:rsid w:val="0019136A"/>
    <w:rsid w:val="00195C80"/>
    <w:rsid w:val="001A1E71"/>
    <w:rsid w:val="001A4252"/>
    <w:rsid w:val="001A67AA"/>
    <w:rsid w:val="001B26CE"/>
    <w:rsid w:val="001C5B62"/>
    <w:rsid w:val="001D02FB"/>
    <w:rsid w:val="001E0254"/>
    <w:rsid w:val="001F27A6"/>
    <w:rsid w:val="001F33B5"/>
    <w:rsid w:val="002011A8"/>
    <w:rsid w:val="00203ECD"/>
    <w:rsid w:val="00205C9D"/>
    <w:rsid w:val="00207D05"/>
    <w:rsid w:val="00213D38"/>
    <w:rsid w:val="0022037B"/>
    <w:rsid w:val="00223DAF"/>
    <w:rsid w:val="00224AA8"/>
    <w:rsid w:val="002271A5"/>
    <w:rsid w:val="00227B86"/>
    <w:rsid w:val="002315BC"/>
    <w:rsid w:val="0023388D"/>
    <w:rsid w:val="002362CD"/>
    <w:rsid w:val="00242219"/>
    <w:rsid w:val="002453E0"/>
    <w:rsid w:val="00247B21"/>
    <w:rsid w:val="00260977"/>
    <w:rsid w:val="00262C50"/>
    <w:rsid w:val="00271128"/>
    <w:rsid w:val="00281B29"/>
    <w:rsid w:val="00283DDD"/>
    <w:rsid w:val="00294C74"/>
    <w:rsid w:val="00295954"/>
    <w:rsid w:val="00296606"/>
    <w:rsid w:val="00296C6E"/>
    <w:rsid w:val="002A0009"/>
    <w:rsid w:val="002A45DE"/>
    <w:rsid w:val="002B0910"/>
    <w:rsid w:val="002B5A89"/>
    <w:rsid w:val="002B5C29"/>
    <w:rsid w:val="002D2856"/>
    <w:rsid w:val="002D37BB"/>
    <w:rsid w:val="002E05B2"/>
    <w:rsid w:val="002E5696"/>
    <w:rsid w:val="002E6C09"/>
    <w:rsid w:val="002F0AE7"/>
    <w:rsid w:val="00301E5A"/>
    <w:rsid w:val="0030264B"/>
    <w:rsid w:val="00305981"/>
    <w:rsid w:val="00320C8F"/>
    <w:rsid w:val="00324647"/>
    <w:rsid w:val="00332CE3"/>
    <w:rsid w:val="003359D3"/>
    <w:rsid w:val="00337778"/>
    <w:rsid w:val="00341702"/>
    <w:rsid w:val="00346621"/>
    <w:rsid w:val="00352703"/>
    <w:rsid w:val="0036074B"/>
    <w:rsid w:val="00366627"/>
    <w:rsid w:val="003729B5"/>
    <w:rsid w:val="003758BF"/>
    <w:rsid w:val="00375C53"/>
    <w:rsid w:val="00381759"/>
    <w:rsid w:val="00386EA9"/>
    <w:rsid w:val="00393114"/>
    <w:rsid w:val="0039695D"/>
    <w:rsid w:val="003A1374"/>
    <w:rsid w:val="003A5E26"/>
    <w:rsid w:val="003C1160"/>
    <w:rsid w:val="003C2C5C"/>
    <w:rsid w:val="003D0EC1"/>
    <w:rsid w:val="003D3D17"/>
    <w:rsid w:val="003E4962"/>
    <w:rsid w:val="003E7EC4"/>
    <w:rsid w:val="003F664A"/>
    <w:rsid w:val="003F6983"/>
    <w:rsid w:val="004000D8"/>
    <w:rsid w:val="0040059A"/>
    <w:rsid w:val="004024D8"/>
    <w:rsid w:val="004027B2"/>
    <w:rsid w:val="00405556"/>
    <w:rsid w:val="00411334"/>
    <w:rsid w:val="004159AA"/>
    <w:rsid w:val="00416A8D"/>
    <w:rsid w:val="00417FA1"/>
    <w:rsid w:val="004264B1"/>
    <w:rsid w:val="004304CC"/>
    <w:rsid w:val="004346FA"/>
    <w:rsid w:val="00440525"/>
    <w:rsid w:val="0044116A"/>
    <w:rsid w:val="00451C19"/>
    <w:rsid w:val="00454777"/>
    <w:rsid w:val="00455581"/>
    <w:rsid w:val="00465BAE"/>
    <w:rsid w:val="00466F34"/>
    <w:rsid w:val="0046770F"/>
    <w:rsid w:val="00471127"/>
    <w:rsid w:val="004811C7"/>
    <w:rsid w:val="00482671"/>
    <w:rsid w:val="00492C69"/>
    <w:rsid w:val="004A60A1"/>
    <w:rsid w:val="004B301F"/>
    <w:rsid w:val="004B38C1"/>
    <w:rsid w:val="004B529E"/>
    <w:rsid w:val="004B5318"/>
    <w:rsid w:val="004E049C"/>
    <w:rsid w:val="004E5C41"/>
    <w:rsid w:val="004E60A3"/>
    <w:rsid w:val="00501FDF"/>
    <w:rsid w:val="005056AB"/>
    <w:rsid w:val="005110C4"/>
    <w:rsid w:val="0051133B"/>
    <w:rsid w:val="00512902"/>
    <w:rsid w:val="00516FD4"/>
    <w:rsid w:val="0054199D"/>
    <w:rsid w:val="00545561"/>
    <w:rsid w:val="00554C82"/>
    <w:rsid w:val="00562C35"/>
    <w:rsid w:val="00564D84"/>
    <w:rsid w:val="0056578A"/>
    <w:rsid w:val="00571034"/>
    <w:rsid w:val="00582527"/>
    <w:rsid w:val="005854CD"/>
    <w:rsid w:val="00586915"/>
    <w:rsid w:val="00591E96"/>
    <w:rsid w:val="00597B7E"/>
    <w:rsid w:val="005A7FD5"/>
    <w:rsid w:val="005B3ACD"/>
    <w:rsid w:val="005C1613"/>
    <w:rsid w:val="005C2185"/>
    <w:rsid w:val="005C79DB"/>
    <w:rsid w:val="005E5A85"/>
    <w:rsid w:val="00605416"/>
    <w:rsid w:val="006057CD"/>
    <w:rsid w:val="00621807"/>
    <w:rsid w:val="00623687"/>
    <w:rsid w:val="006261E9"/>
    <w:rsid w:val="00627D4E"/>
    <w:rsid w:val="00632589"/>
    <w:rsid w:val="00637F80"/>
    <w:rsid w:val="00644783"/>
    <w:rsid w:val="006448A8"/>
    <w:rsid w:val="00644A28"/>
    <w:rsid w:val="00653C0F"/>
    <w:rsid w:val="00666BBB"/>
    <w:rsid w:val="00667E1D"/>
    <w:rsid w:val="00677488"/>
    <w:rsid w:val="00693F06"/>
    <w:rsid w:val="00696BF4"/>
    <w:rsid w:val="006A2AEB"/>
    <w:rsid w:val="006A2C99"/>
    <w:rsid w:val="006B077B"/>
    <w:rsid w:val="006B09FF"/>
    <w:rsid w:val="006B46FC"/>
    <w:rsid w:val="006C2E0C"/>
    <w:rsid w:val="006E0BF3"/>
    <w:rsid w:val="006E22C4"/>
    <w:rsid w:val="006E3690"/>
    <w:rsid w:val="006F3673"/>
    <w:rsid w:val="0070003A"/>
    <w:rsid w:val="00703AE9"/>
    <w:rsid w:val="00712E0C"/>
    <w:rsid w:val="00716095"/>
    <w:rsid w:val="00726A89"/>
    <w:rsid w:val="00731A9D"/>
    <w:rsid w:val="00742B7E"/>
    <w:rsid w:val="00746AE2"/>
    <w:rsid w:val="00776B51"/>
    <w:rsid w:val="00780214"/>
    <w:rsid w:val="00784171"/>
    <w:rsid w:val="00787198"/>
    <w:rsid w:val="00790006"/>
    <w:rsid w:val="00791D93"/>
    <w:rsid w:val="0079749E"/>
    <w:rsid w:val="007979AC"/>
    <w:rsid w:val="007C1502"/>
    <w:rsid w:val="007D0770"/>
    <w:rsid w:val="007D2993"/>
    <w:rsid w:val="007E1B99"/>
    <w:rsid w:val="007E361D"/>
    <w:rsid w:val="007F320E"/>
    <w:rsid w:val="007F3B95"/>
    <w:rsid w:val="0080293E"/>
    <w:rsid w:val="0080566E"/>
    <w:rsid w:val="00821CD5"/>
    <w:rsid w:val="00830B20"/>
    <w:rsid w:val="00831231"/>
    <w:rsid w:val="00833905"/>
    <w:rsid w:val="00836DF0"/>
    <w:rsid w:val="0086235C"/>
    <w:rsid w:val="00863D9E"/>
    <w:rsid w:val="0086543E"/>
    <w:rsid w:val="00867949"/>
    <w:rsid w:val="00867F7C"/>
    <w:rsid w:val="00880236"/>
    <w:rsid w:val="00886434"/>
    <w:rsid w:val="0089236E"/>
    <w:rsid w:val="00893CC5"/>
    <w:rsid w:val="008942EC"/>
    <w:rsid w:val="008B27DC"/>
    <w:rsid w:val="008B3D0F"/>
    <w:rsid w:val="008C1C89"/>
    <w:rsid w:val="008C7FE9"/>
    <w:rsid w:val="008D2451"/>
    <w:rsid w:val="008D528F"/>
    <w:rsid w:val="008E34BA"/>
    <w:rsid w:val="008E3BEC"/>
    <w:rsid w:val="008E3D06"/>
    <w:rsid w:val="008E7853"/>
    <w:rsid w:val="008E7A80"/>
    <w:rsid w:val="008F38C6"/>
    <w:rsid w:val="008F543A"/>
    <w:rsid w:val="00902258"/>
    <w:rsid w:val="0090516C"/>
    <w:rsid w:val="0091116F"/>
    <w:rsid w:val="00916A87"/>
    <w:rsid w:val="0092013C"/>
    <w:rsid w:val="00921B3D"/>
    <w:rsid w:val="00930755"/>
    <w:rsid w:val="00930F33"/>
    <w:rsid w:val="00933F6E"/>
    <w:rsid w:val="00936E16"/>
    <w:rsid w:val="00945316"/>
    <w:rsid w:val="009454E5"/>
    <w:rsid w:val="009469C8"/>
    <w:rsid w:val="0095356A"/>
    <w:rsid w:val="00953CA3"/>
    <w:rsid w:val="00954D57"/>
    <w:rsid w:val="009606E9"/>
    <w:rsid w:val="00964050"/>
    <w:rsid w:val="00971FBA"/>
    <w:rsid w:val="009727F5"/>
    <w:rsid w:val="00973642"/>
    <w:rsid w:val="0097479E"/>
    <w:rsid w:val="009760B5"/>
    <w:rsid w:val="009762AD"/>
    <w:rsid w:val="00977FF3"/>
    <w:rsid w:val="00980999"/>
    <w:rsid w:val="00980D9D"/>
    <w:rsid w:val="00985785"/>
    <w:rsid w:val="009935DA"/>
    <w:rsid w:val="009963B2"/>
    <w:rsid w:val="009B2ACE"/>
    <w:rsid w:val="009B3E96"/>
    <w:rsid w:val="009C03B5"/>
    <w:rsid w:val="009D3B95"/>
    <w:rsid w:val="009D77DF"/>
    <w:rsid w:val="009F163F"/>
    <w:rsid w:val="009F5C8F"/>
    <w:rsid w:val="00A00DAA"/>
    <w:rsid w:val="00A06412"/>
    <w:rsid w:val="00A11403"/>
    <w:rsid w:val="00A1287D"/>
    <w:rsid w:val="00A23E33"/>
    <w:rsid w:val="00A25751"/>
    <w:rsid w:val="00A30CB8"/>
    <w:rsid w:val="00A33DB7"/>
    <w:rsid w:val="00A37585"/>
    <w:rsid w:val="00A4510C"/>
    <w:rsid w:val="00A627DE"/>
    <w:rsid w:val="00A66A85"/>
    <w:rsid w:val="00A679A0"/>
    <w:rsid w:val="00A73119"/>
    <w:rsid w:val="00A74A89"/>
    <w:rsid w:val="00A7739E"/>
    <w:rsid w:val="00A8062D"/>
    <w:rsid w:val="00A81CAC"/>
    <w:rsid w:val="00AA02AC"/>
    <w:rsid w:val="00AA53E6"/>
    <w:rsid w:val="00AA589F"/>
    <w:rsid w:val="00AB351A"/>
    <w:rsid w:val="00AC463A"/>
    <w:rsid w:val="00AC5C5B"/>
    <w:rsid w:val="00AD043B"/>
    <w:rsid w:val="00AD1307"/>
    <w:rsid w:val="00AD717D"/>
    <w:rsid w:val="00AE6DDA"/>
    <w:rsid w:val="00AF40F6"/>
    <w:rsid w:val="00AF4458"/>
    <w:rsid w:val="00AF7000"/>
    <w:rsid w:val="00B00F77"/>
    <w:rsid w:val="00B01343"/>
    <w:rsid w:val="00B04FC7"/>
    <w:rsid w:val="00B1025F"/>
    <w:rsid w:val="00B108F4"/>
    <w:rsid w:val="00B16B18"/>
    <w:rsid w:val="00B21974"/>
    <w:rsid w:val="00B2332D"/>
    <w:rsid w:val="00B3764B"/>
    <w:rsid w:val="00B466EE"/>
    <w:rsid w:val="00B56B6A"/>
    <w:rsid w:val="00B6157C"/>
    <w:rsid w:val="00B71860"/>
    <w:rsid w:val="00B7360A"/>
    <w:rsid w:val="00B75E0B"/>
    <w:rsid w:val="00B80618"/>
    <w:rsid w:val="00B85FDD"/>
    <w:rsid w:val="00B923BB"/>
    <w:rsid w:val="00B9442B"/>
    <w:rsid w:val="00B95140"/>
    <w:rsid w:val="00B967B1"/>
    <w:rsid w:val="00BA36F3"/>
    <w:rsid w:val="00BA37C1"/>
    <w:rsid w:val="00BA3B17"/>
    <w:rsid w:val="00BA7B8D"/>
    <w:rsid w:val="00BB1A70"/>
    <w:rsid w:val="00BB418B"/>
    <w:rsid w:val="00BC7E24"/>
    <w:rsid w:val="00BD1D9C"/>
    <w:rsid w:val="00BD6063"/>
    <w:rsid w:val="00BF0456"/>
    <w:rsid w:val="00C03A09"/>
    <w:rsid w:val="00C0662B"/>
    <w:rsid w:val="00C11A91"/>
    <w:rsid w:val="00C162B9"/>
    <w:rsid w:val="00C162F7"/>
    <w:rsid w:val="00C235A4"/>
    <w:rsid w:val="00C26B6D"/>
    <w:rsid w:val="00C274E0"/>
    <w:rsid w:val="00C27CEA"/>
    <w:rsid w:val="00C35E13"/>
    <w:rsid w:val="00C62FE9"/>
    <w:rsid w:val="00C669ED"/>
    <w:rsid w:val="00C755F7"/>
    <w:rsid w:val="00C909AD"/>
    <w:rsid w:val="00C92275"/>
    <w:rsid w:val="00CA0EB1"/>
    <w:rsid w:val="00CB56F4"/>
    <w:rsid w:val="00CC1DE6"/>
    <w:rsid w:val="00CC61A3"/>
    <w:rsid w:val="00CC79B6"/>
    <w:rsid w:val="00CD72D6"/>
    <w:rsid w:val="00CE33E3"/>
    <w:rsid w:val="00CF041C"/>
    <w:rsid w:val="00CF102E"/>
    <w:rsid w:val="00CF725C"/>
    <w:rsid w:val="00D023DC"/>
    <w:rsid w:val="00D041A1"/>
    <w:rsid w:val="00D04E14"/>
    <w:rsid w:val="00D07C4D"/>
    <w:rsid w:val="00D1185D"/>
    <w:rsid w:val="00D11B90"/>
    <w:rsid w:val="00D14A4D"/>
    <w:rsid w:val="00D25986"/>
    <w:rsid w:val="00D34945"/>
    <w:rsid w:val="00D43203"/>
    <w:rsid w:val="00D52740"/>
    <w:rsid w:val="00D63C30"/>
    <w:rsid w:val="00D727C8"/>
    <w:rsid w:val="00D82DAF"/>
    <w:rsid w:val="00D84C60"/>
    <w:rsid w:val="00D87C4F"/>
    <w:rsid w:val="00D91ABB"/>
    <w:rsid w:val="00DB37F3"/>
    <w:rsid w:val="00DC05E4"/>
    <w:rsid w:val="00DC0856"/>
    <w:rsid w:val="00DC686C"/>
    <w:rsid w:val="00DC69A7"/>
    <w:rsid w:val="00DC703B"/>
    <w:rsid w:val="00DD212E"/>
    <w:rsid w:val="00DD6A6C"/>
    <w:rsid w:val="00DD761A"/>
    <w:rsid w:val="00DE2426"/>
    <w:rsid w:val="00DE2562"/>
    <w:rsid w:val="00DE3D2C"/>
    <w:rsid w:val="00DE617B"/>
    <w:rsid w:val="00DE6460"/>
    <w:rsid w:val="00DE6695"/>
    <w:rsid w:val="00DE74B5"/>
    <w:rsid w:val="00DF2474"/>
    <w:rsid w:val="00DF2C12"/>
    <w:rsid w:val="00DF35A8"/>
    <w:rsid w:val="00DF4F0A"/>
    <w:rsid w:val="00DF563B"/>
    <w:rsid w:val="00E0309E"/>
    <w:rsid w:val="00E04E7E"/>
    <w:rsid w:val="00E11C82"/>
    <w:rsid w:val="00E148A7"/>
    <w:rsid w:val="00E252B1"/>
    <w:rsid w:val="00E309AC"/>
    <w:rsid w:val="00E41019"/>
    <w:rsid w:val="00E46028"/>
    <w:rsid w:val="00E62B27"/>
    <w:rsid w:val="00E6321F"/>
    <w:rsid w:val="00E70EDF"/>
    <w:rsid w:val="00E73AC0"/>
    <w:rsid w:val="00E7657B"/>
    <w:rsid w:val="00E81136"/>
    <w:rsid w:val="00E81FE7"/>
    <w:rsid w:val="00E83134"/>
    <w:rsid w:val="00E8756E"/>
    <w:rsid w:val="00E91284"/>
    <w:rsid w:val="00E928FA"/>
    <w:rsid w:val="00E93E2A"/>
    <w:rsid w:val="00E95113"/>
    <w:rsid w:val="00EC7402"/>
    <w:rsid w:val="00ED12D2"/>
    <w:rsid w:val="00ED5AD5"/>
    <w:rsid w:val="00ED7FF0"/>
    <w:rsid w:val="00EE21CF"/>
    <w:rsid w:val="00EE3A99"/>
    <w:rsid w:val="00EE570D"/>
    <w:rsid w:val="00EE6FDB"/>
    <w:rsid w:val="00EF2485"/>
    <w:rsid w:val="00F00064"/>
    <w:rsid w:val="00F06AC5"/>
    <w:rsid w:val="00F07B7D"/>
    <w:rsid w:val="00F1663E"/>
    <w:rsid w:val="00F22F61"/>
    <w:rsid w:val="00F26E8A"/>
    <w:rsid w:val="00F36528"/>
    <w:rsid w:val="00F37CF7"/>
    <w:rsid w:val="00F43C5D"/>
    <w:rsid w:val="00F53F1A"/>
    <w:rsid w:val="00F54034"/>
    <w:rsid w:val="00F621CC"/>
    <w:rsid w:val="00F648A3"/>
    <w:rsid w:val="00F712B4"/>
    <w:rsid w:val="00F74416"/>
    <w:rsid w:val="00F762A9"/>
    <w:rsid w:val="00F777BC"/>
    <w:rsid w:val="00F8609C"/>
    <w:rsid w:val="00F86623"/>
    <w:rsid w:val="00F871D1"/>
    <w:rsid w:val="00F93B5A"/>
    <w:rsid w:val="00FA4166"/>
    <w:rsid w:val="00FA6AB3"/>
    <w:rsid w:val="00FC0516"/>
    <w:rsid w:val="00FC0D49"/>
    <w:rsid w:val="00FC2FA1"/>
    <w:rsid w:val="00FD6A9E"/>
    <w:rsid w:val="00FE1614"/>
    <w:rsid w:val="00FF08CB"/>
    <w:rsid w:val="00FF2629"/>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E8AF"/>
  <w15:chartTrackingRefBased/>
  <w15:docId w15:val="{379EBDDB-B7E3-4ECF-AAB7-D6B0468E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54777"/>
    <w:pPr>
      <w:spacing w:after="0"/>
    </w:pPr>
    <w:rPr>
      <w:rFonts w:ascii="Arial" w:eastAsia="Arial" w:hAnsi="Arial" w:cs="Arial"/>
      <w:sz w:val="20"/>
      <w:szCs w:val="20"/>
      <w:lang w:val="en"/>
    </w:rPr>
  </w:style>
  <w:style w:type="character" w:customStyle="1" w:styleId="FootnoteTextChar">
    <w:name w:val="Footnote Text Char"/>
    <w:basedOn w:val="DefaultParagraphFont"/>
    <w:link w:val="FootnoteText"/>
    <w:rsid w:val="00454777"/>
    <w:rPr>
      <w:rFonts w:ascii="Arial" w:eastAsia="Arial" w:hAnsi="Arial" w:cs="Arial"/>
      <w:sz w:val="20"/>
      <w:szCs w:val="20"/>
      <w:lang w:val="en"/>
    </w:rPr>
  </w:style>
  <w:style w:type="character" w:styleId="FootnoteReference">
    <w:name w:val="footnote reference"/>
    <w:basedOn w:val="DefaultParagraphFont"/>
    <w:uiPriority w:val="99"/>
    <w:unhideWhenUsed/>
    <w:rsid w:val="00454777"/>
    <w:rPr>
      <w:vertAlign w:val="superscript"/>
    </w:rPr>
  </w:style>
  <w:style w:type="paragraph" w:styleId="ListParagraph">
    <w:name w:val="List Paragraph"/>
    <w:basedOn w:val="Normal"/>
    <w:uiPriority w:val="34"/>
    <w:qFormat/>
    <w:rsid w:val="00454777"/>
    <w:pPr>
      <w:spacing w:after="0" w:line="276" w:lineRule="auto"/>
      <w:ind w:left="720"/>
      <w:contextualSpacing/>
    </w:pPr>
    <w:rPr>
      <w:rFonts w:ascii="Arial" w:eastAsia="Arial" w:hAnsi="Arial" w:cs="Arial"/>
      <w:szCs w:val="22"/>
      <w:lang w:val="en"/>
    </w:rPr>
  </w:style>
  <w:style w:type="character" w:styleId="CommentReference">
    <w:name w:val="annotation reference"/>
    <w:basedOn w:val="DefaultParagraphFont"/>
    <w:uiPriority w:val="99"/>
    <w:semiHidden/>
    <w:unhideWhenUsed/>
    <w:rsid w:val="00454777"/>
    <w:rPr>
      <w:sz w:val="16"/>
      <w:szCs w:val="16"/>
    </w:rPr>
  </w:style>
  <w:style w:type="paragraph" w:styleId="CommentText">
    <w:name w:val="annotation text"/>
    <w:basedOn w:val="Normal"/>
    <w:link w:val="CommentTextChar"/>
    <w:uiPriority w:val="99"/>
    <w:semiHidden/>
    <w:unhideWhenUsed/>
    <w:rsid w:val="00454777"/>
    <w:rPr>
      <w:sz w:val="20"/>
      <w:szCs w:val="20"/>
    </w:rPr>
  </w:style>
  <w:style w:type="character" w:customStyle="1" w:styleId="CommentTextChar">
    <w:name w:val="Comment Text Char"/>
    <w:basedOn w:val="DefaultParagraphFont"/>
    <w:link w:val="CommentText"/>
    <w:uiPriority w:val="99"/>
    <w:semiHidden/>
    <w:rsid w:val="00454777"/>
    <w:rPr>
      <w:sz w:val="20"/>
      <w:szCs w:val="20"/>
    </w:rPr>
  </w:style>
  <w:style w:type="paragraph" w:styleId="CommentSubject">
    <w:name w:val="annotation subject"/>
    <w:basedOn w:val="CommentText"/>
    <w:next w:val="CommentText"/>
    <w:link w:val="CommentSubjectChar"/>
    <w:uiPriority w:val="99"/>
    <w:semiHidden/>
    <w:unhideWhenUsed/>
    <w:rsid w:val="00454777"/>
    <w:rPr>
      <w:b/>
      <w:bCs/>
    </w:rPr>
  </w:style>
  <w:style w:type="character" w:customStyle="1" w:styleId="CommentSubjectChar">
    <w:name w:val="Comment Subject Char"/>
    <w:basedOn w:val="CommentTextChar"/>
    <w:link w:val="CommentSubject"/>
    <w:uiPriority w:val="99"/>
    <w:semiHidden/>
    <w:rsid w:val="00454777"/>
    <w:rPr>
      <w:b/>
      <w:bCs/>
      <w:sz w:val="20"/>
      <w:szCs w:val="20"/>
    </w:rPr>
  </w:style>
  <w:style w:type="paragraph" w:styleId="BalloonText">
    <w:name w:val="Balloon Text"/>
    <w:basedOn w:val="Normal"/>
    <w:link w:val="BalloonTextChar"/>
    <w:uiPriority w:val="99"/>
    <w:semiHidden/>
    <w:unhideWhenUsed/>
    <w:rsid w:val="004547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77"/>
    <w:rPr>
      <w:rFonts w:ascii="Segoe UI" w:hAnsi="Segoe UI" w:cs="Segoe UI"/>
      <w:sz w:val="18"/>
      <w:szCs w:val="18"/>
    </w:rPr>
  </w:style>
  <w:style w:type="character" w:styleId="Hyperlink">
    <w:name w:val="Hyperlink"/>
    <w:basedOn w:val="DefaultParagraphFont"/>
    <w:uiPriority w:val="99"/>
    <w:unhideWhenUsed/>
    <w:rsid w:val="00A627DE"/>
    <w:rPr>
      <w:color w:val="0000FF"/>
      <w:u w:val="single"/>
    </w:rPr>
  </w:style>
  <w:style w:type="paragraph" w:styleId="Header">
    <w:name w:val="header"/>
    <w:basedOn w:val="Normal"/>
    <w:link w:val="HeaderChar"/>
    <w:uiPriority w:val="99"/>
    <w:unhideWhenUsed/>
    <w:rsid w:val="00637F80"/>
    <w:pPr>
      <w:tabs>
        <w:tab w:val="center" w:pos="4680"/>
        <w:tab w:val="right" w:pos="9360"/>
      </w:tabs>
      <w:spacing w:after="0"/>
    </w:pPr>
  </w:style>
  <w:style w:type="character" w:customStyle="1" w:styleId="HeaderChar">
    <w:name w:val="Header Char"/>
    <w:basedOn w:val="DefaultParagraphFont"/>
    <w:link w:val="Header"/>
    <w:uiPriority w:val="99"/>
    <w:rsid w:val="00637F80"/>
  </w:style>
  <w:style w:type="paragraph" w:styleId="Footer">
    <w:name w:val="footer"/>
    <w:basedOn w:val="Normal"/>
    <w:link w:val="FooterChar"/>
    <w:uiPriority w:val="99"/>
    <w:unhideWhenUsed/>
    <w:rsid w:val="00637F80"/>
    <w:pPr>
      <w:tabs>
        <w:tab w:val="center" w:pos="4680"/>
        <w:tab w:val="right" w:pos="9360"/>
      </w:tabs>
      <w:spacing w:after="0"/>
    </w:pPr>
  </w:style>
  <w:style w:type="character" w:customStyle="1" w:styleId="FooterChar">
    <w:name w:val="Footer Char"/>
    <w:basedOn w:val="DefaultParagraphFont"/>
    <w:link w:val="Footer"/>
    <w:uiPriority w:val="99"/>
    <w:rsid w:val="00637F80"/>
  </w:style>
  <w:style w:type="paragraph" w:styleId="Revision">
    <w:name w:val="Revision"/>
    <w:hidden/>
    <w:uiPriority w:val="99"/>
    <w:semiHidden/>
    <w:rsid w:val="00F36528"/>
    <w:pPr>
      <w:spacing w:after="0"/>
    </w:pPr>
  </w:style>
  <w:style w:type="character" w:styleId="FollowedHyperlink">
    <w:name w:val="FollowedHyperlink"/>
    <w:basedOn w:val="DefaultParagraphFont"/>
    <w:uiPriority w:val="99"/>
    <w:semiHidden/>
    <w:unhideWhenUsed/>
    <w:rsid w:val="002E6C09"/>
    <w:rPr>
      <w:color w:val="800080" w:themeColor="followedHyperlink"/>
      <w:u w:val="single"/>
    </w:rPr>
  </w:style>
  <w:style w:type="paragraph" w:customStyle="1" w:styleId="Default">
    <w:name w:val="Default"/>
    <w:rsid w:val="001437D5"/>
    <w:pPr>
      <w:autoSpaceDE w:val="0"/>
      <w:autoSpaceDN w:val="0"/>
      <w:adjustRightInd w:val="0"/>
      <w:spacing w:after="0"/>
    </w:pPr>
    <w:rPr>
      <w:rFonts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4182">
      <w:bodyDiv w:val="1"/>
      <w:marLeft w:val="0"/>
      <w:marRight w:val="0"/>
      <w:marTop w:val="0"/>
      <w:marBottom w:val="0"/>
      <w:divBdr>
        <w:top w:val="none" w:sz="0" w:space="0" w:color="auto"/>
        <w:left w:val="none" w:sz="0" w:space="0" w:color="auto"/>
        <w:bottom w:val="none" w:sz="0" w:space="0" w:color="auto"/>
        <w:right w:val="none" w:sz="0" w:space="0" w:color="auto"/>
      </w:divBdr>
    </w:div>
    <w:div w:id="63071156">
      <w:bodyDiv w:val="1"/>
      <w:marLeft w:val="0"/>
      <w:marRight w:val="0"/>
      <w:marTop w:val="0"/>
      <w:marBottom w:val="0"/>
      <w:divBdr>
        <w:top w:val="none" w:sz="0" w:space="0" w:color="auto"/>
        <w:left w:val="none" w:sz="0" w:space="0" w:color="auto"/>
        <w:bottom w:val="none" w:sz="0" w:space="0" w:color="auto"/>
        <w:right w:val="none" w:sz="0" w:space="0" w:color="auto"/>
      </w:divBdr>
    </w:div>
    <w:div w:id="1036352777">
      <w:bodyDiv w:val="1"/>
      <w:marLeft w:val="0"/>
      <w:marRight w:val="0"/>
      <w:marTop w:val="0"/>
      <w:marBottom w:val="0"/>
      <w:divBdr>
        <w:top w:val="none" w:sz="0" w:space="0" w:color="auto"/>
        <w:left w:val="none" w:sz="0" w:space="0" w:color="auto"/>
        <w:bottom w:val="none" w:sz="0" w:space="0" w:color="auto"/>
        <w:right w:val="none" w:sz="0" w:space="0" w:color="auto"/>
      </w:divBdr>
    </w:div>
    <w:div w:id="1263686682">
      <w:bodyDiv w:val="1"/>
      <w:marLeft w:val="0"/>
      <w:marRight w:val="0"/>
      <w:marTop w:val="0"/>
      <w:marBottom w:val="0"/>
      <w:divBdr>
        <w:top w:val="none" w:sz="0" w:space="0" w:color="auto"/>
        <w:left w:val="none" w:sz="0" w:space="0" w:color="auto"/>
        <w:bottom w:val="none" w:sz="0" w:space="0" w:color="auto"/>
        <w:right w:val="none" w:sz="0" w:space="0" w:color="auto"/>
      </w:divBdr>
    </w:div>
    <w:div w:id="1564638749">
      <w:bodyDiv w:val="1"/>
      <w:marLeft w:val="0"/>
      <w:marRight w:val="0"/>
      <w:marTop w:val="0"/>
      <w:marBottom w:val="0"/>
      <w:divBdr>
        <w:top w:val="none" w:sz="0" w:space="0" w:color="auto"/>
        <w:left w:val="none" w:sz="0" w:space="0" w:color="auto"/>
        <w:bottom w:val="none" w:sz="0" w:space="0" w:color="auto"/>
        <w:right w:val="none" w:sz="0" w:space="0" w:color="auto"/>
      </w:divBdr>
    </w:div>
    <w:div w:id="17207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chools-and-districts/grants/Pages/K-12-School-Funding-Information.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oregon.gov/ode/schools-and-districts/grants/Pages/K-12-School-Funding-Information.aspx"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regon.gov/ode/schools-and-districts/grants/Pages/Financial-Budgeting-and-Accoun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edb5ef48-5285-463e-a2b9-308f2d437c3d">New</Priority>
    <PublishingStartDate xmlns="http://schemas.microsoft.com/sharepoint/v3" xsi:nil="true"/>
    <PublishingExpirationDate xmlns="http://schemas.microsoft.com/sharepoint/v3" xsi:nil="true"/>
    <Estimated_x0020_Creation_x0020_Date xmlns="edb5ef48-5285-463e-a2b9-308f2d437c3d">2020-12-28T08:00:00+00:00</Estimated_x0020_Creation_x0020_Date>
    <Remediation_x0020_Date xmlns="edb5ef48-5285-463e-a2b9-308f2d437c3d">2020-12-17T08:00:00+00:00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E6623-EE32-46B0-B4B3-735A8A5BB19B}">
  <ds:schemaRefs>
    <ds:schemaRef ds:uri="http://schemas.microsoft.com/sharepoint/v3/contenttype/forms"/>
  </ds:schemaRefs>
</ds:datastoreItem>
</file>

<file path=customXml/itemProps2.xml><?xml version="1.0" encoding="utf-8"?>
<ds:datastoreItem xmlns:ds="http://schemas.openxmlformats.org/officeDocument/2006/customXml" ds:itemID="{6B914210-15F9-4983-A6FC-33CC13721CA2}"/>
</file>

<file path=customXml/itemProps3.xml><?xml version="1.0" encoding="utf-8"?>
<ds:datastoreItem xmlns:ds="http://schemas.openxmlformats.org/officeDocument/2006/customXml" ds:itemID="{375A5339-EB05-4826-8FD1-E0A33847A9D3}">
  <ds:schemaRefs>
    <ds:schemaRef ds:uri="http://schemas.microsoft.com/office/2006/metadata/properties"/>
    <ds:schemaRef ds:uri="http://schemas.microsoft.com/office/infopath/2007/PartnerControls"/>
    <ds:schemaRef ds:uri="edb5ef48-5285-463e-a2b9-308f2d437c3d"/>
    <ds:schemaRef ds:uri="http://schemas.microsoft.com/sharepoint/v3"/>
  </ds:schemaRefs>
</ds:datastoreItem>
</file>

<file path=customXml/itemProps4.xml><?xml version="1.0" encoding="utf-8"?>
<ds:datastoreItem xmlns:ds="http://schemas.openxmlformats.org/officeDocument/2006/customXml" ds:itemID="{D4C83259-13B6-4AC4-9A72-88D58383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27</Pages>
  <Words>6871</Words>
  <Characters>39169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REEDER Brian - ODE</dc:creator>
  <cp:keywords/>
  <dc:description/>
  <cp:lastModifiedBy>REEDER Brian - ODE</cp:lastModifiedBy>
  <cp:revision>29</cp:revision>
  <dcterms:created xsi:type="dcterms:W3CDTF">2020-12-28T22:03:00Z</dcterms:created>
  <dcterms:modified xsi:type="dcterms:W3CDTF">2020-12-29T00:12:00Z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