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98271204"/>
        <w:docPartObj>
          <w:docPartGallery w:val="Cover Pages"/>
          <w:docPartUnique/>
        </w:docPartObj>
      </w:sdtPr>
      <w:sdtEndPr>
        <w:rPr>
          <w:b/>
        </w:rPr>
      </w:sdtEndPr>
      <w:sdtContent>
        <w:p w:rsidR="00D726D7" w:rsidRDefault="00932574">
          <w:r>
            <w:rPr>
              <w:noProof/>
            </w:rPr>
            <w:drawing>
              <wp:anchor distT="0" distB="0" distL="114300" distR="114300" simplePos="0" relativeHeight="251677696" behindDoc="0" locked="0" layoutInCell="1" allowOverlap="1" wp14:anchorId="2DA27C18" wp14:editId="4D7F768A">
                <wp:simplePos x="0" y="0"/>
                <wp:positionH relativeFrom="column">
                  <wp:posOffset>5241290</wp:posOffset>
                </wp:positionH>
                <wp:positionV relativeFrom="paragraph">
                  <wp:posOffset>-220980</wp:posOffset>
                </wp:positionV>
                <wp:extent cx="1837055" cy="1847850"/>
                <wp:effectExtent l="0" t="0" r="0" b="0"/>
                <wp:wrapNone/>
                <wp:docPr id="14" name="Picture 14" descr="21st CCLC Logo" title="21st 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rCCLCSmall.png"/>
                        <pic:cNvPicPr/>
                      </pic:nvPicPr>
                      <pic:blipFill>
                        <a:blip r:embed="rId11">
                          <a:extLst>
                            <a:ext uri="{28A0092B-C50C-407E-A947-70E740481C1C}">
                              <a14:useLocalDpi xmlns:a14="http://schemas.microsoft.com/office/drawing/2010/main" val="0"/>
                            </a:ext>
                          </a:extLst>
                        </a:blip>
                        <a:stretch>
                          <a:fillRect/>
                        </a:stretch>
                      </pic:blipFill>
                      <pic:spPr>
                        <a:xfrm>
                          <a:off x="0" y="0"/>
                          <a:ext cx="1837055" cy="1847850"/>
                        </a:xfrm>
                        <a:prstGeom prst="rect">
                          <a:avLst/>
                        </a:prstGeom>
                      </pic:spPr>
                    </pic:pic>
                  </a:graphicData>
                </a:graphic>
                <wp14:sizeRelH relativeFrom="margin">
                  <wp14:pctWidth>0</wp14:pctWidth>
                </wp14:sizeRelH>
                <wp14:sizeRelV relativeFrom="margin">
                  <wp14:pctHeight>0</wp14:pctHeight>
                </wp14:sizeRelV>
              </wp:anchor>
            </w:drawing>
          </w:r>
          <w:r w:rsidR="00D726D7">
            <w:rPr>
              <w:noProof/>
            </w:rPr>
            <mc:AlternateContent>
              <mc:Choice Requires="wps">
                <w:drawing>
                  <wp:anchor distT="0" distB="0" distL="114300" distR="114300" simplePos="0" relativeHeight="251665408" behindDoc="0" locked="0" layoutInCell="1" allowOverlap="1" wp14:anchorId="2DF37376" wp14:editId="6FA13BD9">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7D8" w:rsidRDefault="00EC6D20" w:rsidP="0027676F">
                                <w:pPr>
                                  <w:jc w:val="right"/>
                                  <w:rPr>
                                    <w:rFonts w:ascii="Calibri" w:hAnsi="Calibri"/>
                                    <w:b/>
                                    <w:sz w:val="96"/>
                                    <w:szCs w:val="96"/>
                                  </w:rPr>
                                </w:pPr>
                                <w:r w:rsidRPr="00932574">
                                  <w:rPr>
                                    <w:rFonts w:ascii="Calibri" w:hAnsi="Calibri"/>
                                    <w:b/>
                                    <w:sz w:val="96"/>
                                    <w:szCs w:val="96"/>
                                  </w:rPr>
                                  <w:t>Oregon 21</w:t>
                                </w:r>
                                <w:r w:rsidRPr="00932574">
                                  <w:rPr>
                                    <w:rFonts w:ascii="Calibri" w:hAnsi="Calibri"/>
                                    <w:b/>
                                    <w:sz w:val="96"/>
                                    <w:szCs w:val="96"/>
                                    <w:vertAlign w:val="superscript"/>
                                  </w:rPr>
                                  <w:t>st</w:t>
                                </w:r>
                                <w:r w:rsidRPr="00932574">
                                  <w:rPr>
                                    <w:rFonts w:ascii="Calibri" w:hAnsi="Calibri"/>
                                    <w:b/>
                                    <w:sz w:val="96"/>
                                    <w:szCs w:val="96"/>
                                  </w:rPr>
                                  <w:t xml:space="preserve"> CCLC Monitoring</w:t>
                                </w:r>
                              </w:p>
                              <w:p w:rsidR="00EC6D20" w:rsidRPr="0027676F" w:rsidRDefault="006E2B1F" w:rsidP="0027676F">
                                <w:pPr>
                                  <w:jc w:val="right"/>
                                  <w:rPr>
                                    <w:rFonts w:ascii="Calibri" w:hAnsi="Calibri"/>
                                    <w:b/>
                                    <w:sz w:val="96"/>
                                    <w:szCs w:val="96"/>
                                  </w:rPr>
                                </w:pPr>
                                <w:r>
                                  <w:rPr>
                                    <w:rFonts w:ascii="Calibri" w:hAnsi="Calibri"/>
                                    <w:b/>
                                    <w:sz w:val="96"/>
                                    <w:szCs w:val="96"/>
                                  </w:rPr>
                                  <w:t>Process</w:t>
                                </w:r>
                                <w:r w:rsidR="00EC6D20" w:rsidRPr="00932574">
                                  <w:rPr>
                                    <w:rFonts w:ascii="Calibri" w:hAnsi="Calibri"/>
                                    <w:b/>
                                    <w:sz w:val="96"/>
                                    <w:szCs w:val="96"/>
                                  </w:rPr>
                                  <w:t xml:space="preserve"> </w:t>
                                </w:r>
                              </w:p>
                              <w:p w:rsidR="00EC6D20" w:rsidRDefault="00EC6D20">
                                <w:pPr>
                                  <w:spacing w:before="240"/>
                                  <w:ind w:left="720"/>
                                  <w:jc w:val="right"/>
                                  <w:rPr>
                                    <w:color w:val="FFFFFF" w:themeColor="background1"/>
                                  </w:rPr>
                                </w:pPr>
                              </w:p>
                              <w:p w:rsidR="00EC6D20" w:rsidRDefault="00EC6D20">
                                <w:pPr>
                                  <w:spacing w:before="240"/>
                                  <w:ind w:left="720"/>
                                  <w:jc w:val="right"/>
                                  <w:rPr>
                                    <w:color w:val="FFFFFF" w:themeColor="background1"/>
                                  </w:rPr>
                                </w:pPr>
                              </w:p>
                              <w:p w:rsidR="00EC6D20" w:rsidRDefault="00EC6D20">
                                <w:pPr>
                                  <w:spacing w:before="240"/>
                                  <w:ind w:left="720"/>
                                  <w:jc w:val="right"/>
                                  <w:rPr>
                                    <w:color w:val="FFFFFF" w:themeColor="background1"/>
                                  </w:rPr>
                                </w:pPr>
                              </w:p>
                              <w:p w:rsidR="00EC6D20" w:rsidRDefault="00EC6D20">
                                <w:pPr>
                                  <w:spacing w:before="240"/>
                                  <w:ind w:left="720"/>
                                  <w:jc w:val="right"/>
                                  <w:rPr>
                                    <w:color w:val="FFFFFF" w:themeColor="background1"/>
                                  </w:rPr>
                                </w:pPr>
                              </w:p>
                              <w:p w:rsidR="00EC6D20" w:rsidRDefault="00EC6D20" w:rsidP="006F1772">
                                <w:pPr>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w14:anchorId="2DF37376" id="Rectangle 47" o:spid="_x0000_s1026" style="position:absolute;margin-left:0;margin-top:0;width:422.3pt;height:760.3pt;z-index:251665408;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" fillcolor="#ddd [3204]" stroked="f" strokeweight="2pt">
                    <v:path arrowok="t"/>
                    <v:textbox inset="21.6pt,1in,21.6pt">
                      <w:txbxContent>
                        <w:p w:rsidR="006A77D8" w:rsidRDefault="00EC6D20" w:rsidP="0027676F">
                          <w:pPr>
                            <w:jc w:val="right"/>
                            <w:rPr>
                              <w:rFonts w:ascii="Calibri" w:hAnsi="Calibri"/>
                              <w:b/>
                              <w:sz w:val="96"/>
                              <w:szCs w:val="96"/>
                            </w:rPr>
                          </w:pPr>
                          <w:r w:rsidRPr="00932574">
                            <w:rPr>
                              <w:rFonts w:ascii="Calibri" w:hAnsi="Calibri"/>
                              <w:b/>
                              <w:sz w:val="96"/>
                              <w:szCs w:val="96"/>
                            </w:rPr>
                            <w:t>Oregon 21</w:t>
                          </w:r>
                          <w:r w:rsidRPr="00932574">
                            <w:rPr>
                              <w:rFonts w:ascii="Calibri" w:hAnsi="Calibri"/>
                              <w:b/>
                              <w:sz w:val="96"/>
                              <w:szCs w:val="96"/>
                              <w:vertAlign w:val="superscript"/>
                            </w:rPr>
                            <w:t>st</w:t>
                          </w:r>
                          <w:r w:rsidRPr="00932574">
                            <w:rPr>
                              <w:rFonts w:ascii="Calibri" w:hAnsi="Calibri"/>
                              <w:b/>
                              <w:sz w:val="96"/>
                              <w:szCs w:val="96"/>
                            </w:rPr>
                            <w:t xml:space="preserve"> CCLC Monitoring</w:t>
                          </w:r>
                        </w:p>
                        <w:p w:rsidR="00EC6D20" w:rsidRPr="0027676F" w:rsidRDefault="006E2B1F" w:rsidP="0027676F">
                          <w:pPr>
                            <w:jc w:val="right"/>
                            <w:rPr>
                              <w:rFonts w:ascii="Calibri" w:hAnsi="Calibri"/>
                              <w:b/>
                              <w:sz w:val="96"/>
                              <w:szCs w:val="96"/>
                            </w:rPr>
                          </w:pPr>
                          <w:r>
                            <w:rPr>
                              <w:rFonts w:ascii="Calibri" w:hAnsi="Calibri"/>
                              <w:b/>
                              <w:sz w:val="96"/>
                              <w:szCs w:val="96"/>
                            </w:rPr>
                            <w:t>Process</w:t>
                          </w:r>
                          <w:r w:rsidR="00EC6D20" w:rsidRPr="00932574">
                            <w:rPr>
                              <w:rFonts w:ascii="Calibri" w:hAnsi="Calibri"/>
                              <w:b/>
                              <w:sz w:val="96"/>
                              <w:szCs w:val="96"/>
                            </w:rPr>
                            <w:t xml:space="preserve"> </w:t>
                          </w:r>
                        </w:p>
                        <w:p w:rsidR="00EC6D20" w:rsidRDefault="00EC6D20">
                          <w:pPr>
                            <w:spacing w:before="240"/>
                            <w:ind w:left="720"/>
                            <w:jc w:val="right"/>
                            <w:rPr>
                              <w:color w:val="FFFFFF" w:themeColor="background1"/>
                            </w:rPr>
                          </w:pPr>
                        </w:p>
                        <w:p w:rsidR="00EC6D20" w:rsidRDefault="00EC6D20">
                          <w:pPr>
                            <w:spacing w:before="240"/>
                            <w:ind w:left="720"/>
                            <w:jc w:val="right"/>
                            <w:rPr>
                              <w:color w:val="FFFFFF" w:themeColor="background1"/>
                            </w:rPr>
                          </w:pPr>
                        </w:p>
                        <w:p w:rsidR="00EC6D20" w:rsidRDefault="00EC6D20">
                          <w:pPr>
                            <w:spacing w:before="240"/>
                            <w:ind w:left="720"/>
                            <w:jc w:val="right"/>
                            <w:rPr>
                              <w:color w:val="FFFFFF" w:themeColor="background1"/>
                            </w:rPr>
                          </w:pPr>
                        </w:p>
                        <w:p w:rsidR="00EC6D20" w:rsidRDefault="00EC6D20">
                          <w:pPr>
                            <w:spacing w:before="240"/>
                            <w:ind w:left="720"/>
                            <w:jc w:val="right"/>
                            <w:rPr>
                              <w:color w:val="FFFFFF" w:themeColor="background1"/>
                            </w:rPr>
                          </w:pPr>
                        </w:p>
                        <w:p w:rsidR="00EC6D20" w:rsidRDefault="00EC6D20" w:rsidP="006F1772">
                          <w:pPr>
                            <w:ind w:left="1008"/>
                            <w:jc w:val="right"/>
                            <w:rPr>
                              <w:color w:val="FFFFFF" w:themeColor="background1"/>
                            </w:rPr>
                          </w:pPr>
                        </w:p>
                      </w:txbxContent>
                    </v:textbox>
                    <w10:wrap anchorx="page" anchory="page"/>
                  </v:rect>
                </w:pict>
              </mc:Fallback>
            </mc:AlternateContent>
          </w:r>
          <w:r w:rsidR="00D726D7">
            <w:rPr>
              <w:noProof/>
            </w:rPr>
            <mc:AlternateContent>
              <mc:Choice Requires="wps">
                <w:drawing>
                  <wp:anchor distT="0" distB="0" distL="114300" distR="114300" simplePos="0" relativeHeight="251666432" behindDoc="0" locked="0" layoutInCell="1" allowOverlap="1" wp14:anchorId="1781E6B3" wp14:editId="6D7C260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ahoma" w:hAnsi="Tahoma" w:cs="Tahoma"/>
                                    <w:i w:val="0"/>
                                    <w:color w:val="FFFFFF" w:themeColor="background1"/>
                                    <w:sz w:val="28"/>
                                    <w:szCs w:val="26"/>
                                  </w:rPr>
                                  <w:alias w:val="Subtitle"/>
                                  <w:id w:val="-479232221"/>
                                  <w:dataBinding w:prefixMappings="xmlns:ns0='http://schemas.openxmlformats.org/package/2006/metadata/core-properties' xmlns:ns1='http://purl.org/dc/elements/1.1/'" w:xpath="/ns0:coreProperties[1]/ns1:subject[1]" w:storeItemID="{6C3C8BC8-F283-45AE-878A-BAB7291924A1}"/>
                                  <w:text/>
                                </w:sdtPr>
                                <w:sdtEndPr/>
                                <w:sdtContent>
                                  <w:p w:rsidR="00EC6D20" w:rsidRPr="00942D3A" w:rsidRDefault="00EC6D20">
                                    <w:pPr>
                                      <w:pStyle w:val="Subtitle"/>
                                      <w:rPr>
                                        <w:rFonts w:ascii="Tahoma" w:hAnsi="Tahoma" w:cs="Tahoma"/>
                                        <w:i w:val="0"/>
                                        <w:color w:val="FFFFFF" w:themeColor="background1"/>
                                        <w:sz w:val="28"/>
                                        <w:szCs w:val="26"/>
                                      </w:rPr>
                                    </w:pPr>
                                    <w:r w:rsidRPr="00A413C4">
                                      <w:rPr>
                                        <w:rFonts w:ascii="Tahoma" w:hAnsi="Tahoma" w:cs="Tahoma"/>
                                        <w:i w:val="0"/>
                                        <w:color w:val="FFFFFF" w:themeColor="background1"/>
                                        <w:sz w:val="28"/>
                                        <w:szCs w:val="26"/>
                                      </w:rPr>
                                      <w:t>Program Review of 21st Century Community Learning Centers Title IV-B</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781E6B3" id="Rectangle 48" o:spid="_x0000_s1027" style="position:absolute;margin-left:0;margin-top:0;width:148.1pt;height:760.3pt;z-index:2516664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d8d8d8 [3215]" stroked="f" strokeweight="2pt">
                    <v:path arrowok="t"/>
                    <v:textbox inset="14.4pt,,14.4pt">
                      <w:txbxContent>
                        <w:sdt>
                          <w:sdtPr>
                            <w:rPr>
                              <w:rFonts w:ascii="Tahoma" w:hAnsi="Tahoma" w:cs="Tahoma"/>
                              <w:i w:val="0"/>
                              <w:color w:val="FFFFFF" w:themeColor="background1"/>
                              <w:sz w:val="28"/>
                              <w:szCs w:val="26"/>
                            </w:rPr>
                            <w:alias w:val="Subtitle"/>
                            <w:id w:val="-479232221"/>
                            <w:dataBinding w:prefixMappings="xmlns:ns0='http://schemas.openxmlformats.org/package/2006/metadata/core-properties' xmlns:ns1='http://purl.org/dc/elements/1.1/'" w:xpath="/ns0:coreProperties[1]/ns1:subject[1]" w:storeItemID="{6C3C8BC8-F283-45AE-878A-BAB7291924A1}"/>
                            <w:text/>
                          </w:sdtPr>
                          <w:sdtEndPr/>
                          <w:sdtContent>
                            <w:p w:rsidR="00EC6D20" w:rsidRPr="00942D3A" w:rsidRDefault="00EC6D20">
                              <w:pPr>
                                <w:pStyle w:val="Subtitle"/>
                                <w:rPr>
                                  <w:rFonts w:ascii="Tahoma" w:hAnsi="Tahoma" w:cs="Tahoma"/>
                                  <w:i w:val="0"/>
                                  <w:color w:val="FFFFFF" w:themeColor="background1"/>
                                  <w:sz w:val="28"/>
                                  <w:szCs w:val="26"/>
                                </w:rPr>
                              </w:pPr>
                              <w:r w:rsidRPr="00A413C4">
                                <w:rPr>
                                  <w:rFonts w:ascii="Tahoma" w:hAnsi="Tahoma" w:cs="Tahoma"/>
                                  <w:i w:val="0"/>
                                  <w:color w:val="FFFFFF" w:themeColor="background1"/>
                                  <w:sz w:val="28"/>
                                  <w:szCs w:val="26"/>
                                </w:rPr>
                                <w:t>Program Review of 21st Century Community Learning Centers Title IV-B</w:t>
                              </w:r>
                            </w:p>
                          </w:sdtContent>
                        </w:sdt>
                      </w:txbxContent>
                    </v:textbox>
                    <w10:wrap anchorx="page" anchory="page"/>
                  </v:rect>
                </w:pict>
              </mc:Fallback>
            </mc:AlternateContent>
          </w:r>
        </w:p>
        <w:p w:rsidR="00D726D7" w:rsidRDefault="00D726D7"/>
        <w:p w:rsidR="009F1EF1" w:rsidRDefault="0034319E" w:rsidP="006D116C">
          <w:pPr>
            <w:rPr>
              <w:b/>
            </w:rPr>
          </w:pPr>
          <w:r>
            <w:rPr>
              <w:noProof/>
            </w:rPr>
            <w:drawing>
              <wp:anchor distT="0" distB="0" distL="114300" distR="114300" simplePos="0" relativeHeight="251678720" behindDoc="0" locked="0" layoutInCell="1" allowOverlap="1" wp14:anchorId="4ECC0C46" wp14:editId="04FFAD94">
                <wp:simplePos x="0" y="0"/>
                <wp:positionH relativeFrom="column">
                  <wp:posOffset>5303520</wp:posOffset>
                </wp:positionH>
                <wp:positionV relativeFrom="paragraph">
                  <wp:posOffset>7825105</wp:posOffset>
                </wp:positionV>
                <wp:extent cx="1783080" cy="1188271"/>
                <wp:effectExtent l="0" t="0" r="7620" b="0"/>
                <wp:wrapNone/>
                <wp:docPr id="2" name="Picture 2" descr="21st CCLC Logo" title="21st 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 CCLCO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3080" cy="1188271"/>
                        </a:xfrm>
                        <a:prstGeom prst="rect">
                          <a:avLst/>
                        </a:prstGeom>
                      </pic:spPr>
                    </pic:pic>
                  </a:graphicData>
                </a:graphic>
                <wp14:sizeRelH relativeFrom="margin">
                  <wp14:pctWidth>0</wp14:pctWidth>
                </wp14:sizeRelH>
                <wp14:sizeRelV relativeFrom="margin">
                  <wp14:pctHeight>0</wp14:pctHeight>
                </wp14:sizeRelV>
              </wp:anchor>
            </w:drawing>
          </w:r>
          <w:r w:rsidR="00D726D7">
            <w:rPr>
              <w:b/>
            </w:rPr>
            <w:br w:type="page"/>
          </w:r>
        </w:p>
      </w:sdtContent>
    </w:sdt>
    <w:p w:rsidR="00A30E1C" w:rsidRPr="00A30E1C" w:rsidRDefault="00A30E1C" w:rsidP="00A30E1C">
      <w:pPr>
        <w:spacing w:before="100" w:beforeAutospacing="1"/>
        <w:jc w:val="center"/>
        <w:outlineLvl w:val="2"/>
        <w:rPr>
          <w:rFonts w:eastAsia="Times New Roman" w:cs="Arial"/>
          <w:b/>
          <w:sz w:val="28"/>
          <w:szCs w:val="28"/>
        </w:rPr>
      </w:pPr>
      <w:r w:rsidRPr="00A30E1C">
        <w:rPr>
          <w:rFonts w:eastAsia="Times New Roman" w:cs="Arial"/>
          <w:b/>
          <w:sz w:val="28"/>
          <w:szCs w:val="28"/>
        </w:rPr>
        <w:lastRenderedPageBreak/>
        <w:t>Risk Based Monitoring Selection Criteria</w:t>
      </w:r>
    </w:p>
    <w:p w:rsidR="00A30E1C" w:rsidRPr="00A413C4" w:rsidRDefault="00A30E1C" w:rsidP="00A30E1C">
      <w:pPr>
        <w:spacing w:before="100" w:beforeAutospacing="1"/>
        <w:outlineLvl w:val="2"/>
        <w:rPr>
          <w:rFonts w:eastAsia="Times New Roman" w:cs="Arial"/>
          <w:b/>
          <w:szCs w:val="24"/>
        </w:rPr>
      </w:pPr>
      <w:r w:rsidRPr="00A413C4">
        <w:rPr>
          <w:rFonts w:eastAsia="Times New Roman" w:cs="Arial"/>
          <w:b/>
          <w:szCs w:val="24"/>
        </w:rPr>
        <w:t xml:space="preserve">General Information </w:t>
      </w:r>
    </w:p>
    <w:p w:rsidR="00A30E1C" w:rsidRPr="00A413C4" w:rsidRDefault="00A30E1C" w:rsidP="00A30E1C">
      <w:pPr>
        <w:rPr>
          <w:rFonts w:eastAsia="Times New Roman" w:cs="Arial"/>
          <w:szCs w:val="24"/>
        </w:rPr>
      </w:pPr>
      <w:r w:rsidRPr="00A413C4">
        <w:rPr>
          <w:rFonts w:eastAsia="Times New Roman" w:cs="Arial"/>
          <w:szCs w:val="24"/>
        </w:rPr>
        <w:t>ODE follows a risk-based approach to identify where it should use monitoring resources. This approach includes several analyses of risk factors to guide selection of the local educational agencies (LEAs) that will receive a desk review and on-site Program Monitoring review. This enables the ODE to focus its monitoring resources to foster student achievement and fiscal compliance. These risk factors identified are not, by themselves, evidence of noncompliance.</w:t>
      </w:r>
    </w:p>
    <w:p w:rsidR="00A30E1C" w:rsidRPr="00A413C4" w:rsidRDefault="00A30E1C" w:rsidP="00A30E1C">
      <w:pPr>
        <w:spacing w:line="525" w:lineRule="atLeast"/>
        <w:outlineLvl w:val="0"/>
        <w:rPr>
          <w:rFonts w:eastAsia="Times New Roman" w:cs="Arial"/>
          <w:b/>
          <w:kern w:val="36"/>
          <w:szCs w:val="24"/>
        </w:rPr>
      </w:pPr>
      <w:r w:rsidRPr="00A413C4">
        <w:rPr>
          <w:rFonts w:eastAsia="Times New Roman" w:cs="Arial"/>
          <w:b/>
          <w:kern w:val="36"/>
          <w:szCs w:val="24"/>
        </w:rPr>
        <w:t>Monitoring Selection Using Risk Factors</w:t>
      </w:r>
    </w:p>
    <w:p w:rsidR="00A30E1C" w:rsidRPr="00A413C4" w:rsidRDefault="00A30E1C" w:rsidP="00A30E1C">
      <w:pPr>
        <w:spacing w:after="100" w:afterAutospacing="1"/>
        <w:rPr>
          <w:rFonts w:eastAsia="Times New Roman" w:cs="Arial"/>
          <w:szCs w:val="24"/>
        </w:rPr>
      </w:pPr>
      <w:r w:rsidRPr="00A413C4">
        <w:rPr>
          <w:rFonts w:eastAsia="Times New Roman" w:cs="Arial"/>
          <w:szCs w:val="24"/>
        </w:rPr>
        <w:t>ODE considers several risk factors, including compliance history, academic achievement, program size, and fiscal analysis in identifying and selecting Title IV-B LEAs for reviews. For each cycle the number of LEAs selected for monitoring varies based on data available and risk assessment results.</w:t>
      </w:r>
    </w:p>
    <w:p w:rsidR="00A30E1C" w:rsidRPr="00A413C4" w:rsidRDefault="00A30E1C" w:rsidP="00A30E1C">
      <w:pPr>
        <w:outlineLvl w:val="4"/>
        <w:rPr>
          <w:rFonts w:eastAsia="Times New Roman" w:cs="Arial"/>
          <w:b/>
          <w:bCs/>
          <w:szCs w:val="24"/>
        </w:rPr>
      </w:pPr>
      <w:r w:rsidRPr="00A413C4">
        <w:rPr>
          <w:rFonts w:eastAsia="Times New Roman" w:cs="Arial"/>
          <w:b/>
          <w:bCs/>
          <w:szCs w:val="24"/>
        </w:rPr>
        <w:t>Academic Achievement</w:t>
      </w:r>
    </w:p>
    <w:p w:rsidR="00A30E1C" w:rsidRPr="00A413C4" w:rsidRDefault="00A30E1C" w:rsidP="00A30E1C">
      <w:pPr>
        <w:rPr>
          <w:rFonts w:eastAsia="Times New Roman" w:cs="Arial"/>
          <w:szCs w:val="24"/>
        </w:rPr>
      </w:pPr>
      <w:r w:rsidRPr="00A413C4">
        <w:rPr>
          <w:rFonts w:eastAsia="Times New Roman" w:cs="Arial"/>
          <w:szCs w:val="24"/>
        </w:rPr>
        <w:t xml:space="preserve">Relying on the student academic outcome measures approved in the proposal reports, ODE chooses Title IV-B grantees for reviews based on two categories of academic achievement. </w:t>
      </w:r>
    </w:p>
    <w:p w:rsidR="00A30E1C" w:rsidRPr="00A413C4" w:rsidRDefault="00A30E1C" w:rsidP="00A30E1C">
      <w:pPr>
        <w:rPr>
          <w:rFonts w:eastAsia="Times New Roman" w:cs="Arial"/>
          <w:sz w:val="16"/>
          <w:szCs w:val="16"/>
        </w:rPr>
      </w:pPr>
    </w:p>
    <w:p w:rsidR="00A30E1C" w:rsidRPr="00A413C4" w:rsidRDefault="00A30E1C" w:rsidP="00A30E1C">
      <w:pPr>
        <w:numPr>
          <w:ilvl w:val="0"/>
          <w:numId w:val="43"/>
        </w:numPr>
        <w:spacing w:after="100" w:afterAutospacing="1" w:line="276" w:lineRule="auto"/>
        <w:ind w:left="540"/>
        <w:contextualSpacing/>
        <w:rPr>
          <w:rFonts w:eastAsia="Times New Roman" w:cs="Arial"/>
          <w:szCs w:val="24"/>
        </w:rPr>
      </w:pPr>
      <w:r w:rsidRPr="00A413C4">
        <w:rPr>
          <w:rFonts w:eastAsia="Times New Roman" w:cs="Arial"/>
          <w:szCs w:val="24"/>
        </w:rPr>
        <w:t xml:space="preserve">If Title IV-B academic growth goals are not met, ODE considers the grantee for review. </w:t>
      </w:r>
    </w:p>
    <w:p w:rsidR="00A30E1C" w:rsidRPr="00A413C4" w:rsidRDefault="00A30E1C" w:rsidP="00A30E1C">
      <w:pPr>
        <w:numPr>
          <w:ilvl w:val="0"/>
          <w:numId w:val="43"/>
        </w:numPr>
        <w:spacing w:after="100" w:afterAutospacing="1" w:line="276" w:lineRule="auto"/>
        <w:ind w:left="540"/>
        <w:contextualSpacing/>
        <w:rPr>
          <w:rFonts w:eastAsia="Times New Roman" w:cs="Arial"/>
          <w:szCs w:val="24"/>
        </w:rPr>
      </w:pPr>
      <w:r w:rsidRPr="00A413C4">
        <w:rPr>
          <w:rFonts w:eastAsia="Times New Roman" w:cs="Arial"/>
          <w:szCs w:val="24"/>
        </w:rPr>
        <w:t xml:space="preserve">The second category of academic achievement is the LEA’s clarity of academic program organization and point of service academic systems. </w:t>
      </w:r>
    </w:p>
    <w:p w:rsidR="00A30E1C" w:rsidRPr="00A413C4" w:rsidRDefault="00A30E1C" w:rsidP="00A30E1C">
      <w:pPr>
        <w:numPr>
          <w:ilvl w:val="0"/>
          <w:numId w:val="44"/>
        </w:numPr>
        <w:tabs>
          <w:tab w:val="left" w:pos="720"/>
        </w:tabs>
        <w:spacing w:after="100" w:afterAutospacing="1" w:line="276" w:lineRule="auto"/>
        <w:ind w:left="900"/>
        <w:contextualSpacing/>
        <w:rPr>
          <w:rFonts w:eastAsia="Times New Roman" w:cs="Arial"/>
          <w:szCs w:val="24"/>
        </w:rPr>
      </w:pPr>
      <w:r w:rsidRPr="00A413C4">
        <w:rPr>
          <w:rFonts w:eastAsia="Times New Roman" w:cs="Arial"/>
          <w:szCs w:val="24"/>
        </w:rPr>
        <w:t>Student time spent weekly in engaging quality academic services</w:t>
      </w:r>
    </w:p>
    <w:p w:rsidR="00A30E1C" w:rsidRPr="00A413C4" w:rsidRDefault="00A30E1C" w:rsidP="00A30E1C">
      <w:pPr>
        <w:numPr>
          <w:ilvl w:val="0"/>
          <w:numId w:val="44"/>
        </w:numPr>
        <w:tabs>
          <w:tab w:val="left" w:pos="720"/>
        </w:tabs>
        <w:spacing w:after="100" w:afterAutospacing="1" w:line="276" w:lineRule="auto"/>
        <w:ind w:left="900"/>
        <w:contextualSpacing/>
        <w:rPr>
          <w:rFonts w:eastAsia="Times New Roman" w:cs="Arial"/>
          <w:szCs w:val="24"/>
        </w:rPr>
      </w:pPr>
      <w:r w:rsidRPr="00A413C4">
        <w:rPr>
          <w:rFonts w:eastAsia="Times New Roman" w:cs="Arial"/>
          <w:szCs w:val="24"/>
        </w:rPr>
        <w:t>Degree of individualization and alignment in academic skill development</w:t>
      </w:r>
    </w:p>
    <w:p w:rsidR="00A30E1C" w:rsidRPr="00A413C4" w:rsidRDefault="00A30E1C" w:rsidP="00A30E1C">
      <w:pPr>
        <w:numPr>
          <w:ilvl w:val="0"/>
          <w:numId w:val="44"/>
        </w:numPr>
        <w:tabs>
          <w:tab w:val="left" w:pos="720"/>
        </w:tabs>
        <w:spacing w:after="100" w:afterAutospacing="1" w:line="276" w:lineRule="auto"/>
        <w:ind w:left="900"/>
        <w:contextualSpacing/>
        <w:rPr>
          <w:rFonts w:eastAsia="Times New Roman" w:cs="Arial"/>
          <w:szCs w:val="24"/>
        </w:rPr>
      </w:pPr>
      <w:r w:rsidRPr="00A413C4">
        <w:rPr>
          <w:rFonts w:eastAsia="Times New Roman" w:cs="Arial"/>
          <w:szCs w:val="24"/>
        </w:rPr>
        <w:t>Degree of extended learning strategies determined from Year-End Reports</w:t>
      </w:r>
    </w:p>
    <w:p w:rsidR="00A30E1C" w:rsidRDefault="00A30E1C" w:rsidP="00A30E1C">
      <w:pPr>
        <w:numPr>
          <w:ilvl w:val="0"/>
          <w:numId w:val="44"/>
        </w:numPr>
        <w:tabs>
          <w:tab w:val="left" w:pos="720"/>
        </w:tabs>
        <w:spacing w:after="100" w:afterAutospacing="1" w:line="276" w:lineRule="auto"/>
        <w:ind w:left="900"/>
        <w:contextualSpacing/>
        <w:rPr>
          <w:rFonts w:eastAsia="Times New Roman" w:cs="Arial"/>
          <w:szCs w:val="24"/>
        </w:rPr>
      </w:pPr>
      <w:r w:rsidRPr="00A413C4">
        <w:rPr>
          <w:rFonts w:eastAsia="Times New Roman" w:cs="Arial"/>
          <w:szCs w:val="24"/>
        </w:rPr>
        <w:t>The number of students served compared to the number approved in the original proposal. Recruitment, alignment with regular day and student engagement are functions that contribute to attendance and positive outcomes. If numbers are below 75% of proposed numbers, academic offerings often need improvement, and the c</w:t>
      </w:r>
      <w:r>
        <w:rPr>
          <w:rFonts w:eastAsia="Times New Roman" w:cs="Arial"/>
          <w:szCs w:val="24"/>
        </w:rPr>
        <w:t>hance of selection is greater.</w:t>
      </w:r>
    </w:p>
    <w:p w:rsidR="00A30E1C" w:rsidRPr="00A413C4" w:rsidRDefault="00A30E1C" w:rsidP="00A30E1C">
      <w:pPr>
        <w:tabs>
          <w:tab w:val="left" w:pos="720"/>
        </w:tabs>
        <w:spacing w:after="100" w:afterAutospacing="1" w:line="276" w:lineRule="auto"/>
        <w:contextualSpacing/>
        <w:rPr>
          <w:rFonts w:eastAsia="Times New Roman" w:cs="Arial"/>
          <w:szCs w:val="24"/>
        </w:rPr>
      </w:pPr>
    </w:p>
    <w:p w:rsidR="00A30E1C" w:rsidRPr="00A413C4" w:rsidRDefault="00A30E1C" w:rsidP="00A30E1C">
      <w:pPr>
        <w:spacing w:before="100" w:beforeAutospacing="1"/>
        <w:outlineLvl w:val="4"/>
        <w:rPr>
          <w:rFonts w:eastAsia="Times New Roman" w:cs="Arial"/>
          <w:b/>
          <w:bCs/>
          <w:szCs w:val="24"/>
        </w:rPr>
      </w:pPr>
      <w:r w:rsidRPr="00A413C4">
        <w:rPr>
          <w:rFonts w:eastAsia="Times New Roman" w:cs="Arial"/>
          <w:b/>
          <w:bCs/>
          <w:szCs w:val="24"/>
        </w:rPr>
        <w:t>Fiscal Analysis</w:t>
      </w:r>
    </w:p>
    <w:p w:rsidR="00A30E1C" w:rsidRPr="00A413C4" w:rsidRDefault="00A30E1C" w:rsidP="00A30E1C">
      <w:pPr>
        <w:spacing w:after="100" w:afterAutospacing="1"/>
        <w:rPr>
          <w:rFonts w:eastAsia="Times New Roman" w:cs="Arial"/>
          <w:szCs w:val="24"/>
        </w:rPr>
      </w:pPr>
      <w:r w:rsidRPr="00A413C4">
        <w:rPr>
          <w:rFonts w:eastAsia="Times New Roman" w:cs="Arial"/>
          <w:szCs w:val="24"/>
        </w:rPr>
        <w:t>ODE also examines several aspects of potential fiscal risk. Grantees with high (1) per pupil allocations and (2) carryover percentages will be looked at more closely. These indicators of program fund usage, deviation from proposed amounts and high cost per pupil results in a grantee being more likely to be selected for a review.</w:t>
      </w:r>
    </w:p>
    <w:p w:rsidR="00A30E1C" w:rsidRPr="00A413C4" w:rsidRDefault="00A30E1C" w:rsidP="00A30E1C">
      <w:pPr>
        <w:spacing w:before="100" w:beforeAutospacing="1"/>
        <w:outlineLvl w:val="4"/>
        <w:rPr>
          <w:rFonts w:eastAsia="Times New Roman" w:cs="Arial"/>
          <w:b/>
          <w:bCs/>
          <w:szCs w:val="24"/>
        </w:rPr>
      </w:pPr>
      <w:r w:rsidRPr="00A413C4">
        <w:rPr>
          <w:rFonts w:eastAsia="Times New Roman" w:cs="Arial"/>
          <w:b/>
          <w:bCs/>
          <w:szCs w:val="24"/>
        </w:rPr>
        <w:t>Data Reporting</w:t>
      </w:r>
    </w:p>
    <w:p w:rsidR="00A30E1C" w:rsidRDefault="00A30E1C" w:rsidP="00A30E1C">
      <w:r w:rsidRPr="00A413C4">
        <w:rPr>
          <w:rFonts w:eastAsia="Times New Roman" w:cs="Arial"/>
          <w:szCs w:val="24"/>
        </w:rPr>
        <w:t>In order to apply the risk factor selection criteria, current verified data must be available for each Title IV-B grantee center served. Initial information must be included in the required Year-End Report. Additionally, if student and Family Engagement Goals are not Specific, Measurable, Appropriate, Realistic and Time-Bound (SMART) and do not align with or measure the proposed and approved outcomes, then data that is submitted is not reliable. Therefore, if a grantee does not submit and verify student academic outcome data measures, student enrollment or other required program and fiscal data, then it is very likely that the LEA will be selected for a review.</w:t>
      </w:r>
    </w:p>
    <w:p w:rsidR="00A30E1C" w:rsidRDefault="00A30E1C">
      <w:pPr>
        <w:rPr>
          <w:b/>
          <w:sz w:val="28"/>
          <w:szCs w:val="28"/>
        </w:rPr>
      </w:pPr>
      <w:r>
        <w:rPr>
          <w:b/>
          <w:sz w:val="28"/>
          <w:szCs w:val="28"/>
        </w:rPr>
        <w:br w:type="page"/>
      </w:r>
    </w:p>
    <w:p w:rsidR="00B7081A" w:rsidRDefault="00EA471E" w:rsidP="00EA471E">
      <w:pPr>
        <w:jc w:val="center"/>
        <w:rPr>
          <w:b/>
          <w:sz w:val="28"/>
          <w:szCs w:val="28"/>
        </w:rPr>
      </w:pPr>
      <w:r w:rsidRPr="009F1EF1">
        <w:rPr>
          <w:b/>
          <w:sz w:val="28"/>
          <w:szCs w:val="28"/>
        </w:rPr>
        <w:lastRenderedPageBreak/>
        <w:t xml:space="preserve">Supporting </w:t>
      </w:r>
      <w:r w:rsidR="004A1877">
        <w:rPr>
          <w:b/>
          <w:sz w:val="28"/>
          <w:szCs w:val="28"/>
        </w:rPr>
        <w:t>21</w:t>
      </w:r>
      <w:r w:rsidR="004A1877" w:rsidRPr="004A1877">
        <w:rPr>
          <w:b/>
          <w:sz w:val="28"/>
          <w:szCs w:val="28"/>
          <w:vertAlign w:val="superscript"/>
        </w:rPr>
        <w:t>st</w:t>
      </w:r>
      <w:r w:rsidR="004A1877">
        <w:rPr>
          <w:b/>
          <w:sz w:val="28"/>
          <w:szCs w:val="28"/>
        </w:rPr>
        <w:t xml:space="preserve"> CCLC </w:t>
      </w:r>
      <w:r w:rsidR="0039307F">
        <w:rPr>
          <w:b/>
          <w:sz w:val="28"/>
          <w:szCs w:val="28"/>
        </w:rPr>
        <w:t>Grantees</w:t>
      </w:r>
      <w:r w:rsidR="009F1EF1" w:rsidRPr="009F1EF1">
        <w:rPr>
          <w:b/>
          <w:sz w:val="28"/>
          <w:szCs w:val="28"/>
        </w:rPr>
        <w:t xml:space="preserve"> through </w:t>
      </w:r>
      <w:r w:rsidR="009E092D">
        <w:rPr>
          <w:b/>
          <w:sz w:val="28"/>
          <w:szCs w:val="28"/>
        </w:rPr>
        <w:t>Technical Assistance</w:t>
      </w:r>
      <w:r w:rsidR="00B7081A">
        <w:rPr>
          <w:b/>
          <w:sz w:val="28"/>
          <w:szCs w:val="28"/>
        </w:rPr>
        <w:t xml:space="preserve"> and</w:t>
      </w:r>
    </w:p>
    <w:p w:rsidR="00EA471E" w:rsidRPr="009F1EF1" w:rsidRDefault="00EA471E" w:rsidP="00EA471E">
      <w:pPr>
        <w:jc w:val="center"/>
        <w:rPr>
          <w:b/>
          <w:sz w:val="28"/>
          <w:szCs w:val="28"/>
        </w:rPr>
      </w:pPr>
      <w:r w:rsidRPr="009F1EF1">
        <w:rPr>
          <w:b/>
          <w:sz w:val="28"/>
          <w:szCs w:val="28"/>
        </w:rPr>
        <w:t>ESEA</w:t>
      </w:r>
      <w:r w:rsidR="009F1EF1" w:rsidRPr="009F1EF1">
        <w:rPr>
          <w:b/>
          <w:sz w:val="28"/>
          <w:szCs w:val="28"/>
        </w:rPr>
        <w:t xml:space="preserve"> Monitoring</w:t>
      </w:r>
    </w:p>
    <w:p w:rsidR="00EA471E" w:rsidRPr="006A77D8" w:rsidRDefault="00EA471E" w:rsidP="00EA471E">
      <w:pPr>
        <w:rPr>
          <w:sz w:val="16"/>
          <w:szCs w:val="16"/>
        </w:rPr>
      </w:pPr>
    </w:p>
    <w:p w:rsidR="00EA471E" w:rsidRPr="00F05748" w:rsidRDefault="00EA471E" w:rsidP="00EA471E">
      <w:pPr>
        <w:rPr>
          <w:b/>
        </w:rPr>
      </w:pPr>
      <w:r>
        <w:rPr>
          <w:b/>
        </w:rPr>
        <w:t>Purpose</w:t>
      </w:r>
    </w:p>
    <w:p w:rsidR="0039307F" w:rsidRPr="006A77D8" w:rsidRDefault="00254778" w:rsidP="008F794B">
      <w:pPr>
        <w:rPr>
          <w:szCs w:val="24"/>
        </w:rPr>
      </w:pPr>
      <w:r w:rsidRPr="006A77D8">
        <w:rPr>
          <w:szCs w:val="24"/>
        </w:rPr>
        <w:t>The Oregon Department of Education (ODE)</w:t>
      </w:r>
      <w:r w:rsidR="003053F2" w:rsidRPr="006A77D8">
        <w:rPr>
          <w:szCs w:val="24"/>
        </w:rPr>
        <w:t xml:space="preserve"> Federal Systems Team</w:t>
      </w:r>
      <w:r w:rsidRPr="006A77D8">
        <w:rPr>
          <w:szCs w:val="24"/>
        </w:rPr>
        <w:t xml:space="preserve"> has </w:t>
      </w:r>
      <w:r w:rsidR="006769B4" w:rsidRPr="006A77D8">
        <w:rPr>
          <w:szCs w:val="24"/>
        </w:rPr>
        <w:t xml:space="preserve">the </w:t>
      </w:r>
      <w:r w:rsidRPr="006A77D8">
        <w:rPr>
          <w:szCs w:val="24"/>
        </w:rPr>
        <w:t>responsibili</w:t>
      </w:r>
      <w:r w:rsidR="003053F2" w:rsidRPr="006A77D8">
        <w:rPr>
          <w:szCs w:val="24"/>
        </w:rPr>
        <w:t>t</w:t>
      </w:r>
      <w:r w:rsidR="006769B4" w:rsidRPr="006A77D8">
        <w:rPr>
          <w:szCs w:val="24"/>
        </w:rPr>
        <w:t>y</w:t>
      </w:r>
      <w:r w:rsidR="003053F2" w:rsidRPr="006A77D8">
        <w:rPr>
          <w:szCs w:val="24"/>
        </w:rPr>
        <w:t xml:space="preserve"> to review compliance of local education agencies (</w:t>
      </w:r>
      <w:r w:rsidR="0064551C" w:rsidRPr="006A77D8">
        <w:rPr>
          <w:szCs w:val="24"/>
        </w:rPr>
        <w:t>LEA</w:t>
      </w:r>
      <w:r w:rsidR="003053F2" w:rsidRPr="006A77D8">
        <w:rPr>
          <w:szCs w:val="24"/>
        </w:rPr>
        <w:t>s) within</w:t>
      </w:r>
      <w:r w:rsidRPr="006A77D8">
        <w:rPr>
          <w:szCs w:val="24"/>
        </w:rPr>
        <w:t xml:space="preserve"> the federal Elementary and Secondary Education Act (ESEA) consolidated programs</w:t>
      </w:r>
      <w:r w:rsidR="001C05E3" w:rsidRPr="006A77D8">
        <w:rPr>
          <w:szCs w:val="24"/>
        </w:rPr>
        <w:t xml:space="preserve">. </w:t>
      </w:r>
      <w:r w:rsidR="008F794B" w:rsidRPr="006A77D8">
        <w:rPr>
          <w:szCs w:val="24"/>
        </w:rPr>
        <w:t xml:space="preserve">All </w:t>
      </w:r>
      <w:r w:rsidR="0039307F" w:rsidRPr="006A77D8">
        <w:rPr>
          <w:szCs w:val="24"/>
        </w:rPr>
        <w:t xml:space="preserve">Title IV, Part B </w:t>
      </w:r>
      <w:r w:rsidR="00FF2E91" w:rsidRPr="006A77D8">
        <w:rPr>
          <w:szCs w:val="24"/>
        </w:rPr>
        <w:t>21</w:t>
      </w:r>
      <w:r w:rsidR="00FF2E91" w:rsidRPr="006A77D8">
        <w:rPr>
          <w:szCs w:val="24"/>
          <w:vertAlign w:val="superscript"/>
        </w:rPr>
        <w:t>st</w:t>
      </w:r>
      <w:r w:rsidR="00FF2E91" w:rsidRPr="006A77D8">
        <w:rPr>
          <w:szCs w:val="24"/>
        </w:rPr>
        <w:t xml:space="preserve"> Century Community Learning Centers</w:t>
      </w:r>
      <w:r w:rsidR="00F86116" w:rsidRPr="006A77D8">
        <w:rPr>
          <w:szCs w:val="24"/>
        </w:rPr>
        <w:t xml:space="preserve"> (CCLC)</w:t>
      </w:r>
      <w:r w:rsidR="008F794B" w:rsidRPr="006A77D8">
        <w:rPr>
          <w:szCs w:val="24"/>
        </w:rPr>
        <w:t xml:space="preserve"> sub-grantees will be monitored for compliance with applicable laws and regulations.</w:t>
      </w:r>
      <w:r w:rsidR="00696AB0" w:rsidRPr="006A77D8">
        <w:rPr>
          <w:szCs w:val="24"/>
        </w:rPr>
        <w:t xml:space="preserve"> Basic level monitoring includes a review of the originally funded application and any subsequent amendments.</w:t>
      </w:r>
    </w:p>
    <w:p w:rsidR="00B7081A" w:rsidRPr="00E740E2" w:rsidRDefault="00B7081A" w:rsidP="00B7081A">
      <w:pPr>
        <w:rPr>
          <w:sz w:val="16"/>
          <w:szCs w:val="16"/>
        </w:rPr>
      </w:pPr>
    </w:p>
    <w:p w:rsidR="00EA471E" w:rsidRPr="006A77D8" w:rsidRDefault="00696AB0" w:rsidP="00945494">
      <w:pPr>
        <w:rPr>
          <w:szCs w:val="24"/>
        </w:rPr>
      </w:pPr>
      <w:r w:rsidRPr="006A77D8">
        <w:rPr>
          <w:szCs w:val="24"/>
        </w:rPr>
        <w:t xml:space="preserve">The </w:t>
      </w:r>
      <w:r w:rsidR="00D112E1" w:rsidRPr="006A77D8">
        <w:rPr>
          <w:szCs w:val="24"/>
        </w:rPr>
        <w:t>Title IV</w:t>
      </w:r>
      <w:r w:rsidRPr="006A77D8">
        <w:rPr>
          <w:szCs w:val="24"/>
        </w:rPr>
        <w:t>,</w:t>
      </w:r>
      <w:r w:rsidR="00D112E1" w:rsidRPr="006A77D8">
        <w:rPr>
          <w:szCs w:val="24"/>
        </w:rPr>
        <w:t xml:space="preserve"> Part B </w:t>
      </w:r>
      <w:r w:rsidR="00254778" w:rsidRPr="006A77D8">
        <w:rPr>
          <w:szCs w:val="24"/>
        </w:rPr>
        <w:t xml:space="preserve">monitoring process includes supporting </w:t>
      </w:r>
      <w:r w:rsidR="009C3EE6" w:rsidRPr="006A77D8">
        <w:rPr>
          <w:szCs w:val="24"/>
        </w:rPr>
        <w:t>district</w:t>
      </w:r>
      <w:r w:rsidR="00254778" w:rsidRPr="006A77D8">
        <w:rPr>
          <w:szCs w:val="24"/>
        </w:rPr>
        <w:t>s in the implementation of th</w:t>
      </w:r>
      <w:r w:rsidR="00D112E1" w:rsidRPr="006A77D8">
        <w:rPr>
          <w:szCs w:val="24"/>
        </w:rPr>
        <w:t>is</w:t>
      </w:r>
      <w:r w:rsidR="00254778" w:rsidRPr="006A77D8">
        <w:rPr>
          <w:szCs w:val="24"/>
        </w:rPr>
        <w:t xml:space="preserve"> program through</w:t>
      </w:r>
      <w:r w:rsidR="000F3001" w:rsidRPr="006A77D8">
        <w:rPr>
          <w:szCs w:val="24"/>
        </w:rPr>
        <w:t xml:space="preserve"> </w:t>
      </w:r>
      <w:r w:rsidR="00EA471E" w:rsidRPr="006A77D8">
        <w:rPr>
          <w:szCs w:val="24"/>
        </w:rPr>
        <w:t>the following:</w:t>
      </w:r>
    </w:p>
    <w:p w:rsidR="006A77D8" w:rsidRPr="00E740E2" w:rsidRDefault="006A77D8" w:rsidP="00945494">
      <w:pPr>
        <w:rPr>
          <w:sz w:val="16"/>
          <w:szCs w:val="16"/>
        </w:rPr>
      </w:pPr>
    </w:p>
    <w:p w:rsidR="00EA471E" w:rsidRPr="006A77D8" w:rsidRDefault="00EA471E" w:rsidP="00EA471E">
      <w:pPr>
        <w:pStyle w:val="ListParagraph"/>
        <w:numPr>
          <w:ilvl w:val="0"/>
          <w:numId w:val="22"/>
        </w:numPr>
        <w:rPr>
          <w:szCs w:val="24"/>
        </w:rPr>
      </w:pPr>
      <w:r w:rsidRPr="006A77D8">
        <w:rPr>
          <w:szCs w:val="24"/>
        </w:rPr>
        <w:t>A</w:t>
      </w:r>
      <w:r w:rsidR="000F3001" w:rsidRPr="006A77D8">
        <w:rPr>
          <w:szCs w:val="24"/>
        </w:rPr>
        <w:t xml:space="preserve">pproval of the </w:t>
      </w:r>
      <w:r w:rsidR="00D112E1" w:rsidRPr="006A77D8">
        <w:rPr>
          <w:szCs w:val="24"/>
        </w:rPr>
        <w:t xml:space="preserve">Annual </w:t>
      </w:r>
      <w:r w:rsidR="004A1877" w:rsidRPr="006A77D8">
        <w:rPr>
          <w:szCs w:val="24"/>
        </w:rPr>
        <w:t>Program Spending Plan &amp; Renewal Packet</w:t>
      </w:r>
    </w:p>
    <w:p w:rsidR="00F86116" w:rsidRPr="006A77D8" w:rsidRDefault="00F86116" w:rsidP="00F86116">
      <w:pPr>
        <w:pStyle w:val="ListParagraph"/>
        <w:numPr>
          <w:ilvl w:val="0"/>
          <w:numId w:val="22"/>
        </w:numPr>
        <w:rPr>
          <w:szCs w:val="24"/>
        </w:rPr>
      </w:pPr>
      <w:r w:rsidRPr="006A77D8">
        <w:rPr>
          <w:szCs w:val="24"/>
        </w:rPr>
        <w:t>On-site Technical Assistance</w:t>
      </w:r>
    </w:p>
    <w:p w:rsidR="00EA471E" w:rsidRPr="006A77D8" w:rsidRDefault="00EA471E" w:rsidP="00D112E1">
      <w:pPr>
        <w:pStyle w:val="ListParagraph"/>
        <w:numPr>
          <w:ilvl w:val="0"/>
          <w:numId w:val="22"/>
        </w:numPr>
        <w:rPr>
          <w:szCs w:val="24"/>
        </w:rPr>
      </w:pPr>
      <w:r w:rsidRPr="006A77D8">
        <w:rPr>
          <w:szCs w:val="24"/>
        </w:rPr>
        <w:t>R</w:t>
      </w:r>
      <w:r w:rsidR="009428F0" w:rsidRPr="006A77D8">
        <w:rPr>
          <w:szCs w:val="24"/>
        </w:rPr>
        <w:t xml:space="preserve">eview </w:t>
      </w:r>
      <w:r w:rsidR="00F86116" w:rsidRPr="006A77D8">
        <w:rPr>
          <w:szCs w:val="24"/>
        </w:rPr>
        <w:t xml:space="preserve">of </w:t>
      </w:r>
      <w:r w:rsidR="000F3001" w:rsidRPr="006A77D8">
        <w:rPr>
          <w:szCs w:val="24"/>
        </w:rPr>
        <w:t>program implementation</w:t>
      </w:r>
      <w:r w:rsidR="009428F0" w:rsidRPr="006A77D8">
        <w:rPr>
          <w:szCs w:val="24"/>
        </w:rPr>
        <w:t xml:space="preserve"> evidence</w:t>
      </w:r>
      <w:r w:rsidRPr="006A77D8">
        <w:rPr>
          <w:szCs w:val="24"/>
        </w:rPr>
        <w:t xml:space="preserve"> through Desk and</w:t>
      </w:r>
      <w:r w:rsidR="00696AB0" w:rsidRPr="006A77D8">
        <w:rPr>
          <w:szCs w:val="24"/>
        </w:rPr>
        <w:t>/or</w:t>
      </w:r>
      <w:r w:rsidRPr="006A77D8">
        <w:rPr>
          <w:szCs w:val="24"/>
        </w:rPr>
        <w:t xml:space="preserve"> Onsite Monitoring</w:t>
      </w:r>
    </w:p>
    <w:p w:rsidR="00B7081A" w:rsidRPr="006A77D8" w:rsidRDefault="00B7081A" w:rsidP="00B7081A">
      <w:pPr>
        <w:rPr>
          <w:sz w:val="16"/>
          <w:szCs w:val="16"/>
        </w:rPr>
      </w:pPr>
    </w:p>
    <w:p w:rsidR="00E11D81" w:rsidRPr="006A77D8" w:rsidRDefault="000F3001" w:rsidP="006D116C">
      <w:pPr>
        <w:rPr>
          <w:szCs w:val="24"/>
        </w:rPr>
      </w:pPr>
      <w:r w:rsidRPr="006A77D8">
        <w:rPr>
          <w:szCs w:val="24"/>
        </w:rPr>
        <w:t>In addi</w:t>
      </w:r>
      <w:r w:rsidR="009428F0" w:rsidRPr="006A77D8">
        <w:rPr>
          <w:szCs w:val="24"/>
        </w:rPr>
        <w:t xml:space="preserve">tion to </w:t>
      </w:r>
      <w:r w:rsidR="00D57485" w:rsidRPr="006A77D8">
        <w:rPr>
          <w:szCs w:val="24"/>
        </w:rPr>
        <w:t xml:space="preserve">ESEA </w:t>
      </w:r>
      <w:r w:rsidR="00CD3882" w:rsidRPr="006A77D8">
        <w:rPr>
          <w:szCs w:val="24"/>
        </w:rPr>
        <w:t xml:space="preserve">Title IV Part B </w:t>
      </w:r>
      <w:r w:rsidR="00D57485" w:rsidRPr="006A77D8">
        <w:rPr>
          <w:szCs w:val="24"/>
        </w:rPr>
        <w:t>monitoring</w:t>
      </w:r>
      <w:r w:rsidR="00143CD0" w:rsidRPr="006A77D8">
        <w:rPr>
          <w:szCs w:val="24"/>
        </w:rPr>
        <w:t xml:space="preserve">, </w:t>
      </w:r>
      <w:r w:rsidRPr="006A77D8">
        <w:rPr>
          <w:szCs w:val="24"/>
        </w:rPr>
        <w:t xml:space="preserve">ODE </w:t>
      </w:r>
      <w:r w:rsidR="006D116C" w:rsidRPr="006A77D8">
        <w:rPr>
          <w:szCs w:val="24"/>
        </w:rPr>
        <w:t xml:space="preserve">also </w:t>
      </w:r>
      <w:r w:rsidRPr="006A77D8">
        <w:rPr>
          <w:szCs w:val="24"/>
        </w:rPr>
        <w:t xml:space="preserve">seeks to identify local programs </w:t>
      </w:r>
      <w:r w:rsidR="00143CD0" w:rsidRPr="006A77D8">
        <w:rPr>
          <w:szCs w:val="24"/>
        </w:rPr>
        <w:t>to</w:t>
      </w:r>
      <w:r w:rsidRPr="006A77D8">
        <w:rPr>
          <w:szCs w:val="24"/>
        </w:rPr>
        <w:t xml:space="preserve"> serve as </w:t>
      </w:r>
      <w:r w:rsidR="00A604D2" w:rsidRPr="006A77D8">
        <w:rPr>
          <w:szCs w:val="24"/>
        </w:rPr>
        <w:t xml:space="preserve">best practice </w:t>
      </w:r>
      <w:r w:rsidRPr="006A77D8">
        <w:rPr>
          <w:szCs w:val="24"/>
        </w:rPr>
        <w:t xml:space="preserve">models in meeting </w:t>
      </w:r>
      <w:r w:rsidR="00A604D2" w:rsidRPr="006A77D8">
        <w:rPr>
          <w:szCs w:val="24"/>
        </w:rPr>
        <w:t>student, family, staff, schools and communities</w:t>
      </w:r>
      <w:r w:rsidRPr="006A77D8">
        <w:rPr>
          <w:szCs w:val="24"/>
        </w:rPr>
        <w:t xml:space="preserve"> within the various programs being monitored.</w:t>
      </w:r>
      <w:r w:rsidR="00EA471E" w:rsidRPr="006A77D8">
        <w:rPr>
          <w:szCs w:val="24"/>
        </w:rPr>
        <w:t xml:space="preserve"> </w:t>
      </w:r>
      <w:r w:rsidR="00D57485" w:rsidRPr="006A77D8">
        <w:rPr>
          <w:szCs w:val="24"/>
        </w:rPr>
        <w:t xml:space="preserve">Programs </w:t>
      </w:r>
      <w:r w:rsidR="00064BA8" w:rsidRPr="006A77D8">
        <w:rPr>
          <w:szCs w:val="24"/>
        </w:rPr>
        <w:t>show</w:t>
      </w:r>
      <w:r w:rsidR="00D57485" w:rsidRPr="006A77D8">
        <w:rPr>
          <w:szCs w:val="24"/>
        </w:rPr>
        <w:t>ing</w:t>
      </w:r>
      <w:r w:rsidR="00064BA8" w:rsidRPr="006A77D8">
        <w:rPr>
          <w:szCs w:val="24"/>
        </w:rPr>
        <w:t xml:space="preserve"> high levels of student academic performance are of particular interest</w:t>
      </w:r>
      <w:r w:rsidR="00D83255" w:rsidRPr="006A77D8">
        <w:rPr>
          <w:szCs w:val="24"/>
        </w:rPr>
        <w:t>.</w:t>
      </w:r>
      <w:r w:rsidR="006D116C" w:rsidRPr="006A77D8">
        <w:rPr>
          <w:szCs w:val="24"/>
        </w:rPr>
        <w:t xml:space="preserve"> </w:t>
      </w:r>
    </w:p>
    <w:p w:rsidR="00EE2A8D" w:rsidRPr="00E740E2" w:rsidRDefault="00B70DBA" w:rsidP="006D116C">
      <w:pPr>
        <w:rPr>
          <w:sz w:val="16"/>
          <w:szCs w:val="16"/>
        </w:rPr>
      </w:pPr>
      <w:r w:rsidRPr="00B70DBA">
        <w:rPr>
          <w:b/>
          <w:noProof/>
          <w:sz w:val="20"/>
          <w:szCs w:val="20"/>
          <w:u w:val="single"/>
          <w:shd w:val="clear" w:color="auto" w:fill="B8CCE4"/>
        </w:rPr>
        <w:drawing>
          <wp:anchor distT="0" distB="0" distL="114300" distR="114300" simplePos="0" relativeHeight="251679744" behindDoc="0" locked="0" layoutInCell="1" allowOverlap="1">
            <wp:simplePos x="0" y="0"/>
            <wp:positionH relativeFrom="column">
              <wp:posOffset>778934</wp:posOffset>
            </wp:positionH>
            <wp:positionV relativeFrom="paragraph">
              <wp:posOffset>82762</wp:posOffset>
            </wp:positionV>
            <wp:extent cx="5748867" cy="4207933"/>
            <wp:effectExtent l="0" t="0" r="0" b="40640"/>
            <wp:wrapNone/>
            <wp:docPr id="3" name="Diagram 3" descr="Showing that the following are all branches from the 21st CCLC Monitoring: Technical Assistance; 21st CCLC Grant &amp; Approved Amendments; Program DAta; Desk Monitoring; Onsite Monitoring." title="21st CCLC Monitoring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E11D81" w:rsidRDefault="00E11D81" w:rsidP="00014A83">
      <w:pPr>
        <w:jc w:val="center"/>
        <w:rPr>
          <w:b/>
          <w:sz w:val="20"/>
          <w:szCs w:val="20"/>
          <w:u w:val="single"/>
        </w:rPr>
      </w:pPr>
    </w:p>
    <w:p w:rsidR="00D22259" w:rsidRDefault="00D22259">
      <w:pPr>
        <w:rPr>
          <w:b/>
          <w:sz w:val="22"/>
          <w:u w:val="single"/>
        </w:rPr>
      </w:pPr>
      <w:r>
        <w:rPr>
          <w:b/>
          <w:sz w:val="22"/>
          <w:u w:val="single"/>
        </w:rPr>
        <w:br w:type="page"/>
      </w:r>
    </w:p>
    <w:p w:rsidR="00EA471E" w:rsidRPr="00D22259" w:rsidRDefault="002B44AE" w:rsidP="00C922BC">
      <w:pPr>
        <w:spacing w:after="120"/>
        <w:rPr>
          <w:sz w:val="22"/>
        </w:rPr>
      </w:pPr>
      <w:r w:rsidRPr="00D22259">
        <w:rPr>
          <w:b/>
          <w:sz w:val="22"/>
          <w:u w:val="single"/>
        </w:rPr>
        <w:lastRenderedPageBreak/>
        <w:t>Program Spending Plan &amp; Renewal Packet</w:t>
      </w:r>
      <w:r w:rsidR="009428F0" w:rsidRPr="00D22259">
        <w:rPr>
          <w:b/>
          <w:sz w:val="22"/>
          <w:u w:val="single"/>
        </w:rPr>
        <w:t xml:space="preserve"> Approval</w:t>
      </w:r>
    </w:p>
    <w:p w:rsidR="00F05F1F" w:rsidRPr="00D22259" w:rsidRDefault="00A160E8" w:rsidP="00945494">
      <w:pPr>
        <w:rPr>
          <w:sz w:val="22"/>
        </w:rPr>
      </w:pPr>
      <w:r w:rsidRPr="00D22259">
        <w:rPr>
          <w:sz w:val="22"/>
        </w:rPr>
        <w:t xml:space="preserve">Title IV Part B </w:t>
      </w:r>
      <w:r w:rsidR="00BE1890" w:rsidRPr="00D22259">
        <w:rPr>
          <w:sz w:val="22"/>
        </w:rPr>
        <w:t>(21</w:t>
      </w:r>
      <w:r w:rsidR="00BE1890" w:rsidRPr="00D22259">
        <w:rPr>
          <w:sz w:val="22"/>
          <w:vertAlign w:val="superscript"/>
        </w:rPr>
        <w:t>st</w:t>
      </w:r>
      <w:r w:rsidR="00BE1890" w:rsidRPr="00D22259">
        <w:rPr>
          <w:sz w:val="22"/>
        </w:rPr>
        <w:t xml:space="preserve"> CCLC) </w:t>
      </w:r>
      <w:r w:rsidR="007B1090" w:rsidRPr="00D22259">
        <w:rPr>
          <w:sz w:val="22"/>
        </w:rPr>
        <w:t>l</w:t>
      </w:r>
      <w:r w:rsidRPr="00D22259">
        <w:rPr>
          <w:sz w:val="22"/>
        </w:rPr>
        <w:t xml:space="preserve">ocal grantees </w:t>
      </w:r>
      <w:r w:rsidR="00EA471E" w:rsidRPr="00D22259">
        <w:rPr>
          <w:sz w:val="22"/>
        </w:rPr>
        <w:t xml:space="preserve">are required to </w:t>
      </w:r>
      <w:r w:rsidR="00D91E75" w:rsidRPr="00D22259">
        <w:rPr>
          <w:sz w:val="22"/>
        </w:rPr>
        <w:t xml:space="preserve">annually </w:t>
      </w:r>
      <w:r w:rsidR="00EA471E" w:rsidRPr="00D22259">
        <w:rPr>
          <w:sz w:val="22"/>
        </w:rPr>
        <w:t xml:space="preserve">submit the </w:t>
      </w:r>
      <w:r w:rsidRPr="00D22259">
        <w:rPr>
          <w:sz w:val="22"/>
        </w:rPr>
        <w:t>Program Spending Plan and Renewal Packet</w:t>
      </w:r>
      <w:r w:rsidR="00EA471E" w:rsidRPr="00D22259">
        <w:rPr>
          <w:sz w:val="22"/>
        </w:rPr>
        <w:t xml:space="preserve"> </w:t>
      </w:r>
      <w:r w:rsidR="007B1090" w:rsidRPr="00D22259">
        <w:rPr>
          <w:sz w:val="22"/>
        </w:rPr>
        <w:t>that includes each funded site in their grant.</w:t>
      </w:r>
      <w:r w:rsidR="000C7EB1" w:rsidRPr="00D22259">
        <w:rPr>
          <w:sz w:val="22"/>
        </w:rPr>
        <w:t xml:space="preserve"> ODE staff members </w:t>
      </w:r>
      <w:r w:rsidR="00C96104" w:rsidRPr="00D22259">
        <w:rPr>
          <w:sz w:val="22"/>
        </w:rPr>
        <w:t xml:space="preserve">also </w:t>
      </w:r>
      <w:r w:rsidR="000C7EB1" w:rsidRPr="00D22259">
        <w:rPr>
          <w:sz w:val="22"/>
        </w:rPr>
        <w:t xml:space="preserve">review </w:t>
      </w:r>
      <w:r w:rsidR="000C7D1A" w:rsidRPr="00D22259">
        <w:rPr>
          <w:sz w:val="22"/>
        </w:rPr>
        <w:t>and approve Budget Narratives, ensuring</w:t>
      </w:r>
      <w:r w:rsidR="000C7EB1" w:rsidRPr="00D22259">
        <w:rPr>
          <w:sz w:val="22"/>
        </w:rPr>
        <w:t xml:space="preserve"> responsible and allowable spending of federal funds</w:t>
      </w:r>
      <w:r w:rsidR="00B81987" w:rsidRPr="00D22259">
        <w:rPr>
          <w:sz w:val="22"/>
        </w:rPr>
        <w:t xml:space="preserve"> within the context of the grantee’s approved grant</w:t>
      </w:r>
      <w:r w:rsidR="000C7EB1" w:rsidRPr="00D22259">
        <w:rPr>
          <w:sz w:val="22"/>
        </w:rPr>
        <w:t>.</w:t>
      </w:r>
      <w:r w:rsidR="00EA471E" w:rsidRPr="00D22259">
        <w:rPr>
          <w:sz w:val="22"/>
        </w:rPr>
        <w:t xml:space="preserve"> </w:t>
      </w:r>
      <w:r w:rsidR="004224A1" w:rsidRPr="00D22259">
        <w:rPr>
          <w:sz w:val="22"/>
        </w:rPr>
        <w:t xml:space="preserve">The </w:t>
      </w:r>
      <w:r w:rsidR="00BE1890" w:rsidRPr="00D22259">
        <w:rPr>
          <w:sz w:val="22"/>
        </w:rPr>
        <w:t>annual b</w:t>
      </w:r>
      <w:r w:rsidR="000C7EB1" w:rsidRPr="00D22259">
        <w:rPr>
          <w:sz w:val="22"/>
        </w:rPr>
        <w:t xml:space="preserve">udget </w:t>
      </w:r>
      <w:r w:rsidR="00BE1890" w:rsidRPr="00D22259">
        <w:rPr>
          <w:sz w:val="22"/>
        </w:rPr>
        <w:t>and program plan</w:t>
      </w:r>
      <w:r w:rsidR="004224A1" w:rsidRPr="00D22259">
        <w:rPr>
          <w:sz w:val="22"/>
        </w:rPr>
        <w:t xml:space="preserve"> </w:t>
      </w:r>
      <w:r w:rsidR="00BE1890" w:rsidRPr="00D22259">
        <w:rPr>
          <w:sz w:val="22"/>
        </w:rPr>
        <w:t>are</w:t>
      </w:r>
      <w:r w:rsidR="004224A1" w:rsidRPr="00D22259">
        <w:rPr>
          <w:sz w:val="22"/>
        </w:rPr>
        <w:t xml:space="preserve"> due t</w:t>
      </w:r>
      <w:r w:rsidR="00E55ABC" w:rsidRPr="00D22259">
        <w:rPr>
          <w:sz w:val="22"/>
        </w:rPr>
        <w:t xml:space="preserve">o ODE no later than </w:t>
      </w:r>
      <w:r w:rsidR="002B44AE" w:rsidRPr="00D22259">
        <w:rPr>
          <w:sz w:val="22"/>
        </w:rPr>
        <w:t>June 30</w:t>
      </w:r>
      <w:r w:rsidR="006412E5" w:rsidRPr="00D22259">
        <w:rPr>
          <w:sz w:val="22"/>
          <w:vertAlign w:val="superscript"/>
        </w:rPr>
        <w:t>t</w:t>
      </w:r>
      <w:r w:rsidR="002B44AE" w:rsidRPr="00D22259">
        <w:rPr>
          <w:sz w:val="22"/>
          <w:vertAlign w:val="superscript"/>
        </w:rPr>
        <w:t>h</w:t>
      </w:r>
      <w:r w:rsidR="002B44AE" w:rsidRPr="00D22259">
        <w:rPr>
          <w:sz w:val="22"/>
        </w:rPr>
        <w:t xml:space="preserve"> </w:t>
      </w:r>
      <w:r w:rsidR="004224A1" w:rsidRPr="00D22259">
        <w:rPr>
          <w:sz w:val="22"/>
        </w:rPr>
        <w:t>of each</w:t>
      </w:r>
      <w:r w:rsidR="000C7D1A" w:rsidRPr="00D22259">
        <w:rPr>
          <w:sz w:val="22"/>
        </w:rPr>
        <w:t xml:space="preserve"> year. </w:t>
      </w:r>
    </w:p>
    <w:p w:rsidR="00D91E75" w:rsidRPr="00D22259" w:rsidRDefault="00D91E75" w:rsidP="00945494">
      <w:pPr>
        <w:rPr>
          <w:b/>
          <w:sz w:val="22"/>
          <w:u w:val="single"/>
        </w:rPr>
      </w:pPr>
    </w:p>
    <w:p w:rsidR="00945494" w:rsidRPr="00D22259" w:rsidRDefault="00945494" w:rsidP="00C922BC">
      <w:pPr>
        <w:spacing w:after="120"/>
        <w:rPr>
          <w:b/>
          <w:sz w:val="22"/>
        </w:rPr>
      </w:pPr>
      <w:r w:rsidRPr="00D22259">
        <w:rPr>
          <w:b/>
          <w:sz w:val="22"/>
          <w:u w:val="single"/>
        </w:rPr>
        <w:t>Desk Monitoring</w:t>
      </w:r>
    </w:p>
    <w:p w:rsidR="00064BA8" w:rsidRPr="00D22259" w:rsidRDefault="008D56B6" w:rsidP="00945494">
      <w:pPr>
        <w:rPr>
          <w:sz w:val="22"/>
        </w:rPr>
      </w:pPr>
      <w:r w:rsidRPr="00D22259">
        <w:rPr>
          <w:sz w:val="22"/>
        </w:rPr>
        <w:t xml:space="preserve">Title IV Part B grantees </w:t>
      </w:r>
      <w:r w:rsidR="00E55ABC" w:rsidRPr="00D22259">
        <w:rPr>
          <w:sz w:val="22"/>
        </w:rPr>
        <w:t xml:space="preserve">receiving federal funds </w:t>
      </w:r>
      <w:r w:rsidRPr="00D22259">
        <w:rPr>
          <w:sz w:val="22"/>
        </w:rPr>
        <w:t>may be</w:t>
      </w:r>
      <w:r w:rsidR="00E55ABC" w:rsidRPr="00D22259">
        <w:rPr>
          <w:sz w:val="22"/>
        </w:rPr>
        <w:t xml:space="preserve"> desk</w:t>
      </w:r>
      <w:r w:rsidR="00064BA8" w:rsidRPr="00D22259">
        <w:rPr>
          <w:sz w:val="22"/>
        </w:rPr>
        <w:t xml:space="preserve"> monitored</w:t>
      </w:r>
      <w:r w:rsidRPr="00D22259">
        <w:rPr>
          <w:sz w:val="22"/>
        </w:rPr>
        <w:t xml:space="preserve"> during alternating years of site </w:t>
      </w:r>
      <w:r w:rsidR="00BE1890" w:rsidRPr="00D22259">
        <w:rPr>
          <w:sz w:val="22"/>
        </w:rPr>
        <w:t>monitoring</w:t>
      </w:r>
      <w:r w:rsidR="00E55ABC" w:rsidRPr="00D22259">
        <w:rPr>
          <w:sz w:val="22"/>
        </w:rPr>
        <w:t>.</w:t>
      </w:r>
      <w:r w:rsidR="00064BA8" w:rsidRPr="00D22259">
        <w:rPr>
          <w:sz w:val="22"/>
        </w:rPr>
        <w:t xml:space="preserve"> Toward the end of </w:t>
      </w:r>
      <w:r w:rsidR="00C96104" w:rsidRPr="00D22259">
        <w:rPr>
          <w:sz w:val="22"/>
        </w:rPr>
        <w:t>the</w:t>
      </w:r>
      <w:r w:rsidR="00064BA8" w:rsidRPr="00D22259">
        <w:rPr>
          <w:sz w:val="22"/>
        </w:rPr>
        <w:t xml:space="preserve"> school-year,</w:t>
      </w:r>
      <w:r w:rsidR="00C92E96" w:rsidRPr="00D22259">
        <w:rPr>
          <w:sz w:val="22"/>
        </w:rPr>
        <w:t xml:space="preserve"> </w:t>
      </w:r>
      <w:r w:rsidR="009C3EE6" w:rsidRPr="00D22259">
        <w:rPr>
          <w:sz w:val="22"/>
        </w:rPr>
        <w:t>district</w:t>
      </w:r>
      <w:r w:rsidR="00C92E96" w:rsidRPr="00D22259">
        <w:rPr>
          <w:sz w:val="22"/>
        </w:rPr>
        <w:t>s will be selected</w:t>
      </w:r>
      <w:r w:rsidR="00945494" w:rsidRPr="00D22259">
        <w:rPr>
          <w:sz w:val="22"/>
        </w:rPr>
        <w:t xml:space="preserve"> </w:t>
      </w:r>
      <w:r w:rsidR="000C7D1A" w:rsidRPr="00D22259">
        <w:rPr>
          <w:sz w:val="22"/>
        </w:rPr>
        <w:t xml:space="preserve">to have </w:t>
      </w:r>
      <w:r w:rsidR="004F4FDD" w:rsidRPr="00D22259">
        <w:rPr>
          <w:sz w:val="22"/>
        </w:rPr>
        <w:t xml:space="preserve">required </w:t>
      </w:r>
      <w:r w:rsidR="000C7D1A" w:rsidRPr="00D22259">
        <w:rPr>
          <w:sz w:val="22"/>
        </w:rPr>
        <w:t xml:space="preserve">materials </w:t>
      </w:r>
      <w:r w:rsidR="004F4FDD" w:rsidRPr="00D22259">
        <w:rPr>
          <w:sz w:val="22"/>
        </w:rPr>
        <w:t xml:space="preserve">ready to be </w:t>
      </w:r>
      <w:r w:rsidR="000C7D1A" w:rsidRPr="00D22259">
        <w:rPr>
          <w:sz w:val="22"/>
        </w:rPr>
        <w:t>reviewed</w:t>
      </w:r>
      <w:r w:rsidR="00945494" w:rsidRPr="00D22259">
        <w:rPr>
          <w:sz w:val="22"/>
        </w:rPr>
        <w:t xml:space="preserve"> </w:t>
      </w:r>
      <w:r w:rsidR="00D91E75" w:rsidRPr="00D22259">
        <w:rPr>
          <w:sz w:val="22"/>
        </w:rPr>
        <w:t xml:space="preserve">the following year </w:t>
      </w:r>
      <w:r w:rsidR="00945494" w:rsidRPr="00D22259">
        <w:rPr>
          <w:sz w:val="22"/>
        </w:rPr>
        <w:t xml:space="preserve">during </w:t>
      </w:r>
      <w:r w:rsidR="00492D16" w:rsidRPr="00D22259">
        <w:rPr>
          <w:sz w:val="22"/>
        </w:rPr>
        <w:t xml:space="preserve">the </w:t>
      </w:r>
      <w:r w:rsidR="00945494" w:rsidRPr="00D22259">
        <w:rPr>
          <w:sz w:val="22"/>
        </w:rPr>
        <w:t>monitoring period</w:t>
      </w:r>
      <w:r w:rsidR="00492D16" w:rsidRPr="00D22259">
        <w:rPr>
          <w:sz w:val="22"/>
        </w:rPr>
        <w:t xml:space="preserve">. </w:t>
      </w:r>
      <w:r w:rsidR="00064BA8" w:rsidRPr="00D22259">
        <w:rPr>
          <w:sz w:val="22"/>
        </w:rPr>
        <w:t xml:space="preserve">Selection of these </w:t>
      </w:r>
      <w:r w:rsidR="009C3EE6" w:rsidRPr="00D22259">
        <w:rPr>
          <w:sz w:val="22"/>
        </w:rPr>
        <w:t>district</w:t>
      </w:r>
      <w:r w:rsidR="00064BA8" w:rsidRPr="00D22259">
        <w:rPr>
          <w:sz w:val="22"/>
        </w:rPr>
        <w:t>s will be made on the basis of risk factors as well as by region. Risk factors include, but are not limited to</w:t>
      </w:r>
      <w:r w:rsidR="001274F8" w:rsidRPr="00D22259">
        <w:rPr>
          <w:sz w:val="22"/>
        </w:rPr>
        <w:t>,</w:t>
      </w:r>
      <w:r w:rsidR="00064BA8" w:rsidRPr="00D22259">
        <w:rPr>
          <w:sz w:val="22"/>
        </w:rPr>
        <w:t xml:space="preserve"> the following:</w:t>
      </w:r>
    </w:p>
    <w:p w:rsidR="00064BA8" w:rsidRPr="00D22259" w:rsidRDefault="00064BA8" w:rsidP="00064BA8">
      <w:pPr>
        <w:pStyle w:val="ListParagraph"/>
        <w:numPr>
          <w:ilvl w:val="0"/>
          <w:numId w:val="25"/>
        </w:numPr>
        <w:rPr>
          <w:sz w:val="22"/>
        </w:rPr>
      </w:pPr>
      <w:r w:rsidRPr="00D22259">
        <w:rPr>
          <w:sz w:val="22"/>
        </w:rPr>
        <w:t xml:space="preserve">Federal program budget issues as determined through the </w:t>
      </w:r>
      <w:r w:rsidR="005B0714" w:rsidRPr="00D22259">
        <w:rPr>
          <w:sz w:val="22"/>
        </w:rPr>
        <w:t>Program Spending Plan</w:t>
      </w:r>
      <w:r w:rsidR="001274F8" w:rsidRPr="00D22259">
        <w:rPr>
          <w:sz w:val="22"/>
        </w:rPr>
        <w:t>,</w:t>
      </w:r>
      <w:r w:rsidR="005B0714" w:rsidRPr="00D22259">
        <w:rPr>
          <w:sz w:val="22"/>
        </w:rPr>
        <w:t xml:space="preserve"> Renewal Packet</w:t>
      </w:r>
      <w:r w:rsidRPr="00D22259">
        <w:rPr>
          <w:sz w:val="22"/>
        </w:rPr>
        <w:t xml:space="preserve"> review</w:t>
      </w:r>
      <w:r w:rsidR="00A37B4C" w:rsidRPr="00D22259">
        <w:rPr>
          <w:sz w:val="22"/>
        </w:rPr>
        <w:t xml:space="preserve">, </w:t>
      </w:r>
      <w:r w:rsidR="001274F8" w:rsidRPr="00D22259">
        <w:rPr>
          <w:sz w:val="22"/>
        </w:rPr>
        <w:t>and irregularities in submitting expense claims to Electronic Grants Management System (EGMS)</w:t>
      </w:r>
    </w:p>
    <w:p w:rsidR="00064BA8" w:rsidRPr="00D22259" w:rsidRDefault="006F18B6" w:rsidP="00064BA8">
      <w:pPr>
        <w:pStyle w:val="ListParagraph"/>
        <w:numPr>
          <w:ilvl w:val="0"/>
          <w:numId w:val="25"/>
        </w:numPr>
        <w:rPr>
          <w:sz w:val="22"/>
        </w:rPr>
      </w:pPr>
      <w:r w:rsidRPr="00D22259">
        <w:rPr>
          <w:sz w:val="22"/>
        </w:rPr>
        <w:t>Significant and/or unresolved f</w:t>
      </w:r>
      <w:r w:rsidR="00064BA8" w:rsidRPr="00D22259">
        <w:rPr>
          <w:sz w:val="22"/>
        </w:rPr>
        <w:t xml:space="preserve">indings issued </w:t>
      </w:r>
      <w:r w:rsidRPr="00D22259">
        <w:rPr>
          <w:sz w:val="22"/>
        </w:rPr>
        <w:t xml:space="preserve">to the </w:t>
      </w:r>
      <w:r w:rsidR="005B0714" w:rsidRPr="00D22259">
        <w:rPr>
          <w:sz w:val="22"/>
        </w:rPr>
        <w:t xml:space="preserve">participating </w:t>
      </w:r>
      <w:r w:rsidR="009C3EE6" w:rsidRPr="00D22259">
        <w:rPr>
          <w:sz w:val="22"/>
        </w:rPr>
        <w:t>district</w:t>
      </w:r>
      <w:r w:rsidRPr="00D22259">
        <w:rPr>
          <w:sz w:val="22"/>
        </w:rPr>
        <w:t xml:space="preserve"> as a result of</w:t>
      </w:r>
      <w:r w:rsidR="00064BA8" w:rsidRPr="00D22259">
        <w:rPr>
          <w:sz w:val="22"/>
        </w:rPr>
        <w:t xml:space="preserve"> </w:t>
      </w:r>
      <w:r w:rsidR="009C3EE6" w:rsidRPr="00D22259">
        <w:rPr>
          <w:sz w:val="22"/>
        </w:rPr>
        <w:t>district</w:t>
      </w:r>
      <w:r w:rsidR="00064BA8" w:rsidRPr="00D22259">
        <w:rPr>
          <w:sz w:val="22"/>
        </w:rPr>
        <w:t xml:space="preserve"> </w:t>
      </w:r>
      <w:r w:rsidRPr="00D22259">
        <w:rPr>
          <w:sz w:val="22"/>
        </w:rPr>
        <w:t xml:space="preserve">fiscal </w:t>
      </w:r>
      <w:r w:rsidR="00064BA8" w:rsidRPr="00D22259">
        <w:rPr>
          <w:sz w:val="22"/>
        </w:rPr>
        <w:t xml:space="preserve">audits </w:t>
      </w:r>
    </w:p>
    <w:p w:rsidR="006F18B6" w:rsidRPr="00D22259" w:rsidRDefault="006F18B6" w:rsidP="00064BA8">
      <w:pPr>
        <w:pStyle w:val="ListParagraph"/>
        <w:numPr>
          <w:ilvl w:val="0"/>
          <w:numId w:val="25"/>
        </w:numPr>
        <w:rPr>
          <w:sz w:val="22"/>
        </w:rPr>
      </w:pPr>
      <w:r w:rsidRPr="00D22259">
        <w:rPr>
          <w:sz w:val="22"/>
        </w:rPr>
        <w:t xml:space="preserve">On-going and/or unresolved </w:t>
      </w:r>
      <w:r w:rsidR="005B0714" w:rsidRPr="00D22259">
        <w:rPr>
          <w:sz w:val="22"/>
        </w:rPr>
        <w:t xml:space="preserve">Title IV Part B </w:t>
      </w:r>
      <w:r w:rsidRPr="00D22259">
        <w:rPr>
          <w:sz w:val="22"/>
        </w:rPr>
        <w:t>findings from previous monitoring</w:t>
      </w:r>
    </w:p>
    <w:p w:rsidR="006F18B6" w:rsidRPr="00D22259" w:rsidRDefault="006F18B6" w:rsidP="00064BA8">
      <w:pPr>
        <w:pStyle w:val="ListParagraph"/>
        <w:numPr>
          <w:ilvl w:val="0"/>
          <w:numId w:val="25"/>
        </w:numPr>
        <w:rPr>
          <w:sz w:val="22"/>
        </w:rPr>
      </w:pPr>
      <w:r w:rsidRPr="00D22259">
        <w:rPr>
          <w:sz w:val="22"/>
        </w:rPr>
        <w:t>New or inexperienced staff i</w:t>
      </w:r>
      <w:r w:rsidR="00D91E75" w:rsidRPr="00D22259">
        <w:rPr>
          <w:sz w:val="22"/>
        </w:rPr>
        <w:t xml:space="preserve">n key </w:t>
      </w:r>
      <w:r w:rsidR="005B0714" w:rsidRPr="00D22259">
        <w:rPr>
          <w:sz w:val="22"/>
        </w:rPr>
        <w:t xml:space="preserve">program </w:t>
      </w:r>
      <w:r w:rsidRPr="00D22259">
        <w:rPr>
          <w:sz w:val="22"/>
        </w:rPr>
        <w:t>positions</w:t>
      </w:r>
      <w:r w:rsidR="00A27E6D" w:rsidRPr="00D22259">
        <w:rPr>
          <w:sz w:val="22"/>
        </w:rPr>
        <w:t xml:space="preserve"> or frequent turnover</w:t>
      </w:r>
    </w:p>
    <w:p w:rsidR="00A27E6D" w:rsidRPr="00D22259" w:rsidRDefault="00A27E6D" w:rsidP="00064BA8">
      <w:pPr>
        <w:pStyle w:val="ListParagraph"/>
        <w:numPr>
          <w:ilvl w:val="0"/>
          <w:numId w:val="25"/>
        </w:numPr>
        <w:rPr>
          <w:sz w:val="22"/>
        </w:rPr>
      </w:pPr>
      <w:r w:rsidRPr="00D22259">
        <w:rPr>
          <w:sz w:val="22"/>
        </w:rPr>
        <w:t>Required reports incomplete or not submitted</w:t>
      </w:r>
    </w:p>
    <w:p w:rsidR="00A27E6D" w:rsidRPr="00D22259" w:rsidRDefault="00A27E6D" w:rsidP="00064BA8">
      <w:pPr>
        <w:pStyle w:val="ListParagraph"/>
        <w:numPr>
          <w:ilvl w:val="0"/>
          <w:numId w:val="25"/>
        </w:numPr>
        <w:rPr>
          <w:sz w:val="22"/>
        </w:rPr>
      </w:pPr>
      <w:r w:rsidRPr="00D22259">
        <w:rPr>
          <w:sz w:val="22"/>
        </w:rPr>
        <w:t xml:space="preserve">Low participant numbers compared to the proposed </w:t>
      </w:r>
      <w:r w:rsidR="00620A44" w:rsidRPr="00D22259">
        <w:rPr>
          <w:sz w:val="22"/>
        </w:rPr>
        <w:t>projection</w:t>
      </w:r>
      <w:r w:rsidRPr="00D22259">
        <w:rPr>
          <w:sz w:val="22"/>
        </w:rPr>
        <w:t>s</w:t>
      </w:r>
    </w:p>
    <w:p w:rsidR="00A27E6D" w:rsidRPr="00D22259" w:rsidRDefault="00A27E6D" w:rsidP="00064BA8">
      <w:pPr>
        <w:pStyle w:val="ListParagraph"/>
        <w:numPr>
          <w:ilvl w:val="0"/>
          <w:numId w:val="25"/>
        </w:numPr>
        <w:rPr>
          <w:sz w:val="22"/>
        </w:rPr>
      </w:pPr>
      <w:r w:rsidRPr="00D22259">
        <w:rPr>
          <w:sz w:val="22"/>
        </w:rPr>
        <w:t>High-end cost per child</w:t>
      </w:r>
    </w:p>
    <w:p w:rsidR="00C922BC" w:rsidRPr="00D22259" w:rsidRDefault="00C922BC" w:rsidP="00C922BC">
      <w:pPr>
        <w:rPr>
          <w:sz w:val="20"/>
          <w:szCs w:val="20"/>
        </w:rPr>
      </w:pPr>
    </w:p>
    <w:p w:rsidR="00945494" w:rsidRPr="00D22259" w:rsidRDefault="00305C3E" w:rsidP="00945494">
      <w:pPr>
        <w:rPr>
          <w:sz w:val="22"/>
        </w:rPr>
      </w:pPr>
      <w:r w:rsidRPr="00D22259">
        <w:rPr>
          <w:sz w:val="22"/>
        </w:rPr>
        <w:t xml:space="preserve">Following a </w:t>
      </w:r>
      <w:r w:rsidR="00BE1890" w:rsidRPr="00D22259">
        <w:rPr>
          <w:sz w:val="22"/>
        </w:rPr>
        <w:t>grantee</w:t>
      </w:r>
      <w:r w:rsidRPr="00D22259">
        <w:rPr>
          <w:sz w:val="22"/>
        </w:rPr>
        <w:t xml:space="preserve">’s desk monitoring, ODE may elect to make an </w:t>
      </w:r>
      <w:r w:rsidR="000C7D1A" w:rsidRPr="00D22259">
        <w:rPr>
          <w:sz w:val="22"/>
        </w:rPr>
        <w:t>onsite v</w:t>
      </w:r>
      <w:r w:rsidRPr="00D22259">
        <w:rPr>
          <w:sz w:val="22"/>
        </w:rPr>
        <w:t xml:space="preserve">isit or a </w:t>
      </w:r>
      <w:r w:rsidR="000C7D1A" w:rsidRPr="00D22259">
        <w:rPr>
          <w:sz w:val="22"/>
        </w:rPr>
        <w:t>technical assistance v</w:t>
      </w:r>
      <w:r w:rsidRPr="00D22259">
        <w:rPr>
          <w:sz w:val="22"/>
        </w:rPr>
        <w:t>isit</w:t>
      </w:r>
      <w:r w:rsidRPr="00D22259">
        <w:rPr>
          <w:b/>
          <w:sz w:val="22"/>
        </w:rPr>
        <w:t xml:space="preserve"> </w:t>
      </w:r>
      <w:r w:rsidRPr="00D22259">
        <w:rPr>
          <w:sz w:val="22"/>
        </w:rPr>
        <w:t xml:space="preserve">as a means to follow-up with a </w:t>
      </w:r>
      <w:r w:rsidR="005B0714" w:rsidRPr="00D22259">
        <w:rPr>
          <w:sz w:val="22"/>
        </w:rPr>
        <w:t>grantee and partners</w:t>
      </w:r>
      <w:r w:rsidRPr="00D22259">
        <w:rPr>
          <w:sz w:val="22"/>
        </w:rPr>
        <w:t xml:space="preserve">. </w:t>
      </w:r>
      <w:r w:rsidR="006F18B6" w:rsidRPr="00D22259">
        <w:rPr>
          <w:sz w:val="22"/>
        </w:rPr>
        <w:t>The criteria used to m</w:t>
      </w:r>
      <w:r w:rsidR="00D91E75" w:rsidRPr="00D22259">
        <w:rPr>
          <w:sz w:val="22"/>
        </w:rPr>
        <w:t xml:space="preserve">ake </w:t>
      </w:r>
      <w:r w:rsidR="008D56B6" w:rsidRPr="00D22259">
        <w:rPr>
          <w:sz w:val="22"/>
        </w:rPr>
        <w:t>this</w:t>
      </w:r>
      <w:r w:rsidR="00D91E75" w:rsidRPr="00D22259">
        <w:rPr>
          <w:sz w:val="22"/>
        </w:rPr>
        <w:t xml:space="preserve"> determination </w:t>
      </w:r>
      <w:r w:rsidR="006F18B6" w:rsidRPr="00D22259">
        <w:rPr>
          <w:sz w:val="22"/>
        </w:rPr>
        <w:t xml:space="preserve">will be based on the factors including, but not limited to, </w:t>
      </w:r>
      <w:r w:rsidR="00D91E75" w:rsidRPr="00D22259">
        <w:rPr>
          <w:sz w:val="22"/>
        </w:rPr>
        <w:t xml:space="preserve">the risk factors listed above, </w:t>
      </w:r>
      <w:r w:rsidR="006F18B6" w:rsidRPr="00D22259">
        <w:rPr>
          <w:sz w:val="22"/>
        </w:rPr>
        <w:t xml:space="preserve">the number of programmatic issues, the types of programmatic issues, and completeness of </w:t>
      </w:r>
      <w:r w:rsidR="0080773A" w:rsidRPr="00D22259">
        <w:rPr>
          <w:sz w:val="22"/>
        </w:rPr>
        <w:t xml:space="preserve">required </w:t>
      </w:r>
      <w:r w:rsidR="006F18B6" w:rsidRPr="00D22259">
        <w:rPr>
          <w:sz w:val="22"/>
        </w:rPr>
        <w:t xml:space="preserve">materials submitted during the </w:t>
      </w:r>
      <w:r w:rsidR="001B49AA" w:rsidRPr="00D22259">
        <w:rPr>
          <w:sz w:val="22"/>
        </w:rPr>
        <w:t xml:space="preserve">desk monitoring </w:t>
      </w:r>
      <w:r w:rsidR="006F18B6" w:rsidRPr="00D22259">
        <w:rPr>
          <w:sz w:val="22"/>
        </w:rPr>
        <w:t>review.</w:t>
      </w:r>
    </w:p>
    <w:p w:rsidR="00305C3E" w:rsidRPr="00D22259" w:rsidRDefault="00305C3E" w:rsidP="00945494">
      <w:pPr>
        <w:rPr>
          <w:sz w:val="20"/>
          <w:szCs w:val="20"/>
        </w:rPr>
      </w:pPr>
    </w:p>
    <w:p w:rsidR="00945494" w:rsidRPr="00D22259" w:rsidRDefault="00945494" w:rsidP="00C922BC">
      <w:pPr>
        <w:spacing w:after="120"/>
        <w:rPr>
          <w:b/>
          <w:sz w:val="22"/>
          <w:u w:val="single"/>
        </w:rPr>
      </w:pPr>
      <w:r w:rsidRPr="00D22259">
        <w:rPr>
          <w:b/>
          <w:sz w:val="22"/>
          <w:u w:val="single"/>
        </w:rPr>
        <w:t>Onsite Monitoring</w:t>
      </w:r>
    </w:p>
    <w:p w:rsidR="003370E9" w:rsidRPr="00D22259" w:rsidRDefault="00F05F1F" w:rsidP="00945494">
      <w:pPr>
        <w:rPr>
          <w:sz w:val="22"/>
        </w:rPr>
      </w:pPr>
      <w:r w:rsidRPr="00D22259">
        <w:rPr>
          <w:sz w:val="22"/>
        </w:rPr>
        <w:t xml:space="preserve">ODE will schedule a one to </w:t>
      </w:r>
      <w:r w:rsidR="0080773A" w:rsidRPr="00D22259">
        <w:rPr>
          <w:sz w:val="22"/>
        </w:rPr>
        <w:t>two</w:t>
      </w:r>
      <w:r w:rsidRPr="00D22259">
        <w:rPr>
          <w:sz w:val="22"/>
        </w:rPr>
        <w:t xml:space="preserve"> </w:t>
      </w:r>
      <w:r w:rsidR="00945494" w:rsidRPr="00D22259">
        <w:rPr>
          <w:sz w:val="22"/>
        </w:rPr>
        <w:t>day visit (depending on th</w:t>
      </w:r>
      <w:r w:rsidRPr="00D22259">
        <w:rPr>
          <w:sz w:val="22"/>
        </w:rPr>
        <w:t xml:space="preserve">e size of the </w:t>
      </w:r>
      <w:r w:rsidR="0080773A" w:rsidRPr="00D22259">
        <w:rPr>
          <w:sz w:val="22"/>
        </w:rPr>
        <w:t>project</w:t>
      </w:r>
      <w:r w:rsidRPr="00D22259">
        <w:rPr>
          <w:sz w:val="22"/>
        </w:rPr>
        <w:t>)</w:t>
      </w:r>
      <w:r w:rsidR="00945494" w:rsidRPr="00D22259">
        <w:rPr>
          <w:sz w:val="22"/>
        </w:rPr>
        <w:t xml:space="preserve"> to </w:t>
      </w:r>
      <w:r w:rsidR="003370E9" w:rsidRPr="00D22259">
        <w:rPr>
          <w:sz w:val="22"/>
        </w:rPr>
        <w:t>review program imp</w:t>
      </w:r>
      <w:r w:rsidR="00BA2C1C" w:rsidRPr="00D22259">
        <w:rPr>
          <w:sz w:val="22"/>
        </w:rPr>
        <w:t>lementation, evaluate implementation of</w:t>
      </w:r>
      <w:r w:rsidR="003370E9" w:rsidRPr="00D22259">
        <w:rPr>
          <w:sz w:val="22"/>
        </w:rPr>
        <w:t xml:space="preserve"> requirements, and provide the </w:t>
      </w:r>
      <w:r w:rsidR="009C3EE6" w:rsidRPr="00D22259">
        <w:rPr>
          <w:sz w:val="22"/>
        </w:rPr>
        <w:t>district</w:t>
      </w:r>
      <w:r w:rsidR="003370E9" w:rsidRPr="00D22259">
        <w:rPr>
          <w:sz w:val="22"/>
        </w:rPr>
        <w:t xml:space="preserve"> with resources and support</w:t>
      </w:r>
      <w:r w:rsidR="00492D16" w:rsidRPr="00D22259">
        <w:rPr>
          <w:sz w:val="22"/>
        </w:rPr>
        <w:t xml:space="preserve">. </w:t>
      </w:r>
      <w:r w:rsidR="00E520BE" w:rsidRPr="00D22259">
        <w:rPr>
          <w:sz w:val="22"/>
        </w:rPr>
        <w:t>Site visits will be completed during the 1</w:t>
      </w:r>
      <w:r w:rsidR="00E520BE" w:rsidRPr="00D22259">
        <w:rPr>
          <w:sz w:val="22"/>
          <w:vertAlign w:val="superscript"/>
        </w:rPr>
        <w:t>st</w:t>
      </w:r>
      <w:r w:rsidR="00E520BE" w:rsidRPr="00D22259">
        <w:rPr>
          <w:sz w:val="22"/>
        </w:rPr>
        <w:t>, 2</w:t>
      </w:r>
      <w:r w:rsidR="00E520BE" w:rsidRPr="00D22259">
        <w:rPr>
          <w:sz w:val="22"/>
          <w:vertAlign w:val="superscript"/>
        </w:rPr>
        <w:t>nd</w:t>
      </w:r>
      <w:r w:rsidR="00E520BE" w:rsidRPr="00D22259">
        <w:rPr>
          <w:sz w:val="22"/>
        </w:rPr>
        <w:t>, and 3</w:t>
      </w:r>
      <w:r w:rsidR="00E520BE" w:rsidRPr="00D22259">
        <w:rPr>
          <w:sz w:val="22"/>
          <w:vertAlign w:val="superscript"/>
        </w:rPr>
        <w:t>rd</w:t>
      </w:r>
      <w:r w:rsidR="00E520BE" w:rsidRPr="00D22259">
        <w:rPr>
          <w:sz w:val="22"/>
        </w:rPr>
        <w:t xml:space="preserve"> year of the grant. </w:t>
      </w:r>
      <w:r w:rsidR="009C3EE6" w:rsidRPr="00D22259">
        <w:rPr>
          <w:sz w:val="22"/>
        </w:rPr>
        <w:t>District</w:t>
      </w:r>
      <w:r w:rsidR="00945494" w:rsidRPr="00D22259">
        <w:rPr>
          <w:sz w:val="22"/>
        </w:rPr>
        <w:t>s selected for</w:t>
      </w:r>
      <w:r w:rsidR="003370E9" w:rsidRPr="00D22259">
        <w:rPr>
          <w:sz w:val="22"/>
        </w:rPr>
        <w:t xml:space="preserve"> an onsite visit</w:t>
      </w:r>
      <w:r w:rsidR="00945494" w:rsidRPr="00D22259">
        <w:rPr>
          <w:sz w:val="22"/>
        </w:rPr>
        <w:t xml:space="preserve"> </w:t>
      </w:r>
      <w:r w:rsidR="003370E9" w:rsidRPr="00D22259">
        <w:rPr>
          <w:sz w:val="22"/>
        </w:rPr>
        <w:t xml:space="preserve">are </w:t>
      </w:r>
      <w:r w:rsidR="00945494" w:rsidRPr="00D22259">
        <w:rPr>
          <w:sz w:val="22"/>
        </w:rPr>
        <w:t>strongly</w:t>
      </w:r>
      <w:r w:rsidR="003370E9" w:rsidRPr="00D22259">
        <w:rPr>
          <w:sz w:val="22"/>
        </w:rPr>
        <w:t xml:space="preserve"> </w:t>
      </w:r>
      <w:r w:rsidR="00945494" w:rsidRPr="00D22259">
        <w:rPr>
          <w:sz w:val="22"/>
        </w:rPr>
        <w:t>encouraged to seek ass</w:t>
      </w:r>
      <w:r w:rsidR="003370E9" w:rsidRPr="00D22259">
        <w:rPr>
          <w:sz w:val="22"/>
        </w:rPr>
        <w:t>istance in preparation for the onsite v</w:t>
      </w:r>
      <w:r w:rsidR="001230DB" w:rsidRPr="00D22259">
        <w:rPr>
          <w:sz w:val="22"/>
        </w:rPr>
        <w:t xml:space="preserve">isit. </w:t>
      </w:r>
      <w:r w:rsidR="009B5E52" w:rsidRPr="00D22259">
        <w:rPr>
          <w:sz w:val="22"/>
        </w:rPr>
        <w:t xml:space="preserve">During the onsite visit, a team from ODE will interview </w:t>
      </w:r>
      <w:r w:rsidR="009C3EE6" w:rsidRPr="00D22259">
        <w:rPr>
          <w:sz w:val="22"/>
        </w:rPr>
        <w:t>district</w:t>
      </w:r>
      <w:r w:rsidR="009B5E52" w:rsidRPr="00D22259">
        <w:rPr>
          <w:sz w:val="22"/>
        </w:rPr>
        <w:t xml:space="preserve"> </w:t>
      </w:r>
      <w:r w:rsidR="00BE1890" w:rsidRPr="00D22259">
        <w:rPr>
          <w:sz w:val="22"/>
        </w:rPr>
        <w:t xml:space="preserve">and grant </w:t>
      </w:r>
      <w:r w:rsidR="009B5E52" w:rsidRPr="00D22259">
        <w:rPr>
          <w:sz w:val="22"/>
        </w:rPr>
        <w:t xml:space="preserve">staff, visit schools, </w:t>
      </w:r>
      <w:r w:rsidR="00492D16" w:rsidRPr="00D22259">
        <w:rPr>
          <w:sz w:val="22"/>
        </w:rPr>
        <w:t xml:space="preserve">and </w:t>
      </w:r>
      <w:r w:rsidR="009B5E52" w:rsidRPr="00D22259">
        <w:rPr>
          <w:sz w:val="22"/>
        </w:rPr>
        <w:t>conduct site reviews</w:t>
      </w:r>
      <w:r w:rsidR="001230DB" w:rsidRPr="00D22259">
        <w:rPr>
          <w:sz w:val="22"/>
        </w:rPr>
        <w:t xml:space="preserve">. A detailed schedule of the visit will be coordinated with the </w:t>
      </w:r>
      <w:r w:rsidR="00B456E3" w:rsidRPr="00D22259">
        <w:rPr>
          <w:sz w:val="22"/>
        </w:rPr>
        <w:t xml:space="preserve">grantee’s </w:t>
      </w:r>
      <w:r w:rsidR="0080773A" w:rsidRPr="00D22259">
        <w:rPr>
          <w:sz w:val="22"/>
        </w:rPr>
        <w:t xml:space="preserve">Title IV Part B project director </w:t>
      </w:r>
      <w:r w:rsidR="001230DB" w:rsidRPr="00D22259">
        <w:rPr>
          <w:sz w:val="22"/>
        </w:rPr>
        <w:t xml:space="preserve">prior to the </w:t>
      </w:r>
      <w:r w:rsidR="00B456E3" w:rsidRPr="00D22259">
        <w:rPr>
          <w:sz w:val="22"/>
        </w:rPr>
        <w:t xml:space="preserve">onsite </w:t>
      </w:r>
      <w:r w:rsidR="001230DB" w:rsidRPr="00D22259">
        <w:rPr>
          <w:sz w:val="22"/>
        </w:rPr>
        <w:t>visit.</w:t>
      </w:r>
    </w:p>
    <w:p w:rsidR="00014A83" w:rsidRPr="00D22259" w:rsidRDefault="00014A83" w:rsidP="00945494">
      <w:pPr>
        <w:rPr>
          <w:sz w:val="20"/>
          <w:szCs w:val="20"/>
        </w:rPr>
      </w:pPr>
    </w:p>
    <w:p w:rsidR="006F18B6" w:rsidRPr="00D22259" w:rsidRDefault="006F18B6" w:rsidP="007C3B04">
      <w:pPr>
        <w:spacing w:after="120"/>
        <w:rPr>
          <w:sz w:val="22"/>
        </w:rPr>
      </w:pPr>
      <w:r w:rsidRPr="00D22259">
        <w:rPr>
          <w:b/>
          <w:sz w:val="22"/>
          <w:u w:val="single"/>
        </w:rPr>
        <w:t>Technical Assistance</w:t>
      </w:r>
    </w:p>
    <w:p w:rsidR="006F18B6" w:rsidRPr="00D22259" w:rsidRDefault="00AB7F07" w:rsidP="006F18B6">
      <w:pPr>
        <w:rPr>
          <w:sz w:val="22"/>
        </w:rPr>
      </w:pPr>
      <w:r w:rsidRPr="00D22259">
        <w:rPr>
          <w:sz w:val="22"/>
        </w:rPr>
        <w:t>Before or f</w:t>
      </w:r>
      <w:r w:rsidR="00CF4430" w:rsidRPr="00D22259">
        <w:rPr>
          <w:sz w:val="22"/>
        </w:rPr>
        <w:t xml:space="preserve">ollowing </w:t>
      </w:r>
      <w:r w:rsidRPr="00D22259">
        <w:rPr>
          <w:sz w:val="22"/>
        </w:rPr>
        <w:t xml:space="preserve">a </w:t>
      </w:r>
      <w:r w:rsidR="006F18B6" w:rsidRPr="00D22259">
        <w:rPr>
          <w:sz w:val="22"/>
        </w:rPr>
        <w:t>desk</w:t>
      </w:r>
      <w:r w:rsidR="00374FDC" w:rsidRPr="00D22259">
        <w:rPr>
          <w:sz w:val="22"/>
        </w:rPr>
        <w:t xml:space="preserve"> or onsite </w:t>
      </w:r>
      <w:r w:rsidR="006F18B6" w:rsidRPr="00D22259">
        <w:rPr>
          <w:sz w:val="22"/>
        </w:rPr>
        <w:t xml:space="preserve">monitoring, ODE may </w:t>
      </w:r>
      <w:r w:rsidR="00CF4430" w:rsidRPr="00D22259">
        <w:rPr>
          <w:sz w:val="22"/>
        </w:rPr>
        <w:t>elect to provide a</w:t>
      </w:r>
      <w:r w:rsidR="006F18B6" w:rsidRPr="00D22259">
        <w:rPr>
          <w:sz w:val="22"/>
        </w:rPr>
        <w:t xml:space="preserve"> </w:t>
      </w:r>
      <w:r w:rsidR="00B456E3" w:rsidRPr="00D22259">
        <w:rPr>
          <w:sz w:val="22"/>
        </w:rPr>
        <w:t>grantee</w:t>
      </w:r>
      <w:r w:rsidR="00CF4430" w:rsidRPr="00D22259">
        <w:rPr>
          <w:sz w:val="22"/>
        </w:rPr>
        <w:t xml:space="preserve"> with </w:t>
      </w:r>
      <w:r w:rsidRPr="00D22259">
        <w:rPr>
          <w:sz w:val="22"/>
        </w:rPr>
        <w:t xml:space="preserve">an </w:t>
      </w:r>
      <w:r w:rsidR="00CF4430" w:rsidRPr="00D22259">
        <w:rPr>
          <w:sz w:val="22"/>
        </w:rPr>
        <w:t xml:space="preserve">individual </w:t>
      </w:r>
      <w:r w:rsidRPr="00D22259">
        <w:rPr>
          <w:sz w:val="22"/>
        </w:rPr>
        <w:t xml:space="preserve">technical </w:t>
      </w:r>
      <w:r w:rsidR="00CF4430" w:rsidRPr="00D22259">
        <w:rPr>
          <w:sz w:val="22"/>
        </w:rPr>
        <w:t xml:space="preserve">assistance </w:t>
      </w:r>
      <w:r w:rsidR="006F18B6" w:rsidRPr="00D22259">
        <w:rPr>
          <w:sz w:val="22"/>
        </w:rPr>
        <w:t>visit</w:t>
      </w:r>
      <w:r w:rsidRPr="00D22259">
        <w:rPr>
          <w:sz w:val="22"/>
        </w:rPr>
        <w:t xml:space="preserve">. </w:t>
      </w:r>
      <w:r w:rsidR="008D7840" w:rsidRPr="00D22259">
        <w:rPr>
          <w:sz w:val="22"/>
        </w:rPr>
        <w:t>The goal of a</w:t>
      </w:r>
      <w:r w:rsidR="006F18B6" w:rsidRPr="00D22259">
        <w:rPr>
          <w:sz w:val="22"/>
        </w:rPr>
        <w:t xml:space="preserve"> one to two day </w:t>
      </w:r>
      <w:r w:rsidRPr="00D22259">
        <w:rPr>
          <w:sz w:val="22"/>
        </w:rPr>
        <w:t xml:space="preserve">technical assistance </w:t>
      </w:r>
      <w:r w:rsidR="006F18B6" w:rsidRPr="00D22259">
        <w:rPr>
          <w:sz w:val="22"/>
        </w:rPr>
        <w:t xml:space="preserve">visit </w:t>
      </w:r>
      <w:r w:rsidR="00BE1890" w:rsidRPr="00D22259">
        <w:rPr>
          <w:sz w:val="22"/>
        </w:rPr>
        <w:t xml:space="preserve">is </w:t>
      </w:r>
      <w:r w:rsidR="006F18B6" w:rsidRPr="00D22259">
        <w:rPr>
          <w:sz w:val="22"/>
        </w:rPr>
        <w:t xml:space="preserve">to work directly with </w:t>
      </w:r>
      <w:r w:rsidR="0080773A" w:rsidRPr="00D22259">
        <w:rPr>
          <w:sz w:val="22"/>
        </w:rPr>
        <w:t xml:space="preserve">grantee </w:t>
      </w:r>
      <w:r w:rsidR="006F18B6" w:rsidRPr="00D22259">
        <w:rPr>
          <w:sz w:val="22"/>
        </w:rPr>
        <w:t>staff</w:t>
      </w:r>
      <w:r w:rsidRPr="00D22259">
        <w:rPr>
          <w:sz w:val="22"/>
        </w:rPr>
        <w:t xml:space="preserve"> </w:t>
      </w:r>
      <w:r w:rsidR="00BE1890" w:rsidRPr="00D22259">
        <w:rPr>
          <w:sz w:val="22"/>
        </w:rPr>
        <w:t>to</w:t>
      </w:r>
      <w:r w:rsidR="006F18B6" w:rsidRPr="00D22259">
        <w:rPr>
          <w:sz w:val="22"/>
        </w:rPr>
        <w:t xml:space="preserve"> resolve areas of non-compliance and support the </w:t>
      </w:r>
      <w:r w:rsidR="009C3EE6" w:rsidRPr="00D22259">
        <w:rPr>
          <w:sz w:val="22"/>
        </w:rPr>
        <w:t>district</w:t>
      </w:r>
      <w:r w:rsidR="006F18B6" w:rsidRPr="00D22259">
        <w:rPr>
          <w:sz w:val="22"/>
        </w:rPr>
        <w:t xml:space="preserve"> in program development</w:t>
      </w:r>
      <w:r w:rsidR="00BE1890" w:rsidRPr="00D22259">
        <w:rPr>
          <w:sz w:val="22"/>
        </w:rPr>
        <w:t xml:space="preserve">, </w:t>
      </w:r>
      <w:r w:rsidR="006F18B6" w:rsidRPr="00D22259">
        <w:rPr>
          <w:sz w:val="22"/>
        </w:rPr>
        <w:t>implementation</w:t>
      </w:r>
      <w:r w:rsidR="00BE1890" w:rsidRPr="00D22259">
        <w:rPr>
          <w:sz w:val="22"/>
        </w:rPr>
        <w:t>, and performance</w:t>
      </w:r>
      <w:r w:rsidR="006F18B6" w:rsidRPr="00D22259">
        <w:rPr>
          <w:sz w:val="22"/>
        </w:rPr>
        <w:t xml:space="preserve">. </w:t>
      </w:r>
    </w:p>
    <w:p w:rsidR="006F18B6" w:rsidRPr="00D22259" w:rsidRDefault="006F18B6" w:rsidP="006F18B6">
      <w:pPr>
        <w:rPr>
          <w:sz w:val="20"/>
          <w:szCs w:val="20"/>
        </w:rPr>
      </w:pPr>
    </w:p>
    <w:p w:rsidR="00014A83" w:rsidRPr="00D22259" w:rsidRDefault="00014A83" w:rsidP="00163BED">
      <w:pPr>
        <w:spacing w:after="120"/>
        <w:rPr>
          <w:sz w:val="22"/>
        </w:rPr>
      </w:pPr>
      <w:r w:rsidRPr="00D22259">
        <w:rPr>
          <w:b/>
          <w:sz w:val="22"/>
          <w:u w:val="single"/>
        </w:rPr>
        <w:t>Preparation for Desk Monitoring</w:t>
      </w:r>
      <w:r w:rsidR="00A10AF6" w:rsidRPr="00D22259">
        <w:rPr>
          <w:b/>
          <w:sz w:val="22"/>
          <w:u w:val="single"/>
        </w:rPr>
        <w:t xml:space="preserve"> or Onsite Visit</w:t>
      </w:r>
    </w:p>
    <w:p w:rsidR="00D22259" w:rsidRDefault="009C3EE6">
      <w:pPr>
        <w:rPr>
          <w:sz w:val="22"/>
        </w:rPr>
      </w:pPr>
      <w:r w:rsidRPr="00D22259">
        <w:rPr>
          <w:sz w:val="22"/>
        </w:rPr>
        <w:t>District</w:t>
      </w:r>
      <w:r w:rsidR="0005063C" w:rsidRPr="00D22259">
        <w:rPr>
          <w:sz w:val="22"/>
        </w:rPr>
        <w:t>s</w:t>
      </w:r>
      <w:r w:rsidR="00F23E84" w:rsidRPr="00D22259">
        <w:rPr>
          <w:sz w:val="22"/>
        </w:rPr>
        <w:t xml:space="preserve"> will submit</w:t>
      </w:r>
      <w:r w:rsidR="00945494" w:rsidRPr="00D22259">
        <w:rPr>
          <w:sz w:val="22"/>
        </w:rPr>
        <w:t xml:space="preserve"> </w:t>
      </w:r>
      <w:r w:rsidR="00F23E84" w:rsidRPr="00D22259">
        <w:rPr>
          <w:sz w:val="22"/>
        </w:rPr>
        <w:t xml:space="preserve">the required </w:t>
      </w:r>
      <w:r w:rsidR="00305C3E" w:rsidRPr="00D22259">
        <w:rPr>
          <w:sz w:val="22"/>
        </w:rPr>
        <w:t>e</w:t>
      </w:r>
      <w:r w:rsidR="00945494" w:rsidRPr="00D22259">
        <w:rPr>
          <w:sz w:val="22"/>
        </w:rPr>
        <w:t>vidence</w:t>
      </w:r>
      <w:r w:rsidR="00F23E84" w:rsidRPr="00D22259">
        <w:rPr>
          <w:sz w:val="22"/>
        </w:rPr>
        <w:t xml:space="preserve"> to ODE</w:t>
      </w:r>
      <w:r w:rsidR="0005063C" w:rsidRPr="00D22259">
        <w:rPr>
          <w:sz w:val="22"/>
        </w:rPr>
        <w:t xml:space="preserve"> prior to </w:t>
      </w:r>
      <w:r w:rsidR="00F23E84" w:rsidRPr="00D22259">
        <w:rPr>
          <w:sz w:val="22"/>
        </w:rPr>
        <w:t>desk m</w:t>
      </w:r>
      <w:r w:rsidR="00014A83" w:rsidRPr="00D22259">
        <w:rPr>
          <w:sz w:val="22"/>
        </w:rPr>
        <w:t xml:space="preserve">onitoring or </w:t>
      </w:r>
      <w:r w:rsidR="00F23E84" w:rsidRPr="00D22259">
        <w:rPr>
          <w:sz w:val="22"/>
        </w:rPr>
        <w:t>onsite v</w:t>
      </w:r>
      <w:r w:rsidR="00945494" w:rsidRPr="00D22259">
        <w:rPr>
          <w:sz w:val="22"/>
        </w:rPr>
        <w:t>isit</w:t>
      </w:r>
      <w:r w:rsidR="0005063C" w:rsidRPr="00D22259">
        <w:rPr>
          <w:sz w:val="22"/>
        </w:rPr>
        <w:t>s</w:t>
      </w:r>
      <w:r w:rsidR="00945494" w:rsidRPr="00D22259">
        <w:rPr>
          <w:sz w:val="22"/>
        </w:rPr>
        <w:t xml:space="preserve">. </w:t>
      </w:r>
      <w:r w:rsidR="0005063C" w:rsidRPr="00D22259">
        <w:rPr>
          <w:sz w:val="22"/>
        </w:rPr>
        <w:t>D</w:t>
      </w:r>
      <w:r w:rsidR="00014A83" w:rsidRPr="00D22259">
        <w:rPr>
          <w:sz w:val="22"/>
        </w:rPr>
        <w:t xml:space="preserve">ocuments </w:t>
      </w:r>
      <w:r w:rsidR="00A10AF6" w:rsidRPr="00D22259">
        <w:rPr>
          <w:sz w:val="22"/>
        </w:rPr>
        <w:t>can</w:t>
      </w:r>
      <w:r w:rsidR="00F23E84" w:rsidRPr="00D22259">
        <w:rPr>
          <w:sz w:val="22"/>
        </w:rPr>
        <w:t xml:space="preserve"> be submitted either</w:t>
      </w:r>
      <w:r w:rsidR="00014A83" w:rsidRPr="00D22259">
        <w:rPr>
          <w:sz w:val="22"/>
        </w:rPr>
        <w:t xml:space="preserve"> hard cop</w:t>
      </w:r>
      <w:r w:rsidR="00D91E75" w:rsidRPr="00D22259">
        <w:rPr>
          <w:sz w:val="22"/>
        </w:rPr>
        <w:t>y or electronically</w:t>
      </w:r>
      <w:r w:rsidR="0080773A" w:rsidRPr="00D22259">
        <w:rPr>
          <w:sz w:val="22"/>
        </w:rPr>
        <w:t xml:space="preserve"> (preferred)</w:t>
      </w:r>
      <w:r w:rsidR="00F23E84" w:rsidRPr="00D22259">
        <w:rPr>
          <w:sz w:val="22"/>
        </w:rPr>
        <w:t xml:space="preserve">. </w:t>
      </w:r>
      <w:r w:rsidR="00014A83" w:rsidRPr="00D22259">
        <w:rPr>
          <w:sz w:val="22"/>
        </w:rPr>
        <w:t xml:space="preserve">These documents </w:t>
      </w:r>
      <w:r w:rsidR="000E32D4" w:rsidRPr="00D22259">
        <w:rPr>
          <w:sz w:val="22"/>
        </w:rPr>
        <w:t>must</w:t>
      </w:r>
      <w:r w:rsidR="00014A83" w:rsidRPr="00D22259">
        <w:rPr>
          <w:sz w:val="22"/>
        </w:rPr>
        <w:t xml:space="preserve"> arriv</w:t>
      </w:r>
      <w:r w:rsidR="006412E5" w:rsidRPr="00D22259">
        <w:rPr>
          <w:sz w:val="22"/>
        </w:rPr>
        <w:t xml:space="preserve">e at </w:t>
      </w:r>
      <w:r w:rsidR="008B62EE" w:rsidRPr="00D22259">
        <w:rPr>
          <w:sz w:val="22"/>
        </w:rPr>
        <w:t>the scheduled time</w:t>
      </w:r>
      <w:r w:rsidR="00F23E84" w:rsidRPr="00D22259">
        <w:rPr>
          <w:sz w:val="22"/>
        </w:rPr>
        <w:t xml:space="preserve">, </w:t>
      </w:r>
      <w:r w:rsidR="00014A83" w:rsidRPr="00D22259">
        <w:rPr>
          <w:sz w:val="22"/>
        </w:rPr>
        <w:t>to allow ODE sufficient time to review materials.</w:t>
      </w:r>
      <w:r w:rsidR="00F23E84" w:rsidRPr="00D22259">
        <w:rPr>
          <w:sz w:val="22"/>
        </w:rPr>
        <w:t xml:space="preserve"> </w:t>
      </w:r>
      <w:r w:rsidR="003B7E1A" w:rsidRPr="00D22259">
        <w:rPr>
          <w:sz w:val="22"/>
        </w:rPr>
        <w:t xml:space="preserve">Evidence of the items listed as assurances in the </w:t>
      </w:r>
      <w:r w:rsidR="009D3473" w:rsidRPr="00D22259">
        <w:rPr>
          <w:sz w:val="22"/>
        </w:rPr>
        <w:t xml:space="preserve">approved Title IV Part B grant proposal </w:t>
      </w:r>
      <w:r w:rsidR="003B7E1A" w:rsidRPr="00D22259">
        <w:rPr>
          <w:sz w:val="22"/>
        </w:rPr>
        <w:t xml:space="preserve">will be reviewed during onsite visits and during desk monitoring. </w:t>
      </w:r>
      <w:r w:rsidR="00D26BFD" w:rsidRPr="00D22259">
        <w:rPr>
          <w:sz w:val="22"/>
        </w:rPr>
        <w:t>The following diagram explains the various categories of evidence reviewed for monitoring.</w:t>
      </w:r>
      <w:r w:rsidR="007765E7">
        <w:rPr>
          <w:sz w:val="22"/>
        </w:rPr>
        <w:t xml:space="preserve"> </w:t>
      </w:r>
      <w:r w:rsidR="00D22259">
        <w:rPr>
          <w:sz w:val="22"/>
        </w:rPr>
        <w:br w:type="page"/>
      </w:r>
    </w:p>
    <w:p w:rsidR="00D26BFD" w:rsidRPr="00D22259" w:rsidRDefault="00D26BFD" w:rsidP="00014A83">
      <w:pPr>
        <w:rPr>
          <w:sz w:val="22"/>
        </w:rPr>
      </w:pP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xamples Table"/>
        <w:tblDescription w:val="This table shows examples for previously submitted, assurances and evidence to be submitted."/>
      </w:tblPr>
      <w:tblGrid>
        <w:gridCol w:w="466"/>
        <w:gridCol w:w="3082"/>
        <w:gridCol w:w="280"/>
        <w:gridCol w:w="3078"/>
        <w:gridCol w:w="366"/>
        <w:gridCol w:w="3078"/>
      </w:tblGrid>
      <w:tr w:rsidR="003E58E6" w:rsidTr="00FE71CC">
        <w:trPr>
          <w:cantSplit/>
          <w:trHeight w:val="1134"/>
          <w:tblHeader/>
        </w:trPr>
        <w:tc>
          <w:tcPr>
            <w:tcW w:w="466" w:type="dxa"/>
            <w:tcBorders>
              <w:right w:val="single" w:sz="4" w:space="0" w:color="auto"/>
            </w:tcBorders>
            <w:textDirection w:val="btLr"/>
          </w:tcPr>
          <w:p w:rsidR="003E58E6" w:rsidRPr="00F91029" w:rsidRDefault="003E58E6" w:rsidP="00F91029">
            <w:pPr>
              <w:ind w:left="113" w:right="113"/>
              <w:contextualSpacing/>
              <w:jc w:val="center"/>
              <w:rPr>
                <w:rFonts w:ascii="Tahoma" w:eastAsia="Times New Roman" w:hAnsi="Tahoma" w:cs="Tahoma"/>
                <w:szCs w:val="24"/>
              </w:rPr>
            </w:pPr>
            <w:bookmarkStart w:id="0" w:name="_GoBack"/>
          </w:p>
        </w:tc>
        <w:tc>
          <w:tcPr>
            <w:tcW w:w="3082" w:type="dxa"/>
            <w:tcBorders>
              <w:top w:val="single" w:sz="4" w:space="0" w:color="auto"/>
              <w:left w:val="single" w:sz="4" w:space="0" w:color="auto"/>
              <w:bottom w:val="single" w:sz="4" w:space="0" w:color="auto"/>
              <w:right w:val="single" w:sz="4" w:space="0" w:color="auto"/>
            </w:tcBorders>
            <w:vAlign w:val="center"/>
          </w:tcPr>
          <w:p w:rsidR="003E58E6" w:rsidRPr="00656136" w:rsidRDefault="003E58E6" w:rsidP="00BE1890">
            <w:pPr>
              <w:contextualSpacing/>
              <w:jc w:val="center"/>
              <w:rPr>
                <w:rFonts w:eastAsia="Times New Roman" w:cs="Arial"/>
                <w:szCs w:val="24"/>
              </w:rPr>
            </w:pPr>
            <w:r w:rsidRPr="00656136">
              <w:rPr>
                <w:rFonts w:eastAsia="Times New Roman" w:cs="Arial"/>
                <w:szCs w:val="24"/>
              </w:rPr>
              <w:t>Examples in this category:</w:t>
            </w:r>
          </w:p>
          <w:p w:rsidR="00E2036E" w:rsidRPr="00656136" w:rsidRDefault="00E2036E" w:rsidP="00BE1890">
            <w:pPr>
              <w:contextualSpacing/>
              <w:jc w:val="center"/>
              <w:rPr>
                <w:rFonts w:eastAsia="Times New Roman" w:cs="Arial"/>
                <w:szCs w:val="24"/>
              </w:rPr>
            </w:pPr>
            <w:r w:rsidRPr="00656136">
              <w:rPr>
                <w:rFonts w:eastAsia="Times New Roman" w:cs="Arial"/>
                <w:szCs w:val="24"/>
              </w:rPr>
              <w:t>Previously Submitted</w:t>
            </w:r>
          </w:p>
        </w:tc>
        <w:tc>
          <w:tcPr>
            <w:tcW w:w="280" w:type="dxa"/>
            <w:tcBorders>
              <w:left w:val="single" w:sz="4" w:space="0" w:color="auto"/>
              <w:right w:val="single" w:sz="4" w:space="0" w:color="auto"/>
            </w:tcBorders>
            <w:textDirection w:val="btLr"/>
          </w:tcPr>
          <w:p w:rsidR="003E58E6" w:rsidRPr="00656136" w:rsidRDefault="003E58E6" w:rsidP="00F91029">
            <w:pPr>
              <w:ind w:left="113" w:right="-201"/>
              <w:jc w:val="center"/>
              <w:rPr>
                <w:rFonts w:cs="Arial"/>
                <w:szCs w:val="24"/>
              </w:rPr>
            </w:pPr>
          </w:p>
        </w:tc>
        <w:tc>
          <w:tcPr>
            <w:tcW w:w="3078" w:type="dxa"/>
            <w:tcBorders>
              <w:top w:val="single" w:sz="4" w:space="0" w:color="auto"/>
              <w:left w:val="single" w:sz="4" w:space="0" w:color="auto"/>
              <w:bottom w:val="single" w:sz="4" w:space="0" w:color="auto"/>
              <w:right w:val="single" w:sz="4" w:space="0" w:color="auto"/>
            </w:tcBorders>
            <w:vAlign w:val="center"/>
          </w:tcPr>
          <w:p w:rsidR="003E58E6" w:rsidRPr="00656136" w:rsidRDefault="003E58E6" w:rsidP="00BE1890">
            <w:pPr>
              <w:contextualSpacing/>
              <w:jc w:val="center"/>
              <w:rPr>
                <w:rFonts w:eastAsia="Times New Roman" w:cs="Arial"/>
                <w:szCs w:val="24"/>
              </w:rPr>
            </w:pPr>
            <w:r w:rsidRPr="00656136">
              <w:rPr>
                <w:rFonts w:eastAsia="Times New Roman" w:cs="Arial"/>
                <w:szCs w:val="24"/>
              </w:rPr>
              <w:t>Examples in this category:</w:t>
            </w:r>
          </w:p>
          <w:p w:rsidR="00E2036E" w:rsidRPr="00656136" w:rsidRDefault="00E2036E" w:rsidP="00BE1890">
            <w:pPr>
              <w:contextualSpacing/>
              <w:jc w:val="center"/>
              <w:rPr>
                <w:rFonts w:eastAsia="Times New Roman" w:cs="Arial"/>
                <w:szCs w:val="24"/>
              </w:rPr>
            </w:pPr>
            <w:r w:rsidRPr="00656136">
              <w:rPr>
                <w:rFonts w:cs="Arial"/>
                <w:szCs w:val="24"/>
              </w:rPr>
              <w:t>Assurances</w:t>
            </w:r>
          </w:p>
        </w:tc>
        <w:tc>
          <w:tcPr>
            <w:tcW w:w="366" w:type="dxa"/>
            <w:tcBorders>
              <w:left w:val="single" w:sz="4" w:space="0" w:color="auto"/>
              <w:right w:val="single" w:sz="4" w:space="0" w:color="auto"/>
            </w:tcBorders>
            <w:textDirection w:val="btLr"/>
          </w:tcPr>
          <w:p w:rsidR="003E58E6" w:rsidRPr="00656136" w:rsidRDefault="003E58E6" w:rsidP="003E58E6">
            <w:pPr>
              <w:ind w:left="113" w:right="113"/>
              <w:jc w:val="center"/>
              <w:rPr>
                <w:rFonts w:cs="Arial"/>
                <w:szCs w:val="24"/>
              </w:rPr>
            </w:pPr>
          </w:p>
        </w:tc>
        <w:tc>
          <w:tcPr>
            <w:tcW w:w="3078" w:type="dxa"/>
            <w:tcBorders>
              <w:top w:val="single" w:sz="4" w:space="0" w:color="auto"/>
              <w:left w:val="single" w:sz="4" w:space="0" w:color="auto"/>
              <w:bottom w:val="single" w:sz="4" w:space="0" w:color="auto"/>
              <w:right w:val="single" w:sz="4" w:space="0" w:color="auto"/>
            </w:tcBorders>
            <w:vAlign w:val="center"/>
          </w:tcPr>
          <w:p w:rsidR="003E58E6" w:rsidRPr="00656136" w:rsidRDefault="003E58E6" w:rsidP="00BE1890">
            <w:pPr>
              <w:contextualSpacing/>
              <w:jc w:val="center"/>
              <w:rPr>
                <w:rFonts w:eastAsia="Times New Roman" w:cs="Arial"/>
                <w:szCs w:val="24"/>
              </w:rPr>
            </w:pPr>
            <w:r w:rsidRPr="00656136">
              <w:rPr>
                <w:rFonts w:eastAsia="Times New Roman" w:cs="Arial"/>
                <w:szCs w:val="24"/>
              </w:rPr>
              <w:t>Examples in this category:</w:t>
            </w:r>
          </w:p>
          <w:p w:rsidR="00E2036E" w:rsidRPr="00656136" w:rsidRDefault="00E2036E" w:rsidP="00BE1890">
            <w:pPr>
              <w:contextualSpacing/>
              <w:jc w:val="center"/>
              <w:rPr>
                <w:rFonts w:eastAsia="Times New Roman" w:cs="Arial"/>
                <w:szCs w:val="24"/>
              </w:rPr>
            </w:pPr>
            <w:r w:rsidRPr="00656136">
              <w:rPr>
                <w:rFonts w:cs="Arial"/>
                <w:szCs w:val="24"/>
              </w:rPr>
              <w:t>Evidence to be submitted</w:t>
            </w:r>
          </w:p>
        </w:tc>
      </w:tr>
      <w:tr w:rsidR="003E58E6" w:rsidTr="00642527">
        <w:trPr>
          <w:cantSplit/>
          <w:trHeight w:val="8846"/>
        </w:trPr>
        <w:tc>
          <w:tcPr>
            <w:tcW w:w="466" w:type="dxa"/>
            <w:tcBorders>
              <w:right w:val="single" w:sz="4" w:space="0" w:color="auto"/>
            </w:tcBorders>
            <w:textDirection w:val="btLr"/>
          </w:tcPr>
          <w:p w:rsidR="003E58E6" w:rsidRPr="00CE7FBA" w:rsidRDefault="003E58E6" w:rsidP="00F91029">
            <w:pPr>
              <w:ind w:left="113" w:right="113"/>
              <w:contextualSpacing/>
              <w:jc w:val="center"/>
              <w:rPr>
                <w:rFonts w:ascii="Tahoma" w:eastAsia="Times New Roman" w:hAnsi="Tahoma" w:cs="Tahoma"/>
                <w:b/>
                <w:sz w:val="22"/>
              </w:rPr>
            </w:pPr>
          </w:p>
        </w:tc>
        <w:tc>
          <w:tcPr>
            <w:tcW w:w="3082" w:type="dxa"/>
            <w:tcBorders>
              <w:top w:val="single" w:sz="4" w:space="0" w:color="auto"/>
              <w:left w:val="single" w:sz="4" w:space="0" w:color="auto"/>
              <w:bottom w:val="single" w:sz="4" w:space="0" w:color="auto"/>
              <w:right w:val="single" w:sz="4" w:space="0" w:color="auto"/>
            </w:tcBorders>
          </w:tcPr>
          <w:p w:rsidR="00B6159E" w:rsidRPr="0059411B" w:rsidRDefault="00B6159E" w:rsidP="00B6159E">
            <w:pPr>
              <w:ind w:left="523"/>
              <w:contextualSpacing/>
              <w:rPr>
                <w:rFonts w:eastAsia="Times New Roman" w:cs="Arial"/>
                <w:sz w:val="22"/>
              </w:rPr>
            </w:pPr>
          </w:p>
          <w:p w:rsidR="000B757A" w:rsidRPr="0059411B" w:rsidRDefault="000B757A" w:rsidP="00B6159E">
            <w:pPr>
              <w:numPr>
                <w:ilvl w:val="0"/>
                <w:numId w:val="41"/>
              </w:numPr>
              <w:spacing w:line="276" w:lineRule="auto"/>
              <w:ind w:left="523"/>
              <w:contextualSpacing/>
              <w:rPr>
                <w:rFonts w:eastAsia="Times New Roman" w:cs="Arial"/>
                <w:sz w:val="22"/>
              </w:rPr>
            </w:pPr>
            <w:r w:rsidRPr="0059411B">
              <w:rPr>
                <w:rFonts w:eastAsia="Times New Roman" w:cs="Arial"/>
                <w:sz w:val="22"/>
              </w:rPr>
              <w:t>Sub grantee application as originally approved with amendments</w:t>
            </w:r>
          </w:p>
          <w:p w:rsidR="000B757A" w:rsidRPr="0059411B" w:rsidRDefault="000B757A" w:rsidP="00B6159E">
            <w:pPr>
              <w:numPr>
                <w:ilvl w:val="0"/>
                <w:numId w:val="41"/>
              </w:numPr>
              <w:spacing w:line="276" w:lineRule="auto"/>
              <w:ind w:left="523"/>
              <w:contextualSpacing/>
              <w:rPr>
                <w:rFonts w:eastAsia="Times New Roman" w:cs="Arial"/>
                <w:sz w:val="22"/>
              </w:rPr>
            </w:pPr>
            <w:r w:rsidRPr="0059411B">
              <w:rPr>
                <w:rFonts w:eastAsia="Times New Roman" w:cs="Arial"/>
                <w:sz w:val="22"/>
              </w:rPr>
              <w:t>EGMS claims history</w:t>
            </w:r>
          </w:p>
          <w:p w:rsidR="000B757A" w:rsidRPr="0059411B" w:rsidRDefault="000B757A" w:rsidP="00B6159E">
            <w:pPr>
              <w:numPr>
                <w:ilvl w:val="0"/>
                <w:numId w:val="41"/>
              </w:numPr>
              <w:spacing w:line="276" w:lineRule="auto"/>
              <w:ind w:left="523"/>
              <w:contextualSpacing/>
              <w:rPr>
                <w:rFonts w:eastAsia="Times New Roman" w:cs="Arial"/>
                <w:sz w:val="22"/>
              </w:rPr>
            </w:pPr>
            <w:r w:rsidRPr="0059411B">
              <w:rPr>
                <w:rFonts w:eastAsia="Times New Roman" w:cs="Arial"/>
                <w:sz w:val="22"/>
              </w:rPr>
              <w:t>A-133 Audit</w:t>
            </w:r>
          </w:p>
          <w:p w:rsidR="000B757A" w:rsidRPr="0059411B" w:rsidRDefault="00E26003" w:rsidP="00B6159E">
            <w:pPr>
              <w:numPr>
                <w:ilvl w:val="0"/>
                <w:numId w:val="41"/>
              </w:numPr>
              <w:spacing w:line="276" w:lineRule="auto"/>
              <w:ind w:left="523"/>
              <w:contextualSpacing/>
              <w:rPr>
                <w:rFonts w:eastAsia="Times New Roman" w:cs="Arial"/>
                <w:sz w:val="22"/>
              </w:rPr>
            </w:pPr>
            <w:r w:rsidRPr="0059411B">
              <w:rPr>
                <w:rFonts w:eastAsia="Times New Roman" w:cs="Arial"/>
                <w:sz w:val="22"/>
              </w:rPr>
              <w:t>Federal required</w:t>
            </w:r>
            <w:r w:rsidR="000B757A" w:rsidRPr="0059411B">
              <w:rPr>
                <w:rFonts w:eastAsia="Times New Roman" w:cs="Arial"/>
                <w:sz w:val="22"/>
              </w:rPr>
              <w:t xml:space="preserve"> data report for grantee and ALL funded sites</w:t>
            </w:r>
          </w:p>
          <w:p w:rsidR="000B757A" w:rsidRPr="0059411B" w:rsidRDefault="000B757A" w:rsidP="00B6159E">
            <w:pPr>
              <w:numPr>
                <w:ilvl w:val="0"/>
                <w:numId w:val="41"/>
              </w:numPr>
              <w:spacing w:line="276" w:lineRule="auto"/>
              <w:ind w:left="523"/>
              <w:contextualSpacing/>
              <w:rPr>
                <w:rFonts w:eastAsia="Times New Roman" w:cs="Arial"/>
                <w:sz w:val="22"/>
              </w:rPr>
            </w:pPr>
            <w:r w:rsidRPr="0059411B">
              <w:rPr>
                <w:rFonts w:eastAsia="Times New Roman" w:cs="Arial"/>
                <w:sz w:val="22"/>
              </w:rPr>
              <w:t>Year-End Reports</w:t>
            </w:r>
          </w:p>
          <w:p w:rsidR="000B757A" w:rsidRPr="0059411B" w:rsidRDefault="000B757A" w:rsidP="00B6159E">
            <w:pPr>
              <w:numPr>
                <w:ilvl w:val="0"/>
                <w:numId w:val="41"/>
              </w:numPr>
              <w:spacing w:line="276" w:lineRule="auto"/>
              <w:ind w:left="523"/>
              <w:contextualSpacing/>
              <w:rPr>
                <w:rFonts w:eastAsia="Times New Roman" w:cs="Arial"/>
                <w:sz w:val="22"/>
              </w:rPr>
            </w:pPr>
            <w:r w:rsidRPr="0059411B">
              <w:rPr>
                <w:rFonts w:eastAsia="Times New Roman" w:cs="Arial"/>
                <w:sz w:val="22"/>
              </w:rPr>
              <w:t>Site evaluation worksheets</w:t>
            </w:r>
          </w:p>
          <w:p w:rsidR="000B757A" w:rsidRPr="0059411B" w:rsidRDefault="000B757A" w:rsidP="00B6159E">
            <w:pPr>
              <w:numPr>
                <w:ilvl w:val="0"/>
                <w:numId w:val="41"/>
              </w:numPr>
              <w:spacing w:line="276" w:lineRule="auto"/>
              <w:ind w:left="523"/>
              <w:contextualSpacing/>
              <w:rPr>
                <w:rFonts w:eastAsia="Times New Roman" w:cs="Arial"/>
                <w:sz w:val="22"/>
              </w:rPr>
            </w:pPr>
            <w:r w:rsidRPr="0059411B">
              <w:rPr>
                <w:rFonts w:eastAsia="Times New Roman" w:cs="Arial"/>
                <w:sz w:val="22"/>
              </w:rPr>
              <w:t>Student Selection Process &amp; Documentation</w:t>
            </w:r>
          </w:p>
          <w:p w:rsidR="000B757A" w:rsidRPr="0059411B" w:rsidRDefault="000B757A" w:rsidP="00B6159E">
            <w:pPr>
              <w:numPr>
                <w:ilvl w:val="0"/>
                <w:numId w:val="41"/>
              </w:numPr>
              <w:spacing w:line="276" w:lineRule="auto"/>
              <w:ind w:left="523"/>
              <w:contextualSpacing/>
              <w:rPr>
                <w:rFonts w:eastAsia="Times New Roman" w:cs="Arial"/>
                <w:sz w:val="22"/>
              </w:rPr>
            </w:pPr>
            <w:r w:rsidRPr="0059411B">
              <w:rPr>
                <w:rFonts w:eastAsia="Times New Roman" w:cs="Arial"/>
                <w:sz w:val="22"/>
              </w:rPr>
              <w:t>Coordination with School Improvement Goals</w:t>
            </w:r>
          </w:p>
          <w:p w:rsidR="000B757A" w:rsidRPr="0059411B" w:rsidRDefault="000B757A" w:rsidP="00B6159E">
            <w:pPr>
              <w:numPr>
                <w:ilvl w:val="0"/>
                <w:numId w:val="41"/>
              </w:numPr>
              <w:spacing w:line="276" w:lineRule="auto"/>
              <w:ind w:left="523"/>
              <w:contextualSpacing/>
              <w:rPr>
                <w:rFonts w:eastAsia="Times New Roman" w:cs="Arial"/>
                <w:sz w:val="22"/>
              </w:rPr>
            </w:pPr>
            <w:r w:rsidRPr="0059411B">
              <w:rPr>
                <w:rFonts w:eastAsia="Times New Roman" w:cs="Arial"/>
                <w:sz w:val="22"/>
              </w:rPr>
              <w:t>Alignment with district priorities</w:t>
            </w:r>
          </w:p>
          <w:p w:rsidR="000B757A" w:rsidRPr="0059411B" w:rsidRDefault="000B757A" w:rsidP="00B6159E">
            <w:pPr>
              <w:numPr>
                <w:ilvl w:val="0"/>
                <w:numId w:val="41"/>
              </w:numPr>
              <w:spacing w:line="276" w:lineRule="auto"/>
              <w:ind w:left="523"/>
              <w:contextualSpacing/>
              <w:rPr>
                <w:rFonts w:eastAsia="Times New Roman" w:cs="Arial"/>
                <w:sz w:val="22"/>
              </w:rPr>
            </w:pPr>
            <w:r w:rsidRPr="0059411B">
              <w:rPr>
                <w:rFonts w:eastAsia="Times New Roman" w:cs="Arial"/>
                <w:sz w:val="22"/>
              </w:rPr>
              <w:t>Family Engagement Plan &amp; Implementation Records</w:t>
            </w:r>
          </w:p>
          <w:p w:rsidR="000B757A" w:rsidRPr="0059411B" w:rsidRDefault="000B757A" w:rsidP="00B6159E">
            <w:pPr>
              <w:numPr>
                <w:ilvl w:val="0"/>
                <w:numId w:val="41"/>
              </w:numPr>
              <w:spacing w:line="276" w:lineRule="auto"/>
              <w:ind w:left="523"/>
              <w:contextualSpacing/>
              <w:rPr>
                <w:rFonts w:eastAsia="Times New Roman" w:cs="Arial"/>
                <w:sz w:val="22"/>
              </w:rPr>
            </w:pPr>
            <w:r w:rsidRPr="0059411B">
              <w:rPr>
                <w:rFonts w:eastAsia="Times New Roman" w:cs="Arial"/>
                <w:sz w:val="22"/>
              </w:rPr>
              <w:t xml:space="preserve">Annual progress reports and other data </w:t>
            </w:r>
          </w:p>
          <w:p w:rsidR="003E58E6" w:rsidRPr="0059411B" w:rsidRDefault="003E58E6" w:rsidP="00B6159E">
            <w:pPr>
              <w:pStyle w:val="ListParagraph"/>
              <w:numPr>
                <w:ilvl w:val="0"/>
                <w:numId w:val="41"/>
              </w:numPr>
              <w:spacing w:line="276" w:lineRule="auto"/>
              <w:ind w:left="523"/>
              <w:rPr>
                <w:rFonts w:cs="Arial"/>
                <w:sz w:val="20"/>
                <w:szCs w:val="20"/>
              </w:rPr>
            </w:pPr>
            <w:r w:rsidRPr="0059411B">
              <w:rPr>
                <w:rFonts w:eastAsia="Times New Roman" w:cs="Arial"/>
                <w:sz w:val="22"/>
              </w:rPr>
              <w:t>Self-evaluation reports</w:t>
            </w:r>
          </w:p>
          <w:p w:rsidR="00E26003" w:rsidRPr="0059411B" w:rsidRDefault="00E26003" w:rsidP="00B6159E">
            <w:pPr>
              <w:pStyle w:val="ListParagraph"/>
              <w:numPr>
                <w:ilvl w:val="0"/>
                <w:numId w:val="41"/>
              </w:numPr>
              <w:spacing w:line="276" w:lineRule="auto"/>
              <w:ind w:left="523"/>
              <w:rPr>
                <w:rFonts w:cs="Arial"/>
                <w:sz w:val="20"/>
                <w:szCs w:val="20"/>
              </w:rPr>
            </w:pPr>
            <w:r w:rsidRPr="0059411B">
              <w:rPr>
                <w:rFonts w:eastAsia="Times New Roman" w:cs="Arial"/>
                <w:sz w:val="22"/>
              </w:rPr>
              <w:t>Homeless Education</w:t>
            </w:r>
          </w:p>
          <w:p w:rsidR="00E26003" w:rsidRPr="0059411B" w:rsidRDefault="00E26003" w:rsidP="00B6159E">
            <w:pPr>
              <w:pStyle w:val="ListParagraph"/>
              <w:numPr>
                <w:ilvl w:val="0"/>
                <w:numId w:val="41"/>
              </w:numPr>
              <w:spacing w:line="276" w:lineRule="auto"/>
              <w:ind w:left="523"/>
              <w:rPr>
                <w:rFonts w:cs="Arial"/>
                <w:sz w:val="20"/>
                <w:szCs w:val="20"/>
              </w:rPr>
            </w:pPr>
            <w:r w:rsidRPr="0059411B">
              <w:rPr>
                <w:rFonts w:eastAsia="Times New Roman" w:cs="Arial"/>
                <w:sz w:val="22"/>
              </w:rPr>
              <w:t>Liaison coordination</w:t>
            </w:r>
          </w:p>
        </w:tc>
        <w:tc>
          <w:tcPr>
            <w:tcW w:w="280" w:type="dxa"/>
            <w:tcBorders>
              <w:left w:val="single" w:sz="4" w:space="0" w:color="auto"/>
              <w:right w:val="single" w:sz="4" w:space="0" w:color="auto"/>
            </w:tcBorders>
            <w:textDirection w:val="btLr"/>
          </w:tcPr>
          <w:p w:rsidR="003E58E6" w:rsidRPr="0059411B" w:rsidRDefault="003E58E6" w:rsidP="00F91029">
            <w:pPr>
              <w:ind w:left="113" w:right="-201"/>
              <w:jc w:val="center"/>
              <w:rPr>
                <w:rFonts w:cs="Arial"/>
                <w:b/>
                <w:szCs w:val="24"/>
              </w:rPr>
            </w:pPr>
          </w:p>
        </w:tc>
        <w:tc>
          <w:tcPr>
            <w:tcW w:w="3078" w:type="dxa"/>
            <w:tcBorders>
              <w:top w:val="single" w:sz="4" w:space="0" w:color="auto"/>
              <w:left w:val="single" w:sz="4" w:space="0" w:color="auto"/>
              <w:bottom w:val="single" w:sz="4" w:space="0" w:color="auto"/>
              <w:right w:val="single" w:sz="4" w:space="0" w:color="auto"/>
            </w:tcBorders>
          </w:tcPr>
          <w:p w:rsidR="00B6159E" w:rsidRPr="0059411B" w:rsidRDefault="00B6159E" w:rsidP="00B6159E">
            <w:pPr>
              <w:ind w:left="522"/>
              <w:contextualSpacing/>
              <w:rPr>
                <w:rFonts w:eastAsia="Times New Roman" w:cs="Arial"/>
                <w:sz w:val="22"/>
              </w:rPr>
            </w:pPr>
          </w:p>
          <w:p w:rsidR="000B757A" w:rsidRPr="0059411B" w:rsidRDefault="000B757A" w:rsidP="00B6159E">
            <w:pPr>
              <w:numPr>
                <w:ilvl w:val="0"/>
                <w:numId w:val="41"/>
              </w:numPr>
              <w:spacing w:line="276" w:lineRule="auto"/>
              <w:ind w:left="522"/>
              <w:contextualSpacing/>
              <w:rPr>
                <w:rFonts w:eastAsia="Times New Roman" w:cs="Arial"/>
                <w:sz w:val="22"/>
              </w:rPr>
            </w:pPr>
            <w:r w:rsidRPr="0059411B">
              <w:rPr>
                <w:rFonts w:eastAsia="Times New Roman" w:cs="Arial"/>
                <w:sz w:val="22"/>
              </w:rPr>
              <w:t>Safe &amp; Easily Accessible Facility Evidence of Drills</w:t>
            </w:r>
          </w:p>
          <w:p w:rsidR="000B757A" w:rsidRPr="0059411B" w:rsidRDefault="000B757A" w:rsidP="00B6159E">
            <w:pPr>
              <w:numPr>
                <w:ilvl w:val="0"/>
                <w:numId w:val="41"/>
              </w:numPr>
              <w:spacing w:line="276" w:lineRule="auto"/>
              <w:ind w:left="522"/>
              <w:contextualSpacing/>
              <w:rPr>
                <w:rFonts w:eastAsia="Times New Roman" w:cs="Arial"/>
                <w:sz w:val="22"/>
              </w:rPr>
            </w:pPr>
            <w:r w:rsidRPr="0059411B">
              <w:rPr>
                <w:rFonts w:eastAsia="Times New Roman" w:cs="Arial"/>
                <w:sz w:val="22"/>
              </w:rPr>
              <w:t>Evidence of ongoing active collaboration with schools students attend</w:t>
            </w:r>
          </w:p>
          <w:p w:rsidR="000B757A" w:rsidRPr="0059411B" w:rsidRDefault="000B757A" w:rsidP="00B6159E">
            <w:pPr>
              <w:numPr>
                <w:ilvl w:val="0"/>
                <w:numId w:val="41"/>
              </w:numPr>
              <w:spacing w:line="276" w:lineRule="auto"/>
              <w:ind w:left="522"/>
              <w:contextualSpacing/>
              <w:rPr>
                <w:rFonts w:eastAsia="Times New Roman" w:cs="Arial"/>
                <w:sz w:val="22"/>
              </w:rPr>
            </w:pPr>
            <w:r w:rsidRPr="0059411B">
              <w:rPr>
                <w:rFonts w:eastAsia="Times New Roman" w:cs="Arial"/>
                <w:sz w:val="22"/>
              </w:rPr>
              <w:t>Supplement/not Supplant</w:t>
            </w:r>
          </w:p>
          <w:p w:rsidR="000B757A" w:rsidRPr="0059411B" w:rsidRDefault="000B757A" w:rsidP="00B6159E">
            <w:pPr>
              <w:numPr>
                <w:ilvl w:val="0"/>
                <w:numId w:val="41"/>
              </w:numPr>
              <w:spacing w:line="276" w:lineRule="auto"/>
              <w:ind w:left="522"/>
              <w:contextualSpacing/>
              <w:rPr>
                <w:rFonts w:eastAsia="Times New Roman" w:cs="Arial"/>
                <w:sz w:val="22"/>
              </w:rPr>
            </w:pPr>
            <w:r w:rsidRPr="0059411B">
              <w:rPr>
                <w:rFonts w:eastAsia="Times New Roman" w:cs="Arial"/>
                <w:sz w:val="22"/>
              </w:rPr>
              <w:t>Inventory Items Labeled with annual updates</w:t>
            </w:r>
          </w:p>
          <w:p w:rsidR="000B757A" w:rsidRPr="0059411B" w:rsidRDefault="000B757A" w:rsidP="00B6159E">
            <w:pPr>
              <w:numPr>
                <w:ilvl w:val="0"/>
                <w:numId w:val="41"/>
              </w:numPr>
              <w:spacing w:line="276" w:lineRule="auto"/>
              <w:ind w:left="522"/>
              <w:contextualSpacing/>
              <w:rPr>
                <w:rFonts w:eastAsia="Times New Roman" w:cs="Arial"/>
                <w:sz w:val="22"/>
              </w:rPr>
            </w:pPr>
            <w:r w:rsidRPr="0059411B">
              <w:rPr>
                <w:rFonts w:eastAsia="Times New Roman" w:cs="Arial"/>
                <w:sz w:val="22"/>
              </w:rPr>
              <w:t>Evidence of compliance with Equitable Services for Private Schools</w:t>
            </w:r>
          </w:p>
          <w:p w:rsidR="000B757A" w:rsidRPr="0059411B" w:rsidRDefault="000B757A" w:rsidP="00B6159E">
            <w:pPr>
              <w:numPr>
                <w:ilvl w:val="0"/>
                <w:numId w:val="41"/>
              </w:numPr>
              <w:spacing w:line="276" w:lineRule="auto"/>
              <w:ind w:left="522"/>
              <w:contextualSpacing/>
              <w:rPr>
                <w:rFonts w:eastAsia="Times New Roman" w:cs="Arial"/>
                <w:sz w:val="22"/>
              </w:rPr>
            </w:pPr>
            <w:r w:rsidRPr="0059411B">
              <w:rPr>
                <w:rFonts w:eastAsia="Times New Roman" w:cs="Arial"/>
                <w:sz w:val="22"/>
              </w:rPr>
              <w:t>Project will be carried out as proposed in the application.</w:t>
            </w:r>
          </w:p>
          <w:p w:rsidR="000B757A" w:rsidRPr="0059411B" w:rsidRDefault="000B757A" w:rsidP="00B6159E">
            <w:pPr>
              <w:numPr>
                <w:ilvl w:val="0"/>
                <w:numId w:val="41"/>
              </w:numPr>
              <w:spacing w:line="276" w:lineRule="auto"/>
              <w:ind w:left="522"/>
              <w:contextualSpacing/>
              <w:rPr>
                <w:rFonts w:eastAsia="Times New Roman" w:cs="Arial"/>
                <w:sz w:val="22"/>
              </w:rPr>
            </w:pPr>
            <w:r w:rsidRPr="0059411B">
              <w:rPr>
                <w:rFonts w:eastAsia="Times New Roman" w:cs="Arial"/>
                <w:sz w:val="22"/>
              </w:rPr>
              <w:t>Proposed changes must be submitted &amp; have prior ODE written approval</w:t>
            </w:r>
          </w:p>
          <w:p w:rsidR="000B757A" w:rsidRPr="0059411B" w:rsidRDefault="000B757A" w:rsidP="00B6159E">
            <w:pPr>
              <w:numPr>
                <w:ilvl w:val="0"/>
                <w:numId w:val="41"/>
              </w:numPr>
              <w:spacing w:line="276" w:lineRule="auto"/>
              <w:ind w:left="522"/>
              <w:contextualSpacing/>
              <w:rPr>
                <w:rFonts w:eastAsia="Times New Roman" w:cs="Arial"/>
                <w:sz w:val="22"/>
              </w:rPr>
            </w:pPr>
            <w:r w:rsidRPr="0059411B">
              <w:rPr>
                <w:rFonts w:eastAsia="Times New Roman" w:cs="Arial"/>
                <w:sz w:val="22"/>
              </w:rPr>
              <w:t>Policies Preventing Barriers to Enrollment</w:t>
            </w:r>
          </w:p>
          <w:p w:rsidR="003E58E6" w:rsidRPr="0059411B" w:rsidRDefault="003E58E6" w:rsidP="00945494">
            <w:pPr>
              <w:rPr>
                <w:rFonts w:cs="Arial"/>
                <w:sz w:val="20"/>
                <w:szCs w:val="20"/>
              </w:rPr>
            </w:pPr>
          </w:p>
        </w:tc>
        <w:tc>
          <w:tcPr>
            <w:tcW w:w="366" w:type="dxa"/>
            <w:tcBorders>
              <w:left w:val="single" w:sz="4" w:space="0" w:color="auto"/>
              <w:right w:val="single" w:sz="4" w:space="0" w:color="auto"/>
            </w:tcBorders>
            <w:textDirection w:val="btLr"/>
          </w:tcPr>
          <w:p w:rsidR="003E58E6" w:rsidRPr="0059411B" w:rsidRDefault="003E58E6" w:rsidP="003E58E6">
            <w:pPr>
              <w:ind w:left="113" w:right="113"/>
              <w:jc w:val="center"/>
              <w:rPr>
                <w:rFonts w:cs="Arial"/>
                <w:b/>
                <w:sz w:val="22"/>
              </w:rPr>
            </w:pPr>
          </w:p>
        </w:tc>
        <w:tc>
          <w:tcPr>
            <w:tcW w:w="3078" w:type="dxa"/>
            <w:tcBorders>
              <w:top w:val="single" w:sz="4" w:space="0" w:color="auto"/>
              <w:left w:val="single" w:sz="4" w:space="0" w:color="auto"/>
              <w:bottom w:val="single" w:sz="4" w:space="0" w:color="auto"/>
              <w:right w:val="single" w:sz="4" w:space="0" w:color="auto"/>
            </w:tcBorders>
          </w:tcPr>
          <w:p w:rsidR="00B6159E" w:rsidRPr="0059411B" w:rsidRDefault="00B6159E" w:rsidP="00B6159E">
            <w:pPr>
              <w:ind w:left="619"/>
              <w:contextualSpacing/>
              <w:rPr>
                <w:rFonts w:eastAsia="Times New Roman" w:cs="Arial"/>
                <w:sz w:val="22"/>
              </w:rPr>
            </w:pPr>
          </w:p>
          <w:p w:rsidR="003E58E6" w:rsidRPr="0059411B" w:rsidRDefault="003E58E6" w:rsidP="00B6159E">
            <w:pPr>
              <w:numPr>
                <w:ilvl w:val="0"/>
                <w:numId w:val="41"/>
              </w:numPr>
              <w:spacing w:line="276" w:lineRule="auto"/>
              <w:ind w:left="619"/>
              <w:contextualSpacing/>
              <w:rPr>
                <w:rFonts w:eastAsia="Times New Roman" w:cs="Arial"/>
                <w:sz w:val="22"/>
              </w:rPr>
            </w:pPr>
            <w:r w:rsidRPr="0059411B">
              <w:rPr>
                <w:rFonts w:eastAsia="Times New Roman" w:cs="Arial"/>
                <w:sz w:val="22"/>
              </w:rPr>
              <w:t>Completed unedited attendance roster for ten days prior to the site visit for ALL sites</w:t>
            </w:r>
          </w:p>
          <w:p w:rsidR="003E58E6" w:rsidRPr="0059411B" w:rsidRDefault="003E58E6" w:rsidP="00B6159E">
            <w:pPr>
              <w:numPr>
                <w:ilvl w:val="0"/>
                <w:numId w:val="41"/>
              </w:numPr>
              <w:spacing w:line="276" w:lineRule="auto"/>
              <w:ind w:left="619"/>
              <w:contextualSpacing/>
              <w:rPr>
                <w:rFonts w:eastAsia="Times New Roman" w:cs="Arial"/>
                <w:sz w:val="22"/>
              </w:rPr>
            </w:pPr>
            <w:r w:rsidRPr="0059411B">
              <w:rPr>
                <w:rFonts w:eastAsia="Times New Roman" w:cs="Arial"/>
                <w:sz w:val="22"/>
              </w:rPr>
              <w:t xml:space="preserve">Completed </w:t>
            </w:r>
            <w:r w:rsidR="002B6C52" w:rsidRPr="0059411B">
              <w:rPr>
                <w:rFonts w:eastAsia="Times New Roman" w:cs="Arial"/>
                <w:sz w:val="22"/>
              </w:rPr>
              <w:t>d</w:t>
            </w:r>
            <w:r w:rsidRPr="0059411B">
              <w:rPr>
                <w:rFonts w:eastAsia="Times New Roman" w:cs="Arial"/>
                <w:sz w:val="22"/>
              </w:rPr>
              <w:t xml:space="preserve">ocuments </w:t>
            </w:r>
            <w:r w:rsidR="002B6C52" w:rsidRPr="0059411B">
              <w:rPr>
                <w:rFonts w:eastAsia="Times New Roman" w:cs="Arial"/>
                <w:sz w:val="22"/>
              </w:rPr>
              <w:t>of recruitment selection and enrollment with</w:t>
            </w:r>
            <w:r w:rsidRPr="0059411B">
              <w:rPr>
                <w:rFonts w:eastAsia="Times New Roman" w:cs="Arial"/>
                <w:sz w:val="22"/>
              </w:rPr>
              <w:t xml:space="preserve"> detailed reports of all other funds used to support the Title IV-B program activities</w:t>
            </w:r>
          </w:p>
          <w:p w:rsidR="003E58E6" w:rsidRPr="0059411B" w:rsidRDefault="003E58E6" w:rsidP="00B6159E">
            <w:pPr>
              <w:numPr>
                <w:ilvl w:val="0"/>
                <w:numId w:val="41"/>
              </w:numPr>
              <w:spacing w:line="276" w:lineRule="auto"/>
              <w:ind w:left="619"/>
              <w:contextualSpacing/>
              <w:rPr>
                <w:rFonts w:eastAsia="Times New Roman" w:cs="Arial"/>
                <w:sz w:val="22"/>
              </w:rPr>
            </w:pPr>
            <w:r w:rsidRPr="0059411B">
              <w:rPr>
                <w:rFonts w:eastAsia="Times New Roman" w:cs="Arial"/>
                <w:sz w:val="22"/>
              </w:rPr>
              <w:t>Activity calendars and schedules with lesson plans for the past 10 days for ALL sites</w:t>
            </w:r>
          </w:p>
          <w:p w:rsidR="003E58E6" w:rsidRPr="0059411B" w:rsidRDefault="003E58E6" w:rsidP="00B6159E">
            <w:pPr>
              <w:numPr>
                <w:ilvl w:val="0"/>
                <w:numId w:val="41"/>
              </w:numPr>
              <w:spacing w:line="276" w:lineRule="auto"/>
              <w:ind w:left="619"/>
              <w:contextualSpacing/>
              <w:rPr>
                <w:rFonts w:eastAsia="Times New Roman" w:cs="Arial"/>
                <w:sz w:val="22"/>
              </w:rPr>
            </w:pPr>
            <w:r w:rsidRPr="0059411B">
              <w:rPr>
                <w:rFonts w:eastAsia="Times New Roman" w:cs="Arial"/>
                <w:sz w:val="22"/>
              </w:rPr>
              <w:t>Title IV-B grant organizational chart showing names, job title, and FTE for each person</w:t>
            </w:r>
          </w:p>
          <w:p w:rsidR="003E58E6" w:rsidRPr="0059411B" w:rsidRDefault="003E58E6" w:rsidP="00B6159E">
            <w:pPr>
              <w:numPr>
                <w:ilvl w:val="0"/>
                <w:numId w:val="41"/>
              </w:numPr>
              <w:spacing w:line="276" w:lineRule="auto"/>
              <w:ind w:left="619"/>
              <w:contextualSpacing/>
              <w:rPr>
                <w:rFonts w:eastAsia="Times New Roman" w:cs="Arial"/>
                <w:sz w:val="22"/>
              </w:rPr>
            </w:pPr>
            <w:r w:rsidRPr="0059411B">
              <w:rPr>
                <w:rFonts w:eastAsia="Times New Roman" w:cs="Arial"/>
                <w:sz w:val="22"/>
              </w:rPr>
              <w:t>Expenditure reports for the most recent year</w:t>
            </w:r>
          </w:p>
          <w:p w:rsidR="003E58E6" w:rsidRPr="0059411B" w:rsidRDefault="003E58E6" w:rsidP="00B6159E">
            <w:pPr>
              <w:numPr>
                <w:ilvl w:val="0"/>
                <w:numId w:val="41"/>
              </w:numPr>
              <w:spacing w:line="276" w:lineRule="auto"/>
              <w:ind w:left="619"/>
              <w:contextualSpacing/>
              <w:rPr>
                <w:rFonts w:eastAsia="Times New Roman" w:cs="Arial"/>
                <w:sz w:val="22"/>
              </w:rPr>
            </w:pPr>
            <w:r w:rsidRPr="0059411B">
              <w:rPr>
                <w:rFonts w:eastAsia="Times New Roman" w:cs="Arial"/>
                <w:sz w:val="22"/>
              </w:rPr>
              <w:t>Site evaluation worksheet for each grant site, including the actual daily attendance</w:t>
            </w:r>
          </w:p>
          <w:p w:rsidR="003E58E6" w:rsidRPr="0059411B" w:rsidRDefault="003E58E6" w:rsidP="00945494">
            <w:pPr>
              <w:rPr>
                <w:rFonts w:cs="Arial"/>
                <w:sz w:val="20"/>
                <w:szCs w:val="20"/>
              </w:rPr>
            </w:pPr>
          </w:p>
        </w:tc>
      </w:tr>
      <w:bookmarkEnd w:id="0"/>
    </w:tbl>
    <w:p w:rsidR="000B757A" w:rsidRDefault="000B757A" w:rsidP="00945494">
      <w:pPr>
        <w:rPr>
          <w:sz w:val="20"/>
          <w:szCs w:val="20"/>
        </w:rPr>
      </w:pPr>
    </w:p>
    <w:p w:rsidR="000547B0" w:rsidRDefault="000547B0" w:rsidP="000547B0">
      <w:pPr>
        <w:jc w:val="center"/>
        <w:rPr>
          <w:rFonts w:ascii="Calibri" w:eastAsia="Times New Roman" w:hAnsi="Calibri" w:cs="Calibri"/>
          <w:b/>
          <w:color w:val="000000"/>
          <w:sz w:val="28"/>
          <w:szCs w:val="28"/>
        </w:rPr>
      </w:pPr>
    </w:p>
    <w:p w:rsidR="00945494" w:rsidRDefault="00945494">
      <w:pPr>
        <w:rPr>
          <w:rFonts w:ascii="Calibri" w:eastAsia="Times New Roman" w:hAnsi="Calibri" w:cs="Calibri"/>
          <w:b/>
          <w:color w:val="000000"/>
          <w:sz w:val="28"/>
          <w:szCs w:val="28"/>
        </w:rPr>
      </w:pPr>
      <w:r>
        <w:rPr>
          <w:rFonts w:ascii="Calibri" w:eastAsia="Times New Roman" w:hAnsi="Calibri" w:cs="Calibri"/>
          <w:b/>
          <w:color w:val="000000"/>
          <w:sz w:val="28"/>
          <w:szCs w:val="28"/>
        </w:rPr>
        <w:br w:type="page"/>
      </w:r>
    </w:p>
    <w:p w:rsidR="000547B0" w:rsidRPr="00FA1168" w:rsidRDefault="000547B0" w:rsidP="000547B0">
      <w:pPr>
        <w:jc w:val="center"/>
        <w:rPr>
          <w:rFonts w:eastAsia="Times New Roman" w:cs="Arial"/>
          <w:b/>
          <w:color w:val="000000"/>
          <w:sz w:val="32"/>
          <w:szCs w:val="32"/>
        </w:rPr>
      </w:pPr>
      <w:r w:rsidRPr="00FA1168">
        <w:rPr>
          <w:rFonts w:eastAsia="Times New Roman" w:cs="Arial"/>
          <w:b/>
          <w:color w:val="000000"/>
          <w:sz w:val="32"/>
          <w:szCs w:val="32"/>
        </w:rPr>
        <w:lastRenderedPageBreak/>
        <w:t xml:space="preserve">Overview of </w:t>
      </w:r>
      <w:r w:rsidR="00977DD5">
        <w:rPr>
          <w:rFonts w:eastAsia="Times New Roman" w:cs="Arial"/>
          <w:b/>
          <w:color w:val="000000"/>
          <w:sz w:val="32"/>
          <w:szCs w:val="32"/>
        </w:rPr>
        <w:t xml:space="preserve">Federal </w:t>
      </w:r>
      <w:r w:rsidR="00AC6B35" w:rsidRPr="00FA1168">
        <w:rPr>
          <w:rFonts w:eastAsia="Times New Roman" w:cs="Arial"/>
          <w:b/>
          <w:color w:val="000000"/>
          <w:sz w:val="32"/>
          <w:szCs w:val="32"/>
        </w:rPr>
        <w:t>Law References</w:t>
      </w:r>
      <w:r w:rsidR="004E7A3E">
        <w:rPr>
          <w:rFonts w:eastAsia="Times New Roman" w:cs="Arial"/>
          <w:b/>
          <w:color w:val="000000"/>
          <w:sz w:val="32"/>
          <w:szCs w:val="32"/>
        </w:rPr>
        <w:t xml:space="preserve"> (Monitoring Checklist)</w:t>
      </w:r>
    </w:p>
    <w:p w:rsidR="000547B0" w:rsidRPr="003C2A95" w:rsidRDefault="000547B0" w:rsidP="000547B0">
      <w:pPr>
        <w:rPr>
          <w:rFonts w:ascii="Calibri" w:eastAsia="Times New Roman" w:hAnsi="Calibri" w:cs="Calibri"/>
          <w:color w:val="000000"/>
          <w:sz w:val="14"/>
          <w:szCs w:val="20"/>
        </w:rPr>
      </w:pP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5670"/>
      </w:tblGrid>
      <w:tr w:rsidR="000547B0" w:rsidRPr="000547B0" w:rsidTr="00DA0111">
        <w:trPr>
          <w:trHeight w:val="1916"/>
        </w:trPr>
        <w:tc>
          <w:tcPr>
            <w:tcW w:w="5418" w:type="dxa"/>
          </w:tcPr>
          <w:p w:rsidR="000547B0" w:rsidRPr="00FA1168" w:rsidRDefault="000547B0" w:rsidP="000547B0">
            <w:pPr>
              <w:rPr>
                <w:rFonts w:eastAsia="Times New Roman" w:cs="Arial"/>
                <w:b/>
                <w:color w:val="000000"/>
                <w:sz w:val="16"/>
                <w:szCs w:val="16"/>
              </w:rPr>
            </w:pPr>
          </w:p>
          <w:p w:rsidR="000547B0" w:rsidRDefault="0027676F" w:rsidP="00DA0111">
            <w:pPr>
              <w:rPr>
                <w:rFonts w:cs="Arial"/>
                <w:b/>
                <w:szCs w:val="24"/>
              </w:rPr>
            </w:pPr>
            <w:r w:rsidRPr="00FA1168">
              <w:rPr>
                <w:rFonts w:cs="Arial"/>
                <w:b/>
                <w:szCs w:val="24"/>
              </w:rPr>
              <w:t>Needs &amp; Resources</w:t>
            </w:r>
            <w:r w:rsidR="004E7A3E">
              <w:rPr>
                <w:rFonts w:cs="Arial"/>
                <w:b/>
                <w:szCs w:val="24"/>
              </w:rPr>
              <w:t>: Section #1</w:t>
            </w:r>
          </w:p>
          <w:p w:rsidR="004E7A3E" w:rsidRPr="00FA1168" w:rsidRDefault="004E7A3E" w:rsidP="00DA0111">
            <w:pPr>
              <w:rPr>
                <w:rFonts w:eastAsia="Times New Roman" w:cs="Arial"/>
                <w:b/>
                <w:color w:val="000000"/>
                <w:szCs w:val="24"/>
              </w:rPr>
            </w:pPr>
          </w:p>
          <w:p w:rsidR="000547B0" w:rsidRPr="00FA1168" w:rsidRDefault="0027676F" w:rsidP="00DA0111">
            <w:pPr>
              <w:pStyle w:val="ListParagraph"/>
              <w:numPr>
                <w:ilvl w:val="0"/>
                <w:numId w:val="28"/>
              </w:numPr>
              <w:spacing w:after="240" w:line="276" w:lineRule="auto"/>
              <w:rPr>
                <w:rFonts w:eastAsia="Times New Roman" w:cs="Arial"/>
                <w:color w:val="000000"/>
                <w:sz w:val="22"/>
              </w:rPr>
            </w:pPr>
            <w:r w:rsidRPr="00FA1168">
              <w:rPr>
                <w:rFonts w:cs="Arial"/>
                <w:sz w:val="22"/>
              </w:rPr>
              <w:t>Needs Assessment</w:t>
            </w:r>
          </w:p>
          <w:p w:rsidR="000547B0" w:rsidRPr="00FA1168" w:rsidRDefault="0027676F" w:rsidP="003C2A95">
            <w:pPr>
              <w:pStyle w:val="ListParagraph"/>
              <w:numPr>
                <w:ilvl w:val="0"/>
                <w:numId w:val="28"/>
              </w:numPr>
              <w:spacing w:before="240" w:after="240" w:line="276" w:lineRule="auto"/>
              <w:rPr>
                <w:rFonts w:eastAsia="Times New Roman" w:cs="Arial"/>
                <w:color w:val="000000"/>
                <w:sz w:val="22"/>
              </w:rPr>
            </w:pPr>
            <w:r w:rsidRPr="00FA1168">
              <w:rPr>
                <w:rFonts w:cs="Arial"/>
                <w:sz w:val="22"/>
              </w:rPr>
              <w:t>Recruitment</w:t>
            </w:r>
          </w:p>
          <w:p w:rsidR="000547B0" w:rsidRPr="00FA1168" w:rsidRDefault="0027676F" w:rsidP="003C2A95">
            <w:pPr>
              <w:pStyle w:val="ListParagraph"/>
              <w:numPr>
                <w:ilvl w:val="0"/>
                <w:numId w:val="28"/>
              </w:numPr>
              <w:spacing w:before="240" w:after="240" w:line="276" w:lineRule="auto"/>
              <w:rPr>
                <w:rFonts w:cs="Arial"/>
                <w:sz w:val="22"/>
              </w:rPr>
            </w:pPr>
            <w:r w:rsidRPr="00FA1168">
              <w:rPr>
                <w:rFonts w:cs="Arial"/>
                <w:sz w:val="22"/>
              </w:rPr>
              <w:t>Attendance: (See site evaluation)</w:t>
            </w:r>
          </w:p>
          <w:p w:rsidR="000547B0" w:rsidRPr="00FA1168" w:rsidRDefault="0027676F" w:rsidP="004E7A3E">
            <w:pPr>
              <w:pStyle w:val="ListParagraph"/>
              <w:numPr>
                <w:ilvl w:val="0"/>
                <w:numId w:val="28"/>
              </w:numPr>
              <w:spacing w:before="240" w:after="240" w:line="276" w:lineRule="auto"/>
              <w:rPr>
                <w:rFonts w:eastAsia="Times New Roman" w:cs="Arial"/>
                <w:szCs w:val="24"/>
              </w:rPr>
            </w:pPr>
            <w:r w:rsidRPr="00FA1168">
              <w:rPr>
                <w:rFonts w:eastAsia="Times New Roman" w:cs="Arial"/>
                <w:sz w:val="22"/>
              </w:rPr>
              <w:t>Dissemination</w:t>
            </w:r>
          </w:p>
        </w:tc>
        <w:tc>
          <w:tcPr>
            <w:tcW w:w="5670" w:type="dxa"/>
          </w:tcPr>
          <w:p w:rsidR="000547B0" w:rsidRPr="00FA1168" w:rsidRDefault="000547B0" w:rsidP="000547B0">
            <w:pPr>
              <w:rPr>
                <w:rFonts w:eastAsia="Times New Roman" w:cs="Arial"/>
                <w:b/>
                <w:color w:val="000000"/>
                <w:sz w:val="16"/>
                <w:szCs w:val="16"/>
              </w:rPr>
            </w:pPr>
          </w:p>
          <w:p w:rsidR="000547B0" w:rsidRDefault="0027676F" w:rsidP="000547B0">
            <w:pPr>
              <w:rPr>
                <w:rFonts w:cs="Arial"/>
                <w:b/>
                <w:szCs w:val="24"/>
              </w:rPr>
            </w:pPr>
            <w:r w:rsidRPr="00FA1168">
              <w:rPr>
                <w:rFonts w:cs="Arial"/>
                <w:b/>
                <w:szCs w:val="24"/>
              </w:rPr>
              <w:t>Partnerships</w:t>
            </w:r>
            <w:r w:rsidR="004E7A3E">
              <w:rPr>
                <w:rFonts w:cs="Arial"/>
                <w:b/>
                <w:szCs w:val="24"/>
              </w:rPr>
              <w:t>: Section #2</w:t>
            </w:r>
          </w:p>
          <w:p w:rsidR="004E7A3E" w:rsidRPr="00FA1168" w:rsidRDefault="004E7A3E" w:rsidP="000547B0">
            <w:pPr>
              <w:rPr>
                <w:rFonts w:eastAsia="Times New Roman" w:cs="Arial"/>
                <w:b/>
                <w:color w:val="000000"/>
                <w:szCs w:val="24"/>
              </w:rPr>
            </w:pPr>
          </w:p>
          <w:p w:rsidR="000547B0" w:rsidRPr="00FA1168" w:rsidRDefault="00C22EFA" w:rsidP="00DA0111">
            <w:pPr>
              <w:pStyle w:val="ListParagraph"/>
              <w:numPr>
                <w:ilvl w:val="0"/>
                <w:numId w:val="29"/>
              </w:numPr>
              <w:spacing w:after="240" w:line="276" w:lineRule="auto"/>
              <w:rPr>
                <w:rFonts w:eastAsia="Times New Roman" w:cs="Arial"/>
                <w:color w:val="000000"/>
                <w:sz w:val="22"/>
              </w:rPr>
            </w:pPr>
            <w:r w:rsidRPr="00FA1168">
              <w:rPr>
                <w:rFonts w:eastAsia="Times New Roman" w:cs="Arial"/>
                <w:color w:val="000000"/>
                <w:sz w:val="22"/>
              </w:rPr>
              <w:t>Partnerships</w:t>
            </w:r>
          </w:p>
          <w:p w:rsidR="00C22EFA" w:rsidRPr="00FA1168" w:rsidRDefault="00C22EFA" w:rsidP="003C2A95">
            <w:pPr>
              <w:pStyle w:val="ListParagraph"/>
              <w:numPr>
                <w:ilvl w:val="0"/>
                <w:numId w:val="32"/>
              </w:numPr>
              <w:spacing w:before="240" w:after="240" w:line="276" w:lineRule="auto"/>
              <w:rPr>
                <w:rFonts w:eastAsia="Times New Roman" w:cs="Arial"/>
                <w:color w:val="000000"/>
                <w:sz w:val="22"/>
              </w:rPr>
            </w:pPr>
            <w:r w:rsidRPr="00FA1168">
              <w:rPr>
                <w:rFonts w:eastAsia="Times New Roman" w:cs="Arial"/>
                <w:color w:val="000000"/>
                <w:sz w:val="22"/>
              </w:rPr>
              <w:t>Partner(s) contribution</w:t>
            </w:r>
          </w:p>
          <w:p w:rsidR="00C22EFA" w:rsidRPr="00FA1168" w:rsidRDefault="00C22EFA" w:rsidP="003C2A95">
            <w:pPr>
              <w:pStyle w:val="ListParagraph"/>
              <w:numPr>
                <w:ilvl w:val="0"/>
                <w:numId w:val="29"/>
              </w:numPr>
              <w:spacing w:before="240" w:after="240" w:line="276" w:lineRule="auto"/>
              <w:rPr>
                <w:rFonts w:eastAsia="Times New Roman" w:cs="Arial"/>
                <w:color w:val="000000"/>
                <w:sz w:val="22"/>
              </w:rPr>
            </w:pPr>
            <w:r w:rsidRPr="00FA1168">
              <w:rPr>
                <w:rFonts w:eastAsia="Times New Roman" w:cs="Arial"/>
                <w:color w:val="000000"/>
                <w:sz w:val="22"/>
              </w:rPr>
              <w:t>Collaboration &amp; Communication</w:t>
            </w:r>
          </w:p>
          <w:p w:rsidR="00C22EFA" w:rsidRPr="00FA1168" w:rsidRDefault="00C22EFA" w:rsidP="003C2A95">
            <w:pPr>
              <w:pStyle w:val="ListParagraph"/>
              <w:numPr>
                <w:ilvl w:val="0"/>
                <w:numId w:val="29"/>
              </w:numPr>
              <w:spacing w:before="240" w:after="240" w:line="276" w:lineRule="auto"/>
              <w:rPr>
                <w:rFonts w:eastAsia="Times New Roman" w:cs="Arial"/>
                <w:color w:val="000000"/>
                <w:sz w:val="22"/>
              </w:rPr>
            </w:pPr>
            <w:r w:rsidRPr="00FA1168">
              <w:rPr>
                <w:rFonts w:eastAsia="Times New Roman" w:cs="Arial"/>
                <w:color w:val="000000"/>
                <w:sz w:val="22"/>
              </w:rPr>
              <w:t>Coordinated Funding</w:t>
            </w:r>
          </w:p>
          <w:p w:rsidR="00C22EFA" w:rsidRPr="00FA1168" w:rsidRDefault="00C22EFA" w:rsidP="004E7A3E">
            <w:pPr>
              <w:pStyle w:val="ListParagraph"/>
              <w:numPr>
                <w:ilvl w:val="0"/>
                <w:numId w:val="29"/>
              </w:numPr>
              <w:spacing w:before="240" w:after="120" w:line="276" w:lineRule="auto"/>
              <w:ind w:left="1051"/>
              <w:rPr>
                <w:rFonts w:eastAsia="Times New Roman" w:cs="Arial"/>
                <w:color w:val="000000"/>
                <w:szCs w:val="24"/>
              </w:rPr>
            </w:pPr>
            <w:r w:rsidRPr="00FA1168">
              <w:rPr>
                <w:rFonts w:eastAsia="Times New Roman" w:cs="Arial"/>
                <w:color w:val="000000"/>
                <w:sz w:val="22"/>
              </w:rPr>
              <w:t>Sustainability Plan</w:t>
            </w:r>
          </w:p>
        </w:tc>
      </w:tr>
      <w:tr w:rsidR="000547B0" w:rsidRPr="000547B0" w:rsidTr="00DA0111">
        <w:trPr>
          <w:trHeight w:val="2969"/>
        </w:trPr>
        <w:tc>
          <w:tcPr>
            <w:tcW w:w="5418" w:type="dxa"/>
          </w:tcPr>
          <w:p w:rsidR="000547B0" w:rsidRPr="00FA1168" w:rsidRDefault="000547B0" w:rsidP="000547B0">
            <w:pPr>
              <w:rPr>
                <w:rFonts w:eastAsia="Times New Roman" w:cs="Arial"/>
                <w:b/>
                <w:color w:val="000000"/>
                <w:sz w:val="16"/>
                <w:szCs w:val="16"/>
              </w:rPr>
            </w:pPr>
          </w:p>
          <w:p w:rsidR="000547B0" w:rsidRDefault="0027676F" w:rsidP="00DA0111">
            <w:pPr>
              <w:rPr>
                <w:rFonts w:cs="Arial"/>
                <w:b/>
                <w:szCs w:val="24"/>
              </w:rPr>
            </w:pPr>
            <w:r w:rsidRPr="00FA1168">
              <w:rPr>
                <w:rFonts w:cs="Arial"/>
                <w:b/>
                <w:szCs w:val="24"/>
              </w:rPr>
              <w:t>Program Design</w:t>
            </w:r>
            <w:r w:rsidR="004E7A3E">
              <w:rPr>
                <w:rFonts w:cs="Arial"/>
                <w:b/>
                <w:szCs w:val="24"/>
              </w:rPr>
              <w:t>: Section #3</w:t>
            </w:r>
          </w:p>
          <w:p w:rsidR="004E7A3E" w:rsidRPr="00FA1168" w:rsidRDefault="004E7A3E" w:rsidP="00DA0111">
            <w:pPr>
              <w:rPr>
                <w:rFonts w:eastAsia="Times New Roman" w:cs="Arial"/>
                <w:b/>
                <w:color w:val="000000"/>
                <w:szCs w:val="24"/>
              </w:rPr>
            </w:pPr>
          </w:p>
          <w:p w:rsidR="000547B0" w:rsidRPr="00FA1168" w:rsidRDefault="00C22EFA" w:rsidP="00DA0111">
            <w:pPr>
              <w:pStyle w:val="ListParagraph"/>
              <w:numPr>
                <w:ilvl w:val="0"/>
                <w:numId w:val="30"/>
              </w:numPr>
              <w:ind w:left="1066"/>
              <w:contextualSpacing w:val="0"/>
              <w:rPr>
                <w:rFonts w:eastAsia="Times New Roman" w:cs="Arial"/>
                <w:color w:val="000000"/>
                <w:sz w:val="22"/>
              </w:rPr>
            </w:pPr>
            <w:r w:rsidRPr="00FA1168">
              <w:rPr>
                <w:rFonts w:eastAsia="Times New Roman" w:cs="Arial"/>
                <w:color w:val="000000"/>
                <w:sz w:val="22"/>
              </w:rPr>
              <w:t>Academic Activities: (See calendar/lesson plans)</w:t>
            </w:r>
          </w:p>
          <w:p w:rsidR="00C22EFA" w:rsidRPr="00FA1168" w:rsidRDefault="00FE759B" w:rsidP="003C2A95">
            <w:pPr>
              <w:pStyle w:val="ListParagraph"/>
              <w:numPr>
                <w:ilvl w:val="0"/>
                <w:numId w:val="32"/>
              </w:numPr>
              <w:spacing w:line="276" w:lineRule="auto"/>
              <w:rPr>
                <w:rFonts w:eastAsia="Times New Roman" w:cs="Arial"/>
                <w:color w:val="000000"/>
                <w:sz w:val="22"/>
              </w:rPr>
            </w:pPr>
            <w:r w:rsidRPr="00FA1168">
              <w:rPr>
                <w:rFonts w:eastAsia="Times New Roman" w:cs="Arial"/>
                <w:color w:val="000000"/>
                <w:sz w:val="22"/>
              </w:rPr>
              <w:t>A</w:t>
            </w:r>
            <w:r w:rsidR="00C22EFA" w:rsidRPr="00FA1168">
              <w:rPr>
                <w:rFonts w:eastAsia="Times New Roman" w:cs="Arial"/>
                <w:color w:val="000000"/>
                <w:sz w:val="22"/>
              </w:rPr>
              <w:t>ligned with O</w:t>
            </w:r>
            <w:r w:rsidR="00B30827" w:rsidRPr="00FA1168">
              <w:rPr>
                <w:rFonts w:eastAsia="Times New Roman" w:cs="Arial"/>
                <w:color w:val="000000"/>
                <w:sz w:val="22"/>
              </w:rPr>
              <w:t>R</w:t>
            </w:r>
            <w:r w:rsidR="00C22EFA" w:rsidRPr="00FA1168">
              <w:rPr>
                <w:rFonts w:eastAsia="Times New Roman" w:cs="Arial"/>
                <w:color w:val="000000"/>
                <w:sz w:val="22"/>
              </w:rPr>
              <w:t xml:space="preserve"> </w:t>
            </w:r>
            <w:r w:rsidRPr="00FA1168">
              <w:rPr>
                <w:rFonts w:eastAsia="Times New Roman" w:cs="Arial"/>
                <w:color w:val="000000"/>
                <w:sz w:val="22"/>
              </w:rPr>
              <w:t>S</w:t>
            </w:r>
            <w:r w:rsidR="00C22EFA" w:rsidRPr="00FA1168">
              <w:rPr>
                <w:rFonts w:eastAsia="Times New Roman" w:cs="Arial"/>
                <w:color w:val="000000"/>
                <w:sz w:val="22"/>
              </w:rPr>
              <w:t xml:space="preserve">tate </w:t>
            </w:r>
            <w:r w:rsidRPr="00FA1168">
              <w:rPr>
                <w:rFonts w:eastAsia="Times New Roman" w:cs="Arial"/>
                <w:color w:val="000000"/>
                <w:sz w:val="22"/>
              </w:rPr>
              <w:t>S</w:t>
            </w:r>
            <w:r w:rsidR="00C22EFA" w:rsidRPr="00FA1168">
              <w:rPr>
                <w:rFonts w:eastAsia="Times New Roman" w:cs="Arial"/>
                <w:color w:val="000000"/>
                <w:sz w:val="22"/>
              </w:rPr>
              <w:t>tandards</w:t>
            </w:r>
          </w:p>
          <w:p w:rsidR="00C22EFA" w:rsidRPr="00FA1168" w:rsidRDefault="00C22EFA" w:rsidP="003C2A95">
            <w:pPr>
              <w:pStyle w:val="ListParagraph"/>
              <w:numPr>
                <w:ilvl w:val="0"/>
                <w:numId w:val="30"/>
              </w:numPr>
              <w:spacing w:line="276" w:lineRule="auto"/>
              <w:rPr>
                <w:rFonts w:eastAsia="Times New Roman" w:cs="Arial"/>
                <w:color w:val="000000"/>
                <w:sz w:val="22"/>
              </w:rPr>
            </w:pPr>
            <w:r w:rsidRPr="00FA1168">
              <w:rPr>
                <w:rFonts w:eastAsia="Times New Roman" w:cs="Arial"/>
                <w:color w:val="000000"/>
                <w:sz w:val="22"/>
              </w:rPr>
              <w:t>Enrichment Activities</w:t>
            </w:r>
          </w:p>
          <w:p w:rsidR="00C22EFA" w:rsidRPr="00FA1168" w:rsidRDefault="00C22EFA" w:rsidP="003C2A95">
            <w:pPr>
              <w:pStyle w:val="ListParagraph"/>
              <w:numPr>
                <w:ilvl w:val="0"/>
                <w:numId w:val="30"/>
              </w:numPr>
              <w:spacing w:line="276" w:lineRule="auto"/>
              <w:rPr>
                <w:rFonts w:eastAsia="Times New Roman" w:cs="Arial"/>
                <w:color w:val="000000"/>
                <w:sz w:val="22"/>
              </w:rPr>
            </w:pPr>
            <w:r w:rsidRPr="00FA1168">
              <w:rPr>
                <w:rFonts w:eastAsia="Times New Roman" w:cs="Arial"/>
                <w:color w:val="000000"/>
                <w:sz w:val="22"/>
              </w:rPr>
              <w:t>Family Education Activities</w:t>
            </w:r>
          </w:p>
          <w:p w:rsidR="00C22EFA" w:rsidRPr="00FA1168" w:rsidRDefault="00C22EFA" w:rsidP="003C2A95">
            <w:pPr>
              <w:pStyle w:val="ListParagraph"/>
              <w:numPr>
                <w:ilvl w:val="0"/>
                <w:numId w:val="30"/>
              </w:numPr>
              <w:spacing w:line="276" w:lineRule="auto"/>
              <w:rPr>
                <w:rFonts w:eastAsia="Times New Roman" w:cs="Arial"/>
                <w:color w:val="000000"/>
                <w:sz w:val="22"/>
              </w:rPr>
            </w:pPr>
            <w:r w:rsidRPr="00FA1168">
              <w:rPr>
                <w:rFonts w:eastAsia="Times New Roman" w:cs="Arial"/>
                <w:color w:val="000000"/>
                <w:sz w:val="22"/>
              </w:rPr>
              <w:t>Program Hours/Schedule: (See site evaluation)</w:t>
            </w:r>
          </w:p>
          <w:p w:rsidR="00C22EFA" w:rsidRPr="00FA1168" w:rsidRDefault="00C22EFA" w:rsidP="003C2A95">
            <w:pPr>
              <w:pStyle w:val="ListParagraph"/>
              <w:numPr>
                <w:ilvl w:val="0"/>
                <w:numId w:val="30"/>
              </w:numPr>
              <w:spacing w:line="276" w:lineRule="auto"/>
              <w:rPr>
                <w:rFonts w:eastAsia="Times New Roman" w:cs="Arial"/>
                <w:color w:val="000000"/>
                <w:sz w:val="22"/>
              </w:rPr>
            </w:pPr>
            <w:r w:rsidRPr="00FA1168">
              <w:rPr>
                <w:rFonts w:eastAsia="Times New Roman" w:cs="Arial"/>
                <w:color w:val="000000"/>
                <w:sz w:val="22"/>
              </w:rPr>
              <w:t>Safety</w:t>
            </w:r>
          </w:p>
          <w:p w:rsidR="00C22EFA" w:rsidRPr="00FA1168" w:rsidRDefault="00C22EFA" w:rsidP="001238D9">
            <w:pPr>
              <w:pStyle w:val="ListParagraph"/>
              <w:numPr>
                <w:ilvl w:val="0"/>
                <w:numId w:val="30"/>
              </w:numPr>
              <w:spacing w:after="120" w:line="276" w:lineRule="auto"/>
              <w:ind w:left="1066"/>
              <w:rPr>
                <w:rFonts w:eastAsia="Times New Roman" w:cs="Arial"/>
                <w:color w:val="000000"/>
                <w:szCs w:val="24"/>
              </w:rPr>
            </w:pPr>
            <w:r w:rsidRPr="00FA1168">
              <w:rPr>
                <w:rFonts w:eastAsia="Times New Roman" w:cs="Arial"/>
                <w:color w:val="000000"/>
                <w:sz w:val="22"/>
              </w:rPr>
              <w:t>Principles of Effectiveness</w:t>
            </w:r>
          </w:p>
        </w:tc>
        <w:tc>
          <w:tcPr>
            <w:tcW w:w="5670" w:type="dxa"/>
          </w:tcPr>
          <w:p w:rsidR="000547B0" w:rsidRPr="00FA1168" w:rsidRDefault="000547B0" w:rsidP="000547B0">
            <w:pPr>
              <w:rPr>
                <w:rFonts w:eastAsia="Times New Roman" w:cs="Arial"/>
                <w:b/>
                <w:color w:val="000000"/>
                <w:sz w:val="16"/>
                <w:szCs w:val="16"/>
              </w:rPr>
            </w:pPr>
          </w:p>
          <w:p w:rsidR="000547B0" w:rsidRDefault="0027676F" w:rsidP="00DA0111">
            <w:pPr>
              <w:rPr>
                <w:rFonts w:eastAsia="Times New Roman" w:cs="Arial"/>
                <w:b/>
                <w:color w:val="000000"/>
                <w:szCs w:val="24"/>
              </w:rPr>
            </w:pPr>
            <w:r w:rsidRPr="00FA1168">
              <w:rPr>
                <w:rFonts w:cs="Arial"/>
                <w:b/>
                <w:szCs w:val="24"/>
              </w:rPr>
              <w:t>Management &amp; Staffing</w:t>
            </w:r>
            <w:r w:rsidR="00340C46">
              <w:rPr>
                <w:rFonts w:cs="Arial"/>
                <w:b/>
                <w:szCs w:val="24"/>
              </w:rPr>
              <w:t>: Section #4</w:t>
            </w:r>
          </w:p>
          <w:p w:rsidR="00340C46" w:rsidRPr="00FA1168" w:rsidRDefault="00340C46" w:rsidP="00DA0111">
            <w:pPr>
              <w:rPr>
                <w:rFonts w:eastAsia="Times New Roman" w:cs="Arial"/>
                <w:b/>
                <w:color w:val="000000"/>
                <w:szCs w:val="24"/>
              </w:rPr>
            </w:pPr>
          </w:p>
          <w:p w:rsidR="000547B0" w:rsidRPr="00FA1168" w:rsidRDefault="006E6707" w:rsidP="003C2A95">
            <w:pPr>
              <w:pStyle w:val="ListParagraph"/>
              <w:numPr>
                <w:ilvl w:val="0"/>
                <w:numId w:val="31"/>
              </w:numPr>
              <w:spacing w:line="276" w:lineRule="auto"/>
              <w:rPr>
                <w:rFonts w:eastAsia="Times New Roman" w:cs="Arial"/>
                <w:color w:val="000000"/>
                <w:sz w:val="22"/>
              </w:rPr>
            </w:pPr>
            <w:r w:rsidRPr="00FA1168">
              <w:rPr>
                <w:rFonts w:eastAsia="Times New Roman" w:cs="Arial"/>
                <w:color w:val="000000"/>
                <w:sz w:val="22"/>
              </w:rPr>
              <w:t>Management Plan</w:t>
            </w:r>
          </w:p>
          <w:p w:rsidR="006E6707" w:rsidRPr="00FA1168" w:rsidRDefault="006E6707" w:rsidP="003C2A95">
            <w:pPr>
              <w:pStyle w:val="ListParagraph"/>
              <w:numPr>
                <w:ilvl w:val="0"/>
                <w:numId w:val="31"/>
              </w:numPr>
              <w:spacing w:line="276" w:lineRule="auto"/>
              <w:rPr>
                <w:rFonts w:eastAsia="Times New Roman" w:cs="Arial"/>
                <w:color w:val="000000"/>
                <w:sz w:val="22"/>
              </w:rPr>
            </w:pPr>
            <w:r w:rsidRPr="00FA1168">
              <w:rPr>
                <w:rFonts w:eastAsia="Times New Roman" w:cs="Arial"/>
                <w:color w:val="000000"/>
                <w:sz w:val="22"/>
              </w:rPr>
              <w:t>Staff &amp; Volunteer Training</w:t>
            </w:r>
          </w:p>
          <w:p w:rsidR="006E6707" w:rsidRPr="00FA1168" w:rsidRDefault="006E6707" w:rsidP="003C2A95">
            <w:pPr>
              <w:pStyle w:val="ListParagraph"/>
              <w:numPr>
                <w:ilvl w:val="0"/>
                <w:numId w:val="32"/>
              </w:numPr>
              <w:spacing w:line="276" w:lineRule="auto"/>
              <w:rPr>
                <w:rFonts w:eastAsia="Times New Roman" w:cs="Arial"/>
                <w:color w:val="000000"/>
                <w:szCs w:val="24"/>
              </w:rPr>
            </w:pPr>
            <w:r w:rsidRPr="00FA1168">
              <w:rPr>
                <w:rFonts w:eastAsia="Times New Roman" w:cs="Arial"/>
                <w:color w:val="000000"/>
                <w:sz w:val="22"/>
              </w:rPr>
              <w:t>Appropriately qualified</w:t>
            </w:r>
          </w:p>
        </w:tc>
      </w:tr>
      <w:tr w:rsidR="000547B0" w:rsidRPr="000547B0" w:rsidTr="00DA0111">
        <w:trPr>
          <w:trHeight w:val="3167"/>
        </w:trPr>
        <w:tc>
          <w:tcPr>
            <w:tcW w:w="5418" w:type="dxa"/>
          </w:tcPr>
          <w:p w:rsidR="000547B0" w:rsidRPr="00FA1168" w:rsidRDefault="000547B0" w:rsidP="000547B0">
            <w:pPr>
              <w:rPr>
                <w:rFonts w:eastAsia="Times New Roman" w:cs="Arial"/>
                <w:b/>
                <w:color w:val="000000"/>
                <w:sz w:val="16"/>
                <w:szCs w:val="16"/>
              </w:rPr>
            </w:pPr>
          </w:p>
          <w:p w:rsidR="000547B0" w:rsidRDefault="0027676F" w:rsidP="000547B0">
            <w:pPr>
              <w:rPr>
                <w:rFonts w:cs="Arial"/>
                <w:b/>
                <w:szCs w:val="24"/>
              </w:rPr>
            </w:pPr>
            <w:r w:rsidRPr="00FA1168">
              <w:rPr>
                <w:rFonts w:cs="Arial"/>
                <w:b/>
                <w:szCs w:val="24"/>
              </w:rPr>
              <w:t>Program Evaluation</w:t>
            </w:r>
            <w:r w:rsidR="00340C46">
              <w:rPr>
                <w:rFonts w:cs="Arial"/>
                <w:b/>
                <w:szCs w:val="24"/>
              </w:rPr>
              <w:t>: Section #5</w:t>
            </w:r>
          </w:p>
          <w:p w:rsidR="00340C46" w:rsidRPr="00FA1168" w:rsidRDefault="00340C46" w:rsidP="000547B0">
            <w:pPr>
              <w:rPr>
                <w:rFonts w:eastAsia="Times New Roman" w:cs="Arial"/>
                <w:b/>
                <w:color w:val="000000"/>
                <w:szCs w:val="24"/>
              </w:rPr>
            </w:pPr>
          </w:p>
          <w:p w:rsidR="000547B0" w:rsidRPr="00FA1168" w:rsidRDefault="00193D40" w:rsidP="00DA0111">
            <w:pPr>
              <w:pStyle w:val="ListParagraph"/>
              <w:numPr>
                <w:ilvl w:val="0"/>
                <w:numId w:val="34"/>
              </w:numPr>
              <w:spacing w:line="276" w:lineRule="auto"/>
              <w:ind w:left="1062"/>
              <w:rPr>
                <w:rFonts w:eastAsia="Times New Roman" w:cs="Arial"/>
                <w:color w:val="000000"/>
                <w:sz w:val="22"/>
              </w:rPr>
            </w:pPr>
            <w:r w:rsidRPr="00FA1168">
              <w:rPr>
                <w:rFonts w:eastAsia="Times New Roman" w:cs="Arial"/>
                <w:color w:val="000000"/>
                <w:sz w:val="22"/>
              </w:rPr>
              <w:t>Evaluation Plan</w:t>
            </w:r>
          </w:p>
          <w:p w:rsidR="00193D40" w:rsidRPr="00FA1168" w:rsidRDefault="00193D40" w:rsidP="003C2A95">
            <w:pPr>
              <w:pStyle w:val="ListParagraph"/>
              <w:numPr>
                <w:ilvl w:val="0"/>
                <w:numId w:val="35"/>
              </w:numPr>
              <w:spacing w:line="276" w:lineRule="auto"/>
              <w:ind w:left="1422"/>
              <w:rPr>
                <w:rFonts w:eastAsia="Times New Roman" w:cs="Arial"/>
                <w:color w:val="000000"/>
                <w:sz w:val="22"/>
              </w:rPr>
            </w:pPr>
            <w:r w:rsidRPr="00FA1168">
              <w:rPr>
                <w:rFonts w:eastAsia="Times New Roman" w:cs="Arial"/>
                <w:color w:val="000000"/>
                <w:sz w:val="22"/>
              </w:rPr>
              <w:t>Improved performance measures</w:t>
            </w:r>
          </w:p>
          <w:p w:rsidR="00193D40" w:rsidRPr="00FA1168" w:rsidRDefault="00193D40" w:rsidP="003C2A95">
            <w:pPr>
              <w:pStyle w:val="ListParagraph"/>
              <w:numPr>
                <w:ilvl w:val="0"/>
                <w:numId w:val="35"/>
              </w:numPr>
              <w:spacing w:line="276" w:lineRule="auto"/>
              <w:ind w:left="1422"/>
              <w:rPr>
                <w:rFonts w:eastAsia="Times New Roman" w:cs="Arial"/>
                <w:color w:val="000000"/>
                <w:sz w:val="22"/>
              </w:rPr>
            </w:pPr>
            <w:r w:rsidRPr="00FA1168">
              <w:rPr>
                <w:rFonts w:eastAsia="Times New Roman" w:cs="Arial"/>
                <w:color w:val="000000"/>
                <w:sz w:val="22"/>
              </w:rPr>
              <w:t>Public notice</w:t>
            </w:r>
          </w:p>
          <w:p w:rsidR="003C2A95" w:rsidRPr="00FA1168" w:rsidRDefault="003C2A95" w:rsidP="00CE7A5A">
            <w:pPr>
              <w:spacing w:after="240" w:line="276" w:lineRule="auto"/>
              <w:ind w:left="1062"/>
              <w:rPr>
                <w:rFonts w:eastAsia="Times New Roman" w:cs="Arial"/>
                <w:color w:val="000000"/>
                <w:szCs w:val="24"/>
              </w:rPr>
            </w:pPr>
          </w:p>
        </w:tc>
        <w:tc>
          <w:tcPr>
            <w:tcW w:w="5670" w:type="dxa"/>
          </w:tcPr>
          <w:p w:rsidR="000547B0" w:rsidRPr="00FA1168" w:rsidRDefault="000547B0" w:rsidP="000547B0">
            <w:pPr>
              <w:rPr>
                <w:rFonts w:eastAsia="Times New Roman" w:cs="Arial"/>
                <w:b/>
                <w:color w:val="000000"/>
                <w:sz w:val="16"/>
                <w:szCs w:val="16"/>
              </w:rPr>
            </w:pPr>
          </w:p>
          <w:p w:rsidR="000547B0" w:rsidRDefault="0027676F" w:rsidP="00DA0111">
            <w:pPr>
              <w:rPr>
                <w:rFonts w:cs="Arial"/>
                <w:b/>
                <w:szCs w:val="24"/>
              </w:rPr>
            </w:pPr>
            <w:r w:rsidRPr="00FA1168">
              <w:rPr>
                <w:rFonts w:cs="Arial"/>
                <w:b/>
                <w:szCs w:val="24"/>
              </w:rPr>
              <w:t>Fiscal Compliance</w:t>
            </w:r>
            <w:r w:rsidR="00340C46">
              <w:rPr>
                <w:rFonts w:cs="Arial"/>
                <w:b/>
                <w:szCs w:val="24"/>
              </w:rPr>
              <w:t>: Section #6</w:t>
            </w:r>
          </w:p>
          <w:p w:rsidR="00340C46" w:rsidRPr="00FA1168" w:rsidRDefault="00340C46" w:rsidP="00DA0111">
            <w:pPr>
              <w:rPr>
                <w:rFonts w:eastAsia="Times New Roman" w:cs="Arial"/>
                <w:b/>
                <w:color w:val="000000"/>
                <w:szCs w:val="24"/>
              </w:rPr>
            </w:pPr>
          </w:p>
          <w:p w:rsidR="003C2A95" w:rsidRPr="00FA1168" w:rsidRDefault="003C2A95" w:rsidP="00DA0111">
            <w:pPr>
              <w:numPr>
                <w:ilvl w:val="0"/>
                <w:numId w:val="34"/>
              </w:numPr>
              <w:spacing w:line="276" w:lineRule="auto"/>
              <w:ind w:left="1062"/>
              <w:contextualSpacing/>
              <w:rPr>
                <w:rFonts w:eastAsia="Times New Roman" w:cs="Arial"/>
                <w:color w:val="000000"/>
                <w:sz w:val="22"/>
              </w:rPr>
            </w:pPr>
            <w:r w:rsidRPr="00FA1168">
              <w:rPr>
                <w:rFonts w:eastAsia="Times New Roman" w:cs="Arial"/>
                <w:color w:val="000000"/>
                <w:sz w:val="22"/>
              </w:rPr>
              <w:t>Funding account</w:t>
            </w:r>
          </w:p>
          <w:p w:rsidR="003C2A95" w:rsidRPr="00FA1168" w:rsidRDefault="003C2A95" w:rsidP="003C2A95">
            <w:pPr>
              <w:numPr>
                <w:ilvl w:val="0"/>
                <w:numId w:val="36"/>
              </w:numPr>
              <w:spacing w:line="276" w:lineRule="auto"/>
              <w:ind w:left="1422"/>
              <w:contextualSpacing/>
              <w:rPr>
                <w:rFonts w:eastAsia="Times New Roman" w:cs="Arial"/>
                <w:color w:val="000000"/>
                <w:sz w:val="22"/>
              </w:rPr>
            </w:pPr>
            <w:r w:rsidRPr="00FA1168">
              <w:rPr>
                <w:rFonts w:eastAsia="Times New Roman" w:cs="Arial"/>
                <w:color w:val="000000"/>
                <w:sz w:val="22"/>
              </w:rPr>
              <w:t>Inventory</w:t>
            </w:r>
          </w:p>
          <w:p w:rsidR="003C2A95" w:rsidRPr="00FA1168" w:rsidRDefault="003C2A95" w:rsidP="003C2A95">
            <w:pPr>
              <w:numPr>
                <w:ilvl w:val="0"/>
                <w:numId w:val="36"/>
              </w:numPr>
              <w:spacing w:line="276" w:lineRule="auto"/>
              <w:ind w:left="1422"/>
              <w:contextualSpacing/>
              <w:rPr>
                <w:rFonts w:eastAsia="Times New Roman" w:cs="Arial"/>
                <w:color w:val="000000"/>
                <w:sz w:val="22"/>
              </w:rPr>
            </w:pPr>
            <w:r w:rsidRPr="00FA1168">
              <w:rPr>
                <w:rFonts w:eastAsia="Times New Roman" w:cs="Arial"/>
                <w:color w:val="000000"/>
                <w:sz w:val="22"/>
              </w:rPr>
              <w:t>Labeled for Title IV-B</w:t>
            </w:r>
          </w:p>
          <w:p w:rsidR="003C2A95" w:rsidRPr="00FA1168" w:rsidRDefault="003C2A95" w:rsidP="003C2A95">
            <w:pPr>
              <w:numPr>
                <w:ilvl w:val="0"/>
                <w:numId w:val="36"/>
              </w:numPr>
              <w:spacing w:line="276" w:lineRule="auto"/>
              <w:ind w:left="1422"/>
              <w:contextualSpacing/>
              <w:rPr>
                <w:rFonts w:eastAsia="Times New Roman" w:cs="Arial"/>
                <w:color w:val="000000"/>
                <w:sz w:val="22"/>
              </w:rPr>
            </w:pPr>
            <w:r w:rsidRPr="00FA1168">
              <w:rPr>
                <w:rFonts w:eastAsia="Times New Roman" w:cs="Arial"/>
                <w:color w:val="000000"/>
                <w:sz w:val="22"/>
              </w:rPr>
              <w:t>Time and Effort Schedules</w:t>
            </w:r>
          </w:p>
          <w:p w:rsidR="003C2A95" w:rsidRPr="00FA1168" w:rsidRDefault="003C2A95" w:rsidP="003C2A95">
            <w:pPr>
              <w:numPr>
                <w:ilvl w:val="0"/>
                <w:numId w:val="36"/>
              </w:numPr>
              <w:spacing w:line="276" w:lineRule="auto"/>
              <w:ind w:left="1422"/>
              <w:contextualSpacing/>
              <w:rPr>
                <w:rFonts w:eastAsia="Times New Roman" w:cs="Arial"/>
                <w:color w:val="000000"/>
                <w:sz w:val="22"/>
              </w:rPr>
            </w:pPr>
            <w:r w:rsidRPr="00FA1168">
              <w:rPr>
                <w:rFonts w:eastAsia="Times New Roman" w:cs="Arial"/>
                <w:color w:val="000000"/>
                <w:sz w:val="22"/>
              </w:rPr>
              <w:t>Supplement not Supplant</w:t>
            </w:r>
          </w:p>
          <w:p w:rsidR="003C2A95" w:rsidRPr="00FA1168" w:rsidRDefault="003C2A95" w:rsidP="003C2A95">
            <w:pPr>
              <w:numPr>
                <w:ilvl w:val="0"/>
                <w:numId w:val="36"/>
              </w:numPr>
              <w:spacing w:line="276" w:lineRule="auto"/>
              <w:ind w:left="1422"/>
              <w:contextualSpacing/>
              <w:rPr>
                <w:rFonts w:eastAsia="Times New Roman" w:cs="Arial"/>
                <w:color w:val="000000"/>
                <w:sz w:val="22"/>
              </w:rPr>
            </w:pPr>
            <w:r w:rsidRPr="00FA1168">
              <w:rPr>
                <w:rFonts w:eastAsia="Times New Roman" w:cs="Arial"/>
                <w:color w:val="000000"/>
                <w:sz w:val="22"/>
              </w:rPr>
              <w:t>Prior audits resolved</w:t>
            </w:r>
          </w:p>
          <w:p w:rsidR="003C2A95" w:rsidRPr="00FA1168" w:rsidRDefault="003C2A95" w:rsidP="003C2A95">
            <w:pPr>
              <w:numPr>
                <w:ilvl w:val="0"/>
                <w:numId w:val="36"/>
              </w:numPr>
              <w:spacing w:line="276" w:lineRule="auto"/>
              <w:ind w:left="1422"/>
              <w:contextualSpacing/>
              <w:rPr>
                <w:rFonts w:eastAsia="Times New Roman" w:cs="Arial"/>
                <w:color w:val="000000"/>
                <w:sz w:val="22"/>
              </w:rPr>
            </w:pPr>
            <w:r w:rsidRPr="00FA1168">
              <w:rPr>
                <w:rFonts w:eastAsia="Times New Roman" w:cs="Arial"/>
                <w:color w:val="000000"/>
                <w:sz w:val="22"/>
              </w:rPr>
              <w:t>Non-allowable costs</w:t>
            </w:r>
          </w:p>
          <w:p w:rsidR="003C2A95" w:rsidRPr="00FA1168" w:rsidRDefault="003C2A95" w:rsidP="003C2A95">
            <w:pPr>
              <w:numPr>
                <w:ilvl w:val="0"/>
                <w:numId w:val="36"/>
              </w:numPr>
              <w:spacing w:line="276" w:lineRule="auto"/>
              <w:ind w:left="1422"/>
              <w:contextualSpacing/>
              <w:rPr>
                <w:rFonts w:eastAsia="Times New Roman" w:cs="Arial"/>
                <w:color w:val="000000"/>
                <w:sz w:val="22"/>
              </w:rPr>
            </w:pPr>
            <w:r w:rsidRPr="00FA1168">
              <w:rPr>
                <w:rFonts w:eastAsia="Times New Roman" w:cs="Arial"/>
                <w:color w:val="000000"/>
                <w:sz w:val="22"/>
              </w:rPr>
              <w:t>Program management changes</w:t>
            </w:r>
          </w:p>
          <w:p w:rsidR="000547B0" w:rsidRPr="00FA1168" w:rsidRDefault="003C2A95" w:rsidP="00F376E9">
            <w:pPr>
              <w:pStyle w:val="ListParagraph"/>
              <w:numPr>
                <w:ilvl w:val="0"/>
                <w:numId w:val="36"/>
              </w:numPr>
              <w:spacing w:after="120" w:line="276" w:lineRule="auto"/>
              <w:ind w:left="1411"/>
              <w:rPr>
                <w:rFonts w:eastAsia="Times New Roman" w:cs="Arial"/>
                <w:color w:val="000000"/>
                <w:szCs w:val="24"/>
              </w:rPr>
            </w:pPr>
            <w:r w:rsidRPr="00FA1168">
              <w:rPr>
                <w:rFonts w:eastAsia="Times New Roman" w:cs="Arial"/>
                <w:color w:val="000000"/>
                <w:sz w:val="22"/>
              </w:rPr>
              <w:t>ODE notified of changes</w:t>
            </w:r>
          </w:p>
        </w:tc>
      </w:tr>
      <w:tr w:rsidR="00F376E9" w:rsidRPr="000547B0" w:rsidTr="00340C46">
        <w:trPr>
          <w:trHeight w:val="2654"/>
        </w:trPr>
        <w:tc>
          <w:tcPr>
            <w:tcW w:w="5418" w:type="dxa"/>
          </w:tcPr>
          <w:p w:rsidR="00DA0111" w:rsidRPr="00FA1168" w:rsidRDefault="00DA0111" w:rsidP="00DA0111">
            <w:pPr>
              <w:rPr>
                <w:rFonts w:eastAsia="Times New Roman" w:cs="Arial"/>
                <w:b/>
                <w:color w:val="000000"/>
                <w:sz w:val="16"/>
                <w:szCs w:val="16"/>
              </w:rPr>
            </w:pPr>
          </w:p>
          <w:p w:rsidR="00F376E9" w:rsidRDefault="00F376E9" w:rsidP="00DA0111">
            <w:pPr>
              <w:rPr>
                <w:rFonts w:eastAsia="Times New Roman" w:cs="Arial"/>
                <w:b/>
                <w:color w:val="000000"/>
                <w:sz w:val="22"/>
              </w:rPr>
            </w:pPr>
            <w:r w:rsidRPr="00FA1168">
              <w:rPr>
                <w:rFonts w:eastAsia="Times New Roman" w:cs="Arial"/>
                <w:b/>
                <w:color w:val="000000"/>
                <w:sz w:val="22"/>
              </w:rPr>
              <w:t>PRIVATE SCHOOLS</w:t>
            </w:r>
            <w:r w:rsidR="00340C46">
              <w:rPr>
                <w:rFonts w:eastAsia="Times New Roman" w:cs="Arial"/>
                <w:b/>
                <w:color w:val="000000"/>
                <w:sz w:val="22"/>
              </w:rPr>
              <w:t>: Section #7</w:t>
            </w:r>
          </w:p>
          <w:p w:rsidR="00340C46" w:rsidRPr="00FA1168" w:rsidRDefault="00340C46" w:rsidP="00DA0111">
            <w:pPr>
              <w:rPr>
                <w:rFonts w:eastAsia="Times New Roman" w:cs="Arial"/>
                <w:b/>
                <w:color w:val="000000"/>
                <w:sz w:val="22"/>
              </w:rPr>
            </w:pPr>
          </w:p>
          <w:p w:rsidR="00F376E9" w:rsidRPr="00FA1168" w:rsidRDefault="00F376E9" w:rsidP="00FE20B8">
            <w:pPr>
              <w:pStyle w:val="ListParagraph"/>
              <w:numPr>
                <w:ilvl w:val="0"/>
                <w:numId w:val="39"/>
              </w:numPr>
              <w:spacing w:after="120" w:line="276" w:lineRule="auto"/>
              <w:ind w:left="1062"/>
              <w:rPr>
                <w:rFonts w:cs="Arial"/>
                <w:sz w:val="22"/>
              </w:rPr>
            </w:pPr>
            <w:r w:rsidRPr="00FA1168">
              <w:rPr>
                <w:rFonts w:cs="Arial"/>
                <w:sz w:val="22"/>
              </w:rPr>
              <w:t>Equitable Services – Professional Development</w:t>
            </w:r>
          </w:p>
          <w:p w:rsidR="002F04C9" w:rsidRPr="00FA1168" w:rsidRDefault="002F04C9" w:rsidP="00FE20B8">
            <w:pPr>
              <w:pStyle w:val="ListParagraph"/>
              <w:numPr>
                <w:ilvl w:val="0"/>
                <w:numId w:val="39"/>
              </w:numPr>
              <w:spacing w:after="120" w:line="276" w:lineRule="auto"/>
              <w:ind w:left="1062"/>
              <w:rPr>
                <w:rFonts w:cs="Arial"/>
                <w:sz w:val="22"/>
              </w:rPr>
            </w:pPr>
            <w:r w:rsidRPr="00FA1168">
              <w:rPr>
                <w:rFonts w:cs="Arial"/>
                <w:sz w:val="22"/>
              </w:rPr>
              <w:t>Equitable services - students &amp; teachers</w:t>
            </w:r>
          </w:p>
          <w:p w:rsidR="00F376E9" w:rsidRPr="00FA1168" w:rsidRDefault="00F376E9" w:rsidP="00DA0111">
            <w:pPr>
              <w:pStyle w:val="ListParagraph"/>
              <w:numPr>
                <w:ilvl w:val="0"/>
                <w:numId w:val="39"/>
              </w:numPr>
              <w:spacing w:after="120" w:line="276" w:lineRule="auto"/>
              <w:ind w:left="1062"/>
              <w:rPr>
                <w:rFonts w:cs="Arial"/>
                <w:sz w:val="22"/>
              </w:rPr>
            </w:pPr>
            <w:r w:rsidRPr="00FA1168">
              <w:rPr>
                <w:rFonts w:cs="Arial"/>
                <w:sz w:val="22"/>
              </w:rPr>
              <w:t>Dispute Resolution</w:t>
            </w:r>
          </w:p>
          <w:p w:rsidR="0042354A" w:rsidRPr="00FA1168" w:rsidRDefault="0042354A" w:rsidP="00DA0111">
            <w:pPr>
              <w:pStyle w:val="ListParagraph"/>
              <w:numPr>
                <w:ilvl w:val="0"/>
                <w:numId w:val="39"/>
              </w:numPr>
              <w:spacing w:after="120" w:line="276" w:lineRule="auto"/>
              <w:ind w:left="1062"/>
              <w:rPr>
                <w:rFonts w:cs="Arial"/>
                <w:sz w:val="22"/>
              </w:rPr>
            </w:pPr>
            <w:r w:rsidRPr="00FA1168">
              <w:rPr>
                <w:rFonts w:cs="Arial"/>
                <w:sz w:val="22"/>
              </w:rPr>
              <w:t>Requirements of Consultation</w:t>
            </w:r>
          </w:p>
          <w:p w:rsidR="00F376E9" w:rsidRPr="00FA1168" w:rsidRDefault="0042354A" w:rsidP="00DA0111">
            <w:pPr>
              <w:pStyle w:val="ListParagraph"/>
              <w:numPr>
                <w:ilvl w:val="0"/>
                <w:numId w:val="39"/>
              </w:numPr>
              <w:spacing w:after="120" w:line="276" w:lineRule="auto"/>
              <w:ind w:left="1062"/>
              <w:rPr>
                <w:rFonts w:cs="Arial"/>
              </w:rPr>
            </w:pPr>
            <w:r w:rsidRPr="00FA1168">
              <w:rPr>
                <w:rFonts w:cs="Arial"/>
                <w:sz w:val="22"/>
              </w:rPr>
              <w:t>Services to private school children</w:t>
            </w:r>
          </w:p>
        </w:tc>
        <w:tc>
          <w:tcPr>
            <w:tcW w:w="5670" w:type="dxa"/>
          </w:tcPr>
          <w:p w:rsidR="000E7EBC" w:rsidRPr="00FA1168" w:rsidRDefault="000E7EBC" w:rsidP="000547B0">
            <w:pPr>
              <w:rPr>
                <w:rFonts w:eastAsia="Times New Roman" w:cs="Arial"/>
                <w:b/>
                <w:color w:val="000000"/>
                <w:sz w:val="16"/>
                <w:szCs w:val="16"/>
              </w:rPr>
            </w:pPr>
          </w:p>
          <w:p w:rsidR="00F376E9" w:rsidRDefault="000E7EBC" w:rsidP="000547B0">
            <w:pPr>
              <w:rPr>
                <w:rFonts w:eastAsia="Times New Roman" w:cs="Arial"/>
                <w:b/>
                <w:color w:val="000000"/>
                <w:sz w:val="22"/>
              </w:rPr>
            </w:pPr>
            <w:r w:rsidRPr="00FA1168">
              <w:rPr>
                <w:rFonts w:eastAsia="Times New Roman" w:cs="Arial"/>
                <w:b/>
                <w:color w:val="000000"/>
                <w:sz w:val="22"/>
              </w:rPr>
              <w:t>Data</w:t>
            </w:r>
          </w:p>
          <w:p w:rsidR="00340C46" w:rsidRPr="00FA1168" w:rsidRDefault="00340C46" w:rsidP="000547B0">
            <w:pPr>
              <w:rPr>
                <w:rFonts w:eastAsia="Times New Roman" w:cs="Arial"/>
                <w:b/>
                <w:color w:val="000000"/>
                <w:sz w:val="22"/>
              </w:rPr>
            </w:pPr>
          </w:p>
          <w:p w:rsidR="00130CB1" w:rsidRPr="00FA1168" w:rsidRDefault="00130CB1" w:rsidP="00130CB1">
            <w:pPr>
              <w:pStyle w:val="ListParagraph"/>
              <w:numPr>
                <w:ilvl w:val="0"/>
                <w:numId w:val="42"/>
              </w:numPr>
              <w:ind w:left="1044"/>
              <w:rPr>
                <w:rFonts w:eastAsia="Times New Roman" w:cs="Arial"/>
                <w:color w:val="000000"/>
                <w:sz w:val="22"/>
              </w:rPr>
            </w:pPr>
            <w:r w:rsidRPr="00FA1168">
              <w:rPr>
                <w:rFonts w:eastAsia="Times New Roman" w:cs="Arial"/>
                <w:color w:val="000000"/>
                <w:sz w:val="22"/>
              </w:rPr>
              <w:t>Annual Year-End Report</w:t>
            </w:r>
          </w:p>
          <w:p w:rsidR="00130CB1" w:rsidRPr="00FA1168" w:rsidRDefault="00130CB1" w:rsidP="00130CB1">
            <w:pPr>
              <w:pStyle w:val="ListParagraph"/>
              <w:numPr>
                <w:ilvl w:val="0"/>
                <w:numId w:val="42"/>
              </w:numPr>
              <w:ind w:left="1044"/>
              <w:rPr>
                <w:rFonts w:eastAsia="Times New Roman" w:cs="Arial"/>
                <w:color w:val="000000"/>
                <w:sz w:val="22"/>
              </w:rPr>
            </w:pPr>
            <w:r w:rsidRPr="00FA1168">
              <w:rPr>
                <w:rFonts w:eastAsia="Times New Roman" w:cs="Arial"/>
                <w:color w:val="000000"/>
                <w:sz w:val="22"/>
              </w:rPr>
              <w:t>Annual Federal Data Collection</w:t>
            </w:r>
          </w:p>
          <w:p w:rsidR="00130CB1" w:rsidRPr="00FA1168" w:rsidRDefault="00130CB1" w:rsidP="00130CB1">
            <w:pPr>
              <w:pStyle w:val="ListParagraph"/>
              <w:numPr>
                <w:ilvl w:val="0"/>
                <w:numId w:val="42"/>
              </w:numPr>
              <w:ind w:left="1044"/>
              <w:rPr>
                <w:rFonts w:eastAsia="Times New Roman" w:cs="Arial"/>
                <w:color w:val="000000"/>
                <w:sz w:val="22"/>
              </w:rPr>
            </w:pPr>
            <w:r w:rsidRPr="00FA1168">
              <w:rPr>
                <w:rFonts w:eastAsia="Times New Roman" w:cs="Arial"/>
                <w:color w:val="000000"/>
                <w:sz w:val="22"/>
              </w:rPr>
              <w:t>Other</w:t>
            </w:r>
          </w:p>
        </w:tc>
      </w:tr>
    </w:tbl>
    <w:p w:rsidR="000547B0" w:rsidRDefault="000547B0"/>
    <w:sectPr w:rsidR="000547B0" w:rsidSect="00D22259">
      <w:headerReference w:type="default" r:id="rId18"/>
      <w:footerReference w:type="default" r:id="rId19"/>
      <w:pgSz w:w="12240" w:h="15840"/>
      <w:pgMar w:top="576" w:right="720" w:bottom="1008"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92" w:rsidRDefault="00074192" w:rsidP="00091533">
      <w:r>
        <w:separator/>
      </w:r>
    </w:p>
  </w:endnote>
  <w:endnote w:type="continuationSeparator" w:id="0">
    <w:p w:rsidR="00074192" w:rsidRDefault="00074192" w:rsidP="0009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03011"/>
      <w:docPartObj>
        <w:docPartGallery w:val="Page Numbers (Bottom of Page)"/>
        <w:docPartUnique/>
      </w:docPartObj>
    </w:sdtPr>
    <w:sdtEndPr>
      <w:rPr>
        <w:rFonts w:ascii="Tahoma" w:hAnsi="Tahoma" w:cs="Tahoma"/>
        <w:color w:val="A6A6A6" w:themeColor="background1" w:themeShade="A6"/>
        <w:spacing w:val="60"/>
        <w:sz w:val="18"/>
        <w:szCs w:val="18"/>
      </w:rPr>
    </w:sdtEndPr>
    <w:sdtContent>
      <w:p w:rsidR="006A77D8" w:rsidRDefault="006A77D8" w:rsidP="006A77D8">
        <w:pPr>
          <w:pStyle w:val="Footer"/>
          <w:pBdr>
            <w:top w:val="single" w:sz="4" w:space="0" w:color="D9D9D9" w:themeColor="background1" w:themeShade="D9"/>
          </w:pBdr>
        </w:pPr>
        <w:r>
          <w:fldChar w:fldCharType="begin"/>
        </w:r>
        <w:r>
          <w:instrText xml:space="preserve"> PAGE  \* Arabic  \* MERGEFORMAT </w:instrText>
        </w:r>
        <w:r>
          <w:fldChar w:fldCharType="separate"/>
        </w:r>
        <w:r w:rsidR="00FE71CC">
          <w:rPr>
            <w:noProof/>
          </w:rPr>
          <w:t>4</w:t>
        </w:r>
        <w:r>
          <w:fldChar w:fldCharType="end"/>
        </w:r>
      </w:p>
      <w:p w:rsidR="006A77D8" w:rsidRPr="007765E7" w:rsidRDefault="00AF7F77" w:rsidP="00AF7F77">
        <w:pPr>
          <w:pStyle w:val="Footer"/>
          <w:pBdr>
            <w:top w:val="single" w:sz="4" w:space="0" w:color="D9D9D9" w:themeColor="background1" w:themeShade="D9"/>
          </w:pBdr>
          <w:rPr>
            <w:rFonts w:ascii="Tahoma" w:hAnsi="Tahoma" w:cs="Tahoma"/>
            <w:b/>
            <w:bCs/>
            <w:color w:val="A6A6A6" w:themeColor="background1" w:themeShade="A6"/>
            <w:sz w:val="18"/>
            <w:szCs w:val="18"/>
          </w:rPr>
        </w:pPr>
        <w:r>
          <w:rPr>
            <w:rFonts w:ascii="Tahoma" w:hAnsi="Tahoma" w:cs="Tahoma"/>
            <w:b/>
            <w:bCs/>
            <w:color w:val="A6A6A6" w:themeColor="background1" w:themeShade="A6"/>
            <w:sz w:val="18"/>
            <w:szCs w:val="18"/>
          </w:rPr>
          <w:fldChar w:fldCharType="begin"/>
        </w:r>
        <w:r>
          <w:rPr>
            <w:rFonts w:ascii="Tahoma" w:hAnsi="Tahoma" w:cs="Tahoma"/>
            <w:b/>
            <w:bCs/>
            <w:color w:val="A6A6A6" w:themeColor="background1" w:themeShade="A6"/>
            <w:sz w:val="18"/>
            <w:szCs w:val="18"/>
          </w:rPr>
          <w:instrText xml:space="preserve"> FILENAME  \* Caps \p  \* MERGEFORMAT </w:instrText>
        </w:r>
        <w:r>
          <w:rPr>
            <w:rFonts w:ascii="Tahoma" w:hAnsi="Tahoma" w:cs="Tahoma"/>
            <w:b/>
            <w:bCs/>
            <w:color w:val="A6A6A6" w:themeColor="background1" w:themeShade="A6"/>
            <w:sz w:val="18"/>
            <w:szCs w:val="18"/>
          </w:rPr>
          <w:fldChar w:fldCharType="separate"/>
        </w:r>
        <w:r w:rsidR="00CB42B6">
          <w:rPr>
            <w:rFonts w:ascii="Tahoma" w:hAnsi="Tahoma" w:cs="Tahoma"/>
            <w:b/>
            <w:bCs/>
            <w:noProof/>
            <w:color w:val="A6A6A6" w:themeColor="background1" w:themeShade="A6"/>
            <w:sz w:val="18"/>
            <w:szCs w:val="18"/>
          </w:rPr>
          <w:t>J:\A-6 School Improvement &amp; Accountability\21st CCLC\__Monitoring\2016-17 Monitoring\Monitoring Tools\Monitoring Process 2016-17 21st CCLC Title IV-B .Docx</w:t>
        </w:r>
        <w:r>
          <w:rPr>
            <w:rFonts w:ascii="Tahoma" w:hAnsi="Tahoma" w:cs="Tahoma"/>
            <w:b/>
            <w:bCs/>
            <w:color w:val="A6A6A6" w:themeColor="background1" w:themeShade="A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92" w:rsidRDefault="00074192" w:rsidP="00091533">
      <w:r>
        <w:separator/>
      </w:r>
    </w:p>
  </w:footnote>
  <w:footnote w:type="continuationSeparator" w:id="0">
    <w:p w:rsidR="00074192" w:rsidRDefault="00074192" w:rsidP="0009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D8" w:rsidRPr="00A37B4C" w:rsidRDefault="006A77D8" w:rsidP="006A77D8">
    <w:pPr>
      <w:pStyle w:val="Header"/>
      <w:rPr>
        <w:rFonts w:ascii="Tahoma" w:hAnsi="Tahoma" w:cs="Tahoma"/>
        <w:b/>
        <w:sz w:val="20"/>
        <w:szCs w:val="20"/>
      </w:rPr>
    </w:pPr>
    <w:r w:rsidRPr="00A37B4C">
      <w:rPr>
        <w:rFonts w:ascii="Tahoma" w:hAnsi="Tahoma" w:cs="Tahoma"/>
        <w:b/>
        <w:noProof/>
        <w:sz w:val="20"/>
        <w:szCs w:val="20"/>
      </w:rPr>
      <w:drawing>
        <wp:anchor distT="0" distB="0" distL="114300" distR="114300" simplePos="0" relativeHeight="251659264" behindDoc="1" locked="0" layoutInCell="1" allowOverlap="1" wp14:anchorId="18F14C94" wp14:editId="7C137D9D">
          <wp:simplePos x="0" y="0"/>
          <wp:positionH relativeFrom="column">
            <wp:posOffset>4415790</wp:posOffset>
          </wp:positionH>
          <wp:positionV relativeFrom="paragraph">
            <wp:posOffset>-107315</wp:posOffset>
          </wp:positionV>
          <wp:extent cx="1991360" cy="338455"/>
          <wp:effectExtent l="0" t="0" r="8890" b="4445"/>
          <wp:wrapThrough wrapText="bothSides">
            <wp:wrapPolygon edited="0">
              <wp:start x="3099" y="0"/>
              <wp:lineTo x="0" y="6079"/>
              <wp:lineTo x="0" y="15805"/>
              <wp:lineTo x="3306" y="20668"/>
              <wp:lineTo x="5786" y="20668"/>
              <wp:lineTo x="21490" y="19452"/>
              <wp:lineTo x="21490" y="1216"/>
              <wp:lineTo x="5786" y="0"/>
              <wp:lineTo x="3099" y="0"/>
            </wp:wrapPolygon>
          </wp:wrapThrough>
          <wp:docPr id="1" name="Picture 1" descr="ode_logo_black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_logo_black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B4C">
      <w:rPr>
        <w:rFonts w:ascii="Tahoma" w:hAnsi="Tahoma" w:cs="Tahoma"/>
        <w:b/>
        <w:sz w:val="20"/>
        <w:szCs w:val="20"/>
      </w:rPr>
      <w:t>21</w:t>
    </w:r>
    <w:r w:rsidRPr="00A37B4C">
      <w:rPr>
        <w:rFonts w:ascii="Tahoma" w:hAnsi="Tahoma" w:cs="Tahoma"/>
        <w:b/>
        <w:sz w:val="20"/>
        <w:szCs w:val="20"/>
        <w:vertAlign w:val="superscript"/>
      </w:rPr>
      <w:t>st</w:t>
    </w:r>
    <w:r w:rsidRPr="00A37B4C">
      <w:rPr>
        <w:rFonts w:ascii="Tahoma" w:hAnsi="Tahoma" w:cs="Tahoma"/>
        <w:b/>
        <w:sz w:val="20"/>
        <w:szCs w:val="20"/>
      </w:rPr>
      <w:t xml:space="preserve"> CCLC Program Review</w:t>
    </w:r>
  </w:p>
  <w:p w:rsidR="006A77D8" w:rsidRPr="00B47E8C" w:rsidRDefault="006A77D8" w:rsidP="006A77D8">
    <w:pPr>
      <w:pStyle w:val="Header"/>
      <w:rPr>
        <w:rFonts w:ascii="Tahoma" w:hAnsi="Tahoma" w:cs="Tahoma"/>
        <w:b/>
        <w:sz w:val="20"/>
        <w:szCs w:val="20"/>
      </w:rPr>
    </w:pPr>
    <w:r w:rsidRPr="00B47E8C">
      <w:rPr>
        <w:rFonts w:ascii="Tahoma" w:hAnsi="Tahoma" w:cs="Tahoma"/>
        <w:b/>
        <w:sz w:val="20"/>
        <w:szCs w:val="20"/>
      </w:rPr>
      <w:t>2016-2017</w:t>
    </w:r>
  </w:p>
  <w:p w:rsidR="006A77D8" w:rsidRDefault="00074192" w:rsidP="006A77D8">
    <w:pPr>
      <w:pStyle w:val="Header"/>
    </w:pPr>
    <w:r>
      <w:rPr>
        <w:b/>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9E6"/>
    <w:multiLevelType w:val="hybridMultilevel"/>
    <w:tmpl w:val="CFCA080C"/>
    <w:lvl w:ilvl="0" w:tplc="C9C8A392">
      <w:start w:val="1"/>
      <w:numFmt w:val="bullet"/>
      <w:lvlText w:val=""/>
      <w:lvlJc w:val="left"/>
      <w:pPr>
        <w:ind w:left="360" w:hanging="360"/>
      </w:pPr>
      <w:rPr>
        <w:rFonts w:ascii="Symbol" w:hAnsi="Symbol" w:hint="default"/>
        <w:b/>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E3993"/>
    <w:multiLevelType w:val="hybridMultilevel"/>
    <w:tmpl w:val="EAFEB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A7144"/>
    <w:multiLevelType w:val="hybridMultilevel"/>
    <w:tmpl w:val="6056251C"/>
    <w:lvl w:ilvl="0" w:tplc="CEECB20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F5309"/>
    <w:multiLevelType w:val="hybridMultilevel"/>
    <w:tmpl w:val="70ACE8DC"/>
    <w:lvl w:ilvl="0" w:tplc="04090005">
      <w:start w:val="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4" w15:restartNumberingAfterBreak="0">
    <w:nsid w:val="0DD41FC6"/>
    <w:multiLevelType w:val="hybridMultilevel"/>
    <w:tmpl w:val="EE0A8C02"/>
    <w:lvl w:ilvl="0" w:tplc="3886B9BA">
      <w:start w:val="1"/>
      <w:numFmt w:val="bullet"/>
      <w:lvlText w:val=""/>
      <w:lvlJc w:val="left"/>
      <w:pPr>
        <w:tabs>
          <w:tab w:val="num" w:pos="360"/>
        </w:tabs>
        <w:ind w:left="360" w:hanging="360"/>
      </w:pPr>
      <w:rPr>
        <w:rFonts w:ascii="Symbol" w:hAnsi="Symbol" w:hint="default"/>
        <w:b/>
        <w:i w:val="0"/>
        <w:strike w:val="0"/>
        <w:sz w:val="24"/>
        <w:szCs w:val="16"/>
      </w:rPr>
    </w:lvl>
    <w:lvl w:ilvl="1" w:tplc="2D70796A">
      <w:start w:val="1"/>
      <w:numFmt w:val="lowerLetter"/>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D1991"/>
    <w:multiLevelType w:val="hybridMultilevel"/>
    <w:tmpl w:val="23E20240"/>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64F17F4"/>
    <w:multiLevelType w:val="hybridMultilevel"/>
    <w:tmpl w:val="B620794E"/>
    <w:lvl w:ilvl="0" w:tplc="4620B8A4">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33640"/>
    <w:multiLevelType w:val="hybridMultilevel"/>
    <w:tmpl w:val="F2182C4C"/>
    <w:lvl w:ilvl="0" w:tplc="B4D0F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9561E"/>
    <w:multiLevelType w:val="hybridMultilevel"/>
    <w:tmpl w:val="EEE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56401"/>
    <w:multiLevelType w:val="hybridMultilevel"/>
    <w:tmpl w:val="7E562CF8"/>
    <w:lvl w:ilvl="0" w:tplc="926481CA">
      <w:start w:val="1"/>
      <w:numFmt w:val="bullet"/>
      <w:lvlText w:val=""/>
      <w:lvlJc w:val="left"/>
      <w:pPr>
        <w:tabs>
          <w:tab w:val="num" w:pos="360"/>
        </w:tabs>
        <w:ind w:left="360" w:hanging="360"/>
      </w:pPr>
      <w:rPr>
        <w:rFonts w:ascii="Symbol" w:hAnsi="Symbol" w:hint="default"/>
        <w:b/>
        <w:i w:val="0"/>
        <w:strike w:val="0"/>
        <w:sz w:val="24"/>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81EAD"/>
    <w:multiLevelType w:val="hybridMultilevel"/>
    <w:tmpl w:val="0B68EA90"/>
    <w:lvl w:ilvl="0" w:tplc="3886B9BA">
      <w:start w:val="1"/>
      <w:numFmt w:val="bullet"/>
      <w:lvlText w:val=""/>
      <w:lvlJc w:val="left"/>
      <w:pPr>
        <w:ind w:left="360" w:hanging="360"/>
      </w:pPr>
      <w:rPr>
        <w:rFonts w:ascii="Symbol" w:hAnsi="Symbol" w:hint="default"/>
        <w:b/>
        <w:i w:val="0"/>
        <w:strike w:val="0"/>
        <w:sz w:val="2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773287"/>
    <w:multiLevelType w:val="hybridMultilevel"/>
    <w:tmpl w:val="C3D8E59E"/>
    <w:lvl w:ilvl="0" w:tplc="B4D0FBDE">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2CAE48FC"/>
    <w:multiLevelType w:val="hybridMultilevel"/>
    <w:tmpl w:val="769A5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E7593C"/>
    <w:multiLevelType w:val="hybridMultilevel"/>
    <w:tmpl w:val="4F46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61C22"/>
    <w:multiLevelType w:val="hybridMultilevel"/>
    <w:tmpl w:val="8BD00D96"/>
    <w:lvl w:ilvl="0" w:tplc="C9C8A392">
      <w:start w:val="1"/>
      <w:numFmt w:val="bullet"/>
      <w:lvlText w:val=""/>
      <w:lvlJc w:val="left"/>
      <w:pPr>
        <w:ind w:left="360" w:hanging="360"/>
      </w:pPr>
      <w:rPr>
        <w:rFonts w:ascii="Symbol" w:hAnsi="Symbol" w:hint="default"/>
        <w:b/>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8F00B4"/>
    <w:multiLevelType w:val="hybridMultilevel"/>
    <w:tmpl w:val="2958815C"/>
    <w:lvl w:ilvl="0" w:tplc="C9C8A392">
      <w:start w:val="1"/>
      <w:numFmt w:val="bullet"/>
      <w:lvlText w:val=""/>
      <w:lvlJc w:val="left"/>
      <w:pPr>
        <w:tabs>
          <w:tab w:val="num" w:pos="360"/>
        </w:tabs>
        <w:ind w:left="360" w:hanging="360"/>
      </w:pPr>
      <w:rPr>
        <w:rFonts w:ascii="Symbol" w:hAnsi="Symbol" w:hint="default"/>
        <w:b/>
        <w:i w:val="0"/>
        <w:sz w:val="24"/>
        <w:szCs w:val="24"/>
      </w:rPr>
    </w:lvl>
    <w:lvl w:ilvl="1" w:tplc="C9C8A392">
      <w:start w:val="1"/>
      <w:numFmt w:val="bullet"/>
      <w:lvlText w:val=""/>
      <w:lvlJc w:val="left"/>
      <w:pPr>
        <w:tabs>
          <w:tab w:val="num" w:pos="1440"/>
        </w:tabs>
        <w:ind w:left="1440" w:hanging="360"/>
      </w:pPr>
      <w:rPr>
        <w:rFonts w:ascii="Symbol" w:hAnsi="Symbol"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50824"/>
    <w:multiLevelType w:val="hybridMultilevel"/>
    <w:tmpl w:val="F63C0F9E"/>
    <w:lvl w:ilvl="0" w:tplc="B4D0FBDE">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3C29373D"/>
    <w:multiLevelType w:val="hybridMultilevel"/>
    <w:tmpl w:val="184EA7F6"/>
    <w:lvl w:ilvl="0" w:tplc="D034EA94">
      <w:start w:val="1"/>
      <w:numFmt w:val="bullet"/>
      <w:lvlText w:val=""/>
      <w:lvlJc w:val="left"/>
      <w:pPr>
        <w:tabs>
          <w:tab w:val="num" w:pos="288"/>
        </w:tabs>
        <w:ind w:left="288"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5657D"/>
    <w:multiLevelType w:val="hybridMultilevel"/>
    <w:tmpl w:val="5B60C5A6"/>
    <w:lvl w:ilvl="0" w:tplc="3886B9BA">
      <w:start w:val="1"/>
      <w:numFmt w:val="bullet"/>
      <w:lvlText w:val=""/>
      <w:lvlJc w:val="left"/>
      <w:pPr>
        <w:ind w:left="360" w:hanging="360"/>
      </w:pPr>
      <w:rPr>
        <w:rFonts w:ascii="Symbol" w:hAnsi="Symbol" w:hint="default"/>
        <w:b/>
        <w:i w:val="0"/>
        <w:strike w:val="0"/>
        <w:sz w:val="2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093A54"/>
    <w:multiLevelType w:val="hybridMultilevel"/>
    <w:tmpl w:val="BC0A489A"/>
    <w:lvl w:ilvl="0" w:tplc="2884B1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12765"/>
    <w:multiLevelType w:val="hybridMultilevel"/>
    <w:tmpl w:val="327C3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53FE6"/>
    <w:multiLevelType w:val="hybridMultilevel"/>
    <w:tmpl w:val="4996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A6C2A"/>
    <w:multiLevelType w:val="hybridMultilevel"/>
    <w:tmpl w:val="940A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803F9"/>
    <w:multiLevelType w:val="hybridMultilevel"/>
    <w:tmpl w:val="08669D94"/>
    <w:lvl w:ilvl="0" w:tplc="88E2AF12">
      <w:start w:val="1"/>
      <w:numFmt w:val="bullet"/>
      <w:lvlText w:val=""/>
      <w:lvlJc w:val="left"/>
      <w:pPr>
        <w:tabs>
          <w:tab w:val="num" w:pos="360"/>
        </w:tabs>
        <w:ind w:left="360" w:hanging="360"/>
      </w:pPr>
      <w:rPr>
        <w:rFonts w:ascii="Symbol" w:hAnsi="Symbol" w:hint="default"/>
        <w:b/>
        <w:i w:val="0"/>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D524B"/>
    <w:multiLevelType w:val="hybridMultilevel"/>
    <w:tmpl w:val="39249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359C9"/>
    <w:multiLevelType w:val="hybridMultilevel"/>
    <w:tmpl w:val="2442578C"/>
    <w:lvl w:ilvl="0" w:tplc="3886B9BA">
      <w:start w:val="1"/>
      <w:numFmt w:val="bullet"/>
      <w:lvlText w:val=""/>
      <w:lvlJc w:val="left"/>
      <w:pPr>
        <w:tabs>
          <w:tab w:val="num" w:pos="360"/>
        </w:tabs>
        <w:ind w:left="360" w:hanging="360"/>
      </w:pPr>
      <w:rPr>
        <w:rFonts w:ascii="Symbol" w:hAnsi="Symbol" w:hint="default"/>
        <w:b/>
        <w:i w:val="0"/>
        <w:strike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7700F"/>
    <w:multiLevelType w:val="hybridMultilevel"/>
    <w:tmpl w:val="606A3842"/>
    <w:lvl w:ilvl="0" w:tplc="811C7CF6">
      <w:start w:val="1"/>
      <w:numFmt w:val="bullet"/>
      <w:lvlText w:val=""/>
      <w:lvlJc w:val="left"/>
      <w:pPr>
        <w:ind w:left="448" w:hanging="360"/>
      </w:pPr>
      <w:rPr>
        <w:rFonts w:ascii="Symbol" w:hAnsi="Symbol" w:hint="default"/>
        <w:b/>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74D86"/>
    <w:multiLevelType w:val="hybridMultilevel"/>
    <w:tmpl w:val="D39A4DD2"/>
    <w:lvl w:ilvl="0" w:tplc="B4D0FB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E1357A"/>
    <w:multiLevelType w:val="hybridMultilevel"/>
    <w:tmpl w:val="7D28F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24EAC"/>
    <w:multiLevelType w:val="hybridMultilevel"/>
    <w:tmpl w:val="B2F4ECB8"/>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51EF7"/>
    <w:multiLevelType w:val="hybridMultilevel"/>
    <w:tmpl w:val="242AA456"/>
    <w:lvl w:ilvl="0" w:tplc="2508FB8E">
      <w:start w:val="1"/>
      <w:numFmt w:val="bullet"/>
      <w:lvlText w:val=""/>
      <w:lvlJc w:val="left"/>
      <w:pPr>
        <w:ind w:left="702" w:hanging="360"/>
      </w:pPr>
      <w:rPr>
        <w:rFonts w:ascii="Symbol" w:hAnsi="Symbol" w:hint="default"/>
        <w:b/>
        <w:i w:val="0"/>
        <w:sz w:val="18"/>
        <w:szCs w:val="18"/>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31" w15:restartNumberingAfterBreak="0">
    <w:nsid w:val="6D24499B"/>
    <w:multiLevelType w:val="hybridMultilevel"/>
    <w:tmpl w:val="2BD6004A"/>
    <w:lvl w:ilvl="0" w:tplc="04090005">
      <w:start w:val="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2" w15:restartNumberingAfterBreak="0">
    <w:nsid w:val="6F9C055E"/>
    <w:multiLevelType w:val="hybridMultilevel"/>
    <w:tmpl w:val="EEC0E6E0"/>
    <w:lvl w:ilvl="0" w:tplc="AED84A9A">
      <w:start w:val="1"/>
      <w:numFmt w:val="bullet"/>
      <w:lvlText w:val=""/>
      <w:lvlJc w:val="left"/>
      <w:pPr>
        <w:ind w:left="360" w:hanging="360"/>
      </w:pPr>
      <w:rPr>
        <w:rFonts w:ascii="Symbol" w:hAnsi="Symbol" w:hint="default"/>
        <w:b/>
        <w:i w:val="0"/>
        <w:strike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CF31D6"/>
    <w:multiLevelType w:val="hybridMultilevel"/>
    <w:tmpl w:val="6270BE92"/>
    <w:lvl w:ilvl="0" w:tplc="3886B9BA">
      <w:start w:val="1"/>
      <w:numFmt w:val="bullet"/>
      <w:lvlText w:val=""/>
      <w:lvlJc w:val="left"/>
      <w:pPr>
        <w:ind w:left="360" w:hanging="360"/>
      </w:pPr>
      <w:rPr>
        <w:rFonts w:ascii="Symbol" w:hAnsi="Symbol" w:hint="default"/>
        <w:b/>
        <w:i w:val="0"/>
        <w:strike w:val="0"/>
        <w:sz w:val="2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892632"/>
    <w:multiLevelType w:val="hybridMultilevel"/>
    <w:tmpl w:val="F1AC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179E3"/>
    <w:multiLevelType w:val="hybridMultilevel"/>
    <w:tmpl w:val="89A64BA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15:restartNumberingAfterBreak="0">
    <w:nsid w:val="77D918B1"/>
    <w:multiLevelType w:val="hybridMultilevel"/>
    <w:tmpl w:val="F64C5AFA"/>
    <w:lvl w:ilvl="0" w:tplc="C9C8A392">
      <w:start w:val="1"/>
      <w:numFmt w:val="bullet"/>
      <w:lvlText w:val=""/>
      <w:lvlJc w:val="left"/>
      <w:pPr>
        <w:ind w:left="360" w:hanging="360"/>
      </w:pPr>
      <w:rPr>
        <w:rFonts w:ascii="Symbol" w:hAnsi="Symbol" w:hint="default"/>
        <w:b/>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114938"/>
    <w:multiLevelType w:val="hybridMultilevel"/>
    <w:tmpl w:val="E238F942"/>
    <w:lvl w:ilvl="0" w:tplc="88E2AF12">
      <w:start w:val="1"/>
      <w:numFmt w:val="bullet"/>
      <w:lvlText w:val=""/>
      <w:lvlJc w:val="left"/>
      <w:pPr>
        <w:tabs>
          <w:tab w:val="num" w:pos="360"/>
        </w:tabs>
        <w:ind w:left="360" w:hanging="360"/>
      </w:pPr>
      <w:rPr>
        <w:rFonts w:ascii="Symbol" w:hAnsi="Symbol" w:hint="default"/>
        <w:b/>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55890"/>
    <w:multiLevelType w:val="hybridMultilevel"/>
    <w:tmpl w:val="6B008020"/>
    <w:lvl w:ilvl="0" w:tplc="580C2C14">
      <w:start w:val="1"/>
      <w:numFmt w:val="bullet"/>
      <w:lvlText w:val=""/>
      <w:lvlJc w:val="left"/>
      <w:pPr>
        <w:tabs>
          <w:tab w:val="num" w:pos="360"/>
        </w:tabs>
        <w:ind w:left="360" w:hanging="360"/>
      </w:pPr>
      <w:rPr>
        <w:rFonts w:ascii="Symbol" w:hAnsi="Symbol" w:hint="default"/>
        <w:b/>
        <w:i w:val="0"/>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E50236"/>
    <w:multiLevelType w:val="hybridMultilevel"/>
    <w:tmpl w:val="004849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4822EC"/>
    <w:multiLevelType w:val="hybridMultilevel"/>
    <w:tmpl w:val="FA7E5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E62BA"/>
    <w:multiLevelType w:val="hybridMultilevel"/>
    <w:tmpl w:val="96C6A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E648F"/>
    <w:multiLevelType w:val="hybridMultilevel"/>
    <w:tmpl w:val="4DAE9AEC"/>
    <w:lvl w:ilvl="0" w:tplc="2884B1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E542A3"/>
    <w:multiLevelType w:val="hybridMultilevel"/>
    <w:tmpl w:val="734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17"/>
  </w:num>
  <w:num w:numId="4">
    <w:abstractNumId w:val="4"/>
  </w:num>
  <w:num w:numId="5">
    <w:abstractNumId w:val="18"/>
  </w:num>
  <w:num w:numId="6">
    <w:abstractNumId w:val="10"/>
  </w:num>
  <w:num w:numId="7">
    <w:abstractNumId w:val="33"/>
  </w:num>
  <w:num w:numId="8">
    <w:abstractNumId w:val="0"/>
  </w:num>
  <w:num w:numId="9">
    <w:abstractNumId w:val="19"/>
  </w:num>
  <w:num w:numId="10">
    <w:abstractNumId w:val="1"/>
  </w:num>
  <w:num w:numId="11">
    <w:abstractNumId w:val="14"/>
  </w:num>
  <w:num w:numId="12">
    <w:abstractNumId w:val="25"/>
  </w:num>
  <w:num w:numId="13">
    <w:abstractNumId w:val="9"/>
  </w:num>
  <w:num w:numId="14">
    <w:abstractNumId w:val="15"/>
  </w:num>
  <w:num w:numId="15">
    <w:abstractNumId w:val="32"/>
  </w:num>
  <w:num w:numId="16">
    <w:abstractNumId w:val="38"/>
  </w:num>
  <w:num w:numId="17">
    <w:abstractNumId w:val="30"/>
  </w:num>
  <w:num w:numId="18">
    <w:abstractNumId w:val="26"/>
  </w:num>
  <w:num w:numId="19">
    <w:abstractNumId w:val="37"/>
  </w:num>
  <w:num w:numId="20">
    <w:abstractNumId w:val="23"/>
  </w:num>
  <w:num w:numId="21">
    <w:abstractNumId w:val="22"/>
  </w:num>
  <w:num w:numId="22">
    <w:abstractNumId w:val="8"/>
  </w:num>
  <w:num w:numId="23">
    <w:abstractNumId w:val="35"/>
  </w:num>
  <w:num w:numId="24">
    <w:abstractNumId w:val="43"/>
  </w:num>
  <w:num w:numId="25">
    <w:abstractNumId w:val="34"/>
  </w:num>
  <w:num w:numId="26">
    <w:abstractNumId w:val="29"/>
  </w:num>
  <w:num w:numId="27">
    <w:abstractNumId w:val="6"/>
  </w:num>
  <w:num w:numId="28">
    <w:abstractNumId w:val="39"/>
  </w:num>
  <w:num w:numId="29">
    <w:abstractNumId w:val="3"/>
  </w:num>
  <w:num w:numId="30">
    <w:abstractNumId w:val="5"/>
  </w:num>
  <w:num w:numId="31">
    <w:abstractNumId w:val="31"/>
  </w:num>
  <w:num w:numId="32">
    <w:abstractNumId w:val="27"/>
  </w:num>
  <w:num w:numId="33">
    <w:abstractNumId w:val="16"/>
  </w:num>
  <w:num w:numId="34">
    <w:abstractNumId w:val="24"/>
  </w:num>
  <w:num w:numId="35">
    <w:abstractNumId w:val="7"/>
  </w:num>
  <w:num w:numId="36">
    <w:abstractNumId w:val="11"/>
  </w:num>
  <w:num w:numId="37">
    <w:abstractNumId w:val="41"/>
  </w:num>
  <w:num w:numId="38">
    <w:abstractNumId w:val="28"/>
  </w:num>
  <w:num w:numId="39">
    <w:abstractNumId w:val="20"/>
  </w:num>
  <w:num w:numId="40">
    <w:abstractNumId w:val="21"/>
  </w:num>
  <w:num w:numId="41">
    <w:abstractNumId w:val="2"/>
  </w:num>
  <w:num w:numId="42">
    <w:abstractNumId w:val="40"/>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33"/>
    <w:rsid w:val="00001A47"/>
    <w:rsid w:val="00012AE4"/>
    <w:rsid w:val="00014A83"/>
    <w:rsid w:val="00015E1D"/>
    <w:rsid w:val="00027C8F"/>
    <w:rsid w:val="00030423"/>
    <w:rsid w:val="00031A6A"/>
    <w:rsid w:val="00046CD8"/>
    <w:rsid w:val="0004727B"/>
    <w:rsid w:val="0005063C"/>
    <w:rsid w:val="000547B0"/>
    <w:rsid w:val="0006149B"/>
    <w:rsid w:val="00062674"/>
    <w:rsid w:val="00064BA8"/>
    <w:rsid w:val="00064C45"/>
    <w:rsid w:val="00074192"/>
    <w:rsid w:val="000807AC"/>
    <w:rsid w:val="00083790"/>
    <w:rsid w:val="00084075"/>
    <w:rsid w:val="00085364"/>
    <w:rsid w:val="000869C0"/>
    <w:rsid w:val="00090645"/>
    <w:rsid w:val="00091533"/>
    <w:rsid w:val="0009265F"/>
    <w:rsid w:val="000A244B"/>
    <w:rsid w:val="000B757A"/>
    <w:rsid w:val="000C7D1A"/>
    <w:rsid w:val="000C7EB1"/>
    <w:rsid w:val="000D1C62"/>
    <w:rsid w:val="000D3727"/>
    <w:rsid w:val="000E079A"/>
    <w:rsid w:val="000E0EF2"/>
    <w:rsid w:val="000E32D4"/>
    <w:rsid w:val="000E4828"/>
    <w:rsid w:val="000E517E"/>
    <w:rsid w:val="000E7EBC"/>
    <w:rsid w:val="000F12F3"/>
    <w:rsid w:val="000F3001"/>
    <w:rsid w:val="001012E9"/>
    <w:rsid w:val="00106EA9"/>
    <w:rsid w:val="001079F0"/>
    <w:rsid w:val="001230DB"/>
    <w:rsid w:val="001238D9"/>
    <w:rsid w:val="001274F8"/>
    <w:rsid w:val="001305F3"/>
    <w:rsid w:val="00130CB1"/>
    <w:rsid w:val="0013244E"/>
    <w:rsid w:val="00132CB8"/>
    <w:rsid w:val="00133109"/>
    <w:rsid w:val="00137751"/>
    <w:rsid w:val="00143CD0"/>
    <w:rsid w:val="001520A4"/>
    <w:rsid w:val="00154C29"/>
    <w:rsid w:val="00155D30"/>
    <w:rsid w:val="00163BED"/>
    <w:rsid w:val="00163EB6"/>
    <w:rsid w:val="00164650"/>
    <w:rsid w:val="0016581F"/>
    <w:rsid w:val="00173C47"/>
    <w:rsid w:val="00177DEB"/>
    <w:rsid w:val="001939D6"/>
    <w:rsid w:val="00193D40"/>
    <w:rsid w:val="001A4E8C"/>
    <w:rsid w:val="001B49AA"/>
    <w:rsid w:val="001C05E3"/>
    <w:rsid w:val="001C4A16"/>
    <w:rsid w:val="001D16ED"/>
    <w:rsid w:val="001E77C4"/>
    <w:rsid w:val="001F66D9"/>
    <w:rsid w:val="00213C1B"/>
    <w:rsid w:val="002154E0"/>
    <w:rsid w:val="0021690D"/>
    <w:rsid w:val="00223594"/>
    <w:rsid w:val="00230F3A"/>
    <w:rsid w:val="00233066"/>
    <w:rsid w:val="00234126"/>
    <w:rsid w:val="002343EE"/>
    <w:rsid w:val="00234FFC"/>
    <w:rsid w:val="00237BF0"/>
    <w:rsid w:val="00240FF4"/>
    <w:rsid w:val="0024541A"/>
    <w:rsid w:val="0024648C"/>
    <w:rsid w:val="002545E0"/>
    <w:rsid w:val="00254778"/>
    <w:rsid w:val="002557F8"/>
    <w:rsid w:val="00256EC3"/>
    <w:rsid w:val="0026755F"/>
    <w:rsid w:val="00270F9A"/>
    <w:rsid w:val="002746F1"/>
    <w:rsid w:val="00275B65"/>
    <w:rsid w:val="00276073"/>
    <w:rsid w:val="0027676F"/>
    <w:rsid w:val="00285E08"/>
    <w:rsid w:val="00286833"/>
    <w:rsid w:val="002A054E"/>
    <w:rsid w:val="002A2622"/>
    <w:rsid w:val="002A31F7"/>
    <w:rsid w:val="002A7B6B"/>
    <w:rsid w:val="002B44AE"/>
    <w:rsid w:val="002B6C52"/>
    <w:rsid w:val="002C13EA"/>
    <w:rsid w:val="002C16A6"/>
    <w:rsid w:val="002C6546"/>
    <w:rsid w:val="002C677C"/>
    <w:rsid w:val="002E3EA8"/>
    <w:rsid w:val="002E7E23"/>
    <w:rsid w:val="002F04C9"/>
    <w:rsid w:val="002F6623"/>
    <w:rsid w:val="00301DC8"/>
    <w:rsid w:val="003053F2"/>
    <w:rsid w:val="00305C3E"/>
    <w:rsid w:val="00327A97"/>
    <w:rsid w:val="0033528D"/>
    <w:rsid w:val="00336B20"/>
    <w:rsid w:val="003370E9"/>
    <w:rsid w:val="00340C46"/>
    <w:rsid w:val="0034319E"/>
    <w:rsid w:val="00343F74"/>
    <w:rsid w:val="003512B1"/>
    <w:rsid w:val="003543B2"/>
    <w:rsid w:val="00356C3C"/>
    <w:rsid w:val="00356E49"/>
    <w:rsid w:val="003600B4"/>
    <w:rsid w:val="00374FDC"/>
    <w:rsid w:val="003928F7"/>
    <w:rsid w:val="0039307F"/>
    <w:rsid w:val="003934FE"/>
    <w:rsid w:val="003A1FEC"/>
    <w:rsid w:val="003A554C"/>
    <w:rsid w:val="003B4E6A"/>
    <w:rsid w:val="003B5DBB"/>
    <w:rsid w:val="003B7BB0"/>
    <w:rsid w:val="003B7E1A"/>
    <w:rsid w:val="003C0B8D"/>
    <w:rsid w:val="003C2A95"/>
    <w:rsid w:val="003E58E6"/>
    <w:rsid w:val="003F0B70"/>
    <w:rsid w:val="003F5886"/>
    <w:rsid w:val="00401F22"/>
    <w:rsid w:val="00404F53"/>
    <w:rsid w:val="00407CD6"/>
    <w:rsid w:val="004119E6"/>
    <w:rsid w:val="00413A3D"/>
    <w:rsid w:val="004224A1"/>
    <w:rsid w:val="0042354A"/>
    <w:rsid w:val="004242D0"/>
    <w:rsid w:val="004300B1"/>
    <w:rsid w:val="004323AD"/>
    <w:rsid w:val="00432705"/>
    <w:rsid w:val="00435BCF"/>
    <w:rsid w:val="004456C1"/>
    <w:rsid w:val="0045178D"/>
    <w:rsid w:val="00466015"/>
    <w:rsid w:val="00467ECD"/>
    <w:rsid w:val="004760EB"/>
    <w:rsid w:val="00477924"/>
    <w:rsid w:val="00477B04"/>
    <w:rsid w:val="004802B1"/>
    <w:rsid w:val="00480942"/>
    <w:rsid w:val="00485216"/>
    <w:rsid w:val="00492D16"/>
    <w:rsid w:val="00497310"/>
    <w:rsid w:val="004A1877"/>
    <w:rsid w:val="004C0F37"/>
    <w:rsid w:val="004C317D"/>
    <w:rsid w:val="004C4437"/>
    <w:rsid w:val="004D0230"/>
    <w:rsid w:val="004D1CFF"/>
    <w:rsid w:val="004D7024"/>
    <w:rsid w:val="004E04CF"/>
    <w:rsid w:val="004E246D"/>
    <w:rsid w:val="004E3E58"/>
    <w:rsid w:val="004E7A3E"/>
    <w:rsid w:val="004F35C8"/>
    <w:rsid w:val="004F4FDD"/>
    <w:rsid w:val="005063AE"/>
    <w:rsid w:val="00513699"/>
    <w:rsid w:val="00523CD4"/>
    <w:rsid w:val="0053583F"/>
    <w:rsid w:val="005424D6"/>
    <w:rsid w:val="005434C1"/>
    <w:rsid w:val="00550431"/>
    <w:rsid w:val="005548F8"/>
    <w:rsid w:val="0057074A"/>
    <w:rsid w:val="0057303E"/>
    <w:rsid w:val="00581A22"/>
    <w:rsid w:val="005844CD"/>
    <w:rsid w:val="0058729C"/>
    <w:rsid w:val="0059411B"/>
    <w:rsid w:val="005B0714"/>
    <w:rsid w:val="005B2BFA"/>
    <w:rsid w:val="005B6501"/>
    <w:rsid w:val="005B7975"/>
    <w:rsid w:val="005C0ACB"/>
    <w:rsid w:val="005C11F5"/>
    <w:rsid w:val="005D1F0D"/>
    <w:rsid w:val="005D3457"/>
    <w:rsid w:val="005E2FA0"/>
    <w:rsid w:val="005E7C6C"/>
    <w:rsid w:val="005F010F"/>
    <w:rsid w:val="0060290A"/>
    <w:rsid w:val="00602E18"/>
    <w:rsid w:val="00604474"/>
    <w:rsid w:val="0060749D"/>
    <w:rsid w:val="00607B32"/>
    <w:rsid w:val="00620A44"/>
    <w:rsid w:val="00623EF6"/>
    <w:rsid w:val="006240B9"/>
    <w:rsid w:val="00633681"/>
    <w:rsid w:val="00633A30"/>
    <w:rsid w:val="00634452"/>
    <w:rsid w:val="00634C55"/>
    <w:rsid w:val="006412E5"/>
    <w:rsid w:val="00641743"/>
    <w:rsid w:val="00642527"/>
    <w:rsid w:val="0064551C"/>
    <w:rsid w:val="00656136"/>
    <w:rsid w:val="0065790B"/>
    <w:rsid w:val="006747EF"/>
    <w:rsid w:val="006769B4"/>
    <w:rsid w:val="0068105C"/>
    <w:rsid w:val="00690F08"/>
    <w:rsid w:val="00692FB6"/>
    <w:rsid w:val="00695A39"/>
    <w:rsid w:val="00696AB0"/>
    <w:rsid w:val="006A77D8"/>
    <w:rsid w:val="006B0D68"/>
    <w:rsid w:val="006B66F3"/>
    <w:rsid w:val="006C098D"/>
    <w:rsid w:val="006C3974"/>
    <w:rsid w:val="006D09CF"/>
    <w:rsid w:val="006D116C"/>
    <w:rsid w:val="006D1BA8"/>
    <w:rsid w:val="006D4E3F"/>
    <w:rsid w:val="006D5AB8"/>
    <w:rsid w:val="006E19EC"/>
    <w:rsid w:val="006E2B1F"/>
    <w:rsid w:val="006E6707"/>
    <w:rsid w:val="006F1772"/>
    <w:rsid w:val="006F1867"/>
    <w:rsid w:val="006F18B6"/>
    <w:rsid w:val="006F308E"/>
    <w:rsid w:val="006F4118"/>
    <w:rsid w:val="006F4C35"/>
    <w:rsid w:val="00703C89"/>
    <w:rsid w:val="00704A2A"/>
    <w:rsid w:val="007127F1"/>
    <w:rsid w:val="00721D0A"/>
    <w:rsid w:val="00723592"/>
    <w:rsid w:val="00723E7E"/>
    <w:rsid w:val="007445BE"/>
    <w:rsid w:val="00745AC1"/>
    <w:rsid w:val="00762D07"/>
    <w:rsid w:val="00764E56"/>
    <w:rsid w:val="0077064A"/>
    <w:rsid w:val="007765E7"/>
    <w:rsid w:val="007844A1"/>
    <w:rsid w:val="00787346"/>
    <w:rsid w:val="007907DA"/>
    <w:rsid w:val="00790F9F"/>
    <w:rsid w:val="007932CB"/>
    <w:rsid w:val="00795A33"/>
    <w:rsid w:val="007A6CF6"/>
    <w:rsid w:val="007B1090"/>
    <w:rsid w:val="007C3B04"/>
    <w:rsid w:val="007C64E2"/>
    <w:rsid w:val="007D5EA3"/>
    <w:rsid w:val="007E35EE"/>
    <w:rsid w:val="007F2503"/>
    <w:rsid w:val="007F3DF8"/>
    <w:rsid w:val="007F52C5"/>
    <w:rsid w:val="00805A47"/>
    <w:rsid w:val="0080773A"/>
    <w:rsid w:val="00812B5D"/>
    <w:rsid w:val="008208F2"/>
    <w:rsid w:val="008214B5"/>
    <w:rsid w:val="00824F5E"/>
    <w:rsid w:val="008279DA"/>
    <w:rsid w:val="00827D25"/>
    <w:rsid w:val="008306AF"/>
    <w:rsid w:val="00834AFB"/>
    <w:rsid w:val="00835C06"/>
    <w:rsid w:val="00837A2F"/>
    <w:rsid w:val="00840C72"/>
    <w:rsid w:val="00847EB6"/>
    <w:rsid w:val="00850040"/>
    <w:rsid w:val="008539E0"/>
    <w:rsid w:val="00854069"/>
    <w:rsid w:val="0086149B"/>
    <w:rsid w:val="00876F2A"/>
    <w:rsid w:val="00881960"/>
    <w:rsid w:val="00890CB3"/>
    <w:rsid w:val="00892696"/>
    <w:rsid w:val="008948F6"/>
    <w:rsid w:val="0089620C"/>
    <w:rsid w:val="008A024E"/>
    <w:rsid w:val="008A34FA"/>
    <w:rsid w:val="008A746B"/>
    <w:rsid w:val="008B5214"/>
    <w:rsid w:val="008B62EE"/>
    <w:rsid w:val="008B6389"/>
    <w:rsid w:val="008C0A7D"/>
    <w:rsid w:val="008D2FE3"/>
    <w:rsid w:val="008D56B6"/>
    <w:rsid w:val="008D5983"/>
    <w:rsid w:val="008D7840"/>
    <w:rsid w:val="008E0481"/>
    <w:rsid w:val="008E5B2C"/>
    <w:rsid w:val="008F1A3B"/>
    <w:rsid w:val="008F1A50"/>
    <w:rsid w:val="008F6C2F"/>
    <w:rsid w:val="008F6E1B"/>
    <w:rsid w:val="008F794B"/>
    <w:rsid w:val="0090065C"/>
    <w:rsid w:val="009012D5"/>
    <w:rsid w:val="00931B23"/>
    <w:rsid w:val="00932574"/>
    <w:rsid w:val="00933B19"/>
    <w:rsid w:val="00940E17"/>
    <w:rsid w:val="0094150D"/>
    <w:rsid w:val="009428F0"/>
    <w:rsid w:val="00942D3A"/>
    <w:rsid w:val="00945494"/>
    <w:rsid w:val="00961BDC"/>
    <w:rsid w:val="009710E7"/>
    <w:rsid w:val="00973572"/>
    <w:rsid w:val="00977DD5"/>
    <w:rsid w:val="00987CED"/>
    <w:rsid w:val="00994B02"/>
    <w:rsid w:val="009A69D4"/>
    <w:rsid w:val="009B20DA"/>
    <w:rsid w:val="009B5E03"/>
    <w:rsid w:val="009B5E52"/>
    <w:rsid w:val="009C3EE6"/>
    <w:rsid w:val="009C78C4"/>
    <w:rsid w:val="009D3473"/>
    <w:rsid w:val="009D40E3"/>
    <w:rsid w:val="009D5FD2"/>
    <w:rsid w:val="009E092D"/>
    <w:rsid w:val="009E440B"/>
    <w:rsid w:val="009F1EF1"/>
    <w:rsid w:val="009F2B5D"/>
    <w:rsid w:val="00A05A15"/>
    <w:rsid w:val="00A10AF6"/>
    <w:rsid w:val="00A13350"/>
    <w:rsid w:val="00A1463A"/>
    <w:rsid w:val="00A160E8"/>
    <w:rsid w:val="00A172AF"/>
    <w:rsid w:val="00A22527"/>
    <w:rsid w:val="00A27E6D"/>
    <w:rsid w:val="00A30AF5"/>
    <w:rsid w:val="00A30E1C"/>
    <w:rsid w:val="00A3294C"/>
    <w:rsid w:val="00A333F6"/>
    <w:rsid w:val="00A37B4C"/>
    <w:rsid w:val="00A413C4"/>
    <w:rsid w:val="00A41EB9"/>
    <w:rsid w:val="00A43C92"/>
    <w:rsid w:val="00A457CA"/>
    <w:rsid w:val="00A51156"/>
    <w:rsid w:val="00A52AFB"/>
    <w:rsid w:val="00A5683A"/>
    <w:rsid w:val="00A604D2"/>
    <w:rsid w:val="00A614E3"/>
    <w:rsid w:val="00A729A7"/>
    <w:rsid w:val="00A80797"/>
    <w:rsid w:val="00A8350D"/>
    <w:rsid w:val="00AA3015"/>
    <w:rsid w:val="00AA585F"/>
    <w:rsid w:val="00AB22E0"/>
    <w:rsid w:val="00AB3C32"/>
    <w:rsid w:val="00AB7F07"/>
    <w:rsid w:val="00AC6B35"/>
    <w:rsid w:val="00AC7534"/>
    <w:rsid w:val="00AD3445"/>
    <w:rsid w:val="00AE0A60"/>
    <w:rsid w:val="00AF134B"/>
    <w:rsid w:val="00AF7F77"/>
    <w:rsid w:val="00B0155B"/>
    <w:rsid w:val="00B116B0"/>
    <w:rsid w:val="00B13241"/>
    <w:rsid w:val="00B21B77"/>
    <w:rsid w:val="00B24C69"/>
    <w:rsid w:val="00B30827"/>
    <w:rsid w:val="00B32DC6"/>
    <w:rsid w:val="00B413FF"/>
    <w:rsid w:val="00B43A6A"/>
    <w:rsid w:val="00B456E3"/>
    <w:rsid w:val="00B47E8C"/>
    <w:rsid w:val="00B6127A"/>
    <w:rsid w:val="00B6159E"/>
    <w:rsid w:val="00B64655"/>
    <w:rsid w:val="00B7081A"/>
    <w:rsid w:val="00B70DBA"/>
    <w:rsid w:val="00B8164B"/>
    <w:rsid w:val="00B81987"/>
    <w:rsid w:val="00B9492F"/>
    <w:rsid w:val="00BA2C1C"/>
    <w:rsid w:val="00BB0528"/>
    <w:rsid w:val="00BB24FF"/>
    <w:rsid w:val="00BD1239"/>
    <w:rsid w:val="00BE03CE"/>
    <w:rsid w:val="00BE1890"/>
    <w:rsid w:val="00BE73D1"/>
    <w:rsid w:val="00BF1339"/>
    <w:rsid w:val="00C07D46"/>
    <w:rsid w:val="00C15EF8"/>
    <w:rsid w:val="00C22EFA"/>
    <w:rsid w:val="00C34484"/>
    <w:rsid w:val="00C37F5C"/>
    <w:rsid w:val="00C4031F"/>
    <w:rsid w:val="00C53598"/>
    <w:rsid w:val="00C6333B"/>
    <w:rsid w:val="00C645DD"/>
    <w:rsid w:val="00C67214"/>
    <w:rsid w:val="00C76448"/>
    <w:rsid w:val="00C922BC"/>
    <w:rsid w:val="00C92E96"/>
    <w:rsid w:val="00C954A0"/>
    <w:rsid w:val="00C96104"/>
    <w:rsid w:val="00C97A75"/>
    <w:rsid w:val="00C97B5D"/>
    <w:rsid w:val="00CA4CC0"/>
    <w:rsid w:val="00CB42B6"/>
    <w:rsid w:val="00CB6924"/>
    <w:rsid w:val="00CB692A"/>
    <w:rsid w:val="00CC04B2"/>
    <w:rsid w:val="00CC1775"/>
    <w:rsid w:val="00CC7F8B"/>
    <w:rsid w:val="00CD1F09"/>
    <w:rsid w:val="00CD3882"/>
    <w:rsid w:val="00CD5B33"/>
    <w:rsid w:val="00CD7E70"/>
    <w:rsid w:val="00CE7A5A"/>
    <w:rsid w:val="00CE7FBA"/>
    <w:rsid w:val="00CF4430"/>
    <w:rsid w:val="00CF5FC6"/>
    <w:rsid w:val="00CF7661"/>
    <w:rsid w:val="00D00822"/>
    <w:rsid w:val="00D00D61"/>
    <w:rsid w:val="00D112E1"/>
    <w:rsid w:val="00D22259"/>
    <w:rsid w:val="00D26BFD"/>
    <w:rsid w:val="00D315C3"/>
    <w:rsid w:val="00D4292D"/>
    <w:rsid w:val="00D42A04"/>
    <w:rsid w:val="00D430D1"/>
    <w:rsid w:val="00D44991"/>
    <w:rsid w:val="00D50C26"/>
    <w:rsid w:val="00D55182"/>
    <w:rsid w:val="00D55909"/>
    <w:rsid w:val="00D57485"/>
    <w:rsid w:val="00D629E6"/>
    <w:rsid w:val="00D726D7"/>
    <w:rsid w:val="00D73652"/>
    <w:rsid w:val="00D763D8"/>
    <w:rsid w:val="00D81A54"/>
    <w:rsid w:val="00D83255"/>
    <w:rsid w:val="00D83E87"/>
    <w:rsid w:val="00D91E75"/>
    <w:rsid w:val="00D97425"/>
    <w:rsid w:val="00DA0111"/>
    <w:rsid w:val="00DA140A"/>
    <w:rsid w:val="00DA2D09"/>
    <w:rsid w:val="00DA4D20"/>
    <w:rsid w:val="00DA6313"/>
    <w:rsid w:val="00DA72F2"/>
    <w:rsid w:val="00DB1094"/>
    <w:rsid w:val="00DC0633"/>
    <w:rsid w:val="00DD42D9"/>
    <w:rsid w:val="00DE018F"/>
    <w:rsid w:val="00DE2FA6"/>
    <w:rsid w:val="00DE3515"/>
    <w:rsid w:val="00DE43BC"/>
    <w:rsid w:val="00E00A03"/>
    <w:rsid w:val="00E064D9"/>
    <w:rsid w:val="00E07A5F"/>
    <w:rsid w:val="00E07D5E"/>
    <w:rsid w:val="00E11D81"/>
    <w:rsid w:val="00E144D1"/>
    <w:rsid w:val="00E2036E"/>
    <w:rsid w:val="00E217F4"/>
    <w:rsid w:val="00E230E4"/>
    <w:rsid w:val="00E24DDA"/>
    <w:rsid w:val="00E26003"/>
    <w:rsid w:val="00E37819"/>
    <w:rsid w:val="00E445BE"/>
    <w:rsid w:val="00E50BAF"/>
    <w:rsid w:val="00E50F2A"/>
    <w:rsid w:val="00E520BE"/>
    <w:rsid w:val="00E55ABC"/>
    <w:rsid w:val="00E608AD"/>
    <w:rsid w:val="00E620EB"/>
    <w:rsid w:val="00E72561"/>
    <w:rsid w:val="00E72CDD"/>
    <w:rsid w:val="00E740E2"/>
    <w:rsid w:val="00E85495"/>
    <w:rsid w:val="00E8777C"/>
    <w:rsid w:val="00E944E3"/>
    <w:rsid w:val="00E956E6"/>
    <w:rsid w:val="00EA2618"/>
    <w:rsid w:val="00EA471E"/>
    <w:rsid w:val="00EA5557"/>
    <w:rsid w:val="00EB775D"/>
    <w:rsid w:val="00EC6D20"/>
    <w:rsid w:val="00EC7237"/>
    <w:rsid w:val="00ED5905"/>
    <w:rsid w:val="00ED7C0B"/>
    <w:rsid w:val="00EE2A8D"/>
    <w:rsid w:val="00EE4140"/>
    <w:rsid w:val="00EE5F0A"/>
    <w:rsid w:val="00F035BE"/>
    <w:rsid w:val="00F03CC7"/>
    <w:rsid w:val="00F05F1F"/>
    <w:rsid w:val="00F11717"/>
    <w:rsid w:val="00F23443"/>
    <w:rsid w:val="00F23E84"/>
    <w:rsid w:val="00F2462D"/>
    <w:rsid w:val="00F31DA9"/>
    <w:rsid w:val="00F35053"/>
    <w:rsid w:val="00F376E9"/>
    <w:rsid w:val="00F42CC9"/>
    <w:rsid w:val="00F55B59"/>
    <w:rsid w:val="00F56221"/>
    <w:rsid w:val="00F667B8"/>
    <w:rsid w:val="00F66EB8"/>
    <w:rsid w:val="00F7218B"/>
    <w:rsid w:val="00F752FC"/>
    <w:rsid w:val="00F85EB1"/>
    <w:rsid w:val="00F86116"/>
    <w:rsid w:val="00F87A16"/>
    <w:rsid w:val="00F91029"/>
    <w:rsid w:val="00F91B64"/>
    <w:rsid w:val="00F92556"/>
    <w:rsid w:val="00F9713E"/>
    <w:rsid w:val="00FA0F64"/>
    <w:rsid w:val="00FA1168"/>
    <w:rsid w:val="00FA4854"/>
    <w:rsid w:val="00FB45C2"/>
    <w:rsid w:val="00FD1EA7"/>
    <w:rsid w:val="00FD203D"/>
    <w:rsid w:val="00FD64D5"/>
    <w:rsid w:val="00FD701F"/>
    <w:rsid w:val="00FE20B8"/>
    <w:rsid w:val="00FE71CC"/>
    <w:rsid w:val="00FE759B"/>
    <w:rsid w:val="00FF0B66"/>
    <w:rsid w:val="00FF2E91"/>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995DE-CA5C-45E9-935F-03B3A3BC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C8F"/>
    <w:rPr>
      <w:sz w:val="24"/>
      <w:szCs w:val="22"/>
    </w:rPr>
  </w:style>
  <w:style w:type="paragraph" w:styleId="Heading1">
    <w:name w:val="heading 1"/>
    <w:basedOn w:val="Normal"/>
    <w:next w:val="Normal"/>
    <w:link w:val="Heading1Char"/>
    <w:uiPriority w:val="9"/>
    <w:qFormat/>
    <w:rsid w:val="000A24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33B1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33B1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533"/>
    <w:pPr>
      <w:tabs>
        <w:tab w:val="center" w:pos="4680"/>
        <w:tab w:val="right" w:pos="9360"/>
      </w:tabs>
    </w:pPr>
  </w:style>
  <w:style w:type="character" w:customStyle="1" w:styleId="HeaderChar">
    <w:name w:val="Header Char"/>
    <w:link w:val="Header"/>
    <w:uiPriority w:val="99"/>
    <w:rsid w:val="00091533"/>
    <w:rPr>
      <w:sz w:val="24"/>
      <w:szCs w:val="22"/>
    </w:rPr>
  </w:style>
  <w:style w:type="paragraph" w:styleId="Footer">
    <w:name w:val="footer"/>
    <w:basedOn w:val="Normal"/>
    <w:link w:val="FooterChar"/>
    <w:uiPriority w:val="99"/>
    <w:unhideWhenUsed/>
    <w:rsid w:val="00091533"/>
    <w:pPr>
      <w:tabs>
        <w:tab w:val="center" w:pos="4680"/>
        <w:tab w:val="right" w:pos="9360"/>
      </w:tabs>
    </w:pPr>
  </w:style>
  <w:style w:type="character" w:customStyle="1" w:styleId="FooterChar">
    <w:name w:val="Footer Char"/>
    <w:link w:val="Footer"/>
    <w:uiPriority w:val="99"/>
    <w:rsid w:val="00091533"/>
    <w:rPr>
      <w:sz w:val="24"/>
      <w:szCs w:val="22"/>
    </w:rPr>
  </w:style>
  <w:style w:type="table" w:styleId="TableGrid">
    <w:name w:val="Table Grid"/>
    <w:basedOn w:val="TableNormal"/>
    <w:uiPriority w:val="59"/>
    <w:rsid w:val="0009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244B"/>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0A24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A244B"/>
    <w:rPr>
      <w:rFonts w:asciiTheme="majorHAnsi" w:eastAsiaTheme="majorEastAsia" w:hAnsiTheme="majorHAnsi" w:cstheme="majorBidi"/>
      <w:b/>
      <w:bCs/>
      <w:kern w:val="28"/>
      <w:sz w:val="32"/>
      <w:szCs w:val="32"/>
    </w:rPr>
  </w:style>
  <w:style w:type="paragraph" w:styleId="TOC1">
    <w:name w:val="toc 1"/>
    <w:basedOn w:val="Normal"/>
    <w:next w:val="Normal"/>
    <w:autoRedefine/>
    <w:uiPriority w:val="39"/>
    <w:unhideWhenUsed/>
    <w:qFormat/>
    <w:rsid w:val="00607B32"/>
    <w:pPr>
      <w:numPr>
        <w:numId w:val="27"/>
      </w:numPr>
      <w:tabs>
        <w:tab w:val="right" w:leader="dot" w:pos="10790"/>
      </w:tabs>
      <w:spacing w:after="240" w:line="276" w:lineRule="auto"/>
    </w:pPr>
  </w:style>
  <w:style w:type="character" w:styleId="Hyperlink">
    <w:name w:val="Hyperlink"/>
    <w:uiPriority w:val="99"/>
    <w:unhideWhenUsed/>
    <w:rsid w:val="000A244B"/>
    <w:rPr>
      <w:color w:val="0000FF"/>
      <w:u w:val="single"/>
    </w:rPr>
  </w:style>
  <w:style w:type="character" w:customStyle="1" w:styleId="Heading2Char">
    <w:name w:val="Heading 2 Char"/>
    <w:basedOn w:val="DefaultParagraphFont"/>
    <w:link w:val="Heading2"/>
    <w:uiPriority w:val="9"/>
    <w:rsid w:val="00933B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33B19"/>
    <w:rPr>
      <w:rFonts w:asciiTheme="majorHAnsi" w:eastAsiaTheme="majorEastAsia" w:hAnsiTheme="majorHAnsi" w:cstheme="majorBidi"/>
      <w:b/>
      <w:bCs/>
      <w:sz w:val="26"/>
      <w:szCs w:val="26"/>
    </w:rPr>
  </w:style>
  <w:style w:type="paragraph" w:styleId="NoSpacing">
    <w:name w:val="No Spacing"/>
    <w:uiPriority w:val="1"/>
    <w:qFormat/>
    <w:rsid w:val="00933B19"/>
    <w:rPr>
      <w:sz w:val="24"/>
      <w:szCs w:val="22"/>
    </w:rPr>
  </w:style>
  <w:style w:type="paragraph" w:styleId="BalloonText">
    <w:name w:val="Balloon Text"/>
    <w:basedOn w:val="Normal"/>
    <w:link w:val="BalloonTextChar"/>
    <w:uiPriority w:val="99"/>
    <w:semiHidden/>
    <w:unhideWhenUsed/>
    <w:rsid w:val="008279DA"/>
    <w:rPr>
      <w:rFonts w:ascii="Tahoma" w:hAnsi="Tahoma" w:cs="Tahoma"/>
      <w:sz w:val="16"/>
      <w:szCs w:val="16"/>
    </w:rPr>
  </w:style>
  <w:style w:type="character" w:customStyle="1" w:styleId="BalloonTextChar">
    <w:name w:val="Balloon Text Char"/>
    <w:basedOn w:val="DefaultParagraphFont"/>
    <w:link w:val="BalloonText"/>
    <w:uiPriority w:val="99"/>
    <w:semiHidden/>
    <w:rsid w:val="008279DA"/>
    <w:rPr>
      <w:rFonts w:ascii="Tahoma" w:hAnsi="Tahoma" w:cs="Tahoma"/>
      <w:sz w:val="16"/>
      <w:szCs w:val="16"/>
    </w:rPr>
  </w:style>
  <w:style w:type="paragraph" w:styleId="ListParagraph">
    <w:name w:val="List Paragraph"/>
    <w:basedOn w:val="Normal"/>
    <w:uiPriority w:val="34"/>
    <w:qFormat/>
    <w:rsid w:val="00BE73D1"/>
    <w:pPr>
      <w:ind w:left="720"/>
      <w:contextualSpacing/>
    </w:pPr>
  </w:style>
  <w:style w:type="character" w:styleId="FollowedHyperlink">
    <w:name w:val="FollowedHyperlink"/>
    <w:basedOn w:val="DefaultParagraphFont"/>
    <w:uiPriority w:val="99"/>
    <w:semiHidden/>
    <w:unhideWhenUsed/>
    <w:rsid w:val="00D4292D"/>
    <w:rPr>
      <w:color w:val="F8F8F8" w:themeColor="followedHyperlink"/>
      <w:u w:val="single"/>
    </w:rPr>
  </w:style>
  <w:style w:type="paragraph" w:styleId="Subtitle">
    <w:name w:val="Subtitle"/>
    <w:basedOn w:val="Normal"/>
    <w:next w:val="Normal"/>
    <w:link w:val="SubtitleChar"/>
    <w:uiPriority w:val="11"/>
    <w:qFormat/>
    <w:rsid w:val="00D726D7"/>
    <w:pPr>
      <w:numPr>
        <w:ilvl w:val="1"/>
      </w:numPr>
      <w:spacing w:after="200" w:line="276" w:lineRule="auto"/>
    </w:pPr>
    <w:rPr>
      <w:rFonts w:asciiTheme="majorHAnsi" w:eastAsiaTheme="majorEastAsia" w:hAnsiTheme="majorHAnsi" w:cstheme="majorBidi"/>
      <w:i/>
      <w:iCs/>
      <w:color w:val="DDDDDD" w:themeColor="accent1"/>
      <w:spacing w:val="15"/>
      <w:szCs w:val="24"/>
      <w:lang w:eastAsia="ja-JP"/>
    </w:rPr>
  </w:style>
  <w:style w:type="character" w:customStyle="1" w:styleId="SubtitleChar">
    <w:name w:val="Subtitle Char"/>
    <w:basedOn w:val="DefaultParagraphFont"/>
    <w:link w:val="Subtitle"/>
    <w:uiPriority w:val="11"/>
    <w:rsid w:val="00D726D7"/>
    <w:rPr>
      <w:rFonts w:asciiTheme="majorHAnsi" w:eastAsiaTheme="majorEastAsia" w:hAnsiTheme="majorHAnsi" w:cstheme="majorBidi"/>
      <w:i/>
      <w:iCs/>
      <w:color w:val="DDDDDD" w:themeColor="accent1"/>
      <w:spacing w:val="15"/>
      <w:sz w:val="24"/>
      <w:szCs w:val="24"/>
      <w:lang w:eastAsia="ja-JP"/>
    </w:rPr>
  </w:style>
  <w:style w:type="paragraph" w:styleId="TOCHeading">
    <w:name w:val="TOC Heading"/>
    <w:basedOn w:val="Heading1"/>
    <w:next w:val="Normal"/>
    <w:uiPriority w:val="39"/>
    <w:semiHidden/>
    <w:unhideWhenUsed/>
    <w:qFormat/>
    <w:rsid w:val="009F2B5D"/>
    <w:pPr>
      <w:keepLines/>
      <w:spacing w:before="480" w:after="0" w:line="276" w:lineRule="auto"/>
      <w:outlineLvl w:val="9"/>
    </w:pPr>
    <w:rPr>
      <w:color w:val="A5A5A5" w:themeColor="accent1" w:themeShade="BF"/>
      <w:kern w:val="0"/>
      <w:sz w:val="28"/>
      <w:szCs w:val="28"/>
      <w:lang w:eastAsia="ja-JP"/>
    </w:rPr>
  </w:style>
  <w:style w:type="paragraph" w:styleId="TOC2">
    <w:name w:val="toc 2"/>
    <w:basedOn w:val="Normal"/>
    <w:next w:val="Normal"/>
    <w:autoRedefine/>
    <w:uiPriority w:val="39"/>
    <w:semiHidden/>
    <w:unhideWhenUsed/>
    <w:qFormat/>
    <w:rsid w:val="00BB0528"/>
    <w:pPr>
      <w:spacing w:after="100" w:line="276" w:lineRule="auto"/>
      <w:ind w:left="220"/>
    </w:pPr>
    <w:rPr>
      <w:rFonts w:asciiTheme="minorHAnsi" w:eastAsiaTheme="minorEastAsia" w:hAnsiTheme="minorHAnsi" w:cstheme="minorBidi"/>
      <w:sz w:val="22"/>
      <w:lang w:eastAsia="ja-JP"/>
    </w:rPr>
  </w:style>
  <w:style w:type="paragraph" w:styleId="TOC3">
    <w:name w:val="toc 3"/>
    <w:basedOn w:val="Normal"/>
    <w:next w:val="Normal"/>
    <w:autoRedefine/>
    <w:uiPriority w:val="39"/>
    <w:semiHidden/>
    <w:unhideWhenUsed/>
    <w:qFormat/>
    <w:rsid w:val="00BB0528"/>
    <w:pPr>
      <w:spacing w:after="100" w:line="276" w:lineRule="auto"/>
      <w:ind w:left="440"/>
    </w:pPr>
    <w:rPr>
      <w:rFonts w:asciiTheme="minorHAnsi" w:eastAsiaTheme="minorEastAsia" w:hAnsiTheme="minorHAnsi" w:cstheme="minorBid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A2494A-A6BC-4E57-8243-0DCA5DA5FBE8}" type="doc">
      <dgm:prSet loTypeId="urn:microsoft.com/office/officeart/2005/8/layout/radial1" loCatId="relationship" qsTypeId="urn:microsoft.com/office/officeart/2005/8/quickstyle/simple1" qsCatId="simple" csTypeId="urn:microsoft.com/office/officeart/2005/8/colors/colorful2" csCatId="colorful" phldr="1"/>
      <dgm:spPr/>
      <dgm:t>
        <a:bodyPr/>
        <a:lstStyle/>
        <a:p>
          <a:endParaRPr lang="en-US"/>
        </a:p>
      </dgm:t>
    </dgm:pt>
    <dgm:pt modelId="{1AF9312B-6990-48E8-ADA6-02F7ABF850B6}">
      <dgm:prSet phldrT="[Text]" custT="1"/>
      <dgm:spPr>
        <a:xfrm>
          <a:off x="1913078" y="1462708"/>
          <a:ext cx="1881724" cy="189118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500" b="1">
              <a:solidFill>
                <a:sysClr val="window" lastClr="FFFFFF"/>
              </a:solidFill>
              <a:latin typeface="Calibri"/>
              <a:ea typeface="+mn-ea"/>
              <a:cs typeface="+mn-cs"/>
            </a:rPr>
            <a:t>21st  CCLC MONITORING </a:t>
          </a:r>
        </a:p>
      </dgm:t>
    </dgm:pt>
    <dgm:pt modelId="{BE5EFD7A-56D0-4608-9E20-148C2AE895B0}" type="parTrans" cxnId="{F51A0E7A-A819-49F0-9B08-59F9EBEFB388}">
      <dgm:prSet/>
      <dgm:spPr/>
      <dgm:t>
        <a:bodyPr/>
        <a:lstStyle/>
        <a:p>
          <a:pPr algn="ctr"/>
          <a:endParaRPr lang="en-US"/>
        </a:p>
      </dgm:t>
    </dgm:pt>
    <dgm:pt modelId="{8891E537-CA04-4375-9BAC-9C84B294D78B}" type="sibTrans" cxnId="{F51A0E7A-A819-49F0-9B08-59F9EBEFB388}">
      <dgm:prSet/>
      <dgm:spPr/>
      <dgm:t>
        <a:bodyPr/>
        <a:lstStyle/>
        <a:p>
          <a:pPr algn="ctr"/>
          <a:endParaRPr lang="en-US"/>
        </a:p>
      </dgm:t>
    </dgm:pt>
    <dgm:pt modelId="{45DB9FD2-FFA2-4656-9393-5A32FC0634C3}">
      <dgm:prSet phldrT="[Text]" custT="1"/>
      <dgm:spPr>
        <a:xfrm>
          <a:off x="2157784" y="14032"/>
          <a:ext cx="1380405" cy="138040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50" b="1">
              <a:solidFill>
                <a:sysClr val="window" lastClr="FFFFFF"/>
              </a:solidFill>
              <a:latin typeface="Calibri"/>
              <a:ea typeface="+mn-ea"/>
              <a:cs typeface="+mn-cs"/>
            </a:rPr>
            <a:t>21st CCLC  Grant &amp; Approved Amendments</a:t>
          </a:r>
        </a:p>
      </dgm:t>
    </dgm:pt>
    <dgm:pt modelId="{403137B5-E7DF-4DB3-83DA-04C4CDEC52BD}" type="parTrans" cxnId="{3DE26CD9-2A2C-4278-9312-5A68A6B994D6}">
      <dgm:prSet/>
      <dgm:spPr>
        <a:xfrm rot="16187989">
          <a:off x="2816377" y="1409083"/>
          <a:ext cx="68280" cy="38980"/>
        </a:xfrm>
        <a:custGeom>
          <a:avLst/>
          <a:gdLst/>
          <a:ahLst/>
          <a:cxnLst/>
          <a:rect l="0" t="0" r="0" b="0"/>
          <a:pathLst>
            <a:path>
              <a:moveTo>
                <a:pt x="0" y="19490"/>
              </a:moveTo>
              <a:lnTo>
                <a:pt x="68280" y="19490"/>
              </a:lnTo>
            </a:path>
          </a:pathLst>
        </a:custGeom>
        <a:noFill/>
        <a:ln w="25400" cap="flat" cmpd="sng" algn="ctr">
          <a:solidFill>
            <a:srgbClr val="9BBB59">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E4D7CBF3-5298-482D-9D06-05555F56E8EB}" type="sibTrans" cxnId="{3DE26CD9-2A2C-4278-9312-5A68A6B994D6}">
      <dgm:prSet/>
      <dgm:spPr/>
      <dgm:t>
        <a:bodyPr/>
        <a:lstStyle/>
        <a:p>
          <a:pPr algn="ctr"/>
          <a:endParaRPr lang="en-US"/>
        </a:p>
      </dgm:t>
    </dgm:pt>
    <dgm:pt modelId="{030E12E8-D54C-4556-9882-B5E8E07707F9}">
      <dgm:prSet phldrT="[Text]" custT="1"/>
      <dgm:spPr>
        <a:xfrm>
          <a:off x="3605280" y="2937932"/>
          <a:ext cx="1272468" cy="1252735"/>
        </a:xfrm>
        <a:prstGeom prst="ellipse">
          <a:avLst/>
        </a:prstGeo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250" b="1">
              <a:solidFill>
                <a:sysClr val="window" lastClr="FFFFFF"/>
              </a:solidFill>
              <a:latin typeface="Calibri"/>
              <a:ea typeface="+mn-ea"/>
              <a:cs typeface="+mn-cs"/>
            </a:rPr>
            <a:t>Desk Monitoring</a:t>
          </a:r>
        </a:p>
      </dgm:t>
    </dgm:pt>
    <dgm:pt modelId="{00F0CD25-604A-49AD-8E22-7ACE3507DBD6}" type="parTrans" cxnId="{73FE91E5-E1F4-4E94-A5D8-DE3D5579AE9F}">
      <dgm:prSet/>
      <dgm:spPr>
        <a:xfrm rot="2387877">
          <a:off x="3551523" y="3066233"/>
          <a:ext cx="231088" cy="38980"/>
        </a:xfrm>
        <a:custGeom>
          <a:avLst/>
          <a:gdLst/>
          <a:ahLst/>
          <a:cxnLst/>
          <a:rect l="0" t="0" r="0" b="0"/>
          <a:pathLst>
            <a:path>
              <a:moveTo>
                <a:pt x="0" y="19490"/>
              </a:moveTo>
              <a:lnTo>
                <a:pt x="231088" y="19490"/>
              </a:lnTo>
            </a:path>
          </a:pathLst>
        </a:custGeom>
        <a:noFill/>
        <a:ln w="25400" cap="flat" cmpd="sng" algn="ctr">
          <a:solidFill>
            <a:srgbClr val="9BBB59">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DAE00C26-0915-4583-BB11-1FCC2003B1D3}" type="sibTrans" cxnId="{73FE91E5-E1F4-4E94-A5D8-DE3D5579AE9F}">
      <dgm:prSet/>
      <dgm:spPr/>
      <dgm:t>
        <a:bodyPr/>
        <a:lstStyle/>
        <a:p>
          <a:pPr algn="ctr"/>
          <a:endParaRPr lang="en-US"/>
        </a:p>
      </dgm:t>
    </dgm:pt>
    <dgm:pt modelId="{0B95A37E-B0DF-47DA-986A-FF097988563F}">
      <dgm:prSet phldrT="[Text]" custT="1"/>
      <dgm:spPr>
        <a:xfrm>
          <a:off x="465969" y="1018870"/>
          <a:ext cx="1244954" cy="1244954"/>
        </a:xfrm>
        <a:prstGeom prst="ellipse">
          <a:avLst/>
        </a:prstGeo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300" b="1">
              <a:solidFill>
                <a:sysClr val="window" lastClr="FFFFFF"/>
              </a:solidFill>
              <a:latin typeface="Calibri"/>
              <a:ea typeface="+mn-ea"/>
              <a:cs typeface="+mn-cs"/>
            </a:rPr>
            <a:t>Technical Assistance</a:t>
          </a:r>
        </a:p>
      </dgm:t>
    </dgm:pt>
    <dgm:pt modelId="{FA565FF2-0DC2-4195-8105-03EEC5C405DF}" type="parTrans" cxnId="{B06799CF-AC5F-43B9-8A17-BC881B789983}">
      <dgm:prSet/>
      <dgm:spPr>
        <a:xfrm rot="12208845">
          <a:off x="1644441" y="1941756"/>
          <a:ext cx="360800" cy="38980"/>
        </a:xfrm>
        <a:custGeom>
          <a:avLst/>
          <a:gdLst/>
          <a:ahLst/>
          <a:cxnLst/>
          <a:rect l="0" t="0" r="0" b="0"/>
          <a:pathLst>
            <a:path>
              <a:moveTo>
                <a:pt x="0" y="19490"/>
              </a:moveTo>
              <a:lnTo>
                <a:pt x="360800" y="19490"/>
              </a:lnTo>
            </a:path>
          </a:pathLst>
        </a:custGeom>
        <a:noFill/>
        <a:ln w="25400" cap="flat" cmpd="sng" algn="ctr">
          <a:solidFill>
            <a:srgbClr val="9BBB59">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C6325F19-9853-4743-9D25-0184F0CBBCD4}" type="sibTrans" cxnId="{B06799CF-AC5F-43B9-8A17-BC881B789983}">
      <dgm:prSet/>
      <dgm:spPr/>
      <dgm:t>
        <a:bodyPr/>
        <a:lstStyle/>
        <a:p>
          <a:pPr algn="ctr"/>
          <a:endParaRPr lang="en-US"/>
        </a:p>
      </dgm:t>
    </dgm:pt>
    <dgm:pt modelId="{973FD64C-1A65-498E-8AF5-21D01D4E1673}">
      <dgm:prSet phldrT="[Text]" custT="1"/>
      <dgm:spPr>
        <a:xfrm>
          <a:off x="771013" y="2878747"/>
          <a:ext cx="1351336" cy="1351336"/>
        </a:xfrm>
        <a:prstGeom prst="ellipse">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250" b="1">
              <a:solidFill>
                <a:sysClr val="window" lastClr="FFFFFF"/>
              </a:solidFill>
              <a:latin typeface="Calibri"/>
              <a:ea typeface="+mn-ea"/>
              <a:cs typeface="+mn-cs"/>
            </a:rPr>
            <a:t>Onsite Monitoring</a:t>
          </a:r>
        </a:p>
      </dgm:t>
    </dgm:pt>
    <dgm:pt modelId="{54EF65C5-5739-4830-B5B2-8C6834D92CC4}" type="sibTrans" cxnId="{6300BF54-1316-424D-801A-AF1ECEAD1FDD}">
      <dgm:prSet/>
      <dgm:spPr/>
      <dgm:t>
        <a:bodyPr/>
        <a:lstStyle/>
        <a:p>
          <a:pPr algn="ctr"/>
          <a:endParaRPr lang="en-US"/>
        </a:p>
      </dgm:t>
    </dgm:pt>
    <dgm:pt modelId="{E4701637-4505-4076-8469-72744A8D9B5A}" type="parTrans" cxnId="{6300BF54-1316-424D-801A-AF1ECEAD1FDD}">
      <dgm:prSet/>
      <dgm:spPr>
        <a:xfrm rot="8450376">
          <a:off x="1948510" y="3046195"/>
          <a:ext cx="196517" cy="38980"/>
        </a:xfrm>
        <a:custGeom>
          <a:avLst/>
          <a:gdLst/>
          <a:ahLst/>
          <a:cxnLst/>
          <a:rect l="0" t="0" r="0" b="0"/>
          <a:pathLst>
            <a:path>
              <a:moveTo>
                <a:pt x="0" y="19490"/>
              </a:moveTo>
              <a:lnTo>
                <a:pt x="196517" y="19490"/>
              </a:lnTo>
            </a:path>
          </a:pathLst>
        </a:custGeom>
        <a:noFill/>
        <a:ln w="25400" cap="flat" cmpd="sng" algn="ctr">
          <a:solidFill>
            <a:srgbClr val="9BBB59">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960469AC-2B82-4081-8551-91436A5B8FC6}">
      <dgm:prSet custT="1"/>
      <dgm:spPr>
        <a:xfrm>
          <a:off x="4010069" y="1020211"/>
          <a:ext cx="1244954" cy="1244954"/>
        </a:xfrm>
        <a:prstGeom prst="ellipse">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en-US" sz="1300" b="1" baseline="0">
              <a:solidFill>
                <a:sysClr val="window" lastClr="FFFFFF"/>
              </a:solidFill>
              <a:latin typeface="Calibri"/>
              <a:ea typeface="+mn-ea"/>
              <a:cs typeface="+mn-cs"/>
            </a:rPr>
            <a:t>Program Data</a:t>
          </a:r>
        </a:p>
      </dgm:t>
    </dgm:pt>
    <dgm:pt modelId="{AE3F322E-CEAA-4814-B02D-B35E75761587}" type="parTrans" cxnId="{68D62820-197A-4BEA-A4C8-68A13BED9E6E}">
      <dgm:prSet/>
      <dgm:spPr>
        <a:xfrm rot="20202615">
          <a:off x="3703645" y="1942918"/>
          <a:ext cx="372314" cy="38980"/>
        </a:xfrm>
        <a:custGeom>
          <a:avLst/>
          <a:gdLst/>
          <a:ahLst/>
          <a:cxnLst/>
          <a:rect l="0" t="0" r="0" b="0"/>
          <a:pathLst>
            <a:path>
              <a:moveTo>
                <a:pt x="0" y="19490"/>
              </a:moveTo>
              <a:lnTo>
                <a:pt x="372314" y="19490"/>
              </a:lnTo>
            </a:path>
          </a:pathLst>
        </a:custGeom>
        <a:noFill/>
        <a:ln w="25400" cap="flat" cmpd="sng" algn="ctr">
          <a:solidFill>
            <a:srgbClr val="9BBB59">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C5C82FF-E4D3-4DD4-9B92-52AC0CE1DA0C}" type="sibTrans" cxnId="{68D62820-197A-4BEA-A4C8-68A13BED9E6E}">
      <dgm:prSet/>
      <dgm:spPr/>
      <dgm:t>
        <a:bodyPr/>
        <a:lstStyle/>
        <a:p>
          <a:endParaRPr lang="en-US"/>
        </a:p>
      </dgm:t>
    </dgm:pt>
    <dgm:pt modelId="{BAF309A6-43EA-434D-940A-94C44CCCC285}" type="pres">
      <dgm:prSet presAssocID="{80A2494A-A6BC-4E57-8243-0DCA5DA5FBE8}" presName="cycle" presStyleCnt="0">
        <dgm:presLayoutVars>
          <dgm:chMax val="1"/>
          <dgm:dir/>
          <dgm:animLvl val="ctr"/>
          <dgm:resizeHandles val="exact"/>
        </dgm:presLayoutVars>
      </dgm:prSet>
      <dgm:spPr/>
      <dgm:t>
        <a:bodyPr/>
        <a:lstStyle/>
        <a:p>
          <a:endParaRPr lang="en-US"/>
        </a:p>
      </dgm:t>
    </dgm:pt>
    <dgm:pt modelId="{CA6B088C-8233-486D-8B06-DC440EF208FE}" type="pres">
      <dgm:prSet presAssocID="{1AF9312B-6990-48E8-ADA6-02F7ABF850B6}" presName="centerShape" presStyleLbl="node0" presStyleIdx="0" presStyleCnt="1" custScaleX="151148" custScaleY="151908" custLinFactNeighborX="-420" custLinFactNeighborY="4390"/>
      <dgm:spPr/>
      <dgm:t>
        <a:bodyPr/>
        <a:lstStyle/>
        <a:p>
          <a:endParaRPr lang="en-US"/>
        </a:p>
      </dgm:t>
    </dgm:pt>
    <dgm:pt modelId="{EA21E424-E3B4-47C1-AE25-01F6873FFB37}" type="pres">
      <dgm:prSet presAssocID="{403137B5-E7DF-4DB3-83DA-04C4CDEC52BD}" presName="Name9" presStyleLbl="parChTrans1D2" presStyleIdx="0" presStyleCnt="5"/>
      <dgm:spPr/>
      <dgm:t>
        <a:bodyPr/>
        <a:lstStyle/>
        <a:p>
          <a:endParaRPr lang="en-US"/>
        </a:p>
      </dgm:t>
    </dgm:pt>
    <dgm:pt modelId="{F49D8268-1503-4D9B-A635-F8231858395F}" type="pres">
      <dgm:prSet presAssocID="{403137B5-E7DF-4DB3-83DA-04C4CDEC52BD}" presName="connTx" presStyleLbl="parChTrans1D2" presStyleIdx="0" presStyleCnt="5"/>
      <dgm:spPr/>
      <dgm:t>
        <a:bodyPr/>
        <a:lstStyle/>
        <a:p>
          <a:endParaRPr lang="en-US"/>
        </a:p>
      </dgm:t>
    </dgm:pt>
    <dgm:pt modelId="{57BFFCF5-011E-41FA-8692-83B3D599E442}" type="pres">
      <dgm:prSet presAssocID="{45DB9FD2-FFA2-4656-9393-5A32FC0634C3}" presName="node" presStyleLbl="node1" presStyleIdx="0" presStyleCnt="5" custScaleX="110880" custScaleY="110880" custRadScaleRad="97230" custRadScaleInc="-1121">
        <dgm:presLayoutVars>
          <dgm:bulletEnabled val="1"/>
        </dgm:presLayoutVars>
      </dgm:prSet>
      <dgm:spPr/>
      <dgm:t>
        <a:bodyPr/>
        <a:lstStyle/>
        <a:p>
          <a:endParaRPr lang="en-US"/>
        </a:p>
      </dgm:t>
    </dgm:pt>
    <dgm:pt modelId="{14053A8D-DB67-45F6-BBDC-350420B12080}" type="pres">
      <dgm:prSet presAssocID="{00F0CD25-604A-49AD-8E22-7ACE3507DBD6}" presName="Name9" presStyleLbl="parChTrans1D2" presStyleIdx="1" presStyleCnt="5"/>
      <dgm:spPr/>
      <dgm:t>
        <a:bodyPr/>
        <a:lstStyle/>
        <a:p>
          <a:endParaRPr lang="en-US"/>
        </a:p>
      </dgm:t>
    </dgm:pt>
    <dgm:pt modelId="{B1A1F1CD-0555-43E0-94D0-EA74D3A905CD}" type="pres">
      <dgm:prSet presAssocID="{00F0CD25-604A-49AD-8E22-7ACE3507DBD6}" presName="connTx" presStyleLbl="parChTrans1D2" presStyleIdx="1" presStyleCnt="5"/>
      <dgm:spPr/>
      <dgm:t>
        <a:bodyPr/>
        <a:lstStyle/>
        <a:p>
          <a:endParaRPr lang="en-US"/>
        </a:p>
      </dgm:t>
    </dgm:pt>
    <dgm:pt modelId="{31CEF083-1B4E-44BD-B300-DB8987BC96D6}" type="pres">
      <dgm:prSet presAssocID="{030E12E8-D54C-4556-9882-B5E8E07707F9}" presName="node" presStyleLbl="node1" presStyleIdx="1" presStyleCnt="5" custScaleX="102210" custScaleY="100625" custRadScaleRad="116634" custRadScaleInc="170495">
        <dgm:presLayoutVars>
          <dgm:bulletEnabled val="1"/>
        </dgm:presLayoutVars>
      </dgm:prSet>
      <dgm:spPr/>
      <dgm:t>
        <a:bodyPr/>
        <a:lstStyle/>
        <a:p>
          <a:endParaRPr lang="en-US"/>
        </a:p>
      </dgm:t>
    </dgm:pt>
    <dgm:pt modelId="{0990F63E-3836-410A-A152-62331DE2E919}" type="pres">
      <dgm:prSet presAssocID="{E4701637-4505-4076-8469-72744A8D9B5A}" presName="Name9" presStyleLbl="parChTrans1D2" presStyleIdx="2" presStyleCnt="5"/>
      <dgm:spPr/>
      <dgm:t>
        <a:bodyPr/>
        <a:lstStyle/>
        <a:p>
          <a:endParaRPr lang="en-US"/>
        </a:p>
      </dgm:t>
    </dgm:pt>
    <dgm:pt modelId="{124740F1-6357-402C-A0B9-476EE186D456}" type="pres">
      <dgm:prSet presAssocID="{E4701637-4505-4076-8469-72744A8D9B5A}" presName="connTx" presStyleLbl="parChTrans1D2" presStyleIdx="2" presStyleCnt="5"/>
      <dgm:spPr/>
      <dgm:t>
        <a:bodyPr/>
        <a:lstStyle/>
        <a:p>
          <a:endParaRPr lang="en-US"/>
        </a:p>
      </dgm:t>
    </dgm:pt>
    <dgm:pt modelId="{E4B47FC8-56DC-409D-B06E-DC3342F7A1D3}" type="pres">
      <dgm:prSet presAssocID="{973FD64C-1A65-498E-8AF5-21D01D4E1673}" presName="node" presStyleLbl="node1" presStyleIdx="2" presStyleCnt="5" custScaleX="108545" custScaleY="108545" custRadScaleRad="118344" custRadScaleInc="232775">
        <dgm:presLayoutVars>
          <dgm:bulletEnabled val="1"/>
        </dgm:presLayoutVars>
      </dgm:prSet>
      <dgm:spPr/>
      <dgm:t>
        <a:bodyPr/>
        <a:lstStyle/>
        <a:p>
          <a:endParaRPr lang="en-US"/>
        </a:p>
      </dgm:t>
    </dgm:pt>
    <dgm:pt modelId="{61D1104E-169E-4E57-8898-1EF02F868EFC}" type="pres">
      <dgm:prSet presAssocID="{FA565FF2-0DC2-4195-8105-03EEC5C405DF}" presName="Name9" presStyleLbl="parChTrans1D2" presStyleIdx="3" presStyleCnt="5"/>
      <dgm:spPr/>
      <dgm:t>
        <a:bodyPr/>
        <a:lstStyle/>
        <a:p>
          <a:endParaRPr lang="en-US"/>
        </a:p>
      </dgm:t>
    </dgm:pt>
    <dgm:pt modelId="{10D3B90C-0A22-4671-BDE2-5CE883273FB4}" type="pres">
      <dgm:prSet presAssocID="{FA565FF2-0DC2-4195-8105-03EEC5C405DF}" presName="connTx" presStyleLbl="parChTrans1D2" presStyleIdx="3" presStyleCnt="5"/>
      <dgm:spPr/>
      <dgm:t>
        <a:bodyPr/>
        <a:lstStyle/>
        <a:p>
          <a:endParaRPr lang="en-US"/>
        </a:p>
      </dgm:t>
    </dgm:pt>
    <dgm:pt modelId="{FEBF5D90-DCFE-4107-8858-A642215B6D1B}" type="pres">
      <dgm:prSet presAssocID="{0B95A37E-B0DF-47DA-986A-FF097988563F}" presName="node" presStyleLbl="node1" presStyleIdx="3" presStyleCnt="5" custRadScaleRad="116341" custRadScaleInc="203740">
        <dgm:presLayoutVars>
          <dgm:bulletEnabled val="1"/>
        </dgm:presLayoutVars>
      </dgm:prSet>
      <dgm:spPr/>
      <dgm:t>
        <a:bodyPr/>
        <a:lstStyle/>
        <a:p>
          <a:endParaRPr lang="en-US"/>
        </a:p>
      </dgm:t>
    </dgm:pt>
    <dgm:pt modelId="{B720C049-9965-4EAD-85C5-D5B00F2B7EB4}" type="pres">
      <dgm:prSet presAssocID="{AE3F322E-CEAA-4814-B02D-B35E75761587}" presName="Name9" presStyleLbl="parChTrans1D2" presStyleIdx="4" presStyleCnt="5"/>
      <dgm:spPr/>
      <dgm:t>
        <a:bodyPr/>
        <a:lstStyle/>
        <a:p>
          <a:endParaRPr lang="en-US"/>
        </a:p>
      </dgm:t>
    </dgm:pt>
    <dgm:pt modelId="{104F5142-DA35-486A-BA8B-1EBAE6CAD2DE}" type="pres">
      <dgm:prSet presAssocID="{AE3F322E-CEAA-4814-B02D-B35E75761587}" presName="connTx" presStyleLbl="parChTrans1D2" presStyleIdx="4" presStyleCnt="5"/>
      <dgm:spPr/>
      <dgm:t>
        <a:bodyPr/>
        <a:lstStyle/>
        <a:p>
          <a:endParaRPr lang="en-US"/>
        </a:p>
      </dgm:t>
    </dgm:pt>
    <dgm:pt modelId="{E9B62024-E671-4020-BF6C-5822A8D50BFF}" type="pres">
      <dgm:prSet presAssocID="{960469AC-2B82-4081-8551-91436A5B8FC6}" presName="node" presStyleLbl="node1" presStyleIdx="4" presStyleCnt="5" custRadScaleRad="115492" custRadScaleInc="395970">
        <dgm:presLayoutVars>
          <dgm:bulletEnabled val="1"/>
        </dgm:presLayoutVars>
      </dgm:prSet>
      <dgm:spPr/>
      <dgm:t>
        <a:bodyPr/>
        <a:lstStyle/>
        <a:p>
          <a:endParaRPr lang="en-US"/>
        </a:p>
      </dgm:t>
    </dgm:pt>
  </dgm:ptLst>
  <dgm:cxnLst>
    <dgm:cxn modelId="{F51A0E7A-A819-49F0-9B08-59F9EBEFB388}" srcId="{80A2494A-A6BC-4E57-8243-0DCA5DA5FBE8}" destId="{1AF9312B-6990-48E8-ADA6-02F7ABF850B6}" srcOrd="0" destOrd="0" parTransId="{BE5EFD7A-56D0-4608-9E20-148C2AE895B0}" sibTransId="{8891E537-CA04-4375-9BAC-9C84B294D78B}"/>
    <dgm:cxn modelId="{072A772A-483B-4C63-A940-C75828138569}" type="presOf" srcId="{030E12E8-D54C-4556-9882-B5E8E07707F9}" destId="{31CEF083-1B4E-44BD-B300-DB8987BC96D6}" srcOrd="0" destOrd="0" presId="urn:microsoft.com/office/officeart/2005/8/layout/radial1"/>
    <dgm:cxn modelId="{1C8B4C58-A0B6-4EFD-9A8C-2001374E40C1}" type="presOf" srcId="{960469AC-2B82-4081-8551-91436A5B8FC6}" destId="{E9B62024-E671-4020-BF6C-5822A8D50BFF}" srcOrd="0" destOrd="0" presId="urn:microsoft.com/office/officeart/2005/8/layout/radial1"/>
    <dgm:cxn modelId="{0AB26331-1637-40E6-B3CE-CC59F1C6AE82}" type="presOf" srcId="{AE3F322E-CEAA-4814-B02D-B35E75761587}" destId="{B720C049-9965-4EAD-85C5-D5B00F2B7EB4}" srcOrd="0" destOrd="0" presId="urn:microsoft.com/office/officeart/2005/8/layout/radial1"/>
    <dgm:cxn modelId="{69CE4526-F171-4C9A-9E34-52AF9E20E459}" type="presOf" srcId="{E4701637-4505-4076-8469-72744A8D9B5A}" destId="{0990F63E-3836-410A-A152-62331DE2E919}" srcOrd="0" destOrd="0" presId="urn:microsoft.com/office/officeart/2005/8/layout/radial1"/>
    <dgm:cxn modelId="{9897087E-D28E-4346-A22C-E9A28DDD255F}" type="presOf" srcId="{00F0CD25-604A-49AD-8E22-7ACE3507DBD6}" destId="{14053A8D-DB67-45F6-BBDC-350420B12080}" srcOrd="0" destOrd="0" presId="urn:microsoft.com/office/officeart/2005/8/layout/radial1"/>
    <dgm:cxn modelId="{A5978C42-70B8-4356-BB87-88B189B6461B}" type="presOf" srcId="{AE3F322E-CEAA-4814-B02D-B35E75761587}" destId="{104F5142-DA35-486A-BA8B-1EBAE6CAD2DE}" srcOrd="1" destOrd="0" presId="urn:microsoft.com/office/officeart/2005/8/layout/radial1"/>
    <dgm:cxn modelId="{65BFD53A-0E32-4647-B147-8D1D143C4D5F}" type="presOf" srcId="{403137B5-E7DF-4DB3-83DA-04C4CDEC52BD}" destId="{F49D8268-1503-4D9B-A635-F8231858395F}" srcOrd="1" destOrd="0" presId="urn:microsoft.com/office/officeart/2005/8/layout/radial1"/>
    <dgm:cxn modelId="{68D62820-197A-4BEA-A4C8-68A13BED9E6E}" srcId="{1AF9312B-6990-48E8-ADA6-02F7ABF850B6}" destId="{960469AC-2B82-4081-8551-91436A5B8FC6}" srcOrd="4" destOrd="0" parTransId="{AE3F322E-CEAA-4814-B02D-B35E75761587}" sibTransId="{DC5C82FF-E4D3-4DD4-9B92-52AC0CE1DA0C}"/>
    <dgm:cxn modelId="{3DB3BBD2-041A-44EF-B3A9-CD5E05D9E358}" type="presOf" srcId="{E4701637-4505-4076-8469-72744A8D9B5A}" destId="{124740F1-6357-402C-A0B9-476EE186D456}" srcOrd="1" destOrd="0" presId="urn:microsoft.com/office/officeart/2005/8/layout/radial1"/>
    <dgm:cxn modelId="{5128F306-51C8-446E-9B2D-7CF5D68433C3}" type="presOf" srcId="{403137B5-E7DF-4DB3-83DA-04C4CDEC52BD}" destId="{EA21E424-E3B4-47C1-AE25-01F6873FFB37}" srcOrd="0" destOrd="0" presId="urn:microsoft.com/office/officeart/2005/8/layout/radial1"/>
    <dgm:cxn modelId="{8B73CFE5-A4DE-4BE6-8CBC-C5EC8A0247C6}" type="presOf" srcId="{FA565FF2-0DC2-4195-8105-03EEC5C405DF}" destId="{10D3B90C-0A22-4671-BDE2-5CE883273FB4}" srcOrd="1" destOrd="0" presId="urn:microsoft.com/office/officeart/2005/8/layout/radial1"/>
    <dgm:cxn modelId="{B06799CF-AC5F-43B9-8A17-BC881B789983}" srcId="{1AF9312B-6990-48E8-ADA6-02F7ABF850B6}" destId="{0B95A37E-B0DF-47DA-986A-FF097988563F}" srcOrd="3" destOrd="0" parTransId="{FA565FF2-0DC2-4195-8105-03EEC5C405DF}" sibTransId="{C6325F19-9853-4743-9D25-0184F0CBBCD4}"/>
    <dgm:cxn modelId="{6300BF54-1316-424D-801A-AF1ECEAD1FDD}" srcId="{1AF9312B-6990-48E8-ADA6-02F7ABF850B6}" destId="{973FD64C-1A65-498E-8AF5-21D01D4E1673}" srcOrd="2" destOrd="0" parTransId="{E4701637-4505-4076-8469-72744A8D9B5A}" sibTransId="{54EF65C5-5739-4830-B5B2-8C6834D92CC4}"/>
    <dgm:cxn modelId="{3DE26CD9-2A2C-4278-9312-5A68A6B994D6}" srcId="{1AF9312B-6990-48E8-ADA6-02F7ABF850B6}" destId="{45DB9FD2-FFA2-4656-9393-5A32FC0634C3}" srcOrd="0" destOrd="0" parTransId="{403137B5-E7DF-4DB3-83DA-04C4CDEC52BD}" sibTransId="{E4D7CBF3-5298-482D-9D06-05555F56E8EB}"/>
    <dgm:cxn modelId="{CB95E35D-B1A8-4EAD-A183-54A55AA65424}" type="presOf" srcId="{0B95A37E-B0DF-47DA-986A-FF097988563F}" destId="{FEBF5D90-DCFE-4107-8858-A642215B6D1B}" srcOrd="0" destOrd="0" presId="urn:microsoft.com/office/officeart/2005/8/layout/radial1"/>
    <dgm:cxn modelId="{73FE91E5-E1F4-4E94-A5D8-DE3D5579AE9F}" srcId="{1AF9312B-6990-48E8-ADA6-02F7ABF850B6}" destId="{030E12E8-D54C-4556-9882-B5E8E07707F9}" srcOrd="1" destOrd="0" parTransId="{00F0CD25-604A-49AD-8E22-7ACE3507DBD6}" sibTransId="{DAE00C26-0915-4583-BB11-1FCC2003B1D3}"/>
    <dgm:cxn modelId="{556BEAC5-3CC5-40AC-BBB9-90E9825256B9}" type="presOf" srcId="{45DB9FD2-FFA2-4656-9393-5A32FC0634C3}" destId="{57BFFCF5-011E-41FA-8692-83B3D599E442}" srcOrd="0" destOrd="0" presId="urn:microsoft.com/office/officeart/2005/8/layout/radial1"/>
    <dgm:cxn modelId="{E698AA67-12EF-42E1-A475-E183BA3E3474}" type="presOf" srcId="{80A2494A-A6BC-4E57-8243-0DCA5DA5FBE8}" destId="{BAF309A6-43EA-434D-940A-94C44CCCC285}" srcOrd="0" destOrd="0" presId="urn:microsoft.com/office/officeart/2005/8/layout/radial1"/>
    <dgm:cxn modelId="{89B0376C-022F-4D93-8A1F-20DABBC2260F}" type="presOf" srcId="{1AF9312B-6990-48E8-ADA6-02F7ABF850B6}" destId="{CA6B088C-8233-486D-8B06-DC440EF208FE}" srcOrd="0" destOrd="0" presId="urn:microsoft.com/office/officeart/2005/8/layout/radial1"/>
    <dgm:cxn modelId="{20DF9C8F-F5FF-4B0E-BB28-CBFED3A3F434}" type="presOf" srcId="{973FD64C-1A65-498E-8AF5-21D01D4E1673}" destId="{E4B47FC8-56DC-409D-B06E-DC3342F7A1D3}" srcOrd="0" destOrd="0" presId="urn:microsoft.com/office/officeart/2005/8/layout/radial1"/>
    <dgm:cxn modelId="{459D667C-75DA-4F08-8766-E1D9E1960D25}" type="presOf" srcId="{FA565FF2-0DC2-4195-8105-03EEC5C405DF}" destId="{61D1104E-169E-4E57-8898-1EF02F868EFC}" srcOrd="0" destOrd="0" presId="urn:microsoft.com/office/officeart/2005/8/layout/radial1"/>
    <dgm:cxn modelId="{B27DC342-3F31-438F-8AD0-733DA0B2FDAD}" type="presOf" srcId="{00F0CD25-604A-49AD-8E22-7ACE3507DBD6}" destId="{B1A1F1CD-0555-43E0-94D0-EA74D3A905CD}" srcOrd="1" destOrd="0" presId="urn:microsoft.com/office/officeart/2005/8/layout/radial1"/>
    <dgm:cxn modelId="{6A420D6A-655E-4D28-8F17-488036B06E59}" type="presParOf" srcId="{BAF309A6-43EA-434D-940A-94C44CCCC285}" destId="{CA6B088C-8233-486D-8B06-DC440EF208FE}" srcOrd="0" destOrd="0" presId="urn:microsoft.com/office/officeart/2005/8/layout/radial1"/>
    <dgm:cxn modelId="{9CF744DF-BC43-4B1F-B595-0489D98DAC4A}" type="presParOf" srcId="{BAF309A6-43EA-434D-940A-94C44CCCC285}" destId="{EA21E424-E3B4-47C1-AE25-01F6873FFB37}" srcOrd="1" destOrd="0" presId="urn:microsoft.com/office/officeart/2005/8/layout/radial1"/>
    <dgm:cxn modelId="{61BCBE47-80C4-458E-A739-6F08F29A4ADB}" type="presParOf" srcId="{EA21E424-E3B4-47C1-AE25-01F6873FFB37}" destId="{F49D8268-1503-4D9B-A635-F8231858395F}" srcOrd="0" destOrd="0" presId="urn:microsoft.com/office/officeart/2005/8/layout/radial1"/>
    <dgm:cxn modelId="{E6623E7F-2543-4C4F-8F33-9A95D4B4807E}" type="presParOf" srcId="{BAF309A6-43EA-434D-940A-94C44CCCC285}" destId="{57BFFCF5-011E-41FA-8692-83B3D599E442}" srcOrd="2" destOrd="0" presId="urn:microsoft.com/office/officeart/2005/8/layout/radial1"/>
    <dgm:cxn modelId="{836A642B-EE8D-4CD7-A52A-B5DF5637D7D6}" type="presParOf" srcId="{BAF309A6-43EA-434D-940A-94C44CCCC285}" destId="{14053A8D-DB67-45F6-BBDC-350420B12080}" srcOrd="3" destOrd="0" presId="urn:microsoft.com/office/officeart/2005/8/layout/radial1"/>
    <dgm:cxn modelId="{B3D3DE84-95A8-4C43-86EC-EFE8EB5FC749}" type="presParOf" srcId="{14053A8D-DB67-45F6-BBDC-350420B12080}" destId="{B1A1F1CD-0555-43E0-94D0-EA74D3A905CD}" srcOrd="0" destOrd="0" presId="urn:microsoft.com/office/officeart/2005/8/layout/radial1"/>
    <dgm:cxn modelId="{2FB911C9-720D-4B78-AE12-4B825181BB67}" type="presParOf" srcId="{BAF309A6-43EA-434D-940A-94C44CCCC285}" destId="{31CEF083-1B4E-44BD-B300-DB8987BC96D6}" srcOrd="4" destOrd="0" presId="urn:microsoft.com/office/officeart/2005/8/layout/radial1"/>
    <dgm:cxn modelId="{1FE5B279-0C09-4DDF-9A66-83F7994FA588}" type="presParOf" srcId="{BAF309A6-43EA-434D-940A-94C44CCCC285}" destId="{0990F63E-3836-410A-A152-62331DE2E919}" srcOrd="5" destOrd="0" presId="urn:microsoft.com/office/officeart/2005/8/layout/radial1"/>
    <dgm:cxn modelId="{844CCE60-3EAA-418A-B42F-4F379A64D985}" type="presParOf" srcId="{0990F63E-3836-410A-A152-62331DE2E919}" destId="{124740F1-6357-402C-A0B9-476EE186D456}" srcOrd="0" destOrd="0" presId="urn:microsoft.com/office/officeart/2005/8/layout/radial1"/>
    <dgm:cxn modelId="{2F136D52-F81C-4FAD-A763-FD8EEBF6313E}" type="presParOf" srcId="{BAF309A6-43EA-434D-940A-94C44CCCC285}" destId="{E4B47FC8-56DC-409D-B06E-DC3342F7A1D3}" srcOrd="6" destOrd="0" presId="urn:microsoft.com/office/officeart/2005/8/layout/radial1"/>
    <dgm:cxn modelId="{857972BD-5B80-4457-9913-68FE1B5D476C}" type="presParOf" srcId="{BAF309A6-43EA-434D-940A-94C44CCCC285}" destId="{61D1104E-169E-4E57-8898-1EF02F868EFC}" srcOrd="7" destOrd="0" presId="urn:microsoft.com/office/officeart/2005/8/layout/radial1"/>
    <dgm:cxn modelId="{6A327DC1-E7EB-478E-9B10-9FD086ED10A8}" type="presParOf" srcId="{61D1104E-169E-4E57-8898-1EF02F868EFC}" destId="{10D3B90C-0A22-4671-BDE2-5CE883273FB4}" srcOrd="0" destOrd="0" presId="urn:microsoft.com/office/officeart/2005/8/layout/radial1"/>
    <dgm:cxn modelId="{712A7F10-FA85-4DB5-B435-548C8237AD4D}" type="presParOf" srcId="{BAF309A6-43EA-434D-940A-94C44CCCC285}" destId="{FEBF5D90-DCFE-4107-8858-A642215B6D1B}" srcOrd="8" destOrd="0" presId="urn:microsoft.com/office/officeart/2005/8/layout/radial1"/>
    <dgm:cxn modelId="{BC4F8559-B6B0-413F-9F51-0A15007064D0}" type="presParOf" srcId="{BAF309A6-43EA-434D-940A-94C44CCCC285}" destId="{B720C049-9965-4EAD-85C5-D5B00F2B7EB4}" srcOrd="9" destOrd="0" presId="urn:microsoft.com/office/officeart/2005/8/layout/radial1"/>
    <dgm:cxn modelId="{B75AFA85-DC40-4ACB-8C30-9DB83D1DDDC2}" type="presParOf" srcId="{B720C049-9965-4EAD-85C5-D5B00F2B7EB4}" destId="{104F5142-DA35-486A-BA8B-1EBAE6CAD2DE}" srcOrd="0" destOrd="0" presId="urn:microsoft.com/office/officeart/2005/8/layout/radial1"/>
    <dgm:cxn modelId="{311F9956-3AE5-4FD0-8443-D831618D8D52}" type="presParOf" srcId="{BAF309A6-43EA-434D-940A-94C44CCCC285}" destId="{E9B62024-E671-4020-BF6C-5822A8D50BFF}" srcOrd="1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6B088C-8233-486D-8B06-DC440EF208FE}">
      <dsp:nvSpPr>
        <dsp:cNvPr id="0" name=""/>
        <dsp:cNvSpPr/>
      </dsp:nvSpPr>
      <dsp:spPr>
        <a:xfrm>
          <a:off x="1913078" y="1462708"/>
          <a:ext cx="1881724" cy="189118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1" kern="1200">
              <a:solidFill>
                <a:sysClr val="window" lastClr="FFFFFF"/>
              </a:solidFill>
              <a:latin typeface="Calibri"/>
              <a:ea typeface="+mn-ea"/>
              <a:cs typeface="+mn-cs"/>
            </a:rPr>
            <a:t>21st  CCLC MONITORING </a:t>
          </a:r>
        </a:p>
      </dsp:txBody>
      <dsp:txXfrm>
        <a:off x="2188650" y="1739666"/>
        <a:ext cx="1330580" cy="1337269"/>
      </dsp:txXfrm>
    </dsp:sp>
    <dsp:sp modelId="{EA21E424-E3B4-47C1-AE25-01F6873FFB37}">
      <dsp:nvSpPr>
        <dsp:cNvPr id="0" name=""/>
        <dsp:cNvSpPr/>
      </dsp:nvSpPr>
      <dsp:spPr>
        <a:xfrm rot="16205032">
          <a:off x="2814230" y="1402064"/>
          <a:ext cx="82309" cy="38980"/>
        </a:xfrm>
        <a:custGeom>
          <a:avLst/>
          <a:gdLst/>
          <a:ahLst/>
          <a:cxnLst/>
          <a:rect l="0" t="0" r="0" b="0"/>
          <a:pathLst>
            <a:path>
              <a:moveTo>
                <a:pt x="0" y="19490"/>
              </a:moveTo>
              <a:lnTo>
                <a:pt x="68280" y="1949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853324" y="1423608"/>
        <a:ext cx="0" cy="0"/>
      </dsp:txXfrm>
    </dsp:sp>
    <dsp:sp modelId="{57BFFCF5-011E-41FA-8692-83B3D599E442}">
      <dsp:nvSpPr>
        <dsp:cNvPr id="0" name=""/>
        <dsp:cNvSpPr/>
      </dsp:nvSpPr>
      <dsp:spPr>
        <a:xfrm>
          <a:off x="2166252" y="-5"/>
          <a:ext cx="1380405" cy="138040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21st CCLC  Grant &amp; Approved Amendments</a:t>
          </a:r>
        </a:p>
      </dsp:txBody>
      <dsp:txXfrm>
        <a:off x="2368408" y="202151"/>
        <a:ext cx="976093" cy="976093"/>
      </dsp:txXfrm>
    </dsp:sp>
    <dsp:sp modelId="{14053A8D-DB67-45F6-BBDC-350420B12080}">
      <dsp:nvSpPr>
        <dsp:cNvPr id="0" name=""/>
        <dsp:cNvSpPr/>
      </dsp:nvSpPr>
      <dsp:spPr>
        <a:xfrm rot="2387877">
          <a:off x="3551523" y="3066233"/>
          <a:ext cx="231088" cy="38980"/>
        </a:xfrm>
        <a:custGeom>
          <a:avLst/>
          <a:gdLst/>
          <a:ahLst/>
          <a:cxnLst/>
          <a:rect l="0" t="0" r="0" b="0"/>
          <a:pathLst>
            <a:path>
              <a:moveTo>
                <a:pt x="0" y="19490"/>
              </a:moveTo>
              <a:lnTo>
                <a:pt x="231088" y="1949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66326" y="3077587"/>
        <a:ext cx="0" cy="0"/>
      </dsp:txXfrm>
    </dsp:sp>
    <dsp:sp modelId="{31CEF083-1B4E-44BD-B300-DB8987BC96D6}">
      <dsp:nvSpPr>
        <dsp:cNvPr id="0" name=""/>
        <dsp:cNvSpPr/>
      </dsp:nvSpPr>
      <dsp:spPr>
        <a:xfrm>
          <a:off x="3605280" y="2937932"/>
          <a:ext cx="1272468" cy="1252735"/>
        </a:xfrm>
        <a:prstGeom prst="ellipse">
          <a:avLst/>
        </a:prstGeo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55625">
            <a:lnSpc>
              <a:spcPct val="90000"/>
            </a:lnSpc>
            <a:spcBef>
              <a:spcPct val="0"/>
            </a:spcBef>
            <a:spcAft>
              <a:spcPct val="35000"/>
            </a:spcAft>
          </a:pPr>
          <a:r>
            <a:rPr lang="en-US" sz="1250" b="1" kern="1200">
              <a:solidFill>
                <a:sysClr val="window" lastClr="FFFFFF"/>
              </a:solidFill>
              <a:latin typeface="Calibri"/>
              <a:ea typeface="+mn-ea"/>
              <a:cs typeface="+mn-cs"/>
            </a:rPr>
            <a:t>Desk Monitoring</a:t>
          </a:r>
        </a:p>
      </dsp:txBody>
      <dsp:txXfrm>
        <a:off x="3791629" y="3121391"/>
        <a:ext cx="899770" cy="885817"/>
      </dsp:txXfrm>
    </dsp:sp>
    <dsp:sp modelId="{0990F63E-3836-410A-A152-62331DE2E919}">
      <dsp:nvSpPr>
        <dsp:cNvPr id="0" name=""/>
        <dsp:cNvSpPr/>
      </dsp:nvSpPr>
      <dsp:spPr>
        <a:xfrm rot="8450376">
          <a:off x="1948510" y="3046195"/>
          <a:ext cx="196517" cy="38980"/>
        </a:xfrm>
        <a:custGeom>
          <a:avLst/>
          <a:gdLst/>
          <a:ahLst/>
          <a:cxnLst/>
          <a:rect l="0" t="0" r="0" b="0"/>
          <a:pathLst>
            <a:path>
              <a:moveTo>
                <a:pt x="0" y="19490"/>
              </a:moveTo>
              <a:lnTo>
                <a:pt x="196517" y="1949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053680" y="3066391"/>
        <a:ext cx="0" cy="0"/>
      </dsp:txXfrm>
    </dsp:sp>
    <dsp:sp modelId="{E4B47FC8-56DC-409D-B06E-DC3342F7A1D3}">
      <dsp:nvSpPr>
        <dsp:cNvPr id="0" name=""/>
        <dsp:cNvSpPr/>
      </dsp:nvSpPr>
      <dsp:spPr>
        <a:xfrm>
          <a:off x="771013" y="2878747"/>
          <a:ext cx="1351336" cy="1351336"/>
        </a:xfrm>
        <a:prstGeom prst="ellipse">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55625">
            <a:lnSpc>
              <a:spcPct val="90000"/>
            </a:lnSpc>
            <a:spcBef>
              <a:spcPct val="0"/>
            </a:spcBef>
            <a:spcAft>
              <a:spcPct val="35000"/>
            </a:spcAft>
          </a:pPr>
          <a:r>
            <a:rPr lang="en-US" sz="1250" b="1" kern="1200">
              <a:solidFill>
                <a:sysClr val="window" lastClr="FFFFFF"/>
              </a:solidFill>
              <a:latin typeface="Calibri"/>
              <a:ea typeface="+mn-ea"/>
              <a:cs typeface="+mn-cs"/>
            </a:rPr>
            <a:t>Onsite Monitoring</a:t>
          </a:r>
        </a:p>
      </dsp:txBody>
      <dsp:txXfrm>
        <a:off x="968912" y="3076646"/>
        <a:ext cx="955538" cy="955538"/>
      </dsp:txXfrm>
    </dsp:sp>
    <dsp:sp modelId="{61D1104E-169E-4E57-8898-1EF02F868EFC}">
      <dsp:nvSpPr>
        <dsp:cNvPr id="0" name=""/>
        <dsp:cNvSpPr/>
      </dsp:nvSpPr>
      <dsp:spPr>
        <a:xfrm rot="12208845">
          <a:off x="1644441" y="1941756"/>
          <a:ext cx="360800" cy="38980"/>
        </a:xfrm>
        <a:custGeom>
          <a:avLst/>
          <a:gdLst/>
          <a:ahLst/>
          <a:cxnLst/>
          <a:rect l="0" t="0" r="0" b="0"/>
          <a:pathLst>
            <a:path>
              <a:moveTo>
                <a:pt x="0" y="19490"/>
              </a:moveTo>
              <a:lnTo>
                <a:pt x="360800" y="1949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829520" y="1973114"/>
        <a:ext cx="0" cy="0"/>
      </dsp:txXfrm>
    </dsp:sp>
    <dsp:sp modelId="{FEBF5D90-DCFE-4107-8858-A642215B6D1B}">
      <dsp:nvSpPr>
        <dsp:cNvPr id="0" name=""/>
        <dsp:cNvSpPr/>
      </dsp:nvSpPr>
      <dsp:spPr>
        <a:xfrm>
          <a:off x="465969" y="1018870"/>
          <a:ext cx="1244954" cy="1244954"/>
        </a:xfrm>
        <a:prstGeom prst="ellipse">
          <a:avLst/>
        </a:prstGeo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1" kern="1200">
              <a:solidFill>
                <a:sysClr val="window" lastClr="FFFFFF"/>
              </a:solidFill>
              <a:latin typeface="Calibri"/>
              <a:ea typeface="+mn-ea"/>
              <a:cs typeface="+mn-cs"/>
            </a:rPr>
            <a:t>Technical Assistance</a:t>
          </a:r>
        </a:p>
      </dsp:txBody>
      <dsp:txXfrm>
        <a:off x="648288" y="1201189"/>
        <a:ext cx="880316" cy="880316"/>
      </dsp:txXfrm>
    </dsp:sp>
    <dsp:sp modelId="{B720C049-9965-4EAD-85C5-D5B00F2B7EB4}">
      <dsp:nvSpPr>
        <dsp:cNvPr id="0" name=""/>
        <dsp:cNvSpPr/>
      </dsp:nvSpPr>
      <dsp:spPr>
        <a:xfrm rot="20202615">
          <a:off x="3703645" y="1942918"/>
          <a:ext cx="372314" cy="38980"/>
        </a:xfrm>
        <a:custGeom>
          <a:avLst/>
          <a:gdLst/>
          <a:ahLst/>
          <a:cxnLst/>
          <a:rect l="0" t="0" r="0" b="0"/>
          <a:pathLst>
            <a:path>
              <a:moveTo>
                <a:pt x="0" y="19490"/>
              </a:moveTo>
              <a:lnTo>
                <a:pt x="372314" y="1949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77572" y="1957538"/>
        <a:ext cx="0" cy="0"/>
      </dsp:txXfrm>
    </dsp:sp>
    <dsp:sp modelId="{E9B62024-E671-4020-BF6C-5822A8D50BFF}">
      <dsp:nvSpPr>
        <dsp:cNvPr id="0" name=""/>
        <dsp:cNvSpPr/>
      </dsp:nvSpPr>
      <dsp:spPr>
        <a:xfrm>
          <a:off x="4010069" y="1020211"/>
          <a:ext cx="1244954" cy="1244954"/>
        </a:xfrm>
        <a:prstGeom prst="ellipse">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1" kern="1200" baseline="0">
              <a:solidFill>
                <a:sysClr val="window" lastClr="FFFFFF"/>
              </a:solidFill>
              <a:latin typeface="Calibri"/>
              <a:ea typeface="+mn-ea"/>
              <a:cs typeface="+mn-cs"/>
            </a:rPr>
            <a:t>Program Data</a:t>
          </a:r>
        </a:p>
      </dsp:txBody>
      <dsp:txXfrm>
        <a:off x="4192388" y="1202530"/>
        <a:ext cx="880316" cy="8803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rgbClr val="D8D8D8"/>
      </a:dk1>
      <a:lt1>
        <a:sysClr val="window" lastClr="FFFFFF"/>
      </a:lt1>
      <a:dk2>
        <a:srgbClr val="D8D8D8"/>
      </a:dk2>
      <a:lt2>
        <a:srgbClr val="F8F8F8"/>
      </a:lt2>
      <a:accent1>
        <a:srgbClr val="DDDDDD"/>
      </a:accent1>
      <a:accent2>
        <a:srgbClr val="B2B2B2"/>
      </a:accent2>
      <a:accent3>
        <a:srgbClr val="DBDBDB"/>
      </a:accent3>
      <a:accent4>
        <a:srgbClr val="DDDDDD"/>
      </a:accent4>
      <a:accent5>
        <a:srgbClr val="F8F8F8"/>
      </a:accent5>
      <a:accent6>
        <a:srgbClr val="DDDDDD"/>
      </a:accent6>
      <a:hlink>
        <a:srgbClr val="B2B2B2"/>
      </a:hlink>
      <a:folHlink>
        <a:srgbClr val="F8F8F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345d184-27b8-437f-8d85-a5954c579939">2018-06-29T07:00:00+00:00</Remediation_x0020_Date>
    <Estimated_x0020_Creation_x0020_Date xmlns="2345d184-27b8-437f-8d85-a5954c579939" xsi:nil="true"/>
    <Priority xmlns="2345d184-27b8-437f-8d85-a5954c579939">Tier 1</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4F43759CC7049ADC64DAB284B6313" ma:contentTypeVersion="8" ma:contentTypeDescription="Create a new document." ma:contentTypeScope="" ma:versionID="be83a4506582e519e0e0b782fd447510">
  <xsd:schema xmlns:xsd="http://www.w3.org/2001/XMLSchema" xmlns:xs="http://www.w3.org/2001/XMLSchema" xmlns:p="http://schemas.microsoft.com/office/2006/metadata/properties" xmlns:ns1="http://schemas.microsoft.com/sharepoint/v3" xmlns:ns2="2345d184-27b8-437f-8d85-a5954c579939" xmlns:ns3="54031767-dd6d-417c-ab73-583408f47564" targetNamespace="http://schemas.microsoft.com/office/2006/metadata/properties" ma:root="true" ma:fieldsID="fd6a4ce988fc35fe6159268e32b8a8b1" ns1:_="" ns2:_="" ns3:_="">
    <xsd:import namespace="http://schemas.microsoft.com/sharepoint/v3"/>
    <xsd:import namespace="2345d184-27b8-437f-8d85-a5954c57993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5d184-27b8-437f-8d85-a5954c57993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8689-7600-4F53-AA2C-F47B2A30BC01}"/>
</file>

<file path=customXml/itemProps2.xml><?xml version="1.0" encoding="utf-8"?>
<ds:datastoreItem xmlns:ds="http://schemas.openxmlformats.org/officeDocument/2006/customXml" ds:itemID="{4F7F69A0-541B-4970-B0E5-83228E0CBDC1}"/>
</file>

<file path=customXml/itemProps3.xml><?xml version="1.0" encoding="utf-8"?>
<ds:datastoreItem xmlns:ds="http://schemas.openxmlformats.org/officeDocument/2006/customXml" ds:itemID="{58F63283-C1DC-4DC2-8E3E-7D0322924AC2}"/>
</file>

<file path=customXml/itemProps4.xml><?xml version="1.0" encoding="utf-8"?>
<ds:datastoreItem xmlns:ds="http://schemas.openxmlformats.org/officeDocument/2006/customXml" ds:itemID="{2AC5EA65-FBF6-4C81-876B-99CE3DBF53F6}"/>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districts through ESEA Monitoring</vt:lpstr>
    </vt:vector>
  </TitlesOfParts>
  <Company>Oregon Department of Education</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districts through ESEA Monitoring</dc:title>
  <dc:subject>Program Review of 21st Century Community Learning Centers Title IV-B</dc:subject>
  <dc:creator>Russ Sweet</dc:creator>
  <cp:lastModifiedBy>SWOPE Emily - ODE</cp:lastModifiedBy>
  <cp:revision>2</cp:revision>
  <cp:lastPrinted>2017-01-13T18:35:00Z</cp:lastPrinted>
  <dcterms:created xsi:type="dcterms:W3CDTF">2018-07-20T18:40:00Z</dcterms:created>
  <dcterms:modified xsi:type="dcterms:W3CDTF">2018-07-20T18:40:00Z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0x0101007D04F43759CC7049ADC64DAB284B6313</vt:lpwstr>
  </property>
</Properties>
</file>