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D95890" w:rsidRDefault="002D5BE2" w:rsidP="00D95890">
      <w:pPr>
        <w:pStyle w:val="Heading1"/>
      </w:pPr>
      <w:r w:rsidRPr="00D95890">
        <w:t>2022-2023 Title III</w:t>
      </w:r>
      <w:r w:rsidR="00A05ECF" w:rsidRPr="00D95890">
        <w:t xml:space="preserve"> Allocations</w:t>
      </w:r>
    </w:p>
    <w:p w:rsidR="00A05ECF" w:rsidRDefault="00A05ECF" w:rsidP="00A05ECF">
      <w:pPr>
        <w:spacing w:after="0"/>
        <w:jc w:val="center"/>
      </w:pPr>
    </w:p>
    <w:p w:rsidR="002D5BE2" w:rsidRDefault="002D5BE2" w:rsidP="00A05ECF">
      <w:pPr>
        <w:spacing w:after="0"/>
      </w:pPr>
      <w:r>
        <w:t>Title I</w:t>
      </w:r>
      <w:r w:rsidR="00D95890">
        <w:t>II</w:t>
      </w:r>
      <w:r>
        <w:t>, Part A</w:t>
      </w:r>
      <w:r w:rsidRPr="00A05ECF">
        <w:t xml:space="preserve"> of the Elementary and Secondary Education Act, as amended by the Every Student Succeeds Act (ESEA)</w:t>
      </w:r>
      <w:r>
        <w:t xml:space="preserve"> provides financial assistance to local education agencies (LEAs) </w:t>
      </w:r>
      <w:r w:rsidRPr="002D5BE2">
        <w:t>to help ensure that English learners</w:t>
      </w:r>
      <w:r>
        <w:t>, including immigrant children and youth; attain English proficiency, develop high levels of academic achievement, and can meet the same challenging State academic standards that all children are expected to meet.</w:t>
      </w:r>
      <w:r w:rsidR="00D95890">
        <w:t xml:space="preserve"> The allocation also assists educators in cultivating educational programs for students, families, and communities.</w:t>
      </w:r>
    </w:p>
    <w:p w:rsidR="00D95890" w:rsidRDefault="00D95890" w:rsidP="00A05ECF">
      <w:pPr>
        <w:spacing w:after="0"/>
      </w:pPr>
    </w:p>
    <w:p w:rsidR="00D95890" w:rsidRPr="003D2DDA" w:rsidRDefault="007B5C43" w:rsidP="003D2DDA">
      <w:pPr>
        <w:pStyle w:val="Heading2"/>
      </w:pPr>
      <w:r w:rsidRPr="003D2DDA">
        <w:t>Consortium Allocations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itle III Consortium Allocations"/>
      </w:tblPr>
      <w:tblGrid>
        <w:gridCol w:w="1040"/>
        <w:gridCol w:w="5120"/>
        <w:gridCol w:w="1520"/>
        <w:gridCol w:w="1400"/>
      </w:tblGrid>
      <w:tr w:rsidR="003D2DDA" w:rsidRPr="003D2DDA" w:rsidTr="003D2DDA">
        <w:trPr>
          <w:trHeight w:val="310"/>
          <w:tblHeader/>
        </w:trPr>
        <w:tc>
          <w:tcPr>
            <w:tcW w:w="1040" w:type="dxa"/>
            <w:shd w:val="clear" w:color="auto" w:fill="1F497D" w:themeFill="text2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3D2DDA">
              <w:rPr>
                <w:b/>
                <w:color w:val="FFFFFF" w:themeColor="background1"/>
              </w:rPr>
              <w:t>ID</w:t>
            </w:r>
          </w:p>
        </w:tc>
        <w:tc>
          <w:tcPr>
            <w:tcW w:w="5120" w:type="dxa"/>
            <w:shd w:val="clear" w:color="auto" w:fill="1F497D" w:themeFill="text2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3D2DDA">
              <w:rPr>
                <w:b/>
                <w:color w:val="FFFFFF" w:themeColor="background1"/>
              </w:rPr>
              <w:t>Recipient</w:t>
            </w:r>
          </w:p>
        </w:tc>
        <w:tc>
          <w:tcPr>
            <w:tcW w:w="1520" w:type="dxa"/>
            <w:shd w:val="clear" w:color="auto" w:fill="1F497D" w:themeFill="text2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3D2DDA">
              <w:rPr>
                <w:b/>
                <w:color w:val="FFFFFF" w:themeColor="background1"/>
              </w:rPr>
              <w:t>Student Count</w:t>
            </w:r>
          </w:p>
        </w:tc>
        <w:tc>
          <w:tcPr>
            <w:tcW w:w="1400" w:type="dxa"/>
            <w:shd w:val="clear" w:color="auto" w:fill="1F497D" w:themeFill="text2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3D2DDA">
              <w:rPr>
                <w:b/>
                <w:color w:val="FFFFFF" w:themeColor="background1"/>
              </w:rPr>
              <w:t>Allocation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1976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Bend-</w:t>
            </w:r>
            <w:proofErr w:type="spellStart"/>
            <w:r w:rsidRPr="00C31515">
              <w:rPr>
                <w:b/>
                <w:bCs/>
                <w:color w:val="FFFFFF" w:themeColor="background1"/>
              </w:rPr>
              <w:t>LaPine</w:t>
            </w:r>
            <w:proofErr w:type="spellEnd"/>
            <w:r w:rsidRPr="00C31515">
              <w:rPr>
                <w:b/>
                <w:bCs/>
                <w:color w:val="FFFFFF" w:themeColor="background1"/>
              </w:rPr>
              <w:t xml:space="preserve"> Administrative SD 1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$103,833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1976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Bend-</w:t>
            </w:r>
            <w:proofErr w:type="spellStart"/>
            <w:r w:rsidRPr="003D2DDA">
              <w:t>LaPine</w:t>
            </w:r>
            <w:proofErr w:type="spellEnd"/>
            <w:r w:rsidRPr="003D2DDA">
              <w:t xml:space="preserve"> Administrative SD 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760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$101,041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1978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Sisters SD 6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$2,792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2139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Cascade SD 5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$40,683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2139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Cascade SD 5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119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$15,821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2190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Dallas SD 2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64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$8,509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2140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Jefferson SD 14J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71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$9,439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2192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proofErr w:type="spellStart"/>
            <w:r w:rsidRPr="003D2DDA">
              <w:t>Perrydale</w:t>
            </w:r>
            <w:proofErr w:type="spellEnd"/>
            <w:r w:rsidRPr="003D2DDA">
              <w:t xml:space="preserve"> SD 21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0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$0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2257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Sheridan SD 48J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$3,191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2144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St Paul SD 45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27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$3,590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2255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proofErr w:type="spellStart"/>
            <w:r w:rsidRPr="003D2DDA">
              <w:t>Willamina</w:t>
            </w:r>
            <w:proofErr w:type="spellEnd"/>
            <w:r w:rsidRPr="003D2DDA">
              <w:t xml:space="preserve"> SD 30J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$133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4040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Four Rivers Community School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$14,625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2111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Annex SD 29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$266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4040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Four Rivers Community School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97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$12,896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2014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Harney County SD 3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8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$1,064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2114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Harper SD 66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$399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2022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South Harney SD 33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0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$0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2183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Gresham-Barlow SD 10J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$204,076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2186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Corbett SD 39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$3,058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2183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Gresham-Barlow SD 10J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1512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$201,018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2200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Intermountain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$56,902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2208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Athena-Weston SD 29RJ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$266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1894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Baker SD 5J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59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$7,844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2203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Echo SD 5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$665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3997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Ione SD R2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$1,462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2008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John Day SD 3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$399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2212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La Grande SD 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81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$10,769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2249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Mitchell SD 55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56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$7,445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lastRenderedPageBreak/>
              <w:t>2010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Monument SD 8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$532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2214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North Powder SD 8J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17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$2,260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2207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Pendleton SD 16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115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$15,289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2202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Pilot Rock SD 2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$266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1897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Pine Eagle SD 61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$133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2195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Sherman County SD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$399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2209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Stanfield SD 61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69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$9,173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2064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Lane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$69,664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1899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Alsea SD 7J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$4,121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2105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Central Linn SD 552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$2,659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2086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Creswell SD 40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$4,387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2089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Crow-Applegate-</w:t>
            </w:r>
            <w:proofErr w:type="spellStart"/>
            <w:r w:rsidRPr="003D2DDA">
              <w:t>Lorane</w:t>
            </w:r>
            <w:proofErr w:type="spellEnd"/>
            <w:r w:rsidRPr="003D2DDA">
              <w:t xml:space="preserve"> SD 66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0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$0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2084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Fern Ridge SD 28J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$1,462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1992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Glide SD 12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$266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2099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Harrisburg SD 7J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$3,324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2091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Junction City SD 69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58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$7,711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2092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Lowell SD 71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$1,994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1898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Monroe SD 1J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42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$5,584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1996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North Douglas SD 22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$399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2093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Oakridge SD 76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$532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1900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Philomath SD 17J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$1,728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2081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Pleasant Hill SD 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$532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2104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Santiam Canyon SD 129J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84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$11,168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2096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Siuslaw SD 97J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18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$2,393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2087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South Lane SD 45J3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128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$17,017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2003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Sutherlin SD 130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29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$3,855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2002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Winston-Dillard SD 116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$532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1997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proofErr w:type="spellStart"/>
            <w:r w:rsidRPr="003D2DDA">
              <w:t>Yoncalla</w:t>
            </w:r>
            <w:proofErr w:type="spellEnd"/>
            <w:r w:rsidRPr="003D2DDA">
              <w:t xml:space="preserve"> SD 32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0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$0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4131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North Wasco County SD 21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$56,769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4131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North Wasco County SD 21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414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$55,041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2225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South Wasco County SD 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$1,728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2230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Northwest Regional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$78,175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1933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Astoria SD 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106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$14,093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2240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Banks SD 13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$4,387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1945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Clatskanie SD 6J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$532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2245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Gaston SD 511J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10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$1,329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2262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proofErr w:type="spellStart"/>
            <w:r w:rsidRPr="003D2DDA">
              <w:t>Knappa</w:t>
            </w:r>
            <w:proofErr w:type="spellEnd"/>
            <w:r w:rsidRPr="003D2DDA">
              <w:t xml:space="preserve"> SD 4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$665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2198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proofErr w:type="spellStart"/>
            <w:r w:rsidRPr="003D2DDA">
              <w:t>Neah-Kah-Nie</w:t>
            </w:r>
            <w:proofErr w:type="spellEnd"/>
            <w:r w:rsidRPr="003D2DDA">
              <w:t xml:space="preserve"> SD 56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$4,387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lastRenderedPageBreak/>
              <w:t>2199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proofErr w:type="spellStart"/>
            <w:r w:rsidRPr="003D2DDA">
              <w:t>Nestucca</w:t>
            </w:r>
            <w:proofErr w:type="spellEnd"/>
            <w:r w:rsidRPr="003D2DDA">
              <w:t xml:space="preserve"> Valley SD 101J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36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$4,786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1946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Rainier SD 13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$2,925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1944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Scappoose SD 1J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63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$8,376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1935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Seaside SD 10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163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$21,671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1948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St Helens SD 502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48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$6,382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1947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proofErr w:type="spellStart"/>
            <w:r w:rsidRPr="003D2DDA">
              <w:t>Vernonia</w:t>
            </w:r>
            <w:proofErr w:type="spellEnd"/>
            <w:r w:rsidRPr="003D2DDA">
              <w:t xml:space="preserve"> SD 47J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$399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1936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Warrenton-Hammond SD 30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39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$5,185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2251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Yamhill-Carlton SD 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23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$3,058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2110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Nyssa SD 26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$50,122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2113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Adrian SD 61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$3,191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2110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Nyssa SD 26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298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$39,619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2116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Vale SD 84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55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$7,312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1949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South Coast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$22,469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1969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Bandon SD 54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6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$798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1972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Central Curry SD 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$266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1965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Coos Bay SD 9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54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$7,179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1964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Coquille SD 8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$3,324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1968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Myrtle Point SD 41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$665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1966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North Bend SD 13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68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$9,040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2001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Reedsport SD 105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9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$1,197 </w:t>
            </w:r>
          </w:p>
        </w:tc>
      </w:tr>
      <w:tr w:rsidR="003D2DDA" w:rsidRPr="003D2DDA" w:rsidTr="00C31515">
        <w:trPr>
          <w:trHeight w:val="310"/>
        </w:trPr>
        <w:tc>
          <w:tcPr>
            <w:tcW w:w="104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color w:val="FFFFFF" w:themeColor="background1"/>
              </w:rPr>
            </w:pPr>
            <w:r w:rsidRPr="00C31515">
              <w:rPr>
                <w:b/>
                <w:color w:val="FFFFFF" w:themeColor="background1"/>
              </w:rPr>
              <w:t>2025</w:t>
            </w:r>
          </w:p>
        </w:tc>
        <w:tc>
          <w:tcPr>
            <w:tcW w:w="51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>Southern Oregon ESD (Consortium)</w:t>
            </w:r>
          </w:p>
        </w:tc>
        <w:tc>
          <w:tcPr>
            <w:tcW w:w="152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0" w:type="dxa"/>
            <w:shd w:val="clear" w:color="auto" w:fill="7F7F7F" w:themeFill="text1" w:themeFillTint="80"/>
            <w:noWrap/>
            <w:vAlign w:val="center"/>
            <w:hideMark/>
          </w:tcPr>
          <w:p w:rsidR="003D2DDA" w:rsidRPr="00C31515" w:rsidRDefault="003D2DDA" w:rsidP="003D2DDA">
            <w:pPr>
              <w:jc w:val="right"/>
              <w:rPr>
                <w:b/>
                <w:bCs/>
                <w:color w:val="FFFFFF" w:themeColor="background1"/>
              </w:rPr>
            </w:pPr>
            <w:r w:rsidRPr="00C31515">
              <w:rPr>
                <w:b/>
                <w:bCs/>
                <w:color w:val="FFFFFF" w:themeColor="background1"/>
              </w:rPr>
              <w:t xml:space="preserve">$22,601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1974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Brookings-Harbor SD 17C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35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$4,653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2059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Lake County SD 7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40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$5,318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2044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Rogue River SD 35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$532 </w:t>
            </w:r>
          </w:p>
        </w:tc>
      </w:tr>
      <w:tr w:rsidR="003D2DDA" w:rsidRPr="003D2DDA" w:rsidTr="003D2DDA">
        <w:trPr>
          <w:trHeight w:val="310"/>
        </w:trPr>
        <w:tc>
          <w:tcPr>
            <w:tcW w:w="104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2055</w:t>
            </w:r>
          </w:p>
        </w:tc>
        <w:tc>
          <w:tcPr>
            <w:tcW w:w="5120" w:type="dxa"/>
            <w:noWrap/>
            <w:vAlign w:val="center"/>
            <w:hideMark/>
          </w:tcPr>
          <w:p w:rsidR="003D2DDA" w:rsidRPr="003D2DDA" w:rsidRDefault="003D2DDA" w:rsidP="003D2DDA">
            <w:r w:rsidRPr="003D2DDA">
              <w:t>Three Rivers/Josephine County SD</w:t>
            </w:r>
          </w:p>
        </w:tc>
        <w:tc>
          <w:tcPr>
            <w:tcW w:w="1520" w:type="dxa"/>
            <w:noWrap/>
            <w:vAlign w:val="center"/>
            <w:hideMark/>
          </w:tcPr>
          <w:p w:rsidR="003D2DDA" w:rsidRPr="003D2DDA" w:rsidRDefault="003D2DDA" w:rsidP="003D2DDA">
            <w:pPr>
              <w:jc w:val="center"/>
            </w:pPr>
            <w:r w:rsidRPr="003D2DDA">
              <w:t>91</w:t>
            </w:r>
          </w:p>
        </w:tc>
        <w:tc>
          <w:tcPr>
            <w:tcW w:w="1400" w:type="dxa"/>
            <w:noWrap/>
            <w:vAlign w:val="center"/>
            <w:hideMark/>
          </w:tcPr>
          <w:p w:rsidR="003D2DDA" w:rsidRPr="003D2DDA" w:rsidRDefault="003D2DDA" w:rsidP="003D2DDA">
            <w:pPr>
              <w:jc w:val="right"/>
            </w:pPr>
            <w:r w:rsidRPr="003D2DDA">
              <w:t xml:space="preserve">$12,098 </w:t>
            </w:r>
          </w:p>
        </w:tc>
      </w:tr>
    </w:tbl>
    <w:p w:rsidR="007B5C43" w:rsidRPr="007B5C43" w:rsidRDefault="007B5C43" w:rsidP="007B5C43"/>
    <w:p w:rsidR="00122380" w:rsidRDefault="003D2DDA" w:rsidP="003D2DDA">
      <w:pPr>
        <w:pStyle w:val="Heading2"/>
      </w:pPr>
      <w:r>
        <w:t>Non-Consortium Allocations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Title III Non-Consortium Allocations"/>
      </w:tblPr>
      <w:tblGrid>
        <w:gridCol w:w="1040"/>
        <w:gridCol w:w="5120"/>
        <w:gridCol w:w="1520"/>
        <w:gridCol w:w="1400"/>
      </w:tblGrid>
      <w:tr w:rsidR="003D2DDA" w:rsidRPr="003D2DDA" w:rsidTr="003A1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F497D" w:themeFill="text2"/>
            <w:noWrap/>
            <w:vAlign w:val="center"/>
            <w:hideMark/>
          </w:tcPr>
          <w:p w:rsidR="003D2DDA" w:rsidRPr="00C31515" w:rsidRDefault="003D2DDA" w:rsidP="00C31515">
            <w:pPr>
              <w:jc w:val="center"/>
              <w:rPr>
                <w:color w:val="FFFFFF" w:themeColor="background1"/>
              </w:rPr>
            </w:pPr>
            <w:r w:rsidRPr="00C31515">
              <w:rPr>
                <w:color w:val="FFFFFF" w:themeColor="background1"/>
              </w:rPr>
              <w:t>ID</w:t>
            </w:r>
          </w:p>
        </w:tc>
        <w:tc>
          <w:tcPr>
            <w:tcW w:w="5120" w:type="dxa"/>
            <w:shd w:val="clear" w:color="auto" w:fill="1F497D" w:themeFill="text2"/>
            <w:noWrap/>
            <w:vAlign w:val="center"/>
            <w:hideMark/>
          </w:tcPr>
          <w:p w:rsidR="003D2DDA" w:rsidRPr="00C31515" w:rsidRDefault="003D2DDA" w:rsidP="00C3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31515">
              <w:rPr>
                <w:color w:val="FFFFFF" w:themeColor="background1"/>
              </w:rPr>
              <w:t>Recipient</w:t>
            </w:r>
          </w:p>
        </w:tc>
        <w:tc>
          <w:tcPr>
            <w:tcW w:w="1520" w:type="dxa"/>
            <w:shd w:val="clear" w:color="auto" w:fill="1F497D" w:themeFill="text2"/>
            <w:noWrap/>
            <w:vAlign w:val="center"/>
            <w:hideMark/>
          </w:tcPr>
          <w:p w:rsidR="003D2DDA" w:rsidRPr="00C31515" w:rsidRDefault="003D2DDA" w:rsidP="00C3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31515">
              <w:rPr>
                <w:color w:val="FFFFFF" w:themeColor="background1"/>
              </w:rPr>
              <w:t>Student Count</w:t>
            </w:r>
          </w:p>
        </w:tc>
        <w:tc>
          <w:tcPr>
            <w:tcW w:w="1400" w:type="dxa"/>
            <w:shd w:val="clear" w:color="auto" w:fill="1F497D" w:themeFill="text2"/>
            <w:noWrap/>
            <w:vAlign w:val="center"/>
            <w:hideMark/>
          </w:tcPr>
          <w:p w:rsidR="003D2DDA" w:rsidRPr="00C31515" w:rsidRDefault="003D2DDA" w:rsidP="00C3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31515">
              <w:rPr>
                <w:color w:val="FFFFFF" w:themeColor="background1"/>
              </w:rPr>
              <w:t>Allocation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2243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Beaverton SD 48J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5299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$704,493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2088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Bethel SD 52</w:t>
            </w:r>
            <w:bookmarkStart w:id="0" w:name="_GoBack"/>
            <w:bookmarkEnd w:id="0"/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326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$43,341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1929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Canby SD 86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578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$76,844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2185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Centennial SD 28J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1330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$176,821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2042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Central Point SD 6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219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$29,116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2191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Central SD 13J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580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$77,110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1901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Corvallis SD 509J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513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$68,202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1970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Crook County SD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83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$11,035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lastRenderedPageBreak/>
              <w:t>2187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David Douglas SD 40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2057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$273,474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2253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Dayton SD 8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143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$19,012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2043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Eagle Point SD 9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452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$60,093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1930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Estacada SD 108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139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$18,480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2082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Eugene SD 4J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640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$85,087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2241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Forest Grove SD 15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1049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$139,463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2137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Gervais SD 1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279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$37,093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1931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Gladstone SD 115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83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$11,035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2054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Grants Pass SD 7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109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$14,491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2100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Greater Albany Public SD 8J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691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$91,867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2206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Hermiston SD 8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1087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$144,515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2239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Hillsboro SD 1J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3508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$466,382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2024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Hood River County SD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812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$107,954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2053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Jefferson County SD 509J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491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$65,278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2057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Klamath County SD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334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$44,405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2056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Klamath Falls City Schools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135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$17,948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1923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Lake Oswego SD 7J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163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$21,671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2101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Lebanon Community SD 9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91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$12,098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2097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Lincoln County SD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450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$59,827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2256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McMinnville SD 40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780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$103,700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2048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Medford SD 549C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1130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$150,231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2205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Milton-</w:t>
            </w:r>
            <w:proofErr w:type="spellStart"/>
            <w:r w:rsidRPr="003D2DDA">
              <w:t>Freewater</w:t>
            </w:r>
            <w:proofErr w:type="spellEnd"/>
            <w:r w:rsidRPr="003D2DDA">
              <w:t xml:space="preserve"> Unified SD 7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395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$52,515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1925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Molalla River SD 35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211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$28,052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2147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Morrow SD 1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568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$75,515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2145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Mt Angel SD 91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97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$12,896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2254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Newberg SD 29J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291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$38,688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1924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North Clackamas SD 12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1841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$244,758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2141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North Marion SD 15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335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$44,538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2143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North Santiam SD 29J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105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$13,960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2108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Ontario SD 8C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255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$33,902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1928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Oregon City SD 62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373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$49,590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1926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Oregon Trail SD 46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234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$31,110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2181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Parkrose SD 3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582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$77,376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2039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Phoenix-Talent SD 4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282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$37,491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2180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Portland SD 1J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3982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$529,400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1977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Redmond SD 2J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419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$55,705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2182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Reynolds SD 7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2926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$389,006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2142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Salem-Keizer SD 24J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7462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$992,060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lastRenderedPageBreak/>
              <w:t>2244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Sherwood SD 88J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142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$18,879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2138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Silver Falls SD 4J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173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$23,000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2083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Springfield SD 19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676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$89,873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2242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Tigard-Tualatin SD 23J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1356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$180,278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2197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Tillamook SD 9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177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$23,532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2204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Umatilla SD 6R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401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$53,312 </w:t>
            </w:r>
          </w:p>
        </w:tc>
      </w:tr>
      <w:tr w:rsidR="003D2DDA" w:rsidRPr="003D2DDA" w:rsidTr="003D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1922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West Linn-Wilsonville SD 3J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>405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DDA">
              <w:t xml:space="preserve">$53,844 </w:t>
            </w:r>
          </w:p>
        </w:tc>
      </w:tr>
      <w:tr w:rsidR="003D2DDA" w:rsidRPr="003D2DDA" w:rsidTr="003D2DD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3D2DDA" w:rsidRPr="003D2DDA" w:rsidRDefault="003D2DDA" w:rsidP="003D2DDA">
            <w:pPr>
              <w:jc w:val="center"/>
              <w:rPr>
                <w:b w:val="0"/>
              </w:rPr>
            </w:pPr>
            <w:r w:rsidRPr="003D2DDA">
              <w:rPr>
                <w:b w:val="0"/>
              </w:rPr>
              <w:t>2146</w:t>
            </w:r>
          </w:p>
        </w:tc>
        <w:tc>
          <w:tcPr>
            <w:tcW w:w="5120" w:type="dxa"/>
            <w:noWrap/>
            <w:hideMark/>
          </w:tcPr>
          <w:p w:rsidR="003D2DDA" w:rsidRPr="003D2DDA" w:rsidRDefault="003D2DDA" w:rsidP="00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Woodburn SD 103</w:t>
            </w:r>
          </w:p>
        </w:tc>
        <w:tc>
          <w:tcPr>
            <w:tcW w:w="1520" w:type="dxa"/>
            <w:noWrap/>
            <w:hideMark/>
          </w:tcPr>
          <w:p w:rsidR="003D2DDA" w:rsidRPr="003D2DDA" w:rsidRDefault="003D2DDA" w:rsidP="003D2D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>2096</w:t>
            </w:r>
          </w:p>
        </w:tc>
        <w:tc>
          <w:tcPr>
            <w:tcW w:w="1400" w:type="dxa"/>
            <w:noWrap/>
            <w:hideMark/>
          </w:tcPr>
          <w:p w:rsidR="003D2DDA" w:rsidRPr="003D2DDA" w:rsidRDefault="003D2DDA" w:rsidP="003D2D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2DDA">
              <w:t xml:space="preserve">$278,659 </w:t>
            </w:r>
          </w:p>
        </w:tc>
      </w:tr>
    </w:tbl>
    <w:p w:rsidR="00732FB6" w:rsidRDefault="00732FB6" w:rsidP="00A05ECF">
      <w:pPr>
        <w:spacing w:after="0"/>
      </w:pPr>
    </w:p>
    <w:sectPr w:rsidR="00732FB6" w:rsidSect="00A05EC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B8" w:rsidRDefault="00F376B8" w:rsidP="00A05ECF">
      <w:pPr>
        <w:spacing w:after="0"/>
      </w:pPr>
      <w:r>
        <w:separator/>
      </w:r>
    </w:p>
  </w:endnote>
  <w:endnote w:type="continuationSeparator" w:id="0">
    <w:p w:rsidR="00F376B8" w:rsidRDefault="00F376B8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DDA" w:rsidRPr="00A05ECF" w:rsidRDefault="003D2DDA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D96F86">
          <w:rPr>
            <w:b/>
            <w:noProof/>
            <w:sz w:val="20"/>
            <w:szCs w:val="20"/>
          </w:rPr>
          <w:t>4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DDA" w:rsidRDefault="003D2DDA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3A1D3F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B8" w:rsidRDefault="00F376B8" w:rsidP="00A05ECF">
      <w:pPr>
        <w:spacing w:after="0"/>
      </w:pPr>
      <w:r>
        <w:separator/>
      </w:r>
    </w:p>
  </w:footnote>
  <w:footnote w:type="continuationSeparator" w:id="0">
    <w:p w:rsidR="00F376B8" w:rsidRDefault="00F376B8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DDA" w:rsidRPr="00A05ECF" w:rsidRDefault="003D2DDA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2022-2023 Title I-A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CF"/>
    <w:rsid w:val="00057FD8"/>
    <w:rsid w:val="0009345E"/>
    <w:rsid w:val="000A5756"/>
    <w:rsid w:val="000C14A2"/>
    <w:rsid w:val="000D36B7"/>
    <w:rsid w:val="000E7BC7"/>
    <w:rsid w:val="00122380"/>
    <w:rsid w:val="00187FD9"/>
    <w:rsid w:val="00190210"/>
    <w:rsid w:val="0022037B"/>
    <w:rsid w:val="0022203A"/>
    <w:rsid w:val="00223DAF"/>
    <w:rsid w:val="00295954"/>
    <w:rsid w:val="002D37BB"/>
    <w:rsid w:val="002D5BE2"/>
    <w:rsid w:val="00300E2F"/>
    <w:rsid w:val="003367CC"/>
    <w:rsid w:val="00346621"/>
    <w:rsid w:val="0038567A"/>
    <w:rsid w:val="003A1D3F"/>
    <w:rsid w:val="003A5E26"/>
    <w:rsid w:val="003D2DDA"/>
    <w:rsid w:val="003E5AD4"/>
    <w:rsid w:val="003F6983"/>
    <w:rsid w:val="004024D8"/>
    <w:rsid w:val="004159AA"/>
    <w:rsid w:val="00465BAE"/>
    <w:rsid w:val="00472D15"/>
    <w:rsid w:val="004B38C1"/>
    <w:rsid w:val="005110C4"/>
    <w:rsid w:val="00532D27"/>
    <w:rsid w:val="005A052B"/>
    <w:rsid w:val="005E1FB1"/>
    <w:rsid w:val="005F73C5"/>
    <w:rsid w:val="00617A1A"/>
    <w:rsid w:val="006D58EA"/>
    <w:rsid w:val="00712E0C"/>
    <w:rsid w:val="00732FB6"/>
    <w:rsid w:val="007B5C43"/>
    <w:rsid w:val="00873662"/>
    <w:rsid w:val="008B769F"/>
    <w:rsid w:val="00973EE9"/>
    <w:rsid w:val="00A00D35"/>
    <w:rsid w:val="00A05ECF"/>
    <w:rsid w:val="00A1287D"/>
    <w:rsid w:val="00AB351A"/>
    <w:rsid w:val="00AD1307"/>
    <w:rsid w:val="00B00F77"/>
    <w:rsid w:val="00B01343"/>
    <w:rsid w:val="00B04F92"/>
    <w:rsid w:val="00B3764B"/>
    <w:rsid w:val="00B54FB1"/>
    <w:rsid w:val="00B556B7"/>
    <w:rsid w:val="00B56B6A"/>
    <w:rsid w:val="00C26B6D"/>
    <w:rsid w:val="00C31515"/>
    <w:rsid w:val="00C522B5"/>
    <w:rsid w:val="00CB1057"/>
    <w:rsid w:val="00CB56F4"/>
    <w:rsid w:val="00CD41F9"/>
    <w:rsid w:val="00D72C0D"/>
    <w:rsid w:val="00D869D8"/>
    <w:rsid w:val="00D93014"/>
    <w:rsid w:val="00D95890"/>
    <w:rsid w:val="00D96F86"/>
    <w:rsid w:val="00DD212E"/>
    <w:rsid w:val="00E13D62"/>
    <w:rsid w:val="00E6675F"/>
    <w:rsid w:val="00E70EDF"/>
    <w:rsid w:val="00E73AC0"/>
    <w:rsid w:val="00E90494"/>
    <w:rsid w:val="00EB15E9"/>
    <w:rsid w:val="00EC639A"/>
    <w:rsid w:val="00F27DCD"/>
    <w:rsid w:val="00F376B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0"/>
    <w:pPr>
      <w:spacing w:after="0"/>
      <w:jc w:val="center"/>
      <w:outlineLvl w:val="0"/>
    </w:pPr>
    <w:rPr>
      <w:b/>
      <w:color w:val="4F81BD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2DDA"/>
    <w:pPr>
      <w:spacing w:after="120"/>
      <w:jc w:val="left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5890"/>
    <w:rPr>
      <w:b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2DDA"/>
    <w:rPr>
      <w:b/>
      <w:color w:val="4F81BD" w:themeColor="accent1"/>
      <w:sz w:val="32"/>
      <w:szCs w:val="32"/>
    </w:rPr>
  </w:style>
  <w:style w:type="table" w:styleId="PlainTable1">
    <w:name w:val="Plain Table 1"/>
    <w:basedOn w:val="TableNormal"/>
    <w:uiPriority w:val="41"/>
    <w:rsid w:val="003D2DD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2022-07-18T20:33:32+00:00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DB4B2-6AAD-4A9F-886F-AADF69563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C48C4-4FBA-4597-91E6-3D30EF45A4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3.xml><?xml version="1.0" encoding="utf-8"?>
<ds:datastoreItem xmlns:ds="http://schemas.openxmlformats.org/officeDocument/2006/customXml" ds:itemID="{43241B5C-AC9B-4ED4-B6A5-02CE6D03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Final Title I-A Allocations</vt:lpstr>
    </vt:vector>
  </TitlesOfParts>
  <Company>Oregon Department of Education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Final Title III Allocations</dc:title>
  <dc:subject/>
  <dc:creator>WALKER Kyle * ODE</dc:creator>
  <cp:keywords/>
  <dc:description/>
  <cp:lastModifiedBy>WALKER Kyle * ODE</cp:lastModifiedBy>
  <cp:revision>5</cp:revision>
  <dcterms:created xsi:type="dcterms:W3CDTF">2022-08-03T15:13:00Z</dcterms:created>
  <dcterms:modified xsi:type="dcterms:W3CDTF">2022-08-03T16:17:00Z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