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108" w:rsidRDefault="00520108" w:rsidP="005774C3">
      <w:pPr>
        <w:tabs>
          <w:tab w:val="left" w:pos="6480"/>
        </w:tabs>
        <w:spacing w:after="600"/>
        <w:jc w:val="center"/>
        <w:rPr>
          <w:rFonts w:ascii="Arial" w:eastAsia="Times New Roman" w:hAnsi="Arial" w:cs="Arial"/>
          <w:b/>
          <w:sz w:val="30"/>
          <w:szCs w:val="30"/>
        </w:rPr>
      </w:pPr>
    </w:p>
    <w:p w:rsidR="00AC076D" w:rsidRPr="00D22429" w:rsidRDefault="00C65E1D" w:rsidP="00126A25">
      <w:pPr>
        <w:tabs>
          <w:tab w:val="left" w:pos="6480"/>
        </w:tabs>
        <w:spacing w:after="0"/>
        <w:jc w:val="center"/>
        <w:rPr>
          <w:rFonts w:ascii="Arial" w:eastAsia="Times New Roman" w:hAnsi="Arial" w:cs="Arial"/>
          <w:b/>
          <w:sz w:val="30"/>
          <w:szCs w:val="30"/>
        </w:rPr>
      </w:pPr>
      <w:bookmarkStart w:id="0" w:name="_GoBack"/>
      <w:bookmarkEnd w:id="0"/>
      <w:r w:rsidRPr="00D22429">
        <w:rPr>
          <w:rFonts w:ascii="Arial" w:eastAsia="Times New Roman" w:hAnsi="Arial" w:cs="Arial"/>
          <w:b/>
          <w:sz w:val="30"/>
          <w:szCs w:val="30"/>
        </w:rPr>
        <w:t>Coronavirus Aid, Relief, and Economic Security (</w:t>
      </w:r>
      <w:r w:rsidR="00520108">
        <w:rPr>
          <w:rFonts w:ascii="Arial" w:eastAsia="Times New Roman" w:hAnsi="Arial" w:cs="Arial"/>
          <w:b/>
          <w:sz w:val="30"/>
          <w:szCs w:val="30"/>
        </w:rPr>
        <w:t>CARES</w:t>
      </w:r>
      <w:r w:rsidRPr="00D22429">
        <w:rPr>
          <w:rFonts w:ascii="Arial" w:eastAsia="Times New Roman" w:hAnsi="Arial" w:cs="Arial"/>
          <w:b/>
          <w:sz w:val="30"/>
          <w:szCs w:val="30"/>
        </w:rPr>
        <w:t xml:space="preserve">) </w:t>
      </w:r>
      <w:r w:rsidR="00A67144" w:rsidRPr="00D22429">
        <w:rPr>
          <w:rFonts w:ascii="Arial" w:eastAsia="Times New Roman" w:hAnsi="Arial" w:cs="Arial"/>
          <w:b/>
          <w:sz w:val="30"/>
          <w:szCs w:val="30"/>
        </w:rPr>
        <w:t xml:space="preserve">ACT </w:t>
      </w:r>
    </w:p>
    <w:p w:rsidR="00A67144" w:rsidRPr="00520108" w:rsidRDefault="00AC076D" w:rsidP="00126A25">
      <w:pPr>
        <w:tabs>
          <w:tab w:val="left" w:pos="6480"/>
        </w:tabs>
        <w:spacing w:after="0"/>
        <w:jc w:val="center"/>
        <w:rPr>
          <w:rFonts w:ascii="Arial" w:eastAsia="Times New Roman" w:hAnsi="Arial" w:cs="Arial"/>
          <w:b/>
          <w:u w:val="single"/>
        </w:rPr>
      </w:pPr>
      <w:r w:rsidRPr="00520108">
        <w:rPr>
          <w:rFonts w:ascii="Arial" w:eastAsia="Times New Roman" w:hAnsi="Arial" w:cs="Arial"/>
          <w:b/>
          <w:u w:val="single"/>
        </w:rPr>
        <w:t xml:space="preserve">Elementary and Secondary Education Relief </w:t>
      </w:r>
      <w:r w:rsidR="00A67144" w:rsidRPr="00520108">
        <w:rPr>
          <w:rFonts w:ascii="Arial" w:eastAsia="Times New Roman" w:hAnsi="Arial" w:cs="Arial"/>
          <w:b/>
          <w:u w:val="single"/>
        </w:rPr>
        <w:t>(ESSER) ACTIVITIES</w:t>
      </w:r>
    </w:p>
    <w:p w:rsidR="00C65E1D" w:rsidRPr="00D22429" w:rsidRDefault="00C65E1D" w:rsidP="00126A25">
      <w:pPr>
        <w:tabs>
          <w:tab w:val="left" w:pos="6480"/>
        </w:tabs>
        <w:spacing w:after="0"/>
        <w:jc w:val="center"/>
        <w:rPr>
          <w:rFonts w:ascii="Arial" w:eastAsia="Times New Roman" w:hAnsi="Arial" w:cs="Arial"/>
          <w:b/>
          <w:sz w:val="20"/>
          <w:szCs w:val="20"/>
        </w:rPr>
      </w:pPr>
    </w:p>
    <w:p w:rsidR="00A67144" w:rsidRPr="00D22429" w:rsidRDefault="00A67144" w:rsidP="00126A25">
      <w:pPr>
        <w:spacing w:after="0"/>
        <w:rPr>
          <w:rFonts w:ascii="Arial" w:eastAsia="Times New Roman" w:hAnsi="Arial" w:cs="Arial"/>
          <w:sz w:val="22"/>
          <w:szCs w:val="22"/>
        </w:rPr>
      </w:pPr>
      <w:r w:rsidRPr="00D22429">
        <w:rPr>
          <w:rFonts w:ascii="Arial" w:eastAsia="Times New Roman" w:hAnsi="Arial" w:cs="Arial"/>
          <w:sz w:val="22"/>
          <w:szCs w:val="22"/>
        </w:rPr>
        <w:t>The following topics must be discussed during the ongoing consultation process; check to indicate that the topic has been discussed.</w:t>
      </w:r>
    </w:p>
    <w:p w:rsidR="00520108" w:rsidRDefault="00520108" w:rsidP="00A67144">
      <w:pPr>
        <w:spacing w:after="0"/>
        <w:rPr>
          <w:rFonts w:ascii="Arial" w:eastAsia="Times New Roman" w:hAnsi="Arial" w:cs="Arial"/>
          <w:color w:val="000000"/>
          <w:sz w:val="22"/>
          <w:szCs w:val="22"/>
          <w:u w:val="single"/>
        </w:rPr>
      </w:pPr>
    </w:p>
    <w:p w:rsidR="00A67144" w:rsidRPr="00520108" w:rsidRDefault="00A67144" w:rsidP="00A67144">
      <w:pPr>
        <w:spacing w:after="0"/>
        <w:rPr>
          <w:rFonts w:ascii="Arial" w:eastAsia="Times New Roman" w:hAnsi="Arial" w:cs="Arial"/>
          <w:b/>
        </w:rPr>
      </w:pPr>
      <w:r w:rsidRPr="00520108">
        <w:rPr>
          <w:rFonts w:ascii="Arial" w:eastAsia="Times New Roman" w:hAnsi="Arial" w:cs="Arial"/>
          <w:b/>
          <w:color w:val="000000"/>
          <w:u w:val="single"/>
        </w:rPr>
        <w:t>Education Stabilization Relief Fund (18003)</w:t>
      </w:r>
      <w:r w:rsidR="00520108">
        <w:rPr>
          <w:rFonts w:ascii="Arial" w:eastAsia="Times New Roman" w:hAnsi="Arial" w:cs="Arial"/>
          <w:b/>
          <w:color w:val="000000"/>
          <w:u w:val="single"/>
        </w:rPr>
        <w:t>:</w:t>
      </w:r>
    </w:p>
    <w:p w:rsidR="00A67144" w:rsidRPr="00F73FAC" w:rsidRDefault="00A67144" w:rsidP="00A67144">
      <w:pPr>
        <w:spacing w:after="0"/>
        <w:rPr>
          <w:rFonts w:ascii="Arial" w:eastAsia="Times New Roman" w:hAnsi="Arial" w:cs="Arial"/>
          <w:sz w:val="20"/>
          <w:szCs w:val="20"/>
        </w:rPr>
      </w:pPr>
    </w:p>
    <w:p w:rsidR="00A67144" w:rsidRPr="00F73FAC" w:rsidRDefault="00A67144" w:rsidP="00A67144">
      <w:pPr>
        <w:numPr>
          <w:ilvl w:val="0"/>
          <w:numId w:val="2"/>
        </w:numPr>
        <w:spacing w:after="0"/>
        <w:contextualSpacing/>
        <w:rPr>
          <w:rFonts w:ascii="Arial" w:eastAsia="Times New Roman" w:hAnsi="Arial" w:cs="Arial"/>
          <w:sz w:val="20"/>
          <w:szCs w:val="20"/>
        </w:rPr>
      </w:pPr>
      <w:r w:rsidRPr="00F73FAC">
        <w:rPr>
          <w:rFonts w:ascii="Arial" w:eastAsia="Times New Roman" w:hAnsi="Arial" w:cs="Arial"/>
          <w:sz w:val="20"/>
          <w:szCs w:val="20"/>
        </w:rPr>
        <w:t xml:space="preserve">Any activity authorized by the ESEA of 1965, including the Native Hawaiian Education Act and the Alaska Native Educational Equity, Support, and Assistance Act (20 U.S.C. 6301 et seq.), the Individuals with Disabilities Education Act (20 U.S.C. 1400 et seq.) (‘‘IDEA’’), the Adult Education and Family Literacy Act (20 U.S.C. 1400 et seq.), the Carl D. Perkins Career and Technical Education Act of 2006 (20 U.S.C. 2301 et seq.) (‘‘the Perkins Act’’), or subtitle B of title VII of the McKinney-Vento Homeless Assistance Act (42 U.S.C. 11431 et seq.). </w:t>
      </w:r>
    </w:p>
    <w:p w:rsidR="00A67144" w:rsidRPr="00F73FAC" w:rsidRDefault="00A67144" w:rsidP="00A67144">
      <w:pPr>
        <w:spacing w:after="0"/>
        <w:ind w:left="720"/>
        <w:contextualSpacing/>
        <w:rPr>
          <w:rFonts w:ascii="Arial" w:eastAsia="Times New Roman" w:hAnsi="Arial" w:cs="Arial"/>
          <w:sz w:val="20"/>
          <w:szCs w:val="20"/>
        </w:rPr>
      </w:pPr>
    </w:p>
    <w:p w:rsidR="00A67144" w:rsidRPr="00F73FAC" w:rsidRDefault="00A67144" w:rsidP="00A67144">
      <w:pPr>
        <w:numPr>
          <w:ilvl w:val="0"/>
          <w:numId w:val="1"/>
        </w:numPr>
        <w:spacing w:after="0"/>
        <w:contextualSpacing/>
        <w:rPr>
          <w:rFonts w:ascii="Arial" w:eastAsia="Times New Roman" w:hAnsi="Arial" w:cs="Arial"/>
          <w:sz w:val="20"/>
          <w:szCs w:val="20"/>
        </w:rPr>
      </w:pPr>
      <w:r w:rsidRPr="00F73FAC">
        <w:rPr>
          <w:rFonts w:ascii="Arial" w:eastAsia="Times New Roman" w:hAnsi="Arial" w:cs="Arial"/>
          <w:sz w:val="20"/>
          <w:szCs w:val="20"/>
        </w:rPr>
        <w:t xml:space="preserve">(Coordination of preparedness and response efforts of local educational agencies with State, local, Tribal, and territorial public health departments, and other relevant agencies, to improve coordinated responses among such entities to prevent, prepare for, and respond to coronavirus. </w:t>
      </w:r>
    </w:p>
    <w:p w:rsidR="00A67144" w:rsidRPr="00F73FAC" w:rsidRDefault="00A67144" w:rsidP="00A67144">
      <w:pPr>
        <w:spacing w:after="0"/>
        <w:rPr>
          <w:rFonts w:ascii="Arial" w:eastAsia="Times New Roman" w:hAnsi="Arial" w:cs="Arial"/>
          <w:sz w:val="20"/>
          <w:szCs w:val="20"/>
        </w:rPr>
      </w:pPr>
    </w:p>
    <w:p w:rsidR="00A67144" w:rsidRPr="00F73FAC" w:rsidRDefault="00A67144" w:rsidP="00A67144">
      <w:pPr>
        <w:numPr>
          <w:ilvl w:val="0"/>
          <w:numId w:val="1"/>
        </w:numPr>
        <w:spacing w:after="0"/>
        <w:contextualSpacing/>
        <w:rPr>
          <w:rFonts w:ascii="Arial" w:eastAsia="Times New Roman" w:hAnsi="Arial" w:cs="Arial"/>
          <w:sz w:val="20"/>
          <w:szCs w:val="20"/>
        </w:rPr>
      </w:pPr>
      <w:r w:rsidRPr="00F73FAC">
        <w:rPr>
          <w:rFonts w:ascii="Arial" w:eastAsia="Times New Roman" w:hAnsi="Arial" w:cs="Arial"/>
          <w:bCs/>
          <w:sz w:val="20"/>
          <w:szCs w:val="20"/>
        </w:rPr>
        <w:t xml:space="preserve">Providing principals and others school leaders with the resources necessary to address the needs of their individual schools. </w:t>
      </w:r>
    </w:p>
    <w:p w:rsidR="00A67144" w:rsidRPr="00F73FAC" w:rsidRDefault="00A67144" w:rsidP="00A67144">
      <w:pPr>
        <w:spacing w:after="0"/>
        <w:ind w:left="720"/>
        <w:contextualSpacing/>
        <w:rPr>
          <w:rFonts w:ascii="Arial" w:eastAsia="Times New Roman" w:hAnsi="Arial" w:cs="Arial"/>
          <w:sz w:val="20"/>
          <w:szCs w:val="20"/>
        </w:rPr>
      </w:pPr>
    </w:p>
    <w:p w:rsidR="00A67144" w:rsidRPr="00F73FAC" w:rsidRDefault="00A67144" w:rsidP="00A67144">
      <w:pPr>
        <w:numPr>
          <w:ilvl w:val="0"/>
          <w:numId w:val="1"/>
        </w:numPr>
        <w:spacing w:after="0"/>
        <w:contextualSpacing/>
        <w:rPr>
          <w:rFonts w:ascii="Arial" w:eastAsia="Times New Roman" w:hAnsi="Arial" w:cs="Arial"/>
          <w:sz w:val="20"/>
          <w:szCs w:val="20"/>
        </w:rPr>
      </w:pPr>
      <w:r w:rsidRPr="00F73FAC">
        <w:rPr>
          <w:rFonts w:ascii="Arial" w:eastAsia="Times New Roman" w:hAnsi="Arial" w:cs="Arial"/>
          <w:sz w:val="20"/>
          <w:szCs w:val="20"/>
        </w:rPr>
        <w:t>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rsidR="00A67144" w:rsidRPr="00F73FAC" w:rsidRDefault="00A67144" w:rsidP="00A67144">
      <w:pPr>
        <w:spacing w:after="0"/>
        <w:ind w:left="720"/>
        <w:contextualSpacing/>
        <w:rPr>
          <w:rFonts w:ascii="Arial" w:eastAsia="Times New Roman" w:hAnsi="Arial" w:cs="Arial"/>
          <w:sz w:val="20"/>
          <w:szCs w:val="20"/>
        </w:rPr>
      </w:pPr>
    </w:p>
    <w:p w:rsidR="00A67144" w:rsidRPr="00F73FAC" w:rsidRDefault="00A67144" w:rsidP="00A67144">
      <w:pPr>
        <w:numPr>
          <w:ilvl w:val="0"/>
          <w:numId w:val="1"/>
        </w:numPr>
        <w:spacing w:after="0"/>
        <w:contextualSpacing/>
        <w:rPr>
          <w:rFonts w:ascii="Arial" w:eastAsia="Times New Roman" w:hAnsi="Arial" w:cs="Arial"/>
          <w:sz w:val="20"/>
          <w:szCs w:val="20"/>
        </w:rPr>
      </w:pPr>
      <w:r w:rsidRPr="00F73FAC">
        <w:rPr>
          <w:rFonts w:ascii="Arial" w:eastAsia="Times New Roman" w:hAnsi="Arial" w:cs="Arial"/>
          <w:sz w:val="20"/>
          <w:szCs w:val="20"/>
        </w:rPr>
        <w:t xml:space="preserve"> Developing and implementing procedures and systems to improve the preparedness and response efforts of local educational agencies. </w:t>
      </w:r>
    </w:p>
    <w:p w:rsidR="00A67144" w:rsidRPr="00F73FAC" w:rsidRDefault="00A67144" w:rsidP="00A67144">
      <w:pPr>
        <w:spacing w:after="0"/>
        <w:ind w:left="720"/>
        <w:contextualSpacing/>
        <w:rPr>
          <w:rFonts w:ascii="Arial" w:eastAsia="Times New Roman" w:hAnsi="Arial" w:cs="Arial"/>
          <w:sz w:val="20"/>
          <w:szCs w:val="20"/>
        </w:rPr>
      </w:pPr>
    </w:p>
    <w:p w:rsidR="00A67144" w:rsidRPr="00F73FAC" w:rsidRDefault="00A67144" w:rsidP="00A67144">
      <w:pPr>
        <w:numPr>
          <w:ilvl w:val="0"/>
          <w:numId w:val="1"/>
        </w:numPr>
        <w:spacing w:after="0"/>
        <w:contextualSpacing/>
        <w:rPr>
          <w:rFonts w:ascii="Arial" w:eastAsia="Times New Roman" w:hAnsi="Arial" w:cs="Arial"/>
          <w:sz w:val="20"/>
          <w:szCs w:val="20"/>
        </w:rPr>
      </w:pPr>
      <w:r w:rsidRPr="00F73FAC">
        <w:rPr>
          <w:rFonts w:ascii="Arial" w:eastAsia="Times New Roman" w:hAnsi="Arial" w:cs="Arial"/>
          <w:sz w:val="20"/>
          <w:szCs w:val="20"/>
        </w:rPr>
        <w:t xml:space="preserve">Training and professional development for staff of the local educational agency on sanitation and minimizing the spread of infectious diseases. </w:t>
      </w:r>
    </w:p>
    <w:p w:rsidR="00A67144" w:rsidRPr="00F73FAC" w:rsidRDefault="00A67144" w:rsidP="00A67144">
      <w:pPr>
        <w:spacing w:after="0"/>
        <w:ind w:left="720"/>
        <w:contextualSpacing/>
        <w:rPr>
          <w:rFonts w:ascii="Arial" w:eastAsia="Times New Roman" w:hAnsi="Arial" w:cs="Arial"/>
          <w:sz w:val="20"/>
          <w:szCs w:val="20"/>
        </w:rPr>
      </w:pPr>
    </w:p>
    <w:p w:rsidR="00A67144" w:rsidRPr="00F73FAC" w:rsidRDefault="00A67144" w:rsidP="00A67144">
      <w:pPr>
        <w:numPr>
          <w:ilvl w:val="0"/>
          <w:numId w:val="1"/>
        </w:numPr>
        <w:spacing w:after="0"/>
        <w:contextualSpacing/>
        <w:rPr>
          <w:rFonts w:ascii="Arial" w:eastAsia="Times New Roman" w:hAnsi="Arial" w:cs="Arial"/>
          <w:sz w:val="20"/>
          <w:szCs w:val="20"/>
        </w:rPr>
      </w:pPr>
      <w:r w:rsidRPr="00F73FAC">
        <w:rPr>
          <w:rFonts w:ascii="Arial" w:eastAsia="Times New Roman" w:hAnsi="Arial" w:cs="Arial"/>
          <w:sz w:val="20"/>
          <w:szCs w:val="20"/>
        </w:rPr>
        <w:t xml:space="preserve">Purchasing supplies to sanitize and clean the facilities of a local educational agency, including buildings operated by such agency. </w:t>
      </w:r>
    </w:p>
    <w:p w:rsidR="00A67144" w:rsidRPr="00F73FAC" w:rsidRDefault="00A67144" w:rsidP="00A67144">
      <w:pPr>
        <w:spacing w:after="0"/>
        <w:ind w:left="720"/>
        <w:contextualSpacing/>
        <w:rPr>
          <w:rFonts w:ascii="Arial" w:eastAsia="Times New Roman" w:hAnsi="Arial" w:cs="Arial"/>
          <w:sz w:val="20"/>
          <w:szCs w:val="20"/>
        </w:rPr>
      </w:pPr>
    </w:p>
    <w:p w:rsidR="00A67144" w:rsidRPr="00F73FAC" w:rsidRDefault="00A67144" w:rsidP="00A67144">
      <w:pPr>
        <w:numPr>
          <w:ilvl w:val="0"/>
          <w:numId w:val="1"/>
        </w:numPr>
        <w:spacing w:after="0"/>
        <w:contextualSpacing/>
        <w:rPr>
          <w:rFonts w:ascii="Arial" w:eastAsia="Times New Roman" w:hAnsi="Arial" w:cs="Arial"/>
          <w:sz w:val="20"/>
          <w:szCs w:val="20"/>
        </w:rPr>
      </w:pPr>
      <w:r w:rsidRPr="00F73FAC">
        <w:rPr>
          <w:rFonts w:ascii="Arial" w:eastAsia="Times New Roman" w:hAnsi="Arial" w:cs="Arial"/>
          <w:sz w:val="20"/>
          <w:szCs w:val="20"/>
        </w:rPr>
        <w:t xml:space="preserve">Planning for and coordinating during long-term closures, including for how to provide meals to eligible students, how to provide technology for online learning to all students, how to provide guidance for carrying out requirements under the Individuals with Disabilities Education Act (20 U.S.C. 1401 et seq.) and how to ensure other educational services can continue to be provided consistent with all Federal, State, and local requirements. </w:t>
      </w:r>
    </w:p>
    <w:p w:rsidR="00A67144" w:rsidRPr="00F73FAC" w:rsidRDefault="00A67144" w:rsidP="00A67144">
      <w:pPr>
        <w:spacing w:after="0"/>
        <w:ind w:left="360"/>
        <w:rPr>
          <w:rFonts w:ascii="Arial" w:eastAsia="Times New Roman" w:hAnsi="Arial" w:cs="Arial"/>
          <w:sz w:val="20"/>
          <w:szCs w:val="20"/>
        </w:rPr>
      </w:pPr>
    </w:p>
    <w:p w:rsidR="00A67144" w:rsidRPr="00F73FAC" w:rsidRDefault="00A67144" w:rsidP="00A67144">
      <w:pPr>
        <w:numPr>
          <w:ilvl w:val="0"/>
          <w:numId w:val="1"/>
        </w:numPr>
        <w:spacing w:after="0"/>
        <w:contextualSpacing/>
        <w:rPr>
          <w:rFonts w:ascii="Arial" w:eastAsia="Times New Roman" w:hAnsi="Arial" w:cs="Arial"/>
          <w:bCs/>
          <w:sz w:val="20"/>
          <w:szCs w:val="20"/>
        </w:rPr>
      </w:pPr>
      <w:r w:rsidRPr="00F73FAC">
        <w:rPr>
          <w:rFonts w:ascii="Arial" w:eastAsia="Times New Roman" w:hAnsi="Arial" w:cs="Arial"/>
          <w:bCs/>
          <w:sz w:val="20"/>
          <w:szCs w:val="20"/>
        </w:rPr>
        <w:t xml:space="preserve">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students with disabilities, which may include assistive technology or adaptive equipment. </w:t>
      </w:r>
    </w:p>
    <w:p w:rsidR="00A67144" w:rsidRPr="00F73FAC" w:rsidRDefault="00A67144" w:rsidP="00A67144">
      <w:pPr>
        <w:spacing w:after="0"/>
        <w:ind w:left="720"/>
        <w:contextualSpacing/>
        <w:rPr>
          <w:rFonts w:ascii="Arial" w:eastAsia="Times New Roman" w:hAnsi="Arial" w:cs="Arial"/>
          <w:sz w:val="20"/>
          <w:szCs w:val="20"/>
        </w:rPr>
      </w:pPr>
    </w:p>
    <w:p w:rsidR="00A67144" w:rsidRPr="00F73FAC" w:rsidRDefault="00A67144" w:rsidP="00A67144">
      <w:pPr>
        <w:numPr>
          <w:ilvl w:val="0"/>
          <w:numId w:val="1"/>
        </w:numPr>
        <w:spacing w:after="0"/>
        <w:contextualSpacing/>
        <w:rPr>
          <w:rFonts w:ascii="Arial" w:eastAsia="Times New Roman" w:hAnsi="Arial" w:cs="Arial"/>
          <w:sz w:val="20"/>
          <w:szCs w:val="20"/>
        </w:rPr>
      </w:pPr>
      <w:r w:rsidRPr="00F73FAC">
        <w:rPr>
          <w:rFonts w:ascii="Arial" w:eastAsia="Times New Roman" w:hAnsi="Arial" w:cs="Arial"/>
          <w:sz w:val="20"/>
          <w:szCs w:val="20"/>
        </w:rPr>
        <w:t xml:space="preserve">Providing mental health services and supports. </w:t>
      </w:r>
    </w:p>
    <w:p w:rsidR="00A67144" w:rsidRPr="00F73FAC" w:rsidRDefault="00A67144" w:rsidP="00A67144">
      <w:pPr>
        <w:spacing w:after="0"/>
        <w:ind w:left="720"/>
        <w:contextualSpacing/>
        <w:rPr>
          <w:rFonts w:ascii="Arial" w:eastAsia="Times New Roman" w:hAnsi="Arial" w:cs="Arial"/>
          <w:sz w:val="20"/>
          <w:szCs w:val="20"/>
        </w:rPr>
      </w:pPr>
    </w:p>
    <w:p w:rsidR="00A67144" w:rsidRDefault="00A67144" w:rsidP="00441D90">
      <w:pPr>
        <w:numPr>
          <w:ilvl w:val="0"/>
          <w:numId w:val="1"/>
        </w:numPr>
        <w:spacing w:after="0"/>
        <w:contextualSpacing/>
        <w:rPr>
          <w:rFonts w:ascii="Arial" w:eastAsia="Times New Roman" w:hAnsi="Arial" w:cs="Arial"/>
          <w:sz w:val="20"/>
          <w:szCs w:val="20"/>
        </w:rPr>
      </w:pPr>
      <w:r w:rsidRPr="00420807">
        <w:rPr>
          <w:rFonts w:ascii="Arial" w:eastAsia="Times New Roman" w:hAnsi="Arial" w:cs="Arial"/>
          <w:sz w:val="20"/>
          <w:szCs w:val="20"/>
        </w:rPr>
        <w:t xml:space="preserve">Planning and implementing activities related to summer learning and supplemental afterschool programs, including providing classroom instruction or online learning during the summer months and addressing the needs of low income students, students with disabilities, English learners, migrant students, students experiencing homelessness, and children in foster care. </w:t>
      </w:r>
    </w:p>
    <w:p w:rsidR="00420807" w:rsidRPr="00420807" w:rsidRDefault="00420807" w:rsidP="00420807">
      <w:pPr>
        <w:spacing w:after="0"/>
        <w:contextualSpacing/>
        <w:rPr>
          <w:rFonts w:ascii="Arial" w:eastAsia="Times New Roman" w:hAnsi="Arial" w:cs="Arial"/>
          <w:sz w:val="20"/>
          <w:szCs w:val="20"/>
        </w:rPr>
      </w:pPr>
    </w:p>
    <w:p w:rsidR="00420807" w:rsidRDefault="00A67144" w:rsidP="00A67144">
      <w:pPr>
        <w:numPr>
          <w:ilvl w:val="0"/>
          <w:numId w:val="1"/>
        </w:numPr>
        <w:spacing w:after="0"/>
        <w:contextualSpacing/>
        <w:rPr>
          <w:rFonts w:ascii="Arial" w:eastAsia="Times New Roman" w:hAnsi="Arial" w:cs="Arial"/>
          <w:bCs/>
          <w:sz w:val="20"/>
          <w:szCs w:val="20"/>
        </w:rPr>
        <w:sectPr w:rsidR="00420807" w:rsidSect="003A166D">
          <w:headerReference w:type="default" r:id="rId8"/>
          <w:pgSz w:w="12240" w:h="15840"/>
          <w:pgMar w:top="720" w:right="720" w:bottom="720" w:left="720" w:header="720" w:footer="720" w:gutter="0"/>
          <w:cols w:space="720"/>
          <w:docGrid w:linePitch="360"/>
        </w:sectPr>
      </w:pPr>
      <w:r w:rsidRPr="00F73FAC">
        <w:rPr>
          <w:rFonts w:ascii="Arial" w:eastAsia="Times New Roman" w:hAnsi="Arial" w:cs="Arial"/>
          <w:bCs/>
          <w:sz w:val="20"/>
          <w:szCs w:val="20"/>
        </w:rPr>
        <w:t xml:space="preserve">Other activities that are necessary to maintain the operation of and continuity of services in local educational agencies and </w:t>
      </w:r>
      <w:r w:rsidRPr="00F73FAC">
        <w:rPr>
          <w:rFonts w:ascii="Arial" w:eastAsia="Times New Roman" w:hAnsi="Arial" w:cs="Arial"/>
          <w:bCs/>
          <w:sz w:val="20"/>
          <w:szCs w:val="20"/>
          <w:u w:val="single"/>
        </w:rPr>
        <w:t>continuing to employ existing staff of the local educational agency</w:t>
      </w:r>
      <w:r w:rsidRPr="00F73FAC">
        <w:rPr>
          <w:rFonts w:ascii="Arial" w:eastAsia="Times New Roman" w:hAnsi="Arial" w:cs="Arial"/>
          <w:bCs/>
          <w:sz w:val="20"/>
          <w:szCs w:val="20"/>
        </w:rPr>
        <w:t>.</w:t>
      </w:r>
    </w:p>
    <w:p w:rsidR="009D35A3" w:rsidRPr="00D22429" w:rsidRDefault="009D35A3" w:rsidP="001B0975">
      <w:pPr>
        <w:pBdr>
          <w:bottom w:val="single" w:sz="18" w:space="1" w:color="auto"/>
        </w:pBdr>
        <w:spacing w:after="0"/>
        <w:contextualSpacing/>
        <w:rPr>
          <w:rFonts w:ascii="Arial" w:eastAsia="Times New Roman" w:hAnsi="Arial" w:cs="Arial"/>
          <w:bCs/>
          <w:color w:val="1F497D" w:themeColor="text2"/>
          <w:sz w:val="22"/>
          <w:szCs w:val="22"/>
        </w:rPr>
      </w:pPr>
    </w:p>
    <w:p w:rsidR="00720632" w:rsidRPr="00D22429" w:rsidRDefault="001F06ED" w:rsidP="00720632">
      <w:pPr>
        <w:spacing w:after="0"/>
        <w:jc w:val="both"/>
        <w:rPr>
          <w:rFonts w:ascii="Arial" w:eastAsia="Times New Roman" w:hAnsi="Arial" w:cs="Arial"/>
          <w:bCs/>
          <w:sz w:val="22"/>
          <w:szCs w:val="22"/>
        </w:rPr>
      </w:pPr>
      <w:r w:rsidRPr="00D22429">
        <w:rPr>
          <w:rFonts w:ascii="Arial" w:eastAsia="Times New Roman" w:hAnsi="Arial" w:cs="Arial"/>
          <w:bCs/>
          <w:sz w:val="22"/>
          <w:szCs w:val="22"/>
        </w:rPr>
        <w:t xml:space="preserve">The list of suggestions below </w:t>
      </w:r>
      <w:r w:rsidR="00420807" w:rsidRPr="00D22429">
        <w:rPr>
          <w:rFonts w:ascii="Arial" w:eastAsia="Times New Roman" w:hAnsi="Arial" w:cs="Arial"/>
          <w:bCs/>
          <w:sz w:val="22"/>
          <w:szCs w:val="22"/>
        </w:rPr>
        <w:t>are</w:t>
      </w:r>
      <w:r w:rsidRPr="00D22429">
        <w:rPr>
          <w:rFonts w:ascii="Arial" w:eastAsia="Times New Roman" w:hAnsi="Arial" w:cs="Arial"/>
          <w:bCs/>
          <w:sz w:val="22"/>
          <w:szCs w:val="22"/>
        </w:rPr>
        <w:t xml:space="preserve"> not exhaustive. All CARES Act applications are subject to final review and approval through the Oregon Department of Education application process and must adhere to state and local COVID-19 restrictions.</w:t>
      </w:r>
    </w:p>
    <w:p w:rsidR="00C70593" w:rsidRPr="00520108" w:rsidRDefault="00C70593" w:rsidP="00720632">
      <w:pPr>
        <w:spacing w:after="0"/>
        <w:jc w:val="both"/>
        <w:rPr>
          <w:b/>
          <w:color w:val="FFFFFF" w:themeColor="background1"/>
          <w:sz w:val="22"/>
          <w:szCs w:val="22"/>
        </w:rPr>
      </w:pPr>
      <w:r w:rsidRPr="00520108">
        <w:rPr>
          <w:b/>
          <w:color w:val="FFFFFF" w:themeColor="background1"/>
          <w:sz w:val="22"/>
          <w:szCs w:val="22"/>
        </w:rPr>
        <w:t>Consider both short-term and long-term needs in budget planning.</w:t>
      </w:r>
    </w:p>
    <w:p w:rsidR="00C70593" w:rsidRPr="00520108" w:rsidRDefault="00C70593" w:rsidP="00C70593">
      <w:pPr>
        <w:pStyle w:val="ListParagraph"/>
        <w:numPr>
          <w:ilvl w:val="0"/>
          <w:numId w:val="5"/>
        </w:numPr>
        <w:shd w:val="clear" w:color="auto" w:fill="17365D" w:themeFill="text2" w:themeFillShade="BF"/>
        <w:spacing w:after="0"/>
        <w:ind w:left="360"/>
        <w:rPr>
          <w:b/>
          <w:color w:val="FFFFFF" w:themeColor="background1"/>
          <w:sz w:val="22"/>
          <w:szCs w:val="22"/>
        </w:rPr>
      </w:pPr>
      <w:r w:rsidRPr="00520108">
        <w:rPr>
          <w:b/>
          <w:color w:val="FFFFFF" w:themeColor="background1"/>
          <w:sz w:val="22"/>
          <w:szCs w:val="22"/>
        </w:rPr>
        <w:t>Funding does not have to be used at only Title I served schools nor for only Title I eligible students.</w:t>
      </w:r>
    </w:p>
    <w:p w:rsidR="00C70593" w:rsidRPr="00520108" w:rsidRDefault="00C70593" w:rsidP="00C70593">
      <w:pPr>
        <w:pStyle w:val="ListParagraph"/>
        <w:numPr>
          <w:ilvl w:val="0"/>
          <w:numId w:val="5"/>
        </w:numPr>
        <w:shd w:val="clear" w:color="auto" w:fill="17365D" w:themeFill="text2" w:themeFillShade="BF"/>
        <w:spacing w:after="0"/>
        <w:ind w:left="360"/>
        <w:rPr>
          <w:b/>
          <w:color w:val="FFFFFF" w:themeColor="background1"/>
          <w:sz w:val="22"/>
          <w:szCs w:val="22"/>
        </w:rPr>
      </w:pPr>
      <w:r w:rsidRPr="00520108">
        <w:rPr>
          <w:b/>
          <w:color w:val="FFFFFF" w:themeColor="background1"/>
          <w:sz w:val="22"/>
          <w:szCs w:val="22"/>
        </w:rPr>
        <w:t>Activities allowed under any federal education grant such as IDEA, Title I, Title II, Title III, Title IV, 21</w:t>
      </w:r>
      <w:r w:rsidRPr="00520108">
        <w:rPr>
          <w:b/>
          <w:color w:val="FFFFFF" w:themeColor="background1"/>
          <w:sz w:val="22"/>
          <w:szCs w:val="22"/>
          <w:vertAlign w:val="superscript"/>
        </w:rPr>
        <w:t>st</w:t>
      </w:r>
      <w:r w:rsidRPr="00520108">
        <w:rPr>
          <w:b/>
          <w:color w:val="FFFFFF" w:themeColor="background1"/>
          <w:sz w:val="22"/>
          <w:szCs w:val="22"/>
        </w:rPr>
        <w:t xml:space="preserve"> Century Community Learning Centers, Perkins, or McKinney-Vento, are allowed under CARES.</w:t>
      </w:r>
    </w:p>
    <w:p w:rsidR="00C70593" w:rsidRPr="00520108" w:rsidRDefault="00C70593" w:rsidP="00C70593">
      <w:pPr>
        <w:pStyle w:val="ListParagraph"/>
        <w:numPr>
          <w:ilvl w:val="0"/>
          <w:numId w:val="5"/>
        </w:numPr>
        <w:shd w:val="clear" w:color="auto" w:fill="17365D" w:themeFill="text2" w:themeFillShade="BF"/>
        <w:spacing w:after="0"/>
        <w:ind w:left="360"/>
        <w:rPr>
          <w:b/>
          <w:color w:val="FFFFFF" w:themeColor="background1"/>
          <w:sz w:val="22"/>
          <w:szCs w:val="22"/>
        </w:rPr>
      </w:pPr>
      <w:r w:rsidRPr="00520108">
        <w:rPr>
          <w:b/>
          <w:color w:val="FFFFFF" w:themeColor="background1"/>
          <w:sz w:val="22"/>
          <w:szCs w:val="22"/>
        </w:rPr>
        <w:t>Non-public school Activities must be non-ideological, secular, and neutral in nature.</w:t>
      </w:r>
    </w:p>
    <w:p w:rsidR="00C70593" w:rsidRPr="00520108" w:rsidRDefault="00C70593" w:rsidP="00C70593">
      <w:pPr>
        <w:pStyle w:val="ListParagraph"/>
        <w:numPr>
          <w:ilvl w:val="0"/>
          <w:numId w:val="5"/>
        </w:numPr>
        <w:shd w:val="clear" w:color="auto" w:fill="17365D" w:themeFill="text2" w:themeFillShade="BF"/>
        <w:spacing w:after="0"/>
        <w:ind w:left="360"/>
        <w:rPr>
          <w:b/>
          <w:color w:val="FFFFFF" w:themeColor="background1"/>
          <w:sz w:val="22"/>
          <w:szCs w:val="22"/>
        </w:rPr>
      </w:pPr>
      <w:r w:rsidRPr="00520108">
        <w:rPr>
          <w:b/>
          <w:color w:val="FFFFFF" w:themeColor="background1"/>
          <w:sz w:val="22"/>
          <w:szCs w:val="22"/>
        </w:rPr>
        <w:t>Fiscal rules of EDGAR and OMB apply as any other federal fund.</w:t>
      </w:r>
    </w:p>
    <w:p w:rsidR="002B1D43" w:rsidRPr="003A166D" w:rsidRDefault="002B1D43" w:rsidP="001F06ED">
      <w:pPr>
        <w:spacing w:after="0"/>
        <w:rPr>
          <w:rFonts w:ascii="Arial" w:eastAsia="Times New Roman" w:hAnsi="Arial" w:cs="Arial"/>
          <w:b/>
          <w:bCs/>
          <w:sz w:val="22"/>
          <w:szCs w:val="22"/>
        </w:rPr>
      </w:pPr>
    </w:p>
    <w:tbl>
      <w:tblPr>
        <w:tblStyle w:val="TableGrid"/>
        <w:tblpPr w:leftFromText="180" w:rightFromText="180" w:vertAnchor="text" w:tblpY="1"/>
        <w:tblOverlap w:val="never"/>
        <w:tblW w:w="10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tagories of Suggested CARES Act Applications"/>
      </w:tblPr>
      <w:tblGrid>
        <w:gridCol w:w="2335"/>
        <w:gridCol w:w="8442"/>
      </w:tblGrid>
      <w:tr w:rsidR="003A166D" w:rsidRPr="003A166D" w:rsidTr="002601FC">
        <w:trPr>
          <w:tblHeader/>
        </w:trPr>
        <w:tc>
          <w:tcPr>
            <w:tcW w:w="2335" w:type="dxa"/>
          </w:tcPr>
          <w:p w:rsidR="002601FC" w:rsidRPr="003A166D" w:rsidRDefault="003A166D" w:rsidP="002601FC">
            <w:pPr>
              <w:jc w:val="center"/>
              <w:rPr>
                <w:b/>
                <w:noProof/>
                <w:sz w:val="22"/>
                <w:szCs w:val="22"/>
              </w:rPr>
            </w:pPr>
            <w:r w:rsidRPr="003A166D">
              <w:rPr>
                <w:b/>
                <w:noProof/>
                <w:sz w:val="22"/>
                <w:szCs w:val="22"/>
              </w:rPr>
              <w:t>Application Categories</w:t>
            </w:r>
          </w:p>
        </w:tc>
        <w:tc>
          <w:tcPr>
            <w:tcW w:w="8442" w:type="dxa"/>
          </w:tcPr>
          <w:p w:rsidR="003A166D" w:rsidRPr="003A166D" w:rsidRDefault="003A166D" w:rsidP="003A166D">
            <w:pPr>
              <w:jc w:val="center"/>
              <w:rPr>
                <w:b/>
                <w:color w:val="000000" w:themeColor="text1"/>
                <w:sz w:val="22"/>
                <w:szCs w:val="22"/>
              </w:rPr>
            </w:pPr>
            <w:r w:rsidRPr="003A166D">
              <w:rPr>
                <w:b/>
                <w:color w:val="000000" w:themeColor="text1"/>
                <w:sz w:val="22"/>
                <w:szCs w:val="22"/>
              </w:rPr>
              <w:t>Examples of Applications</w:t>
            </w:r>
          </w:p>
        </w:tc>
      </w:tr>
      <w:tr w:rsidR="003A166D" w:rsidTr="002601FC">
        <w:trPr>
          <w:trHeight w:val="2204"/>
        </w:trPr>
        <w:tc>
          <w:tcPr>
            <w:tcW w:w="2335" w:type="dxa"/>
          </w:tcPr>
          <w:p w:rsidR="002B1D43" w:rsidRDefault="002B1D43" w:rsidP="003A166D">
            <w:r w:rsidRPr="00D7155F">
              <w:rPr>
                <w:noProof/>
                <w:sz w:val="20"/>
                <w:szCs w:val="20"/>
              </w:rPr>
              <w:drawing>
                <wp:inline distT="0" distB="0" distL="0" distR="0">
                  <wp:extent cx="1316355" cy="1198880"/>
                  <wp:effectExtent l="0" t="0" r="0" b="1270"/>
                  <wp:docPr id="6" name="Picture 6" title="REMEDIATION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16355" cy="1198880"/>
                          </a:xfrm>
                          <a:prstGeom prst="rect">
                            <a:avLst/>
                          </a:prstGeom>
                        </pic:spPr>
                      </pic:pic>
                    </a:graphicData>
                  </a:graphic>
                </wp:inline>
              </w:drawing>
            </w:r>
          </w:p>
        </w:tc>
        <w:tc>
          <w:tcPr>
            <w:tcW w:w="8442" w:type="dxa"/>
          </w:tcPr>
          <w:p w:rsidR="002B1D43" w:rsidRPr="00520108" w:rsidRDefault="002B1D43" w:rsidP="003A166D">
            <w:pPr>
              <w:pStyle w:val="ListParagraph"/>
              <w:numPr>
                <w:ilvl w:val="0"/>
                <w:numId w:val="7"/>
              </w:numPr>
              <w:rPr>
                <w:sz w:val="22"/>
                <w:szCs w:val="22"/>
              </w:rPr>
            </w:pPr>
            <w:r w:rsidRPr="00520108">
              <w:rPr>
                <w:color w:val="000000" w:themeColor="text1"/>
                <w:sz w:val="22"/>
                <w:szCs w:val="22"/>
              </w:rPr>
              <w:t>Activities to address gaps in learning that occurred due to school disruptions</w:t>
            </w:r>
            <w:r w:rsidRPr="00520108">
              <w:rPr>
                <w:noProof/>
                <w:color w:val="000000" w:themeColor="text1"/>
                <w:sz w:val="22"/>
                <w:szCs w:val="22"/>
              </w:rPr>
              <w:t xml:space="preserve"> </w:t>
            </w:r>
          </w:p>
          <w:p w:rsidR="002B1D43" w:rsidRPr="00520108" w:rsidRDefault="002B1D43" w:rsidP="003A166D">
            <w:pPr>
              <w:pStyle w:val="ListParagraph"/>
              <w:numPr>
                <w:ilvl w:val="0"/>
                <w:numId w:val="7"/>
              </w:numPr>
              <w:rPr>
                <w:sz w:val="22"/>
                <w:szCs w:val="22"/>
              </w:rPr>
            </w:pPr>
            <w:r w:rsidRPr="00520108">
              <w:rPr>
                <w:sz w:val="22"/>
                <w:szCs w:val="22"/>
              </w:rPr>
              <w:t>Summer School</w:t>
            </w:r>
          </w:p>
          <w:p w:rsidR="002B1D43" w:rsidRPr="00520108" w:rsidRDefault="002B1D43" w:rsidP="003A166D">
            <w:pPr>
              <w:pStyle w:val="ListParagraph"/>
              <w:numPr>
                <w:ilvl w:val="0"/>
                <w:numId w:val="7"/>
              </w:numPr>
              <w:rPr>
                <w:sz w:val="22"/>
                <w:szCs w:val="22"/>
              </w:rPr>
            </w:pPr>
            <w:r w:rsidRPr="00520108">
              <w:rPr>
                <w:sz w:val="22"/>
                <w:szCs w:val="22"/>
              </w:rPr>
              <w:t>Funding can be used to support your local 21</w:t>
            </w:r>
            <w:r w:rsidRPr="00520108">
              <w:rPr>
                <w:sz w:val="22"/>
                <w:szCs w:val="22"/>
                <w:vertAlign w:val="superscript"/>
              </w:rPr>
              <w:t>st</w:t>
            </w:r>
            <w:r w:rsidRPr="00520108">
              <w:rPr>
                <w:sz w:val="22"/>
                <w:szCs w:val="22"/>
              </w:rPr>
              <w:t xml:space="preserve"> Century Community Learning Centers Program activities</w:t>
            </w:r>
          </w:p>
          <w:p w:rsidR="002B1D43" w:rsidRPr="00520108" w:rsidRDefault="002B1D43" w:rsidP="003A166D">
            <w:pPr>
              <w:pStyle w:val="ListParagraph"/>
              <w:numPr>
                <w:ilvl w:val="0"/>
                <w:numId w:val="7"/>
              </w:numPr>
              <w:rPr>
                <w:sz w:val="22"/>
                <w:szCs w:val="22"/>
              </w:rPr>
            </w:pPr>
            <w:r w:rsidRPr="00520108">
              <w:rPr>
                <w:sz w:val="22"/>
                <w:szCs w:val="22"/>
              </w:rPr>
              <w:t xml:space="preserve">Staff and curriculum resources </w:t>
            </w:r>
            <w:r w:rsidR="0060113A" w:rsidRPr="00520108">
              <w:rPr>
                <w:sz w:val="22"/>
                <w:szCs w:val="22"/>
              </w:rPr>
              <w:t>to</w:t>
            </w:r>
            <w:r w:rsidRPr="00520108">
              <w:rPr>
                <w:sz w:val="22"/>
                <w:szCs w:val="22"/>
              </w:rPr>
              <w:t xml:space="preserve"> start the school year early, lengthen the school day, or year</w:t>
            </w:r>
          </w:p>
          <w:p w:rsidR="002B1D43" w:rsidRPr="00520108" w:rsidRDefault="002B1D43" w:rsidP="003A166D">
            <w:pPr>
              <w:pStyle w:val="ListParagraph"/>
              <w:numPr>
                <w:ilvl w:val="0"/>
                <w:numId w:val="7"/>
              </w:numPr>
              <w:rPr>
                <w:sz w:val="22"/>
                <w:szCs w:val="22"/>
              </w:rPr>
            </w:pPr>
            <w:r w:rsidRPr="00520108">
              <w:rPr>
                <w:sz w:val="22"/>
                <w:szCs w:val="22"/>
              </w:rPr>
              <w:t>Additional teachers to provide intensive support once school has started</w:t>
            </w:r>
          </w:p>
          <w:p w:rsidR="002B1D43" w:rsidRPr="00520108" w:rsidRDefault="002B1D43" w:rsidP="003A166D">
            <w:pPr>
              <w:pStyle w:val="ListParagraph"/>
              <w:numPr>
                <w:ilvl w:val="0"/>
                <w:numId w:val="7"/>
              </w:numPr>
              <w:rPr>
                <w:sz w:val="22"/>
                <w:szCs w:val="22"/>
              </w:rPr>
            </w:pPr>
            <w:r w:rsidRPr="00520108">
              <w:rPr>
                <w:sz w:val="22"/>
                <w:szCs w:val="22"/>
              </w:rPr>
              <w:t>Additional support for students most in need, including students with disabilities, English learners, foster, homeless, migrant, low-income, etc.</w:t>
            </w:r>
          </w:p>
        </w:tc>
      </w:tr>
      <w:tr w:rsidR="002B1D43" w:rsidTr="002601FC">
        <w:tc>
          <w:tcPr>
            <w:tcW w:w="2335" w:type="dxa"/>
          </w:tcPr>
          <w:p w:rsidR="002B1D43" w:rsidRPr="00D7155F" w:rsidRDefault="002B1D43" w:rsidP="003A166D">
            <w:pPr>
              <w:rPr>
                <w:noProof/>
                <w:sz w:val="20"/>
                <w:szCs w:val="20"/>
              </w:rPr>
            </w:pPr>
            <w:r w:rsidRPr="00703B69">
              <w:rPr>
                <w:noProof/>
                <w:sz w:val="20"/>
                <w:szCs w:val="20"/>
              </w:rPr>
              <w:drawing>
                <wp:inline distT="0" distB="0" distL="0" distR="0">
                  <wp:extent cx="1245870" cy="1153160"/>
                  <wp:effectExtent l="0" t="0" r="0" b="8890"/>
                  <wp:docPr id="12" name="Picture 12" title="TECHNOLOGY PREPAREDNESS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45870" cy="1153160"/>
                          </a:xfrm>
                          <a:prstGeom prst="rect">
                            <a:avLst/>
                          </a:prstGeom>
                        </pic:spPr>
                      </pic:pic>
                    </a:graphicData>
                  </a:graphic>
                </wp:inline>
              </w:drawing>
            </w:r>
          </w:p>
        </w:tc>
        <w:tc>
          <w:tcPr>
            <w:tcW w:w="8442" w:type="dxa"/>
          </w:tcPr>
          <w:p w:rsidR="00443F71" w:rsidRPr="00520108" w:rsidRDefault="00443F71" w:rsidP="003A166D">
            <w:pPr>
              <w:pStyle w:val="ListParagraph"/>
              <w:ind w:left="360"/>
              <w:rPr>
                <w:sz w:val="22"/>
                <w:szCs w:val="22"/>
              </w:rPr>
            </w:pPr>
          </w:p>
          <w:p w:rsidR="00443F71" w:rsidRPr="00520108" w:rsidRDefault="00443F71" w:rsidP="003A166D">
            <w:pPr>
              <w:pStyle w:val="ListParagraph"/>
              <w:ind w:left="360"/>
              <w:rPr>
                <w:sz w:val="22"/>
                <w:szCs w:val="22"/>
              </w:rPr>
            </w:pPr>
          </w:p>
          <w:p w:rsidR="00443F71" w:rsidRPr="00520108" w:rsidRDefault="00443F71" w:rsidP="003A166D">
            <w:pPr>
              <w:pStyle w:val="ListParagraph"/>
              <w:numPr>
                <w:ilvl w:val="0"/>
                <w:numId w:val="8"/>
              </w:numPr>
              <w:rPr>
                <w:sz w:val="22"/>
                <w:szCs w:val="22"/>
              </w:rPr>
            </w:pPr>
            <w:r w:rsidRPr="00520108">
              <w:rPr>
                <w:sz w:val="22"/>
                <w:szCs w:val="22"/>
              </w:rPr>
              <w:t>Additional devices</w:t>
            </w:r>
          </w:p>
          <w:p w:rsidR="00443F71" w:rsidRPr="00520108" w:rsidRDefault="00443F71" w:rsidP="003A166D">
            <w:pPr>
              <w:pStyle w:val="ListParagraph"/>
              <w:numPr>
                <w:ilvl w:val="0"/>
                <w:numId w:val="8"/>
              </w:numPr>
              <w:rPr>
                <w:sz w:val="22"/>
                <w:szCs w:val="22"/>
              </w:rPr>
            </w:pPr>
            <w:r w:rsidRPr="00520108">
              <w:rPr>
                <w:sz w:val="22"/>
                <w:szCs w:val="22"/>
              </w:rPr>
              <w:t>WiFi/Internet connectivity</w:t>
            </w:r>
          </w:p>
          <w:p w:rsidR="00443F71" w:rsidRPr="00520108" w:rsidRDefault="00443F71" w:rsidP="003A166D">
            <w:pPr>
              <w:pStyle w:val="ListParagraph"/>
              <w:numPr>
                <w:ilvl w:val="0"/>
                <w:numId w:val="8"/>
              </w:numPr>
              <w:rPr>
                <w:sz w:val="22"/>
                <w:szCs w:val="22"/>
              </w:rPr>
            </w:pPr>
            <w:r w:rsidRPr="00520108">
              <w:rPr>
                <w:sz w:val="22"/>
                <w:szCs w:val="22"/>
              </w:rPr>
              <w:t>Learning management systems</w:t>
            </w:r>
          </w:p>
          <w:p w:rsidR="00443F71" w:rsidRPr="00520108" w:rsidRDefault="00443F71" w:rsidP="003A166D">
            <w:pPr>
              <w:pStyle w:val="ListParagraph"/>
              <w:numPr>
                <w:ilvl w:val="0"/>
                <w:numId w:val="8"/>
              </w:numPr>
              <w:rPr>
                <w:sz w:val="22"/>
                <w:szCs w:val="22"/>
              </w:rPr>
            </w:pPr>
            <w:r w:rsidRPr="00520108">
              <w:rPr>
                <w:sz w:val="22"/>
                <w:szCs w:val="22"/>
              </w:rPr>
              <w:t>Professional development for educators to deliver eLearning</w:t>
            </w:r>
          </w:p>
          <w:p w:rsidR="002B1D43" w:rsidRPr="00520108" w:rsidRDefault="00443F71" w:rsidP="003A166D">
            <w:pPr>
              <w:pStyle w:val="ListParagraph"/>
              <w:numPr>
                <w:ilvl w:val="0"/>
                <w:numId w:val="8"/>
              </w:numPr>
              <w:rPr>
                <w:sz w:val="22"/>
                <w:szCs w:val="22"/>
              </w:rPr>
            </w:pPr>
            <w:r w:rsidRPr="00520108">
              <w:rPr>
                <w:sz w:val="22"/>
                <w:szCs w:val="22"/>
              </w:rPr>
              <w:t>Offline course/material curation</w:t>
            </w:r>
          </w:p>
        </w:tc>
      </w:tr>
      <w:tr w:rsidR="00443F71" w:rsidTr="002601FC">
        <w:trPr>
          <w:trHeight w:val="2384"/>
        </w:trPr>
        <w:tc>
          <w:tcPr>
            <w:tcW w:w="2335" w:type="dxa"/>
          </w:tcPr>
          <w:p w:rsidR="00443F71" w:rsidRPr="00703B69" w:rsidRDefault="00443F71" w:rsidP="003A166D">
            <w:pPr>
              <w:rPr>
                <w:noProof/>
                <w:sz w:val="20"/>
                <w:szCs w:val="20"/>
              </w:rPr>
            </w:pPr>
            <w:r w:rsidRPr="00703B69">
              <w:rPr>
                <w:noProof/>
                <w:sz w:val="20"/>
                <w:szCs w:val="20"/>
              </w:rPr>
              <w:drawing>
                <wp:inline distT="0" distB="0" distL="0" distR="0">
                  <wp:extent cx="1304290" cy="1338580"/>
                  <wp:effectExtent l="0" t="0" r="0" b="0"/>
                  <wp:docPr id="13" name="Picture 13" title="CLREANLINESS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304290" cy="1338580"/>
                          </a:xfrm>
                          <a:prstGeom prst="rect">
                            <a:avLst/>
                          </a:prstGeom>
                        </pic:spPr>
                      </pic:pic>
                    </a:graphicData>
                  </a:graphic>
                </wp:inline>
              </w:drawing>
            </w:r>
          </w:p>
        </w:tc>
        <w:tc>
          <w:tcPr>
            <w:tcW w:w="8442" w:type="dxa"/>
          </w:tcPr>
          <w:p w:rsidR="00443F71" w:rsidRPr="00520108" w:rsidRDefault="00443F71" w:rsidP="003A166D">
            <w:pPr>
              <w:rPr>
                <w:sz w:val="22"/>
                <w:szCs w:val="22"/>
              </w:rPr>
            </w:pPr>
          </w:p>
          <w:p w:rsidR="00443F71" w:rsidRPr="00520108" w:rsidRDefault="00443F71" w:rsidP="003A166D">
            <w:pPr>
              <w:tabs>
                <w:tab w:val="left" w:pos="1074"/>
              </w:tabs>
              <w:rPr>
                <w:sz w:val="22"/>
                <w:szCs w:val="22"/>
              </w:rPr>
            </w:pPr>
          </w:p>
          <w:p w:rsidR="00443F71" w:rsidRPr="00520108" w:rsidRDefault="00443F71" w:rsidP="003A166D">
            <w:pPr>
              <w:pStyle w:val="ListParagraph"/>
              <w:numPr>
                <w:ilvl w:val="0"/>
                <w:numId w:val="9"/>
              </w:numPr>
              <w:rPr>
                <w:sz w:val="22"/>
                <w:szCs w:val="22"/>
              </w:rPr>
            </w:pPr>
            <w:r w:rsidRPr="00520108">
              <w:rPr>
                <w:sz w:val="22"/>
                <w:szCs w:val="22"/>
              </w:rPr>
              <w:t>Additional Processional cleaning of schools to prepare for student return or maintain student and staff safety once buildings are open</w:t>
            </w:r>
          </w:p>
          <w:p w:rsidR="00443F71" w:rsidRPr="00520108" w:rsidRDefault="00443F71" w:rsidP="003A166D">
            <w:pPr>
              <w:pStyle w:val="ListParagraph"/>
              <w:numPr>
                <w:ilvl w:val="0"/>
                <w:numId w:val="9"/>
              </w:numPr>
              <w:rPr>
                <w:sz w:val="22"/>
                <w:szCs w:val="22"/>
              </w:rPr>
            </w:pPr>
            <w:r w:rsidRPr="00520108">
              <w:rPr>
                <w:sz w:val="22"/>
                <w:szCs w:val="22"/>
              </w:rPr>
              <w:t>Personal protective equipment (PPE)</w:t>
            </w:r>
          </w:p>
          <w:p w:rsidR="00443F71" w:rsidRPr="00520108" w:rsidRDefault="00443F71" w:rsidP="003A166D">
            <w:pPr>
              <w:pStyle w:val="ListParagraph"/>
              <w:numPr>
                <w:ilvl w:val="0"/>
                <w:numId w:val="9"/>
              </w:numPr>
              <w:rPr>
                <w:sz w:val="22"/>
                <w:szCs w:val="22"/>
              </w:rPr>
            </w:pPr>
            <w:r w:rsidRPr="00520108">
              <w:rPr>
                <w:sz w:val="22"/>
                <w:szCs w:val="22"/>
              </w:rPr>
              <w:t>Cleaning Supplies</w:t>
            </w:r>
          </w:p>
        </w:tc>
      </w:tr>
      <w:tr w:rsidR="00443F71" w:rsidTr="002601FC">
        <w:trPr>
          <w:trHeight w:val="2384"/>
        </w:trPr>
        <w:tc>
          <w:tcPr>
            <w:tcW w:w="2335" w:type="dxa"/>
            <w:tcBorders>
              <w:bottom w:val="single" w:sz="18" w:space="0" w:color="auto"/>
            </w:tcBorders>
          </w:tcPr>
          <w:p w:rsidR="00443F71" w:rsidRPr="00703B69" w:rsidRDefault="00443F71" w:rsidP="003A166D">
            <w:pPr>
              <w:rPr>
                <w:noProof/>
                <w:sz w:val="20"/>
                <w:szCs w:val="20"/>
              </w:rPr>
            </w:pPr>
            <w:r w:rsidRPr="00703B69">
              <w:rPr>
                <w:rFonts w:ascii="Times New Roman" w:hAnsi="Times New Roman" w:cs="Times New Roman"/>
                <w:noProof/>
                <w:sz w:val="20"/>
                <w:szCs w:val="20"/>
              </w:rPr>
              <w:drawing>
                <wp:inline distT="0" distB="0" distL="0" distR="0">
                  <wp:extent cx="1300073" cy="1317071"/>
                  <wp:effectExtent l="0" t="0" r="0" b="0"/>
                  <wp:docPr id="14" name="Picture 14" title="SOCIAL-EMOTIONAL LEARNING Examp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l="6827"/>
                          <a:stretch>
                            <a:fillRect/>
                          </a:stretch>
                        </pic:blipFill>
                        <pic:spPr bwMode="auto">
                          <a:xfrm>
                            <a:off x="0" y="0"/>
                            <a:ext cx="1300073" cy="1317071"/>
                          </a:xfrm>
                          <a:prstGeom prst="rect">
                            <a:avLst/>
                          </a:prstGeom>
                          <a:noFill/>
                          <a:ln>
                            <a:noFill/>
                          </a:ln>
                          <a:effectLst/>
                        </pic:spPr>
                      </pic:pic>
                    </a:graphicData>
                  </a:graphic>
                </wp:inline>
              </w:drawing>
            </w:r>
          </w:p>
        </w:tc>
        <w:tc>
          <w:tcPr>
            <w:tcW w:w="8442" w:type="dxa"/>
            <w:tcBorders>
              <w:bottom w:val="single" w:sz="18" w:space="0" w:color="auto"/>
            </w:tcBorders>
          </w:tcPr>
          <w:p w:rsidR="00443F71" w:rsidRPr="00520108" w:rsidRDefault="00443F71" w:rsidP="003A166D">
            <w:pPr>
              <w:pStyle w:val="ListParagraph"/>
              <w:numPr>
                <w:ilvl w:val="0"/>
                <w:numId w:val="10"/>
              </w:numPr>
              <w:rPr>
                <w:sz w:val="22"/>
                <w:szCs w:val="22"/>
              </w:rPr>
            </w:pPr>
            <w:r w:rsidRPr="00520108">
              <w:rPr>
                <w:sz w:val="22"/>
                <w:szCs w:val="22"/>
              </w:rPr>
              <w:t>Additional funding of mental health partners for additional services to students (including students who do not have insurance or do not qualify for current services</w:t>
            </w:r>
          </w:p>
          <w:p w:rsidR="00443F71" w:rsidRPr="00520108" w:rsidRDefault="00443F71" w:rsidP="003A166D">
            <w:pPr>
              <w:pStyle w:val="ListParagraph"/>
              <w:numPr>
                <w:ilvl w:val="0"/>
                <w:numId w:val="10"/>
              </w:numPr>
              <w:rPr>
                <w:sz w:val="22"/>
                <w:szCs w:val="22"/>
              </w:rPr>
            </w:pPr>
            <w:r w:rsidRPr="00520108">
              <w:rPr>
                <w:sz w:val="22"/>
                <w:szCs w:val="22"/>
              </w:rPr>
              <w:t>Funding of support group for educators</w:t>
            </w:r>
          </w:p>
          <w:p w:rsidR="00443F71" w:rsidRPr="00520108" w:rsidRDefault="00443F71" w:rsidP="003A166D">
            <w:pPr>
              <w:pStyle w:val="ListParagraph"/>
              <w:numPr>
                <w:ilvl w:val="0"/>
                <w:numId w:val="10"/>
              </w:numPr>
              <w:rPr>
                <w:sz w:val="22"/>
                <w:szCs w:val="22"/>
              </w:rPr>
            </w:pPr>
            <w:r w:rsidRPr="00520108">
              <w:rPr>
                <w:sz w:val="22"/>
                <w:szCs w:val="22"/>
              </w:rPr>
              <w:t>Professional development on trauma responsive practices</w:t>
            </w:r>
          </w:p>
          <w:p w:rsidR="00443F71" w:rsidRPr="00520108" w:rsidRDefault="00443F71" w:rsidP="003A166D">
            <w:pPr>
              <w:pStyle w:val="ListParagraph"/>
              <w:numPr>
                <w:ilvl w:val="0"/>
                <w:numId w:val="10"/>
              </w:numPr>
              <w:rPr>
                <w:sz w:val="22"/>
                <w:szCs w:val="22"/>
              </w:rPr>
            </w:pPr>
            <w:r w:rsidRPr="00520108">
              <w:rPr>
                <w:sz w:val="22"/>
                <w:szCs w:val="22"/>
              </w:rPr>
              <w:t>Online platform for a social-emotional learning universal screener</w:t>
            </w:r>
          </w:p>
          <w:p w:rsidR="00443F71" w:rsidRPr="00520108" w:rsidRDefault="00443F71" w:rsidP="003A166D">
            <w:pPr>
              <w:pStyle w:val="ListParagraph"/>
              <w:numPr>
                <w:ilvl w:val="0"/>
                <w:numId w:val="10"/>
              </w:numPr>
              <w:rPr>
                <w:sz w:val="22"/>
                <w:szCs w:val="22"/>
              </w:rPr>
            </w:pPr>
            <w:r w:rsidRPr="00520108">
              <w:rPr>
                <w:sz w:val="22"/>
                <w:szCs w:val="22"/>
              </w:rPr>
              <w:t>Source of Strength, Hope Squad, etc., for student peer groups and support</w:t>
            </w:r>
          </w:p>
          <w:p w:rsidR="00443F71" w:rsidRPr="00520108" w:rsidRDefault="00443F71" w:rsidP="003A166D">
            <w:pPr>
              <w:pStyle w:val="ListParagraph"/>
              <w:numPr>
                <w:ilvl w:val="0"/>
                <w:numId w:val="10"/>
              </w:numPr>
              <w:rPr>
                <w:sz w:val="22"/>
                <w:szCs w:val="22"/>
              </w:rPr>
            </w:pPr>
            <w:r w:rsidRPr="00520108">
              <w:rPr>
                <w:sz w:val="22"/>
                <w:szCs w:val="22"/>
              </w:rPr>
              <w:t>Mental Health First Aid training, including coverage for substitutes</w:t>
            </w:r>
          </w:p>
          <w:p w:rsidR="00443F71" w:rsidRPr="00520108" w:rsidRDefault="00443F71" w:rsidP="003A166D">
            <w:pPr>
              <w:pStyle w:val="ListParagraph"/>
              <w:numPr>
                <w:ilvl w:val="0"/>
                <w:numId w:val="10"/>
              </w:numPr>
              <w:rPr>
                <w:sz w:val="22"/>
                <w:szCs w:val="22"/>
              </w:rPr>
            </w:pPr>
            <w:r w:rsidRPr="00520108">
              <w:rPr>
                <w:sz w:val="22"/>
                <w:szCs w:val="22"/>
              </w:rPr>
              <w:t>Increase EAP programming for educators to care for COVID-19 related trauma</w:t>
            </w:r>
          </w:p>
          <w:p w:rsidR="00443F71" w:rsidRPr="00520108" w:rsidRDefault="00443F71" w:rsidP="003A166D">
            <w:pPr>
              <w:rPr>
                <w:sz w:val="22"/>
                <w:szCs w:val="22"/>
              </w:rPr>
            </w:pPr>
          </w:p>
        </w:tc>
      </w:tr>
    </w:tbl>
    <w:p w:rsidR="00032F2D" w:rsidRPr="00443F71" w:rsidRDefault="00556D42" w:rsidP="00556D42">
      <w:pPr>
        <w:spacing w:after="0"/>
        <w:jc w:val="right"/>
        <w:rPr>
          <w:sz w:val="20"/>
          <w:szCs w:val="20"/>
        </w:rPr>
      </w:pPr>
      <w:r>
        <w:rPr>
          <w:noProof/>
        </w:rPr>
        <mc:AlternateContent>
          <mc:Choice Requires="wps">
            <w:drawing>
              <wp:inline distT="0" distB="0" distL="0" distR="0" wp14:anchorId="7A5D6454" wp14:editId="6BDEDAC2">
                <wp:extent cx="2124535" cy="405130"/>
                <wp:effectExtent l="0" t="0" r="9525"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535" cy="405130"/>
                        </a:xfrm>
                        <a:prstGeom prst="rect">
                          <a:avLst/>
                        </a:prstGeom>
                        <a:solidFill>
                          <a:srgbClr val="FFFFFF"/>
                        </a:solidFill>
                        <a:ln w="9525">
                          <a:noFill/>
                          <a:miter lim="800000"/>
                          <a:headEnd/>
                          <a:tailEnd/>
                        </a:ln>
                      </wps:spPr>
                      <wps:txbx>
                        <w:txbxContent>
                          <w:p w:rsidR="00556D42" w:rsidRPr="004F3307" w:rsidRDefault="00556D42" w:rsidP="00556D42">
                            <w:pPr>
                              <w:spacing w:after="0"/>
                              <w:rPr>
                                <w:i/>
                                <w:sz w:val="18"/>
                                <w:szCs w:val="18"/>
                              </w:rPr>
                            </w:pPr>
                            <w:r w:rsidRPr="004F3307">
                              <w:rPr>
                                <w:i/>
                                <w:sz w:val="18"/>
                                <w:szCs w:val="18"/>
                              </w:rPr>
                              <w:t>Graphics and Examples Provided by:</w:t>
                            </w:r>
                          </w:p>
                          <w:p w:rsidR="00556D42" w:rsidRPr="004F3307" w:rsidRDefault="00556D42" w:rsidP="005774C3">
                            <w:pPr>
                              <w:spacing w:after="0"/>
                              <w:ind w:left="180"/>
                              <w:rPr>
                                <w:i/>
                                <w:sz w:val="18"/>
                                <w:szCs w:val="18"/>
                              </w:rPr>
                            </w:pPr>
                            <w:r w:rsidRPr="004F3307">
                              <w:rPr>
                                <w:i/>
                                <w:sz w:val="18"/>
                                <w:szCs w:val="18"/>
                              </w:rPr>
                              <w:t>The Indiana Department of Education</w:t>
                            </w:r>
                          </w:p>
                        </w:txbxContent>
                      </wps:txbx>
                      <wps:bodyPr rot="0" vert="horz" wrap="square" lIns="91440" tIns="45720" rIns="91440" bIns="45720" anchor="t" anchorCtr="0">
                        <a:noAutofit/>
                      </wps:bodyPr>
                    </wps:wsp>
                  </a:graphicData>
                </a:graphic>
              </wp:inline>
            </w:drawing>
          </mc:Choice>
          <mc:Fallback>
            <w:pict>
              <v:shapetype w14:anchorId="7A5D6454" id="_x0000_t202" coordsize="21600,21600" o:spt="202" path="m,l,21600r21600,l21600,xe">
                <v:stroke joinstyle="miter"/>
                <v:path gradientshapeok="t" o:connecttype="rect"/>
              </v:shapetype>
              <v:shape id="Text Box 2" o:spid="_x0000_s1026" type="#_x0000_t202" style="width:167.3pt;height:3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" stroked="f">
                <v:textbox>
                  <w:txbxContent>
                    <w:p w:rsidR="00556D42" w:rsidRPr="004F3307" w:rsidRDefault="00556D42" w:rsidP="00556D42">
                      <w:pPr>
                        <w:spacing w:after="0"/>
                        <w:rPr>
                          <w:i/>
                          <w:sz w:val="18"/>
                          <w:szCs w:val="18"/>
                        </w:rPr>
                      </w:pPr>
                      <w:r w:rsidRPr="004F3307">
                        <w:rPr>
                          <w:i/>
                          <w:sz w:val="18"/>
                          <w:szCs w:val="18"/>
                        </w:rPr>
                        <w:t>Graphics and Examples Provided by:</w:t>
                      </w:r>
                    </w:p>
                    <w:p w:rsidR="00556D42" w:rsidRPr="004F3307" w:rsidRDefault="00556D42" w:rsidP="005774C3">
                      <w:pPr>
                        <w:spacing w:after="0"/>
                        <w:ind w:left="180"/>
                        <w:rPr>
                          <w:i/>
                          <w:sz w:val="18"/>
                          <w:szCs w:val="18"/>
                        </w:rPr>
                      </w:pPr>
                      <w:r w:rsidRPr="004F3307">
                        <w:rPr>
                          <w:i/>
                          <w:sz w:val="18"/>
                          <w:szCs w:val="18"/>
                        </w:rPr>
                        <w:t>The Indiana Department of Education</w:t>
                      </w:r>
                    </w:p>
                  </w:txbxContent>
                </v:textbox>
                <w10:anchorlock/>
              </v:shape>
            </w:pict>
          </mc:Fallback>
        </mc:AlternateContent>
      </w:r>
    </w:p>
    <w:sectPr w:rsidR="00032F2D" w:rsidRPr="00443F71" w:rsidSect="003A166D">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52B" w:rsidRDefault="0047652B" w:rsidP="00AC076D">
      <w:pPr>
        <w:spacing w:after="0"/>
      </w:pPr>
      <w:r>
        <w:separator/>
      </w:r>
    </w:p>
  </w:endnote>
  <w:endnote w:type="continuationSeparator" w:id="0">
    <w:p w:rsidR="0047652B" w:rsidRDefault="0047652B" w:rsidP="00AC07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52B" w:rsidRDefault="0047652B" w:rsidP="00AC076D">
      <w:pPr>
        <w:spacing w:after="0"/>
      </w:pPr>
      <w:r>
        <w:separator/>
      </w:r>
    </w:p>
  </w:footnote>
  <w:footnote w:type="continuationSeparator" w:id="0">
    <w:p w:rsidR="0047652B" w:rsidRDefault="0047652B" w:rsidP="00AC076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6ED" w:rsidRPr="001F06ED" w:rsidRDefault="00126A25" w:rsidP="00126A25">
    <w:pPr>
      <w:pStyle w:val="Header"/>
      <w:jc w:val="cent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-261257</wp:posOffset>
          </wp:positionV>
          <wp:extent cx="2735108" cy="1006925"/>
          <wp:effectExtent l="0" t="0" r="8255" b="3175"/>
          <wp:wrapTight wrapText="bothSides">
            <wp:wrapPolygon edited="0">
              <wp:start x="0" y="0"/>
              <wp:lineTo x="0" y="21259"/>
              <wp:lineTo x="21515" y="21259"/>
              <wp:lineTo x="21515" y="0"/>
              <wp:lineTo x="0" y="0"/>
            </wp:wrapPolygon>
          </wp:wrapTight>
          <wp:docPr id="1" name="Picture 1" descr="Oregon achieves together!"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5108" cy="10069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E58" w:rsidRPr="001F06ED" w:rsidRDefault="007C5E58" w:rsidP="00126A2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489A"/>
    <w:multiLevelType w:val="hybridMultilevel"/>
    <w:tmpl w:val="E2AC6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AF78C9"/>
    <w:multiLevelType w:val="hybridMultilevel"/>
    <w:tmpl w:val="25BE30F4"/>
    <w:lvl w:ilvl="0" w:tplc="422CEE8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17839"/>
    <w:multiLevelType w:val="hybridMultilevel"/>
    <w:tmpl w:val="F5DA5322"/>
    <w:lvl w:ilvl="0" w:tplc="422CEE8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59386E"/>
    <w:multiLevelType w:val="hybridMultilevel"/>
    <w:tmpl w:val="4282083A"/>
    <w:lvl w:ilvl="0" w:tplc="422CEE86">
      <w:start w:val="1"/>
      <w:numFmt w:val="bullet"/>
      <w:lvlText w:val=""/>
      <w:lvlJc w:val="left"/>
      <w:pPr>
        <w:ind w:left="340" w:hanging="360"/>
      </w:pPr>
      <w:rPr>
        <w:rFonts w:ascii="Symbol" w:hAnsi="Symbol" w:hint="default"/>
        <w:color w:val="000000" w:themeColor="text1"/>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4" w15:restartNumberingAfterBreak="0">
    <w:nsid w:val="4029383A"/>
    <w:multiLevelType w:val="hybridMultilevel"/>
    <w:tmpl w:val="A8CC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E23007"/>
    <w:multiLevelType w:val="hybridMultilevel"/>
    <w:tmpl w:val="5C020A92"/>
    <w:lvl w:ilvl="0" w:tplc="422CEE8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1502D7"/>
    <w:multiLevelType w:val="hybridMultilevel"/>
    <w:tmpl w:val="62387ECC"/>
    <w:lvl w:ilvl="0" w:tplc="422CEE86">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E842D6"/>
    <w:multiLevelType w:val="hybridMultilevel"/>
    <w:tmpl w:val="91807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35DEF"/>
    <w:multiLevelType w:val="hybridMultilevel"/>
    <w:tmpl w:val="A196A92C"/>
    <w:lvl w:ilvl="0" w:tplc="2F5C6A8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7E0F30"/>
    <w:multiLevelType w:val="hybridMultilevel"/>
    <w:tmpl w:val="BC6C146E"/>
    <w:lvl w:ilvl="0" w:tplc="2F5C6A8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7"/>
  </w:num>
  <w:num w:numId="5">
    <w:abstractNumId w:val="4"/>
  </w:num>
  <w:num w:numId="6">
    <w:abstractNumId w:val="2"/>
  </w:num>
  <w:num w:numId="7">
    <w:abstractNumId w:val="5"/>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144"/>
    <w:rsid w:val="00032F2D"/>
    <w:rsid w:val="00055633"/>
    <w:rsid w:val="0009345E"/>
    <w:rsid w:val="000C14A2"/>
    <w:rsid w:val="000D36B7"/>
    <w:rsid w:val="000E7BC7"/>
    <w:rsid w:val="00126A25"/>
    <w:rsid w:val="00187FD9"/>
    <w:rsid w:val="001B0975"/>
    <w:rsid w:val="001F06ED"/>
    <w:rsid w:val="0022037B"/>
    <w:rsid w:val="00223DAF"/>
    <w:rsid w:val="002601FC"/>
    <w:rsid w:val="00295954"/>
    <w:rsid w:val="002A4A3E"/>
    <w:rsid w:val="002B1D43"/>
    <w:rsid w:val="002D37BB"/>
    <w:rsid w:val="002E07DE"/>
    <w:rsid w:val="003367CC"/>
    <w:rsid w:val="00346621"/>
    <w:rsid w:val="0038567A"/>
    <w:rsid w:val="003A166D"/>
    <w:rsid w:val="003A5E26"/>
    <w:rsid w:val="003E357C"/>
    <w:rsid w:val="003F6983"/>
    <w:rsid w:val="004024D8"/>
    <w:rsid w:val="004159AA"/>
    <w:rsid w:val="00420807"/>
    <w:rsid w:val="00443F71"/>
    <w:rsid w:val="00465BAE"/>
    <w:rsid w:val="0047652B"/>
    <w:rsid w:val="004B38C1"/>
    <w:rsid w:val="004F3307"/>
    <w:rsid w:val="005110C4"/>
    <w:rsid w:val="00520108"/>
    <w:rsid w:val="00556D42"/>
    <w:rsid w:val="005774C3"/>
    <w:rsid w:val="0060113A"/>
    <w:rsid w:val="00703B69"/>
    <w:rsid w:val="00712E0C"/>
    <w:rsid w:val="0071487F"/>
    <w:rsid w:val="00720632"/>
    <w:rsid w:val="00784360"/>
    <w:rsid w:val="007A0FE6"/>
    <w:rsid w:val="007C5E58"/>
    <w:rsid w:val="0089789F"/>
    <w:rsid w:val="009D35A3"/>
    <w:rsid w:val="00A00D35"/>
    <w:rsid w:val="00A1287D"/>
    <w:rsid w:val="00A40288"/>
    <w:rsid w:val="00A67144"/>
    <w:rsid w:val="00AA4FFA"/>
    <w:rsid w:val="00AB351A"/>
    <w:rsid w:val="00AC076D"/>
    <w:rsid w:val="00AD1307"/>
    <w:rsid w:val="00AF4669"/>
    <w:rsid w:val="00B00F77"/>
    <w:rsid w:val="00B01343"/>
    <w:rsid w:val="00B04F92"/>
    <w:rsid w:val="00B3764B"/>
    <w:rsid w:val="00B56B6A"/>
    <w:rsid w:val="00B57DB8"/>
    <w:rsid w:val="00C15F1F"/>
    <w:rsid w:val="00C26B6D"/>
    <w:rsid w:val="00C65E1D"/>
    <w:rsid w:val="00C70593"/>
    <w:rsid w:val="00CB1057"/>
    <w:rsid w:val="00CB56F4"/>
    <w:rsid w:val="00D22429"/>
    <w:rsid w:val="00DD212E"/>
    <w:rsid w:val="00DE5504"/>
    <w:rsid w:val="00E03818"/>
    <w:rsid w:val="00E13D62"/>
    <w:rsid w:val="00E70EDF"/>
    <w:rsid w:val="00E73AC0"/>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3F207"/>
  <w15:chartTrackingRefBased/>
  <w15:docId w15:val="{9DA1C86C-AEAB-4A77-B545-60CC2CD8F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1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76D"/>
    <w:pPr>
      <w:tabs>
        <w:tab w:val="center" w:pos="4680"/>
        <w:tab w:val="right" w:pos="9360"/>
      </w:tabs>
      <w:spacing w:after="0"/>
    </w:pPr>
  </w:style>
  <w:style w:type="character" w:customStyle="1" w:styleId="HeaderChar">
    <w:name w:val="Header Char"/>
    <w:basedOn w:val="DefaultParagraphFont"/>
    <w:link w:val="Header"/>
    <w:uiPriority w:val="99"/>
    <w:rsid w:val="00AC076D"/>
  </w:style>
  <w:style w:type="paragraph" w:styleId="Footer">
    <w:name w:val="footer"/>
    <w:basedOn w:val="Normal"/>
    <w:link w:val="FooterChar"/>
    <w:uiPriority w:val="99"/>
    <w:unhideWhenUsed/>
    <w:rsid w:val="00AC076D"/>
    <w:pPr>
      <w:tabs>
        <w:tab w:val="center" w:pos="4680"/>
        <w:tab w:val="right" w:pos="9360"/>
      </w:tabs>
      <w:spacing w:after="0"/>
    </w:pPr>
  </w:style>
  <w:style w:type="character" w:customStyle="1" w:styleId="FooterChar">
    <w:name w:val="Footer Char"/>
    <w:basedOn w:val="DefaultParagraphFont"/>
    <w:link w:val="Footer"/>
    <w:uiPriority w:val="99"/>
    <w:rsid w:val="00AC076D"/>
  </w:style>
  <w:style w:type="paragraph" w:styleId="ListParagraph">
    <w:name w:val="List Paragraph"/>
    <w:basedOn w:val="Normal"/>
    <w:uiPriority w:val="34"/>
    <w:qFormat/>
    <w:rsid w:val="001F06ED"/>
    <w:pPr>
      <w:ind w:left="720"/>
      <w:contextualSpacing/>
    </w:pPr>
  </w:style>
  <w:style w:type="table" w:styleId="TableGrid">
    <w:name w:val="Table Grid"/>
    <w:basedOn w:val="TableNormal"/>
    <w:uiPriority w:val="59"/>
    <w:rsid w:val="002B1D4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Estimated_x0020_Creation_x0020_Date xmlns="033ab11c-6041-4f50-b845-c0c38e41b3e3" xsi:nil="true"/>
    <PublishingStartDate xmlns="http://schemas.microsoft.com/sharepoint/v3" xsi:nil="true"/>
    <Remediation_x0020_Date xmlns="033ab11c-6041-4f50-b845-c0c38e41b3e3">2020-06-09T18:17:32+00:00</Remediation_x0020_Date>
    <Priority xmlns="033ab11c-6041-4f50-b845-c0c38e41b3e3">New</Priority>
  </documentManagement>
</p:properties>
</file>

<file path=customXml/itemProps1.xml><?xml version="1.0" encoding="utf-8"?>
<ds:datastoreItem xmlns:ds="http://schemas.openxmlformats.org/officeDocument/2006/customXml" ds:itemID="{5629E0DF-55F0-4FAE-8FB6-8E35C622CA0C}">
  <ds:schemaRefs>
    <ds:schemaRef ds:uri="http://schemas.openxmlformats.org/officeDocument/2006/bibliography"/>
  </ds:schemaRefs>
</ds:datastoreItem>
</file>

<file path=customXml/itemProps2.xml><?xml version="1.0" encoding="utf-8"?>
<ds:datastoreItem xmlns:ds="http://schemas.openxmlformats.org/officeDocument/2006/customXml" ds:itemID="{9BC3C4D0-16C6-4804-A6B7-5045F97836C6}"/>
</file>

<file path=customXml/itemProps3.xml><?xml version="1.0" encoding="utf-8"?>
<ds:datastoreItem xmlns:ds="http://schemas.openxmlformats.org/officeDocument/2006/customXml" ds:itemID="{614911CC-2F8F-4936-A5AF-2EE04A92BE36}"/>
</file>

<file path=customXml/itemProps4.xml><?xml version="1.0" encoding="utf-8"?>
<ds:datastoreItem xmlns:ds="http://schemas.openxmlformats.org/officeDocument/2006/customXml" ds:itemID="{67A30006-D3FB-49C7-BDBA-03C4C3A1A197}"/>
</file>

<file path=docProps/app.xml><?xml version="1.0" encoding="utf-8"?>
<Properties xmlns="http://schemas.openxmlformats.org/officeDocument/2006/extended-properties" xmlns:vt="http://schemas.openxmlformats.org/officeDocument/2006/docPropsVTypes">
  <Template>Normal.dotm</Template>
  <TotalTime>33</TotalTime>
  <Pages>2</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Joni - ODE</dc:creator>
  <cp:keywords/>
  <dc:description/>
  <cp:lastModifiedBy>SWOPE Emily - ODE</cp:lastModifiedBy>
  <cp:revision>11</cp:revision>
  <dcterms:created xsi:type="dcterms:W3CDTF">2020-05-15T22:02:00Z</dcterms:created>
  <dcterms:modified xsi:type="dcterms:W3CDTF">2020-06-09T18:11:00Z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