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5B4D2" w14:textId="77777777" w:rsidR="00F35A2E" w:rsidRPr="001E0A6F" w:rsidRDefault="00F35A2E" w:rsidP="001E0A6F">
      <w:pPr>
        <w:sectPr w:rsidR="00F35A2E" w:rsidRPr="001E0A6F" w:rsidSect="00E0240E">
          <w:headerReference w:type="default" r:id="rId11"/>
          <w:footerReference w:type="default" r:id="rId12"/>
          <w:pgSz w:w="12240" w:h="16340"/>
          <w:pgMar w:top="1430" w:right="1080" w:bottom="900" w:left="1185" w:header="720" w:footer="720" w:gutter="0"/>
          <w:cols w:space="720"/>
          <w:noEndnote/>
        </w:sectPr>
      </w:pPr>
    </w:p>
    <w:p w14:paraId="13E20FDC" w14:textId="28FF3334" w:rsidR="00F61566" w:rsidRDefault="00F61566" w:rsidP="00DE10AD">
      <w:pPr>
        <w:pStyle w:val="Heading3"/>
        <w:keepNext w:val="0"/>
        <w:keepLines w:val="0"/>
        <w:numPr>
          <w:ilvl w:val="0"/>
          <w:numId w:val="41"/>
        </w:numPr>
        <w:spacing w:before="0"/>
        <w:rPr>
          <w:rFonts w:asciiTheme="minorHAnsi" w:eastAsia="Times New Roman" w:hAnsiTheme="minorHAnsi" w:cstheme="minorHAnsi"/>
          <w:color w:val="000000"/>
          <w:sz w:val="22"/>
          <w:szCs w:val="22"/>
        </w:rPr>
      </w:pPr>
      <w:r w:rsidRPr="00DE10AD">
        <w:rPr>
          <w:sz w:val="26"/>
          <w:szCs w:val="26"/>
        </w:rPr>
        <w:t>Who must document compliance for comparability?</w:t>
      </w:r>
      <w:r>
        <w:rPr>
          <w:rFonts w:cstheme="minorHAnsi"/>
          <w:b/>
        </w:rPr>
        <w:t xml:space="preserve"> </w:t>
      </w:r>
      <w:r w:rsidRPr="00DE10AD">
        <w:rPr>
          <w:rFonts w:asciiTheme="minorHAnsi" w:eastAsia="Times New Roman" w:hAnsiTheme="minorHAnsi" w:cstheme="minorHAnsi"/>
          <w:color w:val="000000"/>
          <w:sz w:val="22"/>
          <w:szCs w:val="22"/>
        </w:rPr>
        <w:t>This requirement applies to all school districts that accept Title I-A fund</w:t>
      </w:r>
      <w:r w:rsidR="0091294F">
        <w:rPr>
          <w:rFonts w:asciiTheme="minorHAnsi" w:eastAsia="Times New Roman" w:hAnsiTheme="minorHAnsi" w:cstheme="minorHAnsi"/>
          <w:color w:val="000000"/>
          <w:sz w:val="22"/>
          <w:szCs w:val="22"/>
        </w:rPr>
        <w:t xml:space="preserve">s with the exception of any district </w:t>
      </w:r>
      <w:r w:rsidRPr="00DE10AD">
        <w:rPr>
          <w:rFonts w:asciiTheme="minorHAnsi" w:eastAsia="Times New Roman" w:hAnsiTheme="minorHAnsi" w:cstheme="minorHAnsi"/>
          <w:color w:val="000000"/>
          <w:sz w:val="22"/>
          <w:szCs w:val="22"/>
        </w:rPr>
        <w:t>that does not have more than one building per grade span. In addition, if a district has a school with fewe</w:t>
      </w:r>
      <w:r w:rsidR="0091294F">
        <w:rPr>
          <w:rFonts w:asciiTheme="minorHAnsi" w:eastAsia="Times New Roman" w:hAnsiTheme="minorHAnsi" w:cstheme="minorHAnsi"/>
          <w:color w:val="000000"/>
          <w:sz w:val="22"/>
          <w:szCs w:val="22"/>
        </w:rPr>
        <w:t>r than 100 students enrolled that</w:t>
      </w:r>
      <w:r w:rsidRPr="00DE10AD">
        <w:rPr>
          <w:rFonts w:asciiTheme="minorHAnsi" w:eastAsia="Times New Roman" w:hAnsiTheme="minorHAnsi" w:cstheme="minorHAnsi"/>
          <w:color w:val="000000"/>
          <w:sz w:val="22"/>
          <w:szCs w:val="22"/>
        </w:rPr>
        <w:t xml:space="preserve"> school does not need to be included in the comparability calculations.</w:t>
      </w:r>
    </w:p>
    <w:p w14:paraId="35243F18" w14:textId="77777777" w:rsidR="00DB53FA" w:rsidRDefault="00DB53FA" w:rsidP="00DB53FA">
      <w:pPr>
        <w:pStyle w:val="Heading3"/>
        <w:keepNext w:val="0"/>
        <w:keepLines w:val="0"/>
        <w:spacing w:before="0"/>
        <w:rPr>
          <w:rFonts w:cstheme="minorHAnsi"/>
          <w:b/>
        </w:rPr>
      </w:pPr>
    </w:p>
    <w:p w14:paraId="4E3F1EC8" w14:textId="620B9687" w:rsidR="00DE10AD" w:rsidRPr="00DE10AD" w:rsidRDefault="00F61566" w:rsidP="00DE10AD">
      <w:pPr>
        <w:pStyle w:val="ListParagraph"/>
        <w:numPr>
          <w:ilvl w:val="0"/>
          <w:numId w:val="41"/>
        </w:numPr>
        <w:rPr>
          <w:rFonts w:eastAsia="Times New Roman" w:cstheme="minorHAnsi"/>
          <w:color w:val="000000"/>
        </w:rPr>
      </w:pPr>
      <w:r w:rsidRPr="00DE10AD">
        <w:rPr>
          <w:rFonts w:asciiTheme="majorHAnsi" w:eastAsiaTheme="majorEastAsia" w:hAnsiTheme="majorHAnsi" w:cstheme="majorBidi"/>
          <w:color w:val="243F60" w:themeColor="accent1" w:themeShade="7F"/>
          <w:sz w:val="26"/>
          <w:szCs w:val="26"/>
        </w:rPr>
        <w:t>How is comparability determined?</w:t>
      </w:r>
      <w:r>
        <w:t xml:space="preserve"> </w:t>
      </w:r>
      <w:r w:rsidRPr="00DE10AD">
        <w:rPr>
          <w:rFonts w:eastAsia="Times New Roman" w:cstheme="minorHAnsi"/>
          <w:color w:val="000000"/>
        </w:rPr>
        <w:t>The Title I-A statute and legislative history does not provide guidance on the meaning of the word “equivalence” as it relates to the local school district policy on equivalence among schools in regards to teachers, administrators, and auxiliary personnel (paid with State and local funds).</w:t>
      </w:r>
    </w:p>
    <w:p w14:paraId="02A9856D" w14:textId="457C397E" w:rsidR="00F61566" w:rsidRPr="00DE10AD" w:rsidRDefault="00F61566" w:rsidP="00DE10AD">
      <w:pPr>
        <w:ind w:left="720"/>
        <w:rPr>
          <w:rFonts w:eastAsia="Times New Roman" w:cstheme="minorHAnsi"/>
          <w:color w:val="000000"/>
        </w:rPr>
      </w:pPr>
      <w:r w:rsidRPr="00DE10AD">
        <w:rPr>
          <w:rFonts w:eastAsia="Times New Roman" w:cstheme="minorHAnsi"/>
          <w:color w:val="000000"/>
        </w:rPr>
        <w:t xml:space="preserve">In the absence of a statutory definition, ODE has developed a standard comparing student/ instructional staff ratios. </w:t>
      </w:r>
      <w:r w:rsidR="00DE10AD">
        <w:rPr>
          <w:rFonts w:eastAsia="Times New Roman" w:cstheme="minorHAnsi"/>
          <w:color w:val="000000"/>
        </w:rPr>
        <w:t>Districts</w:t>
      </w:r>
      <w:r w:rsidRPr="00DE10AD">
        <w:rPr>
          <w:rFonts w:eastAsia="Times New Roman" w:cstheme="minorHAnsi"/>
          <w:color w:val="000000"/>
        </w:rPr>
        <w:t xml:space="preserve"> must complete an annual comparability status report that compares the average number of students per instructional staff in each Title I-A school with the average number of students per instructional staff in schools not participating in Title I-A.</w:t>
      </w:r>
      <w:r w:rsidR="00DE10AD">
        <w:rPr>
          <w:rFonts w:eastAsia="Times New Roman" w:cstheme="minorHAnsi"/>
          <w:color w:val="000000"/>
        </w:rPr>
        <w:t xml:space="preserve"> </w:t>
      </w:r>
      <w:r w:rsidRPr="00DE10AD">
        <w:rPr>
          <w:rFonts w:eastAsia="Times New Roman" w:cstheme="minorHAnsi"/>
          <w:color w:val="000000"/>
        </w:rPr>
        <w:t xml:space="preserve">Comparability </w:t>
      </w:r>
      <w:r w:rsidR="00DE10AD">
        <w:rPr>
          <w:rFonts w:eastAsia="Times New Roman" w:cstheme="minorHAnsi"/>
          <w:color w:val="000000"/>
        </w:rPr>
        <w:t>is</w:t>
      </w:r>
      <w:r w:rsidRPr="00DE10AD">
        <w:rPr>
          <w:rFonts w:eastAsia="Times New Roman" w:cstheme="minorHAnsi"/>
          <w:color w:val="000000"/>
        </w:rPr>
        <w:t xml:space="preserve"> determined based on the number of students per staff person with a ten (10) percent allowable variance for non-Title I-A schools.</w:t>
      </w:r>
    </w:p>
    <w:p w14:paraId="35D77E5B" w14:textId="4979E0E7" w:rsidR="00F61566" w:rsidRDefault="00F61566" w:rsidP="00DE10AD">
      <w:pPr>
        <w:spacing w:after="0"/>
        <w:ind w:left="720"/>
        <w:rPr>
          <w:rFonts w:eastAsia="Times New Roman" w:cstheme="minorHAnsi"/>
          <w:color w:val="000000"/>
        </w:rPr>
      </w:pPr>
      <w:r w:rsidRPr="00DE10AD">
        <w:rPr>
          <w:rFonts w:eastAsia="Times New Roman" w:cstheme="minorHAnsi"/>
          <w:color w:val="000000"/>
        </w:rPr>
        <w:t xml:space="preserve">The comparability status report includes information on Title I-A and non-Title I-A schools. Such information must include student enrollments, number of assigned staff paid with State and local funds, and calculations of the ratio of students per instructional staff in all reported schools. The </w:t>
      </w:r>
      <w:r w:rsidR="00DE10AD">
        <w:rPr>
          <w:rFonts w:eastAsia="Times New Roman" w:cstheme="minorHAnsi"/>
          <w:color w:val="000000"/>
        </w:rPr>
        <w:t>district</w:t>
      </w:r>
      <w:r w:rsidRPr="00DE10AD">
        <w:rPr>
          <w:rFonts w:eastAsia="Times New Roman" w:cstheme="minorHAnsi"/>
          <w:color w:val="000000"/>
        </w:rPr>
        <w:t xml:space="preserve"> </w:t>
      </w:r>
      <w:r w:rsidR="00DE10AD">
        <w:rPr>
          <w:rFonts w:eastAsia="Times New Roman" w:cstheme="minorHAnsi"/>
          <w:color w:val="000000"/>
        </w:rPr>
        <w:t xml:space="preserve">must </w:t>
      </w:r>
      <w:r w:rsidRPr="00DE10AD">
        <w:rPr>
          <w:rFonts w:eastAsia="Times New Roman" w:cstheme="minorHAnsi"/>
          <w:color w:val="000000"/>
        </w:rPr>
        <w:t>select and use the same date (on or before October 1) for collecting and measuring comparability information.</w:t>
      </w:r>
    </w:p>
    <w:p w14:paraId="63B5D1B0" w14:textId="587A078C" w:rsidR="002B3D2F" w:rsidRDefault="002B3D2F" w:rsidP="00DE10AD">
      <w:pPr>
        <w:spacing w:after="0"/>
        <w:ind w:left="720"/>
        <w:rPr>
          <w:rFonts w:eastAsia="Times New Roman" w:cstheme="minorHAnsi"/>
          <w:color w:val="000000"/>
        </w:rPr>
      </w:pPr>
    </w:p>
    <w:p w14:paraId="5C806FCE" w14:textId="5AA09E5A" w:rsidR="002B3D2F" w:rsidRPr="00DE10AD" w:rsidRDefault="004E52AC" w:rsidP="00DE10AD">
      <w:pPr>
        <w:spacing w:after="0"/>
        <w:ind w:left="720"/>
        <w:rPr>
          <w:rFonts w:eastAsia="Times New Roman" w:cstheme="minorHAnsi"/>
          <w:color w:val="000000"/>
        </w:rPr>
      </w:pPr>
      <w:r>
        <w:rPr>
          <w:rFonts w:eastAsia="Times New Roman" w:cstheme="minorHAnsi"/>
          <w:color w:val="000000"/>
        </w:rPr>
        <w:t>When a school does not demonstrate</w:t>
      </w:r>
      <w:r w:rsidR="002B3D2F">
        <w:rPr>
          <w:rFonts w:eastAsia="Times New Roman" w:cstheme="minorHAnsi"/>
          <w:color w:val="000000"/>
        </w:rPr>
        <w:t xml:space="preserve"> comparability</w:t>
      </w:r>
      <w:r>
        <w:rPr>
          <w:rFonts w:eastAsia="Times New Roman" w:cstheme="minorHAnsi"/>
          <w:color w:val="000000"/>
        </w:rPr>
        <w:t xml:space="preserve"> using this method ODE staff will work with the district using one of several alternate methods.</w:t>
      </w:r>
    </w:p>
    <w:p w14:paraId="370A149D" w14:textId="3FA0ED14" w:rsidR="00F61566" w:rsidRDefault="00F61566" w:rsidP="00DE10AD">
      <w:pPr>
        <w:pStyle w:val="Heading3"/>
        <w:keepNext w:val="0"/>
        <w:keepLines w:val="0"/>
        <w:spacing w:before="0"/>
        <w:rPr>
          <w:rFonts w:cstheme="minorHAnsi"/>
          <w:b/>
        </w:rPr>
      </w:pPr>
    </w:p>
    <w:p w14:paraId="4B876D03" w14:textId="71AD3FAD" w:rsidR="00F93BB7" w:rsidRPr="00D0168D" w:rsidRDefault="00D0168D" w:rsidP="00DE10AD">
      <w:pPr>
        <w:pStyle w:val="Heading3"/>
        <w:keepNext w:val="0"/>
        <w:keepLines w:val="0"/>
        <w:numPr>
          <w:ilvl w:val="0"/>
          <w:numId w:val="41"/>
        </w:numPr>
        <w:spacing w:before="0"/>
        <w:rPr>
          <w:rFonts w:ascii="Times New Roman" w:eastAsia="Times New Roman" w:hAnsi="Times New Roman" w:cs="Times New Roman"/>
          <w:color w:val="000000"/>
        </w:rPr>
      </w:pPr>
      <w:r w:rsidRPr="003D55E6">
        <w:rPr>
          <w:sz w:val="26"/>
          <w:szCs w:val="26"/>
        </w:rPr>
        <w:t xml:space="preserve">When should a </w:t>
      </w:r>
      <w:r w:rsidR="00A94ECA">
        <w:rPr>
          <w:sz w:val="26"/>
          <w:szCs w:val="26"/>
        </w:rPr>
        <w:t>district</w:t>
      </w:r>
      <w:r w:rsidRPr="003D55E6">
        <w:rPr>
          <w:sz w:val="26"/>
          <w:szCs w:val="26"/>
        </w:rPr>
        <w:t xml:space="preserve"> begin the process of determining comparability?</w:t>
      </w:r>
      <w:r w:rsidR="00FD3889">
        <w:rPr>
          <w:sz w:val="26"/>
          <w:szCs w:val="26"/>
        </w:rPr>
        <w:t xml:space="preserve"> </w:t>
      </w:r>
      <w:r w:rsidR="00DE10AD">
        <w:rPr>
          <w:rFonts w:asciiTheme="minorHAnsi" w:eastAsiaTheme="minorHAnsi" w:hAnsiTheme="minorHAnsi" w:cstheme="minorHAnsi"/>
          <w:color w:val="auto"/>
          <w:sz w:val="22"/>
          <w:szCs w:val="22"/>
          <w:lang w:bidi="en-US"/>
        </w:rPr>
        <w:t>Districts should</w:t>
      </w:r>
      <w:r w:rsidRPr="00DE10AD">
        <w:rPr>
          <w:rFonts w:asciiTheme="minorHAnsi" w:eastAsiaTheme="minorHAnsi" w:hAnsiTheme="minorHAnsi" w:cstheme="minorHAnsi"/>
          <w:color w:val="auto"/>
          <w:sz w:val="22"/>
          <w:szCs w:val="22"/>
          <w:lang w:bidi="en-US"/>
        </w:rPr>
        <w:t xml:space="preserve"> begin the process at the time school budgets are </w:t>
      </w:r>
      <w:r w:rsidR="0091294F">
        <w:rPr>
          <w:rFonts w:asciiTheme="minorHAnsi" w:eastAsiaTheme="minorHAnsi" w:hAnsiTheme="minorHAnsi" w:cstheme="minorHAnsi"/>
          <w:color w:val="auto"/>
          <w:sz w:val="22"/>
          <w:szCs w:val="22"/>
          <w:lang w:bidi="en-US"/>
        </w:rPr>
        <w:t>discussed since d</w:t>
      </w:r>
      <w:r w:rsidRPr="00DE10AD">
        <w:rPr>
          <w:rFonts w:asciiTheme="minorHAnsi" w:eastAsiaTheme="minorHAnsi" w:hAnsiTheme="minorHAnsi" w:cstheme="minorHAnsi"/>
          <w:color w:val="auto"/>
          <w:sz w:val="22"/>
          <w:szCs w:val="22"/>
          <w:lang w:bidi="en-US"/>
        </w:rPr>
        <w:t xml:space="preserve">ecisions are made to allocate local and </w:t>
      </w:r>
      <w:r w:rsidR="00A94ECA">
        <w:rPr>
          <w:rFonts w:asciiTheme="minorHAnsi" w:eastAsiaTheme="minorHAnsi" w:hAnsiTheme="minorHAnsi" w:cstheme="minorHAnsi"/>
          <w:color w:val="auto"/>
          <w:sz w:val="22"/>
          <w:szCs w:val="22"/>
          <w:lang w:bidi="en-US"/>
        </w:rPr>
        <w:t>State resources well before the</w:t>
      </w:r>
      <w:r w:rsidR="008647E5" w:rsidRPr="00DE10AD">
        <w:rPr>
          <w:rFonts w:asciiTheme="minorHAnsi" w:eastAsiaTheme="minorHAnsi" w:hAnsiTheme="minorHAnsi" w:cstheme="minorHAnsi"/>
          <w:color w:val="auto"/>
          <w:sz w:val="22"/>
          <w:szCs w:val="22"/>
          <w:lang w:bidi="en-US"/>
        </w:rPr>
        <w:t xml:space="preserve"> Comparability Report is due</w:t>
      </w:r>
      <w:r w:rsidRPr="00DE10AD">
        <w:rPr>
          <w:rFonts w:asciiTheme="minorHAnsi" w:eastAsiaTheme="minorHAnsi" w:hAnsiTheme="minorHAnsi" w:cstheme="minorHAnsi"/>
          <w:color w:val="auto"/>
          <w:sz w:val="22"/>
          <w:szCs w:val="22"/>
          <w:lang w:bidi="en-US"/>
        </w:rPr>
        <w:t xml:space="preserve">. </w:t>
      </w:r>
      <w:bookmarkStart w:id="0" w:name="_Toc68084683"/>
    </w:p>
    <w:p w14:paraId="3D1D6D0A" w14:textId="53F3EB84" w:rsidR="00D0168D" w:rsidRPr="00D0168D" w:rsidRDefault="00D0168D" w:rsidP="00DE10AD">
      <w:pPr>
        <w:pStyle w:val="ListParagraph"/>
        <w:spacing w:after="0"/>
        <w:rPr>
          <w:lang w:bidi="en-US"/>
        </w:rPr>
      </w:pPr>
    </w:p>
    <w:bookmarkEnd w:id="0"/>
    <w:p w14:paraId="3EAE8719" w14:textId="342BFBE7" w:rsidR="001E0A6F" w:rsidRPr="001E0A6F" w:rsidRDefault="00D0168D" w:rsidP="001E0A6F">
      <w:pPr>
        <w:pStyle w:val="Heading3"/>
        <w:keepNext w:val="0"/>
        <w:keepLines w:val="0"/>
        <w:numPr>
          <w:ilvl w:val="0"/>
          <w:numId w:val="41"/>
        </w:numPr>
        <w:spacing w:before="0"/>
        <w:rPr>
          <w:rFonts w:asciiTheme="minorHAnsi" w:eastAsiaTheme="minorHAnsi" w:hAnsiTheme="minorHAnsi" w:cstheme="minorHAnsi"/>
          <w:color w:val="auto"/>
          <w:sz w:val="22"/>
          <w:szCs w:val="22"/>
          <w:lang w:bidi="en-US"/>
        </w:rPr>
      </w:pPr>
      <w:r w:rsidRPr="003D55E6">
        <w:rPr>
          <w:sz w:val="26"/>
          <w:szCs w:val="26"/>
        </w:rPr>
        <w:t>On what date should student enrollment and staff assignments be counted?</w:t>
      </w:r>
      <w:bookmarkStart w:id="1" w:name="_Toc68084687"/>
      <w:r w:rsidR="0087761D">
        <w:rPr>
          <w:sz w:val="26"/>
          <w:szCs w:val="26"/>
        </w:rPr>
        <w:t xml:space="preserve"> </w:t>
      </w:r>
      <w:r w:rsidRPr="0087761D">
        <w:rPr>
          <w:rFonts w:asciiTheme="minorHAnsi" w:eastAsiaTheme="minorHAnsi" w:hAnsiTheme="minorHAnsi" w:cstheme="minorHAnsi"/>
          <w:color w:val="auto"/>
          <w:sz w:val="22"/>
          <w:szCs w:val="22"/>
          <w:lang w:bidi="en-US"/>
        </w:rPr>
        <w:t xml:space="preserve">Student enrollment and staff assignments should be counted on the same day. </w:t>
      </w:r>
      <w:r w:rsidR="00A94ECA">
        <w:rPr>
          <w:rFonts w:asciiTheme="minorHAnsi" w:eastAsiaTheme="minorHAnsi" w:hAnsiTheme="minorHAnsi" w:cstheme="minorHAnsi"/>
          <w:color w:val="auto"/>
          <w:sz w:val="22"/>
          <w:szCs w:val="22"/>
          <w:lang w:bidi="en-US"/>
        </w:rPr>
        <w:t>A district</w:t>
      </w:r>
      <w:r w:rsidRPr="0087761D">
        <w:rPr>
          <w:rFonts w:asciiTheme="minorHAnsi" w:eastAsiaTheme="minorHAnsi" w:hAnsiTheme="minorHAnsi" w:cstheme="minorHAnsi"/>
          <w:color w:val="auto"/>
          <w:sz w:val="22"/>
          <w:szCs w:val="22"/>
          <w:lang w:bidi="en-US"/>
        </w:rPr>
        <w:t xml:space="preserve"> may wish to use the same date on which the official enrollment count for the district is performed –</w:t>
      </w:r>
      <w:r w:rsidR="003D55E6" w:rsidRPr="0087761D">
        <w:rPr>
          <w:rFonts w:asciiTheme="minorHAnsi" w:eastAsiaTheme="minorHAnsi" w:hAnsiTheme="minorHAnsi" w:cstheme="minorHAnsi"/>
          <w:color w:val="auto"/>
          <w:sz w:val="22"/>
          <w:szCs w:val="22"/>
          <w:lang w:bidi="en-US"/>
        </w:rPr>
        <w:t xml:space="preserve"> </w:t>
      </w:r>
      <w:r w:rsidRPr="0087761D">
        <w:rPr>
          <w:rFonts w:asciiTheme="minorHAnsi" w:eastAsiaTheme="minorHAnsi" w:hAnsiTheme="minorHAnsi" w:cstheme="minorHAnsi"/>
          <w:color w:val="auto"/>
          <w:sz w:val="22"/>
          <w:szCs w:val="22"/>
          <w:lang w:bidi="en-US"/>
        </w:rPr>
        <w:t>October 1st.</w:t>
      </w:r>
    </w:p>
    <w:p w14:paraId="6DDEA4B0" w14:textId="77777777" w:rsidR="001E0A6F" w:rsidRPr="001E0A6F" w:rsidRDefault="001E0A6F" w:rsidP="001E0A6F">
      <w:pPr>
        <w:spacing w:after="0"/>
        <w:ind w:left="360"/>
        <w:rPr>
          <w:rFonts w:cstheme="minorHAnsi"/>
          <w:lang w:bidi="en-US"/>
        </w:rPr>
      </w:pPr>
    </w:p>
    <w:p w14:paraId="2F3FFFC6" w14:textId="26C4FB05" w:rsidR="00F61566" w:rsidRPr="00A94ECA" w:rsidRDefault="00F61566" w:rsidP="00A94ECA">
      <w:pPr>
        <w:pStyle w:val="ListParagraph"/>
        <w:numPr>
          <w:ilvl w:val="0"/>
          <w:numId w:val="41"/>
        </w:numPr>
        <w:rPr>
          <w:rFonts w:cstheme="minorHAnsi"/>
          <w:lang w:bidi="en-US"/>
        </w:rPr>
      </w:pPr>
      <w:r w:rsidRPr="00A94ECA">
        <w:rPr>
          <w:rFonts w:asciiTheme="majorHAnsi" w:eastAsiaTheme="majorEastAsia" w:hAnsiTheme="majorHAnsi" w:cstheme="majorBidi"/>
          <w:color w:val="243F60" w:themeColor="accent1" w:themeShade="7F"/>
          <w:sz w:val="26"/>
          <w:szCs w:val="26"/>
        </w:rPr>
        <w:t>What steps should be taken to complete the annual report?</w:t>
      </w:r>
      <w:r>
        <w:rPr>
          <w:lang w:bidi="en-US"/>
        </w:rPr>
        <w:t xml:space="preserve"> </w:t>
      </w:r>
      <w:r w:rsidRPr="00A94ECA">
        <w:rPr>
          <w:rFonts w:eastAsia="Times New Roman" w:cstheme="minorHAnsi"/>
          <w:color w:val="000000"/>
        </w:rPr>
        <w:t xml:space="preserve">Each </w:t>
      </w:r>
      <w:r w:rsidR="00A94ECA" w:rsidRPr="00A94ECA">
        <w:rPr>
          <w:rFonts w:eastAsia="Times New Roman" w:cstheme="minorHAnsi"/>
          <w:color w:val="000000"/>
        </w:rPr>
        <w:t xml:space="preserve">district </w:t>
      </w:r>
      <w:r w:rsidRPr="00A94ECA">
        <w:rPr>
          <w:rFonts w:eastAsia="Times New Roman" w:cstheme="minorHAnsi"/>
          <w:color w:val="000000"/>
        </w:rPr>
        <w:t>receiving Title I-A funding must develop procedures for compliance and maintain records that are updated annually documenting compliance.</w:t>
      </w:r>
    </w:p>
    <w:bookmarkEnd w:id="1"/>
    <w:p w14:paraId="62E71E22" w14:textId="5F59DD25" w:rsidR="001E0A6F" w:rsidRDefault="001E0A6F" w:rsidP="00DE10AD">
      <w:pPr>
        <w:pStyle w:val="Heading3"/>
        <w:keepNext w:val="0"/>
        <w:keepLines w:val="0"/>
        <w:spacing w:before="0" w:line="240" w:lineRule="auto"/>
      </w:pPr>
    </w:p>
    <w:p w14:paraId="1585AB70" w14:textId="1D2825FF" w:rsidR="00D0168D" w:rsidRPr="001E0A6F" w:rsidRDefault="001E0A6F" w:rsidP="001E0A6F">
      <w:pPr>
        <w:tabs>
          <w:tab w:val="left" w:pos="1395"/>
          <w:tab w:val="left" w:pos="8475"/>
        </w:tabs>
      </w:pPr>
      <w:r>
        <w:tab/>
      </w:r>
      <w:r>
        <w:tab/>
      </w:r>
    </w:p>
    <w:p w14:paraId="3A079471" w14:textId="37FE6FA3" w:rsidR="00F61566" w:rsidRDefault="00F61566" w:rsidP="00A94ECA">
      <w:pPr>
        <w:pStyle w:val="Heading3"/>
        <w:keepNext w:val="0"/>
        <w:keepLines w:val="0"/>
        <w:numPr>
          <w:ilvl w:val="0"/>
          <w:numId w:val="41"/>
        </w:numPr>
        <w:spacing w:before="0"/>
        <w:rPr>
          <w:rFonts w:asciiTheme="minorHAnsi" w:eastAsia="Times New Roman" w:hAnsiTheme="minorHAnsi" w:cs="Times New Roman"/>
          <w:color w:val="000000"/>
          <w:sz w:val="22"/>
          <w:szCs w:val="22"/>
        </w:rPr>
      </w:pPr>
      <w:r w:rsidRPr="00A94ECA">
        <w:rPr>
          <w:sz w:val="26"/>
          <w:szCs w:val="26"/>
        </w:rPr>
        <w:lastRenderedPageBreak/>
        <w:t>Which schools should be included in the Comparability Report?</w:t>
      </w:r>
      <w:r>
        <w:rPr>
          <w:rFonts w:asciiTheme="minorHAnsi" w:eastAsiaTheme="minorHAnsi" w:hAnsiTheme="minorHAnsi" w:cstheme="minorHAnsi"/>
          <w:color w:val="auto"/>
          <w:sz w:val="22"/>
          <w:szCs w:val="22"/>
          <w:lang w:bidi="en-US"/>
        </w:rPr>
        <w:t xml:space="preserve"> </w:t>
      </w:r>
      <w:r w:rsidR="0091294F">
        <w:rPr>
          <w:rFonts w:asciiTheme="minorHAnsi" w:eastAsia="Times New Roman" w:hAnsiTheme="minorHAnsi" w:cs="Times New Roman"/>
          <w:color w:val="000000"/>
          <w:sz w:val="22"/>
          <w:szCs w:val="22"/>
        </w:rPr>
        <w:t xml:space="preserve">All district schools </w:t>
      </w:r>
      <w:r w:rsidRPr="00A94ECA">
        <w:rPr>
          <w:rFonts w:asciiTheme="minorHAnsi" w:eastAsia="Times New Roman" w:hAnsiTheme="minorHAnsi" w:cs="Times New Roman"/>
          <w:color w:val="000000"/>
          <w:sz w:val="22"/>
          <w:szCs w:val="22"/>
        </w:rPr>
        <w:t>must be included. The comparison i</w:t>
      </w:r>
      <w:r w:rsidR="00A94ECA" w:rsidRPr="00A94ECA">
        <w:rPr>
          <w:rFonts w:asciiTheme="minorHAnsi" w:eastAsia="Times New Roman" w:hAnsiTheme="minorHAnsi" w:cs="Times New Roman"/>
          <w:color w:val="000000"/>
          <w:sz w:val="22"/>
          <w:szCs w:val="22"/>
        </w:rPr>
        <w:t>s made between like grade spans</w:t>
      </w:r>
      <w:r w:rsidRPr="00A94ECA">
        <w:rPr>
          <w:rFonts w:asciiTheme="minorHAnsi" w:eastAsia="Times New Roman" w:hAnsiTheme="minorHAnsi" w:cs="Times New Roman"/>
          <w:color w:val="000000"/>
          <w:sz w:val="22"/>
          <w:szCs w:val="22"/>
        </w:rPr>
        <w:t xml:space="preserve"> </w:t>
      </w:r>
      <w:r w:rsidR="00A94ECA" w:rsidRPr="00A94ECA">
        <w:rPr>
          <w:rFonts w:asciiTheme="minorHAnsi" w:eastAsia="Times New Roman" w:hAnsiTheme="minorHAnsi" w:cs="Times New Roman"/>
          <w:color w:val="000000"/>
          <w:sz w:val="22"/>
          <w:szCs w:val="22"/>
        </w:rPr>
        <w:t>(</w:t>
      </w:r>
      <w:r w:rsidRPr="00A94ECA">
        <w:rPr>
          <w:rFonts w:asciiTheme="minorHAnsi" w:eastAsia="Times New Roman" w:hAnsiTheme="minorHAnsi" w:cs="Times New Roman"/>
          <w:color w:val="000000"/>
          <w:sz w:val="22"/>
          <w:szCs w:val="22"/>
        </w:rPr>
        <w:t>i.e. elementary-to-elementary, middle-to-middle, high-to-high school</w:t>
      </w:r>
      <w:r w:rsidR="00A94ECA" w:rsidRPr="00A94ECA">
        <w:rPr>
          <w:rFonts w:asciiTheme="minorHAnsi" w:eastAsia="Times New Roman" w:hAnsiTheme="minorHAnsi" w:cs="Times New Roman"/>
          <w:color w:val="000000"/>
          <w:sz w:val="22"/>
          <w:szCs w:val="22"/>
        </w:rPr>
        <w:t>)</w:t>
      </w:r>
      <w:r w:rsidRPr="00A94ECA">
        <w:rPr>
          <w:rFonts w:asciiTheme="minorHAnsi" w:eastAsia="Times New Roman" w:hAnsiTheme="minorHAnsi" w:cs="Times New Roman"/>
          <w:color w:val="000000"/>
          <w:sz w:val="22"/>
          <w:szCs w:val="22"/>
        </w:rPr>
        <w:t>. Student/teacher ratios and/or expenditures are calculated between Title I-A schools and non-Title I-A schools. Only public sc</w:t>
      </w:r>
      <w:r w:rsidR="0091294F">
        <w:rPr>
          <w:rFonts w:asciiTheme="minorHAnsi" w:eastAsia="Times New Roman" w:hAnsiTheme="minorHAnsi" w:cs="Times New Roman"/>
          <w:color w:val="000000"/>
          <w:sz w:val="22"/>
          <w:szCs w:val="22"/>
        </w:rPr>
        <w:t>hools must be included in the r</w:t>
      </w:r>
      <w:r w:rsidRPr="00A94ECA">
        <w:rPr>
          <w:rFonts w:asciiTheme="minorHAnsi" w:eastAsia="Times New Roman" w:hAnsiTheme="minorHAnsi" w:cs="Times New Roman"/>
          <w:color w:val="000000"/>
          <w:sz w:val="22"/>
          <w:szCs w:val="22"/>
        </w:rPr>
        <w:t>eport.</w:t>
      </w:r>
    </w:p>
    <w:p w14:paraId="5CE34FA3" w14:textId="77777777" w:rsidR="00DB53FA" w:rsidRDefault="00DB53FA" w:rsidP="00DB53FA">
      <w:pPr>
        <w:pStyle w:val="Heading3"/>
        <w:keepNext w:val="0"/>
        <w:keepLines w:val="0"/>
        <w:spacing w:before="0"/>
        <w:rPr>
          <w:rFonts w:cstheme="minorHAnsi"/>
          <w:b/>
        </w:rPr>
      </w:pPr>
    </w:p>
    <w:p w14:paraId="36252598" w14:textId="117805D1" w:rsidR="00F61566" w:rsidRPr="00A94ECA" w:rsidRDefault="00A94ECA" w:rsidP="00A94ECA">
      <w:pPr>
        <w:pStyle w:val="ListParagraph"/>
        <w:numPr>
          <w:ilvl w:val="0"/>
          <w:numId w:val="41"/>
        </w:numPr>
      </w:pPr>
      <w:r w:rsidRPr="00A94ECA">
        <w:rPr>
          <w:rFonts w:asciiTheme="majorHAnsi" w:eastAsiaTheme="majorEastAsia" w:hAnsiTheme="majorHAnsi" w:cstheme="majorBidi"/>
          <w:color w:val="243F60" w:themeColor="accent1" w:themeShade="7F"/>
          <w:sz w:val="26"/>
          <w:szCs w:val="26"/>
        </w:rPr>
        <w:t xml:space="preserve">Must </w:t>
      </w:r>
      <w:r w:rsidR="0091294F">
        <w:rPr>
          <w:rFonts w:asciiTheme="majorHAnsi" w:eastAsiaTheme="majorEastAsia" w:hAnsiTheme="majorHAnsi" w:cstheme="majorBidi"/>
          <w:color w:val="243F60" w:themeColor="accent1" w:themeShade="7F"/>
          <w:sz w:val="26"/>
          <w:szCs w:val="26"/>
        </w:rPr>
        <w:t>a district</w:t>
      </w:r>
      <w:r w:rsidRPr="00A94ECA">
        <w:rPr>
          <w:rFonts w:asciiTheme="majorHAnsi" w:eastAsiaTheme="majorEastAsia" w:hAnsiTheme="majorHAnsi" w:cstheme="majorBidi"/>
          <w:color w:val="243F60" w:themeColor="accent1" w:themeShade="7F"/>
          <w:sz w:val="26"/>
          <w:szCs w:val="26"/>
        </w:rPr>
        <w:t xml:space="preserve"> include </w:t>
      </w:r>
      <w:r w:rsidR="0091294F">
        <w:rPr>
          <w:rFonts w:asciiTheme="majorHAnsi" w:eastAsiaTheme="majorEastAsia" w:hAnsiTheme="majorHAnsi" w:cstheme="majorBidi"/>
          <w:color w:val="243F60" w:themeColor="accent1" w:themeShade="7F"/>
          <w:sz w:val="26"/>
          <w:szCs w:val="26"/>
        </w:rPr>
        <w:t xml:space="preserve">district-sponsored </w:t>
      </w:r>
      <w:r w:rsidRPr="00A94ECA">
        <w:rPr>
          <w:rFonts w:asciiTheme="majorHAnsi" w:eastAsiaTheme="majorEastAsia" w:hAnsiTheme="majorHAnsi" w:cstheme="majorBidi"/>
          <w:color w:val="243F60" w:themeColor="accent1" w:themeShade="7F"/>
          <w:sz w:val="26"/>
          <w:szCs w:val="26"/>
        </w:rPr>
        <w:t>charter schools when determining whether Title I and non-Title I schools are comparable?</w:t>
      </w:r>
      <w:r w:rsidRPr="00A94ECA">
        <w:rPr>
          <w:sz w:val="26"/>
          <w:szCs w:val="26"/>
        </w:rPr>
        <w:t xml:space="preserve"> </w:t>
      </w:r>
      <w:r w:rsidRPr="00A94ECA">
        <w:rPr>
          <w:rFonts w:cstheme="minorHAnsi"/>
          <w:lang w:bidi="en-US"/>
        </w:rPr>
        <w:t>Yes.  All schools within an LEA mus</w:t>
      </w:r>
      <w:r w:rsidR="00550BE3">
        <w:rPr>
          <w:rFonts w:cstheme="minorHAnsi"/>
          <w:lang w:bidi="en-US"/>
        </w:rPr>
        <w:t xml:space="preserve">t be included. </w:t>
      </w:r>
    </w:p>
    <w:p w14:paraId="4A200698" w14:textId="77777777" w:rsidR="00F61566" w:rsidRPr="00DE10AD" w:rsidRDefault="00F61566" w:rsidP="001E0A6F">
      <w:pPr>
        <w:pStyle w:val="ListParagraph"/>
        <w:spacing w:after="0"/>
        <w:rPr>
          <w:rFonts w:cstheme="minorHAnsi"/>
          <w:lang w:bidi="en-US"/>
        </w:rPr>
      </w:pPr>
    </w:p>
    <w:p w14:paraId="66D2C99D" w14:textId="024368C2" w:rsidR="00F61566" w:rsidRPr="00A94ECA" w:rsidRDefault="0091294F" w:rsidP="00A94ECA">
      <w:pPr>
        <w:pStyle w:val="ListParagraph"/>
        <w:numPr>
          <w:ilvl w:val="0"/>
          <w:numId w:val="41"/>
        </w:numPr>
        <w:spacing w:after="0" w:line="240" w:lineRule="auto"/>
        <w:rPr>
          <w:rFonts w:eastAsia="Times New Roman" w:cs="Times New Roman"/>
          <w:color w:val="000000"/>
        </w:rPr>
      </w:pPr>
      <w:r>
        <w:rPr>
          <w:rFonts w:asciiTheme="majorHAnsi" w:eastAsiaTheme="majorEastAsia" w:hAnsiTheme="majorHAnsi" w:cstheme="majorBidi"/>
          <w:color w:val="243F60" w:themeColor="accent1" w:themeShade="7F"/>
          <w:sz w:val="26"/>
          <w:szCs w:val="26"/>
        </w:rPr>
        <w:t>How does a district</w:t>
      </w:r>
      <w:r w:rsidR="00F61566" w:rsidRPr="00A94ECA">
        <w:rPr>
          <w:rFonts w:asciiTheme="majorHAnsi" w:eastAsiaTheme="majorEastAsia" w:hAnsiTheme="majorHAnsi" w:cstheme="majorBidi"/>
          <w:color w:val="243F60" w:themeColor="accent1" w:themeShade="7F"/>
          <w:sz w:val="26"/>
          <w:szCs w:val="26"/>
        </w:rPr>
        <w:t xml:space="preserve"> calculate comparability when all schools in the grade span receive </w:t>
      </w:r>
      <w:r w:rsidR="00A94ECA">
        <w:rPr>
          <w:rFonts w:asciiTheme="majorHAnsi" w:eastAsiaTheme="majorEastAsia" w:hAnsiTheme="majorHAnsi" w:cstheme="majorBidi"/>
          <w:color w:val="243F60" w:themeColor="accent1" w:themeShade="7F"/>
          <w:sz w:val="26"/>
          <w:szCs w:val="26"/>
        </w:rPr>
        <w:t>Title I-A funds?</w:t>
      </w:r>
      <w:r w:rsidR="00F61566" w:rsidRPr="00DE10AD">
        <w:rPr>
          <w:rFonts w:ascii="Times New Roman" w:eastAsia="Times New Roman" w:hAnsi="Times New Roman" w:cs="Times New Roman"/>
          <w:color w:val="000000"/>
          <w:sz w:val="24"/>
          <w:szCs w:val="24"/>
        </w:rPr>
        <w:t xml:space="preserve"> </w:t>
      </w:r>
      <w:r w:rsidR="00A94ECA" w:rsidRPr="00A94ECA">
        <w:rPr>
          <w:rFonts w:eastAsia="Times New Roman" w:cs="Times New Roman"/>
          <w:color w:val="000000"/>
        </w:rPr>
        <w:t xml:space="preserve">When </w:t>
      </w:r>
      <w:r w:rsidR="00F61566" w:rsidRPr="00A94ECA">
        <w:rPr>
          <w:rFonts w:eastAsia="Times New Roman" w:cs="Times New Roman"/>
          <w:color w:val="000000"/>
        </w:rPr>
        <w:t>all Title I-A schools being served fall in one specific grade span or size group, the data averages for all the Title I-A schools may serve as comparison data.</w:t>
      </w:r>
    </w:p>
    <w:p w14:paraId="3CA75B85" w14:textId="77777777" w:rsidR="00F61566" w:rsidRPr="00A94ECA" w:rsidRDefault="00F61566" w:rsidP="00DE10AD">
      <w:pPr>
        <w:pStyle w:val="ListParagraph"/>
        <w:spacing w:after="0" w:line="240" w:lineRule="auto"/>
        <w:rPr>
          <w:rFonts w:eastAsia="Times New Roman" w:cs="Times New Roman"/>
          <w:color w:val="000000"/>
        </w:rPr>
      </w:pPr>
    </w:p>
    <w:p w14:paraId="1ADB641F" w14:textId="29E5E9A5" w:rsidR="00F61566" w:rsidRDefault="00F61566" w:rsidP="00A94ECA">
      <w:pPr>
        <w:pStyle w:val="Heading3"/>
        <w:keepNext w:val="0"/>
        <w:keepLines w:val="0"/>
        <w:numPr>
          <w:ilvl w:val="0"/>
          <w:numId w:val="41"/>
        </w:numPr>
        <w:spacing w:before="0"/>
        <w:rPr>
          <w:rFonts w:asciiTheme="minorHAnsi" w:eastAsia="Times New Roman" w:hAnsiTheme="minorHAnsi" w:cs="Times New Roman"/>
          <w:color w:val="000000"/>
          <w:sz w:val="22"/>
          <w:szCs w:val="22"/>
        </w:rPr>
      </w:pPr>
      <w:r w:rsidRPr="00A94ECA">
        <w:rPr>
          <w:sz w:val="26"/>
          <w:szCs w:val="26"/>
        </w:rPr>
        <w:t>Which students are included in the Comparability Report?</w:t>
      </w:r>
      <w:r w:rsidRPr="00A94ECA">
        <w:rPr>
          <w:rFonts w:asciiTheme="minorHAnsi" w:eastAsiaTheme="minorHAnsi" w:hAnsiTheme="minorHAnsi" w:cstheme="minorHAnsi"/>
          <w:color w:val="auto"/>
          <w:sz w:val="22"/>
          <w:szCs w:val="22"/>
          <w:lang w:bidi="en-US"/>
        </w:rPr>
        <w:t xml:space="preserve"> </w:t>
      </w:r>
      <w:r w:rsidRPr="00A94ECA">
        <w:rPr>
          <w:rFonts w:asciiTheme="minorHAnsi" w:eastAsia="Times New Roman" w:hAnsiTheme="minorHAnsi" w:cs="Times New Roman"/>
          <w:color w:val="000000"/>
          <w:sz w:val="22"/>
          <w:szCs w:val="22"/>
        </w:rPr>
        <w:t>All studen</w:t>
      </w:r>
      <w:r w:rsidR="00A94ECA">
        <w:rPr>
          <w:rFonts w:asciiTheme="minorHAnsi" w:eastAsia="Times New Roman" w:hAnsiTheme="minorHAnsi" w:cs="Times New Roman"/>
          <w:color w:val="000000"/>
          <w:sz w:val="22"/>
          <w:szCs w:val="22"/>
        </w:rPr>
        <w:t>ts enrolled in Title I-A and</w:t>
      </w:r>
      <w:r w:rsidRPr="00A94ECA">
        <w:rPr>
          <w:rFonts w:asciiTheme="minorHAnsi" w:eastAsia="Times New Roman" w:hAnsiTheme="minorHAnsi" w:cs="Times New Roman"/>
          <w:color w:val="000000"/>
          <w:sz w:val="22"/>
          <w:szCs w:val="22"/>
        </w:rPr>
        <w:t xml:space="preserve"> non-Title I-A schools must be included in the Report. </w:t>
      </w:r>
    </w:p>
    <w:p w14:paraId="74413901" w14:textId="77777777" w:rsidR="001E0A6F" w:rsidRPr="001E0A6F" w:rsidRDefault="001E0A6F" w:rsidP="001E0A6F">
      <w:pPr>
        <w:spacing w:after="0"/>
      </w:pPr>
    </w:p>
    <w:p w14:paraId="3D65C39B" w14:textId="6E8312A8" w:rsidR="00F61566" w:rsidRPr="0053499C" w:rsidRDefault="00F61566" w:rsidP="00A94ECA">
      <w:pPr>
        <w:pStyle w:val="Heading3"/>
        <w:keepNext w:val="0"/>
        <w:keepLines w:val="0"/>
        <w:numPr>
          <w:ilvl w:val="0"/>
          <w:numId w:val="41"/>
        </w:numPr>
        <w:spacing w:before="0" w:after="200"/>
        <w:rPr>
          <w:rFonts w:asciiTheme="minorHAnsi" w:eastAsia="Times New Roman" w:hAnsiTheme="minorHAnsi" w:cs="Times New Roman"/>
          <w:color w:val="000000"/>
          <w:sz w:val="22"/>
          <w:szCs w:val="22"/>
        </w:rPr>
      </w:pPr>
      <w:r w:rsidRPr="00A94ECA">
        <w:rPr>
          <w:sz w:val="26"/>
          <w:szCs w:val="26"/>
        </w:rPr>
        <w:t>What staff information needs to be collected and reflected in the report?</w:t>
      </w:r>
      <w:r>
        <w:rPr>
          <w:rFonts w:asciiTheme="minorHAnsi" w:eastAsiaTheme="minorHAnsi" w:hAnsiTheme="minorHAnsi" w:cstheme="minorHAnsi"/>
          <w:color w:val="auto"/>
          <w:sz w:val="22"/>
          <w:szCs w:val="22"/>
          <w:lang w:bidi="en-US"/>
        </w:rPr>
        <w:t xml:space="preserve"> </w:t>
      </w:r>
      <w:r w:rsidRPr="0053499C">
        <w:rPr>
          <w:rFonts w:asciiTheme="minorHAnsi" w:eastAsia="Times New Roman" w:hAnsiTheme="minorHAnsi" w:cs="Times New Roman"/>
          <w:color w:val="000000"/>
          <w:sz w:val="22"/>
          <w:szCs w:val="22"/>
        </w:rPr>
        <w:t xml:space="preserve">When comparing student/instructional staff ratios, the </w:t>
      </w:r>
      <w:r w:rsidR="00A94ECA" w:rsidRPr="0053499C">
        <w:rPr>
          <w:rFonts w:asciiTheme="minorHAnsi" w:eastAsia="Times New Roman" w:hAnsiTheme="minorHAnsi" w:cs="Times New Roman"/>
          <w:color w:val="000000"/>
          <w:sz w:val="22"/>
          <w:szCs w:val="22"/>
        </w:rPr>
        <w:t>district</w:t>
      </w:r>
      <w:r w:rsidRPr="0053499C">
        <w:rPr>
          <w:rFonts w:asciiTheme="minorHAnsi" w:eastAsia="Times New Roman" w:hAnsiTheme="minorHAnsi" w:cs="Times New Roman"/>
          <w:color w:val="000000"/>
          <w:sz w:val="22"/>
          <w:szCs w:val="22"/>
        </w:rPr>
        <w:t xml:space="preserve"> must consistently include the same staff members in the ratios for both Title I-A schools and the comparison non-Title I-A schools. </w:t>
      </w:r>
    </w:p>
    <w:p w14:paraId="4862FBB1" w14:textId="69117E78" w:rsidR="00F61566" w:rsidRPr="0053499C" w:rsidRDefault="00F61566" w:rsidP="0053499C">
      <w:pPr>
        <w:ind w:left="720"/>
      </w:pPr>
      <w:r w:rsidRPr="0053499C">
        <w:t>Calculate the FTE numbers of certified and non-certi</w:t>
      </w:r>
      <w:r w:rsidR="0091294F">
        <w:t>fied instructional staff</w:t>
      </w:r>
      <w:r w:rsidRPr="0053499C">
        <w:t xml:space="preserve"> paid with State and local funds assigned to each school listed. Staff members whose full salaries are paid with federal dollars </w:t>
      </w:r>
      <w:r w:rsidR="0091294F">
        <w:t xml:space="preserve">should not </w:t>
      </w:r>
      <w:r w:rsidRPr="0053499C">
        <w:t xml:space="preserve">be included in this report. For </w:t>
      </w:r>
      <w:r w:rsidR="0091294F">
        <w:t>staff</w:t>
      </w:r>
      <w:r w:rsidRPr="0053499C">
        <w:t xml:space="preserve"> who are pro</w:t>
      </w:r>
      <w:r w:rsidR="0091294F">
        <w:t>portionally paid with federal, S</w:t>
      </w:r>
      <w:r w:rsidRPr="0053499C">
        <w:t xml:space="preserve">tate and/or local dollars, count only the portion of </w:t>
      </w:r>
      <w:r w:rsidR="0091294F">
        <w:t>the staff</w:t>
      </w:r>
      <w:r w:rsidRPr="0053499C">
        <w:t xml:space="preserve"> salary that is </w:t>
      </w:r>
      <w:r w:rsidR="0091294F">
        <w:t>state and locally</w:t>
      </w:r>
      <w:r w:rsidRPr="0053499C">
        <w:t xml:space="preserve"> funded. Enter data to the nearest tenth. “Instructional staff’ is defined as anyone who provides direct instruction to children </w:t>
      </w:r>
      <w:r w:rsidRPr="0053499C">
        <w:rPr>
          <w:i/>
          <w:iCs/>
          <w:u w:val="single"/>
        </w:rPr>
        <w:t>or who assists or supervises those staff members who provide instruction</w:t>
      </w:r>
      <w:r w:rsidRPr="0053499C">
        <w:rPr>
          <w:i/>
          <w:iCs/>
        </w:rPr>
        <w:t>.</w:t>
      </w:r>
      <w:r w:rsidRPr="0053499C">
        <w:t xml:space="preserve"> </w:t>
      </w:r>
      <w:r w:rsidR="0091294F">
        <w:t>The</w:t>
      </w:r>
      <w:r w:rsidRPr="0053499C">
        <w:t xml:space="preserve"> following individuals would be con</w:t>
      </w:r>
      <w:r w:rsidR="0091294F">
        <w:t>sidered “instructional staff”, however, t</w:t>
      </w:r>
      <w:r w:rsidRPr="0053499C">
        <w:t>his is not an all-inclusive list.</w:t>
      </w:r>
    </w:p>
    <w:p w14:paraId="407E4A9B" w14:textId="64F7A63B" w:rsidR="009E1F52" w:rsidRDefault="009E1F52" w:rsidP="009E1F52">
      <w:pPr>
        <w:pStyle w:val="ListParagraph"/>
        <w:numPr>
          <w:ilvl w:val="0"/>
          <w:numId w:val="42"/>
        </w:numPr>
      </w:pPr>
      <w:r>
        <w:t>Classroom teachers</w:t>
      </w:r>
    </w:p>
    <w:p w14:paraId="0BB102DF" w14:textId="14E30D3A" w:rsidR="009E1F52" w:rsidRDefault="009E1F52" w:rsidP="009E1F52">
      <w:pPr>
        <w:pStyle w:val="ListParagraph"/>
        <w:numPr>
          <w:ilvl w:val="0"/>
          <w:numId w:val="42"/>
        </w:numPr>
      </w:pPr>
      <w:r>
        <w:t>Paraprofessionals</w:t>
      </w:r>
    </w:p>
    <w:p w14:paraId="338FE082" w14:textId="11C27F4F" w:rsidR="009E1F52" w:rsidRDefault="009E1F52" w:rsidP="009E1F52">
      <w:pPr>
        <w:pStyle w:val="ListParagraph"/>
        <w:numPr>
          <w:ilvl w:val="0"/>
          <w:numId w:val="42"/>
        </w:numPr>
      </w:pPr>
      <w:r>
        <w:t>School-based administrators</w:t>
      </w:r>
    </w:p>
    <w:p w14:paraId="44FC0291" w14:textId="7DDA380A" w:rsidR="00DE10AD" w:rsidRDefault="002B3D2F" w:rsidP="00DE10AD">
      <w:pPr>
        <w:pStyle w:val="ListParagraph"/>
        <w:numPr>
          <w:ilvl w:val="0"/>
          <w:numId w:val="42"/>
        </w:numPr>
      </w:pPr>
      <w:r>
        <w:t>Librarians/Media Specialists</w:t>
      </w:r>
    </w:p>
    <w:p w14:paraId="4BF292C9" w14:textId="3A5D7B19" w:rsidR="00DE10AD" w:rsidRDefault="00DE10AD" w:rsidP="00DE10AD">
      <w:pPr>
        <w:pStyle w:val="ListParagraph"/>
        <w:numPr>
          <w:ilvl w:val="0"/>
          <w:numId w:val="42"/>
        </w:numPr>
      </w:pPr>
      <w:r>
        <w:t>Music and art teachers</w:t>
      </w:r>
    </w:p>
    <w:p w14:paraId="2F483CFC" w14:textId="3E84F4C8" w:rsidR="009E1F52" w:rsidRDefault="009E1F52" w:rsidP="00DE10AD">
      <w:pPr>
        <w:pStyle w:val="ListParagraph"/>
        <w:numPr>
          <w:ilvl w:val="0"/>
          <w:numId w:val="42"/>
        </w:numPr>
      </w:pPr>
      <w:r>
        <w:t>STEAM/Technology teachers</w:t>
      </w:r>
    </w:p>
    <w:p w14:paraId="44E81E53" w14:textId="5DF5F142" w:rsidR="00DE10AD" w:rsidRDefault="00DE10AD" w:rsidP="00DE10AD">
      <w:pPr>
        <w:pStyle w:val="ListParagraph"/>
        <w:numPr>
          <w:ilvl w:val="0"/>
          <w:numId w:val="42"/>
        </w:numPr>
      </w:pPr>
      <w:r>
        <w:t>Mentor teachers</w:t>
      </w:r>
    </w:p>
    <w:p w14:paraId="3F355468" w14:textId="262C7B23" w:rsidR="00DE10AD" w:rsidRDefault="00DE10AD" w:rsidP="00DE10AD">
      <w:pPr>
        <w:pStyle w:val="ListParagraph"/>
        <w:numPr>
          <w:ilvl w:val="0"/>
          <w:numId w:val="42"/>
        </w:numPr>
      </w:pPr>
      <w:r>
        <w:t>Physical Education teachers</w:t>
      </w:r>
    </w:p>
    <w:p w14:paraId="137CC2D6" w14:textId="69F281C8" w:rsidR="00DE10AD" w:rsidRDefault="00DE10AD" w:rsidP="00DE10AD">
      <w:pPr>
        <w:pStyle w:val="ListParagraph"/>
        <w:numPr>
          <w:ilvl w:val="0"/>
          <w:numId w:val="42"/>
        </w:numPr>
      </w:pPr>
      <w:r>
        <w:t>Reading and math specialists</w:t>
      </w:r>
    </w:p>
    <w:p w14:paraId="664D8FC1" w14:textId="73E09CDD" w:rsidR="00DE10AD" w:rsidRDefault="00DE10AD" w:rsidP="00DE10AD">
      <w:pPr>
        <w:pStyle w:val="ListParagraph"/>
        <w:numPr>
          <w:ilvl w:val="0"/>
          <w:numId w:val="42"/>
        </w:numPr>
      </w:pPr>
      <w:r>
        <w:t>Speech therapists</w:t>
      </w:r>
    </w:p>
    <w:p w14:paraId="0AEEB7D5" w14:textId="6C44B762" w:rsidR="00DE10AD" w:rsidRDefault="00DE10AD" w:rsidP="00DE10AD">
      <w:pPr>
        <w:pStyle w:val="ListParagraph"/>
        <w:numPr>
          <w:ilvl w:val="0"/>
          <w:numId w:val="42"/>
        </w:numPr>
      </w:pPr>
      <w:r>
        <w:t>Guidance and psychological personnel</w:t>
      </w:r>
    </w:p>
    <w:p w14:paraId="70FE1A29" w14:textId="10EB8164" w:rsidR="00DE10AD" w:rsidRDefault="00DE10AD" w:rsidP="00DE10AD">
      <w:pPr>
        <w:pStyle w:val="ListParagraph"/>
        <w:numPr>
          <w:ilvl w:val="0"/>
          <w:numId w:val="42"/>
        </w:numPr>
      </w:pPr>
      <w:r>
        <w:t>Parent/Family liaisons</w:t>
      </w:r>
    </w:p>
    <w:p w14:paraId="3F006C6C" w14:textId="21267767" w:rsidR="00DE10AD" w:rsidRDefault="00DE10AD" w:rsidP="00DE10AD">
      <w:pPr>
        <w:pStyle w:val="ListParagraph"/>
        <w:numPr>
          <w:ilvl w:val="0"/>
          <w:numId w:val="42"/>
        </w:numPr>
      </w:pPr>
      <w:r>
        <w:t>Resource teachers</w:t>
      </w:r>
    </w:p>
    <w:p w14:paraId="43D49AAB" w14:textId="0CFA9661" w:rsidR="00DE10AD" w:rsidRDefault="00DE10AD" w:rsidP="00DE10AD">
      <w:pPr>
        <w:pStyle w:val="ListParagraph"/>
        <w:numPr>
          <w:ilvl w:val="0"/>
          <w:numId w:val="42"/>
        </w:numPr>
      </w:pPr>
      <w:r>
        <w:t>School social workers</w:t>
      </w:r>
    </w:p>
    <w:p w14:paraId="0467C429" w14:textId="77777777" w:rsidR="001E0A6F" w:rsidRDefault="001E0A6F" w:rsidP="001E0A6F">
      <w:pPr>
        <w:pStyle w:val="ListParagraph"/>
        <w:ind w:left="1446"/>
      </w:pPr>
    </w:p>
    <w:p w14:paraId="4BC6895A" w14:textId="0A3338E3" w:rsidR="0053499C" w:rsidRDefault="0053499C" w:rsidP="0053499C">
      <w:pPr>
        <w:pStyle w:val="ListParagraph"/>
        <w:numPr>
          <w:ilvl w:val="0"/>
          <w:numId w:val="41"/>
        </w:numPr>
        <w:spacing w:after="0"/>
      </w:pPr>
      <w:r w:rsidRPr="0053499C">
        <w:rPr>
          <w:rFonts w:asciiTheme="majorHAnsi" w:eastAsiaTheme="majorEastAsia" w:hAnsiTheme="majorHAnsi" w:cstheme="majorBidi"/>
          <w:color w:val="243F60" w:themeColor="accent1" w:themeShade="7F"/>
          <w:sz w:val="26"/>
          <w:szCs w:val="26"/>
        </w:rPr>
        <w:t>Are substitutes included in the Comparability Report?</w:t>
      </w:r>
      <w:r>
        <w:rPr>
          <w:sz w:val="26"/>
          <w:szCs w:val="26"/>
        </w:rPr>
        <w:t xml:space="preserve"> </w:t>
      </w:r>
      <w:r>
        <w:t>Long-term substitute teachers are included in the count for the Comparability Report. Short-term substitutes temporarily replacing a teacher on leave are not counted, but the official teacher should be counted. Full-time substitutes under contract with the LEA and assigned to a specific school should also be included in the count.</w:t>
      </w:r>
    </w:p>
    <w:p w14:paraId="3CA433E9" w14:textId="77777777" w:rsidR="0053499C" w:rsidRPr="0053499C" w:rsidRDefault="0053499C" w:rsidP="0053499C">
      <w:pPr>
        <w:pStyle w:val="ListParagraph"/>
        <w:spacing w:after="0"/>
      </w:pPr>
    </w:p>
    <w:p w14:paraId="66689203" w14:textId="6BCC47D5" w:rsidR="00DE10AD" w:rsidRDefault="00DE10AD" w:rsidP="00DE10AD">
      <w:pPr>
        <w:pStyle w:val="Heading3"/>
        <w:keepNext w:val="0"/>
        <w:keepLines w:val="0"/>
        <w:numPr>
          <w:ilvl w:val="0"/>
          <w:numId w:val="41"/>
        </w:numPr>
        <w:spacing w:before="0"/>
        <w:rPr>
          <w:rFonts w:asciiTheme="minorHAnsi" w:eastAsia="Times New Roman" w:hAnsiTheme="minorHAnsi" w:cs="Times New Roman"/>
          <w:color w:val="000000"/>
          <w:sz w:val="22"/>
          <w:szCs w:val="22"/>
        </w:rPr>
      </w:pPr>
      <w:r w:rsidRPr="0053499C">
        <w:rPr>
          <w:sz w:val="26"/>
          <w:szCs w:val="26"/>
        </w:rPr>
        <w:t>Can any staff be excluded?</w:t>
      </w:r>
      <w:r>
        <w:rPr>
          <w:rFonts w:asciiTheme="minorHAnsi" w:eastAsiaTheme="minorHAnsi" w:hAnsiTheme="minorHAnsi" w:cstheme="minorHAnsi"/>
          <w:color w:val="auto"/>
          <w:sz w:val="22"/>
          <w:szCs w:val="22"/>
          <w:lang w:bidi="en-US"/>
        </w:rPr>
        <w:t xml:space="preserve"> </w:t>
      </w:r>
      <w:r w:rsidRPr="0053499C">
        <w:rPr>
          <w:rFonts w:asciiTheme="minorHAnsi" w:eastAsia="Times New Roman" w:hAnsiTheme="minorHAnsi" w:cs="Times New Roman"/>
          <w:color w:val="000000"/>
          <w:sz w:val="22"/>
          <w:szCs w:val="22"/>
        </w:rPr>
        <w:t xml:space="preserve">When determining compliance </w:t>
      </w:r>
      <w:r w:rsidR="0091294F">
        <w:rPr>
          <w:rFonts w:asciiTheme="minorHAnsi" w:eastAsia="Times New Roman" w:hAnsiTheme="minorHAnsi" w:cs="Times New Roman"/>
          <w:color w:val="000000"/>
          <w:sz w:val="22"/>
          <w:szCs w:val="22"/>
        </w:rPr>
        <w:t>with comparability, a district</w:t>
      </w:r>
      <w:r w:rsidRPr="0053499C">
        <w:rPr>
          <w:rFonts w:asciiTheme="minorHAnsi" w:eastAsia="Times New Roman" w:hAnsiTheme="minorHAnsi" w:cs="Times New Roman"/>
          <w:color w:val="000000"/>
          <w:sz w:val="22"/>
          <w:szCs w:val="22"/>
        </w:rPr>
        <w:t xml:space="preserve">, in accordance with Section 1120A (c)(5), may exclude State and local funds expended for bilingual education for </w:t>
      </w:r>
      <w:r w:rsidR="00A652A5">
        <w:rPr>
          <w:rFonts w:asciiTheme="minorHAnsi" w:eastAsia="Times New Roman" w:hAnsiTheme="minorHAnsi" w:cs="Times New Roman"/>
          <w:color w:val="000000"/>
          <w:sz w:val="22"/>
          <w:szCs w:val="22"/>
        </w:rPr>
        <w:t xml:space="preserve">emergent bilingual </w:t>
      </w:r>
      <w:r w:rsidRPr="0053499C">
        <w:rPr>
          <w:rFonts w:asciiTheme="minorHAnsi" w:eastAsia="Times New Roman" w:hAnsiTheme="minorHAnsi" w:cs="Times New Roman"/>
          <w:color w:val="000000"/>
          <w:sz w:val="22"/>
          <w:szCs w:val="22"/>
        </w:rPr>
        <w:t xml:space="preserve">students and excess costs of providing services to children </w:t>
      </w:r>
      <w:r w:rsidR="0091294F">
        <w:rPr>
          <w:rFonts w:asciiTheme="minorHAnsi" w:eastAsia="Times New Roman" w:hAnsiTheme="minorHAnsi" w:cs="Times New Roman"/>
          <w:color w:val="000000"/>
          <w:sz w:val="22"/>
          <w:szCs w:val="22"/>
        </w:rPr>
        <w:t xml:space="preserve">experiencing </w:t>
      </w:r>
      <w:r w:rsidRPr="0053499C">
        <w:rPr>
          <w:rFonts w:asciiTheme="minorHAnsi" w:eastAsia="Times New Roman" w:hAnsiTheme="minorHAnsi" w:cs="Times New Roman"/>
          <w:color w:val="000000"/>
          <w:sz w:val="22"/>
          <w:szCs w:val="22"/>
        </w:rPr>
        <w:t>disabilities as determi</w:t>
      </w:r>
      <w:r w:rsidR="0091294F">
        <w:rPr>
          <w:rFonts w:asciiTheme="minorHAnsi" w:eastAsia="Times New Roman" w:hAnsiTheme="minorHAnsi" w:cs="Times New Roman"/>
          <w:color w:val="000000"/>
          <w:sz w:val="22"/>
          <w:szCs w:val="22"/>
        </w:rPr>
        <w:t>ned by the district</w:t>
      </w:r>
      <w:r w:rsidRPr="0053499C">
        <w:rPr>
          <w:rFonts w:asciiTheme="minorHAnsi" w:eastAsia="Times New Roman" w:hAnsiTheme="minorHAnsi" w:cs="Times New Roman"/>
          <w:color w:val="000000"/>
          <w:sz w:val="22"/>
          <w:szCs w:val="22"/>
        </w:rPr>
        <w:t>.</w:t>
      </w:r>
    </w:p>
    <w:p w14:paraId="453319F0" w14:textId="77777777" w:rsidR="0053499C" w:rsidRPr="0053499C" w:rsidRDefault="0053499C" w:rsidP="001E0A6F">
      <w:pPr>
        <w:spacing w:after="0"/>
      </w:pPr>
    </w:p>
    <w:p w14:paraId="5484BE07" w14:textId="6121C563" w:rsidR="00DE10AD" w:rsidRDefault="00DE10AD" w:rsidP="00A94ECA">
      <w:pPr>
        <w:pStyle w:val="Heading3"/>
        <w:keepNext w:val="0"/>
        <w:keepLines w:val="0"/>
        <w:numPr>
          <w:ilvl w:val="0"/>
          <w:numId w:val="41"/>
        </w:numPr>
        <w:spacing w:before="0"/>
        <w:rPr>
          <w:rFonts w:ascii="Times New Roman" w:eastAsia="Times New Roman" w:hAnsi="Times New Roman" w:cs="Times New Roman"/>
          <w:color w:val="000000"/>
        </w:rPr>
      </w:pPr>
      <w:r w:rsidRPr="0053499C">
        <w:rPr>
          <w:sz w:val="26"/>
          <w:szCs w:val="26"/>
        </w:rPr>
        <w:t>What calculation assures that the Title I-A school meets comparability requirements?</w:t>
      </w:r>
      <w:r>
        <w:rPr>
          <w:rFonts w:asciiTheme="minorHAnsi" w:eastAsiaTheme="minorHAnsi" w:hAnsiTheme="minorHAnsi" w:cstheme="minorHAnsi"/>
          <w:color w:val="auto"/>
          <w:sz w:val="22"/>
          <w:szCs w:val="22"/>
          <w:lang w:bidi="en-US"/>
        </w:rPr>
        <w:t xml:space="preserve"> </w:t>
      </w:r>
      <w:r w:rsidRPr="0053499C">
        <w:rPr>
          <w:rFonts w:asciiTheme="minorHAnsi" w:eastAsia="Times New Roman" w:hAnsiTheme="minorHAnsi" w:cs="Times New Roman"/>
          <w:color w:val="000000"/>
          <w:sz w:val="22"/>
          <w:szCs w:val="22"/>
        </w:rPr>
        <w:t>A Title I-A school is comparable if the school’s average student/teacher ratio does not exceed 110 percent of the average student/teacher ratio of schools not participating in Title I-A. For example, if the average ratio of students to instructional staff is 20 to 1 for an LEA’s non-Title I-A schools, the ratio at each Title I-A school can be no higher than 22 to 1.</w:t>
      </w:r>
    </w:p>
    <w:p w14:paraId="70E35F31" w14:textId="77777777" w:rsidR="00DE10AD" w:rsidRPr="00DE10AD" w:rsidRDefault="00DE10AD" w:rsidP="001E0A6F">
      <w:pPr>
        <w:spacing w:after="0"/>
      </w:pPr>
    </w:p>
    <w:p w14:paraId="0C32334A" w14:textId="23701025" w:rsidR="00D9063E" w:rsidRDefault="00D0168D" w:rsidP="0053499C">
      <w:pPr>
        <w:pStyle w:val="Heading3"/>
        <w:keepNext w:val="0"/>
        <w:keepLines w:val="0"/>
        <w:numPr>
          <w:ilvl w:val="0"/>
          <w:numId w:val="41"/>
        </w:numPr>
        <w:spacing w:before="0"/>
        <w:rPr>
          <w:rFonts w:asciiTheme="minorHAnsi" w:eastAsiaTheme="minorHAnsi" w:hAnsiTheme="minorHAnsi" w:cstheme="minorHAnsi"/>
          <w:color w:val="auto"/>
          <w:sz w:val="22"/>
          <w:szCs w:val="22"/>
          <w:lang w:bidi="en-US"/>
        </w:rPr>
      </w:pPr>
      <w:r w:rsidRPr="003D55E6">
        <w:rPr>
          <w:sz w:val="26"/>
          <w:szCs w:val="26"/>
        </w:rPr>
        <w:t>When does a Title I-A school need to meet the comparability requirement? What happens if the school does not meet comparability?</w:t>
      </w:r>
      <w:r w:rsidR="0087761D">
        <w:rPr>
          <w:sz w:val="26"/>
          <w:szCs w:val="26"/>
        </w:rPr>
        <w:t xml:space="preserve"> </w:t>
      </w:r>
      <w:r w:rsidR="001E0A6F" w:rsidRPr="0087761D">
        <w:rPr>
          <w:rFonts w:asciiTheme="minorHAnsi" w:eastAsiaTheme="minorHAnsi" w:hAnsiTheme="minorHAnsi" w:cstheme="minorHAnsi"/>
          <w:color w:val="auto"/>
          <w:sz w:val="22"/>
          <w:szCs w:val="22"/>
          <w:lang w:bidi="en-US"/>
        </w:rPr>
        <w:t>All Title I-A funded schools</w:t>
      </w:r>
      <w:r w:rsidR="001E0A6F">
        <w:rPr>
          <w:rFonts w:asciiTheme="minorHAnsi" w:eastAsiaTheme="minorHAnsi" w:hAnsiTheme="minorHAnsi" w:cstheme="minorHAnsi"/>
          <w:color w:val="auto"/>
          <w:sz w:val="22"/>
          <w:szCs w:val="22"/>
          <w:lang w:bidi="en-US"/>
        </w:rPr>
        <w:t xml:space="preserve"> in a district</w:t>
      </w:r>
      <w:r w:rsidR="001E0A6F" w:rsidRPr="0087761D">
        <w:rPr>
          <w:rFonts w:asciiTheme="minorHAnsi" w:eastAsiaTheme="minorHAnsi" w:hAnsiTheme="minorHAnsi" w:cstheme="minorHAnsi"/>
          <w:color w:val="auto"/>
          <w:sz w:val="22"/>
          <w:szCs w:val="22"/>
          <w:lang w:bidi="en-US"/>
        </w:rPr>
        <w:t xml:space="preserve"> should meet the Title I-A “equivalence” staffing requirement by December 1 of each school year. </w:t>
      </w:r>
      <w:r w:rsidR="001E0A6F">
        <w:rPr>
          <w:rFonts w:asciiTheme="minorHAnsi" w:eastAsiaTheme="minorHAnsi" w:hAnsiTheme="minorHAnsi" w:cstheme="minorHAnsi"/>
          <w:color w:val="auto"/>
          <w:sz w:val="22"/>
          <w:szCs w:val="22"/>
          <w:lang w:bidi="en-US"/>
        </w:rPr>
        <w:t>If a</w:t>
      </w:r>
      <w:r w:rsidR="001E0A6F" w:rsidRPr="0087761D">
        <w:rPr>
          <w:rFonts w:asciiTheme="minorHAnsi" w:eastAsiaTheme="minorHAnsi" w:hAnsiTheme="minorHAnsi" w:cstheme="minorHAnsi"/>
          <w:color w:val="auto"/>
          <w:sz w:val="22"/>
          <w:szCs w:val="22"/>
          <w:lang w:bidi="en-US"/>
        </w:rPr>
        <w:t xml:space="preserve"> </w:t>
      </w:r>
      <w:r w:rsidR="001E0A6F">
        <w:rPr>
          <w:rFonts w:asciiTheme="minorHAnsi" w:eastAsiaTheme="minorHAnsi" w:hAnsiTheme="minorHAnsi" w:cstheme="minorHAnsi"/>
          <w:color w:val="auto"/>
          <w:sz w:val="22"/>
          <w:szCs w:val="22"/>
          <w:lang w:bidi="en-US"/>
        </w:rPr>
        <w:t>district</w:t>
      </w:r>
      <w:r w:rsidR="001E0A6F" w:rsidRPr="0087761D">
        <w:rPr>
          <w:rFonts w:asciiTheme="minorHAnsi" w:eastAsiaTheme="minorHAnsi" w:hAnsiTheme="minorHAnsi" w:cstheme="minorHAnsi"/>
          <w:color w:val="auto"/>
          <w:sz w:val="22"/>
          <w:szCs w:val="22"/>
          <w:lang w:bidi="en-US"/>
        </w:rPr>
        <w:t xml:space="preserve"> </w:t>
      </w:r>
      <w:r w:rsidR="001E0A6F">
        <w:rPr>
          <w:rFonts w:asciiTheme="minorHAnsi" w:eastAsiaTheme="minorHAnsi" w:hAnsiTheme="minorHAnsi" w:cstheme="minorHAnsi"/>
          <w:color w:val="auto"/>
          <w:sz w:val="22"/>
          <w:szCs w:val="22"/>
          <w:lang w:bidi="en-US"/>
        </w:rPr>
        <w:t>cannot demonstrate comparability</w:t>
      </w:r>
      <w:r w:rsidR="001E0A6F" w:rsidRPr="0087761D">
        <w:rPr>
          <w:rFonts w:asciiTheme="minorHAnsi" w:eastAsiaTheme="minorHAnsi" w:hAnsiTheme="minorHAnsi" w:cstheme="minorHAnsi"/>
          <w:color w:val="auto"/>
          <w:sz w:val="22"/>
          <w:szCs w:val="22"/>
          <w:lang w:bidi="en-US"/>
        </w:rPr>
        <w:t xml:space="preserve"> Title I-A funds</w:t>
      </w:r>
      <w:r w:rsidR="001E0A6F">
        <w:rPr>
          <w:rFonts w:asciiTheme="minorHAnsi" w:eastAsiaTheme="minorHAnsi" w:hAnsiTheme="minorHAnsi" w:cstheme="minorHAnsi"/>
          <w:color w:val="auto"/>
          <w:sz w:val="22"/>
          <w:szCs w:val="22"/>
          <w:lang w:bidi="en-US"/>
        </w:rPr>
        <w:t xml:space="preserve"> may be placed on hold until comparability is resolved</w:t>
      </w:r>
      <w:r w:rsidR="001E0A6F" w:rsidRPr="0087761D">
        <w:rPr>
          <w:rFonts w:asciiTheme="minorHAnsi" w:eastAsiaTheme="minorHAnsi" w:hAnsiTheme="minorHAnsi" w:cstheme="minorHAnsi"/>
          <w:color w:val="auto"/>
          <w:sz w:val="22"/>
          <w:szCs w:val="22"/>
          <w:lang w:bidi="en-US"/>
        </w:rPr>
        <w:t xml:space="preserve">. </w:t>
      </w:r>
      <w:r w:rsidR="0087761D" w:rsidRPr="0087761D">
        <w:rPr>
          <w:rFonts w:asciiTheme="minorHAnsi" w:eastAsiaTheme="minorHAnsi" w:hAnsiTheme="minorHAnsi" w:cstheme="minorHAnsi"/>
          <w:color w:val="auto"/>
          <w:sz w:val="22"/>
          <w:szCs w:val="22"/>
          <w:lang w:bidi="en-US"/>
        </w:rPr>
        <w:t xml:space="preserve"> In order to meet the annual target date of December 1, </w:t>
      </w:r>
      <w:r w:rsidR="0091294F">
        <w:rPr>
          <w:rFonts w:asciiTheme="minorHAnsi" w:eastAsiaTheme="minorHAnsi" w:hAnsiTheme="minorHAnsi" w:cstheme="minorHAnsi"/>
          <w:color w:val="auto"/>
          <w:sz w:val="22"/>
          <w:szCs w:val="22"/>
          <w:lang w:bidi="en-US"/>
        </w:rPr>
        <w:t>a district</w:t>
      </w:r>
      <w:r w:rsidR="0087761D" w:rsidRPr="0087761D">
        <w:rPr>
          <w:rFonts w:asciiTheme="minorHAnsi" w:eastAsiaTheme="minorHAnsi" w:hAnsiTheme="minorHAnsi" w:cstheme="minorHAnsi"/>
          <w:color w:val="auto"/>
          <w:sz w:val="22"/>
          <w:szCs w:val="22"/>
          <w:lang w:bidi="en-US"/>
        </w:rPr>
        <w:t xml:space="preserve"> should collect the comparability report information by October 1 of each scho</w:t>
      </w:r>
      <w:r w:rsidR="0091294F">
        <w:rPr>
          <w:rFonts w:asciiTheme="minorHAnsi" w:eastAsiaTheme="minorHAnsi" w:hAnsiTheme="minorHAnsi" w:cstheme="minorHAnsi"/>
          <w:color w:val="auto"/>
          <w:sz w:val="22"/>
          <w:szCs w:val="22"/>
          <w:lang w:bidi="en-US"/>
        </w:rPr>
        <w:t>ol year. This will allow the district</w:t>
      </w:r>
      <w:r w:rsidR="0087761D" w:rsidRPr="0087761D">
        <w:rPr>
          <w:rFonts w:asciiTheme="minorHAnsi" w:eastAsiaTheme="minorHAnsi" w:hAnsiTheme="minorHAnsi" w:cstheme="minorHAnsi"/>
          <w:color w:val="auto"/>
          <w:sz w:val="22"/>
          <w:szCs w:val="22"/>
          <w:lang w:bidi="en-US"/>
        </w:rPr>
        <w:t xml:space="preserve"> sufficient time for allocation, placement, and/or realignment of staffing in Title I-A schools prior to</w:t>
      </w:r>
      <w:r w:rsidR="0087761D">
        <w:rPr>
          <w:rFonts w:asciiTheme="minorHAnsi" w:eastAsiaTheme="minorHAnsi" w:hAnsiTheme="minorHAnsi" w:cstheme="minorHAnsi"/>
          <w:color w:val="auto"/>
          <w:sz w:val="22"/>
          <w:szCs w:val="22"/>
          <w:lang w:bidi="en-US"/>
        </w:rPr>
        <w:t xml:space="preserve"> December 1</w:t>
      </w:r>
      <w:r w:rsidR="0087761D" w:rsidRPr="0087761D">
        <w:rPr>
          <w:rFonts w:asciiTheme="minorHAnsi" w:eastAsiaTheme="minorHAnsi" w:hAnsiTheme="minorHAnsi" w:cstheme="minorHAnsi"/>
          <w:color w:val="auto"/>
          <w:sz w:val="22"/>
          <w:szCs w:val="22"/>
          <w:vertAlign w:val="superscript"/>
          <w:lang w:bidi="en-US"/>
        </w:rPr>
        <w:t>st</w:t>
      </w:r>
      <w:r w:rsidR="0087761D">
        <w:rPr>
          <w:rFonts w:asciiTheme="minorHAnsi" w:eastAsiaTheme="minorHAnsi" w:hAnsiTheme="minorHAnsi" w:cstheme="minorHAnsi"/>
          <w:color w:val="auto"/>
          <w:sz w:val="22"/>
          <w:szCs w:val="22"/>
          <w:lang w:bidi="en-US"/>
        </w:rPr>
        <w:t>.</w:t>
      </w:r>
    </w:p>
    <w:p w14:paraId="62ABAF8A" w14:textId="77777777" w:rsidR="00EA6D01" w:rsidRPr="00EA6D01" w:rsidRDefault="00EA6D01" w:rsidP="001E0A6F">
      <w:pPr>
        <w:spacing w:after="0"/>
        <w:rPr>
          <w:lang w:bidi="en-US"/>
        </w:rPr>
      </w:pPr>
      <w:bookmarkStart w:id="2" w:name="_GoBack"/>
      <w:bookmarkEnd w:id="2"/>
    </w:p>
    <w:p w14:paraId="6665BD3F" w14:textId="6ED8A458" w:rsidR="002C6E22" w:rsidRPr="0042790F" w:rsidRDefault="00EA6D01" w:rsidP="00EA6D01">
      <w:pPr>
        <w:pStyle w:val="ListParagraph"/>
        <w:numPr>
          <w:ilvl w:val="0"/>
          <w:numId w:val="41"/>
        </w:numPr>
        <w:rPr>
          <w:lang w:bidi="en-US"/>
        </w:rPr>
      </w:pPr>
      <w:r w:rsidRPr="00EA6D01">
        <w:rPr>
          <w:rFonts w:asciiTheme="majorHAnsi" w:eastAsiaTheme="majorEastAsia" w:hAnsiTheme="majorHAnsi" w:cstheme="majorBidi"/>
          <w:color w:val="243F60" w:themeColor="accent1" w:themeShade="7F"/>
          <w:sz w:val="26"/>
          <w:szCs w:val="26"/>
        </w:rPr>
        <w:t>What documentation needs to be maintained?</w:t>
      </w:r>
      <w:r>
        <w:rPr>
          <w:sz w:val="26"/>
          <w:szCs w:val="26"/>
        </w:rPr>
        <w:t xml:space="preserve"> </w:t>
      </w:r>
      <w:r w:rsidRPr="00EA6D01">
        <w:t>Districts should</w:t>
      </w:r>
      <w:r>
        <w:rPr>
          <w:sz w:val="26"/>
          <w:szCs w:val="26"/>
        </w:rPr>
        <w:t xml:space="preserve"> </w:t>
      </w:r>
      <w:r w:rsidRPr="00D9063E">
        <w:t xml:space="preserve">maintain records that document compliance with the comparability requirement for three years after the grant period ends or three years after resolution of audit findings related to the grant. Maintain all supporting data including but not limited to student counts, staffing FTE, and a list of staff by name and position. In cases where initial </w:t>
      </w:r>
      <w:r>
        <w:t>information indicates a district</w:t>
      </w:r>
      <w:r w:rsidRPr="00D9063E">
        <w:t xml:space="preserve"> is out of compliance with comparability requirements, the </w:t>
      </w:r>
      <w:r>
        <w:t>district</w:t>
      </w:r>
      <w:r w:rsidRPr="00D9063E">
        <w:t xml:space="preserve"> should retain documentation to demonstrate </w:t>
      </w:r>
      <w:r>
        <w:t>the</w:t>
      </w:r>
      <w:r w:rsidRPr="00D9063E">
        <w:t xml:space="preserve"> specific actions taken to achieve Title I-A comparability of service in all Title I-A schools.</w:t>
      </w:r>
    </w:p>
    <w:sectPr w:rsidR="002C6E22" w:rsidRPr="0042790F" w:rsidSect="001E0A6F">
      <w:headerReference w:type="even" r:id="rId13"/>
      <w:headerReference w:type="default" r:id="rId14"/>
      <w:footerReference w:type="even" r:id="rId15"/>
      <w:footerReference w:type="default" r:id="rId16"/>
      <w:headerReference w:type="first" r:id="rId17"/>
      <w:footerReference w:type="first" r:id="rId18"/>
      <w:type w:val="continuous"/>
      <w:pgSz w:w="12240" w:h="16340"/>
      <w:pgMar w:top="1260" w:right="1080" w:bottom="900" w:left="118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8D169" w14:textId="77777777" w:rsidR="0074003B" w:rsidRDefault="0074003B" w:rsidP="00965BDF">
      <w:pPr>
        <w:spacing w:after="0" w:line="240" w:lineRule="auto"/>
      </w:pPr>
      <w:r>
        <w:separator/>
      </w:r>
    </w:p>
  </w:endnote>
  <w:endnote w:type="continuationSeparator" w:id="0">
    <w:p w14:paraId="41B17401" w14:textId="77777777" w:rsidR="0074003B" w:rsidRDefault="0074003B" w:rsidP="0096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8EA0" w14:textId="0AAF0240" w:rsidR="00E0240E" w:rsidRDefault="0091294F" w:rsidP="00E0240E">
    <w:pPr>
      <w:pStyle w:val="Footer"/>
      <w:jc w:val="center"/>
    </w:pPr>
    <w:r>
      <w:t xml:space="preserve">Updated </w:t>
    </w:r>
    <w:r w:rsidR="001E0A6F">
      <w:t>August</w:t>
    </w:r>
    <w:r>
      <w:t xml:space="preserve"> </w:t>
    </w:r>
    <w:r w:rsidR="00715008">
      <w:t>2022</w:t>
    </w:r>
    <w:r w:rsidR="00E0240E">
      <w:tab/>
    </w:r>
    <w:r w:rsidR="00E0240E">
      <w:tab/>
    </w:r>
    <w:sdt>
      <w:sdtPr>
        <w:id w:val="-1917547575"/>
        <w:docPartObj>
          <w:docPartGallery w:val="Page Numbers (Bottom of Page)"/>
          <w:docPartUnique/>
        </w:docPartObj>
      </w:sdtPr>
      <w:sdtEndPr>
        <w:rPr>
          <w:noProof/>
        </w:rPr>
      </w:sdtEndPr>
      <w:sdtContent>
        <w:r w:rsidR="00E0240E">
          <w:fldChar w:fldCharType="begin"/>
        </w:r>
        <w:r w:rsidR="00E0240E">
          <w:instrText xml:space="preserve"> PAGE   \* MERGEFORMAT </w:instrText>
        </w:r>
        <w:r w:rsidR="00E0240E">
          <w:fldChar w:fldCharType="separate"/>
        </w:r>
        <w:r w:rsidR="001E0A6F">
          <w:rPr>
            <w:noProof/>
          </w:rPr>
          <w:t>1</w:t>
        </w:r>
        <w:r w:rsidR="00E0240E">
          <w:rPr>
            <w:noProof/>
          </w:rPr>
          <w:fldChar w:fldCharType="end"/>
        </w:r>
      </w:sdtContent>
    </w:sdt>
  </w:p>
  <w:p w14:paraId="628C7F44" w14:textId="757076F5" w:rsidR="00EC1A3E" w:rsidRPr="00F3644B" w:rsidRDefault="001E0A6F" w:rsidP="001E0A6F">
    <w:pPr>
      <w:tabs>
        <w:tab w:val="left" w:pos="8475"/>
      </w:tabs>
      <w:rPr>
        <w:rFonts w:ascii="Calibri" w:hAnsi="Calibri" w:cs="Calibri"/>
      </w:rPr>
    </w:pPr>
    <w:r>
      <w:rPr>
        <w:rFonts w:ascii="Calibri" w:hAnsi="Calibri" w:cs="Calibri"/>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BE27" w14:textId="77777777" w:rsidR="00F61566" w:rsidRDefault="00F61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40F1" w14:textId="77777777" w:rsidR="001E0A6F" w:rsidRDefault="001E0A6F" w:rsidP="001E0A6F">
    <w:pPr>
      <w:pStyle w:val="Footer"/>
    </w:pPr>
  </w:p>
  <w:p w14:paraId="79F49307" w14:textId="22276683" w:rsidR="001E0A6F" w:rsidRDefault="001E0A6F" w:rsidP="001E0A6F">
    <w:pPr>
      <w:pStyle w:val="Footer"/>
      <w:jc w:val="center"/>
    </w:pPr>
    <w:r>
      <w:t>U</w:t>
    </w:r>
    <w:r>
      <w:t>pdated August 2022</w:t>
    </w:r>
    <w:r>
      <w:tab/>
    </w:r>
    <w:r>
      <w:tab/>
    </w:r>
    <w:sdt>
      <w:sdtPr>
        <w:id w:val="5205128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6508FBE" w14:textId="77777777" w:rsidR="00F61566" w:rsidRDefault="00F615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F715" w14:textId="77777777" w:rsidR="00F61566" w:rsidRDefault="00F61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0DD11" w14:textId="77777777" w:rsidR="0074003B" w:rsidRDefault="0074003B" w:rsidP="00965BDF">
      <w:pPr>
        <w:spacing w:after="0" w:line="240" w:lineRule="auto"/>
      </w:pPr>
      <w:r>
        <w:separator/>
      </w:r>
    </w:p>
  </w:footnote>
  <w:footnote w:type="continuationSeparator" w:id="0">
    <w:p w14:paraId="74DFE540" w14:textId="77777777" w:rsidR="0074003B" w:rsidRDefault="0074003B" w:rsidP="00965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AFB6" w14:textId="6292139E" w:rsidR="008135EF" w:rsidRPr="00B31872" w:rsidRDefault="008135EF" w:rsidP="008135EF">
    <w:pPr>
      <w:pStyle w:val="Header"/>
      <w:rPr>
        <w:rFonts w:ascii="Calibri" w:eastAsia="Times New Roman" w:hAnsi="Calibri" w:cs="Calibri"/>
        <w:b/>
        <w:color w:val="000000"/>
        <w:sz w:val="40"/>
        <w:szCs w:val="40"/>
      </w:rPr>
    </w:pPr>
    <w:r w:rsidRPr="00B31872">
      <w:rPr>
        <w:b/>
        <w:noProof/>
        <w:color w:val="1F497D" w:themeColor="text2"/>
        <w:sz w:val="40"/>
        <w:szCs w:val="40"/>
      </w:rPr>
      <w:drawing>
        <wp:anchor distT="0" distB="0" distL="114300" distR="114300" simplePos="0" relativeHeight="251659264" behindDoc="0" locked="0" layoutInCell="1" allowOverlap="1" wp14:anchorId="45863921" wp14:editId="494A75F6">
          <wp:simplePos x="0" y="0"/>
          <wp:positionH relativeFrom="margin">
            <wp:align>right</wp:align>
          </wp:positionH>
          <wp:positionV relativeFrom="paragraph">
            <wp:posOffset>-249978</wp:posOffset>
          </wp:positionV>
          <wp:extent cx="1654810" cy="447675"/>
          <wp:effectExtent l="0" t="0" r="2540" b="9525"/>
          <wp:wrapSquare wrapText="bothSides"/>
          <wp:docPr id="3" name="Picture 3"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566">
      <w:rPr>
        <w:b/>
        <w:color w:val="1F497D" w:themeColor="text2"/>
        <w:sz w:val="40"/>
        <w:szCs w:val="40"/>
      </w:rPr>
      <w:t>Frequently Asked Questions</w:t>
    </w:r>
    <w:r w:rsidR="00F3644B" w:rsidRPr="00B31872">
      <w:rPr>
        <w:b/>
        <w:color w:val="1F497D" w:themeColor="text2"/>
        <w:sz w:val="40"/>
        <w:szCs w:val="40"/>
      </w:rPr>
      <w:t xml:space="preserve">: </w:t>
    </w:r>
    <w:r w:rsidR="00812584">
      <w:rPr>
        <w:b/>
        <w:color w:val="1F497D" w:themeColor="text2"/>
        <w:sz w:val="40"/>
        <w:szCs w:val="40"/>
      </w:rPr>
      <w:t>Comparability</w:t>
    </w:r>
    <w:r w:rsidR="008D72DB">
      <w:rPr>
        <w:b/>
        <w:color w:val="1F497D" w:themeColor="text2"/>
        <w:sz w:val="40"/>
        <w:szCs w:val="40"/>
      </w:rPr>
      <w:t xml:space="preserve"> u</w:t>
    </w:r>
    <w:r w:rsidR="00715008">
      <w:rPr>
        <w:b/>
        <w:color w:val="1F497D" w:themeColor="text2"/>
        <w:sz w:val="40"/>
        <w:szCs w:val="40"/>
      </w:rPr>
      <w:t>nder Title I, Part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876F6" w14:textId="77777777" w:rsidR="00F61566" w:rsidRDefault="00F61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9B7E" w14:textId="77777777" w:rsidR="001E0A6F" w:rsidRPr="00B31872" w:rsidRDefault="001E0A6F" w:rsidP="001E0A6F">
    <w:pPr>
      <w:pStyle w:val="Header"/>
      <w:rPr>
        <w:rFonts w:ascii="Calibri" w:eastAsia="Times New Roman" w:hAnsi="Calibri" w:cs="Calibri"/>
        <w:b/>
        <w:color w:val="000000"/>
        <w:sz w:val="40"/>
        <w:szCs w:val="40"/>
      </w:rPr>
    </w:pPr>
    <w:r w:rsidRPr="00B31872">
      <w:rPr>
        <w:b/>
        <w:noProof/>
        <w:color w:val="1F497D" w:themeColor="text2"/>
        <w:sz w:val="40"/>
        <w:szCs w:val="40"/>
      </w:rPr>
      <w:drawing>
        <wp:anchor distT="0" distB="0" distL="114300" distR="114300" simplePos="0" relativeHeight="251661312" behindDoc="0" locked="0" layoutInCell="1" allowOverlap="1" wp14:anchorId="378CD2B8" wp14:editId="307C9B30">
          <wp:simplePos x="0" y="0"/>
          <wp:positionH relativeFrom="margin">
            <wp:align>right</wp:align>
          </wp:positionH>
          <wp:positionV relativeFrom="paragraph">
            <wp:posOffset>-249978</wp:posOffset>
          </wp:positionV>
          <wp:extent cx="1654810" cy="447675"/>
          <wp:effectExtent l="0" t="0" r="2540" b="9525"/>
          <wp:wrapSquare wrapText="bothSides"/>
          <wp:docPr id="6" name="Picture 6"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1F497D" w:themeColor="text2"/>
        <w:sz w:val="40"/>
        <w:szCs w:val="40"/>
      </w:rPr>
      <w:t>Frequently Asked Questions</w:t>
    </w:r>
    <w:r w:rsidRPr="00B31872">
      <w:rPr>
        <w:b/>
        <w:color w:val="1F497D" w:themeColor="text2"/>
        <w:sz w:val="40"/>
        <w:szCs w:val="40"/>
      </w:rPr>
      <w:t xml:space="preserve">: </w:t>
    </w:r>
    <w:r>
      <w:rPr>
        <w:b/>
        <w:color w:val="1F497D" w:themeColor="text2"/>
        <w:sz w:val="40"/>
        <w:szCs w:val="40"/>
      </w:rPr>
      <w:t>Comparability under Title I, Part 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EFBF9" w14:textId="77777777" w:rsidR="00F61566" w:rsidRDefault="00F61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C97"/>
    <w:multiLevelType w:val="hybridMultilevel"/>
    <w:tmpl w:val="42FA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B52F9"/>
    <w:multiLevelType w:val="hybridMultilevel"/>
    <w:tmpl w:val="B136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634EE"/>
    <w:multiLevelType w:val="hybridMultilevel"/>
    <w:tmpl w:val="61FA3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3368"/>
    <w:multiLevelType w:val="hybridMultilevel"/>
    <w:tmpl w:val="5A643D5A"/>
    <w:lvl w:ilvl="0" w:tplc="04090001">
      <w:start w:val="1"/>
      <w:numFmt w:val="bullet"/>
      <w:lvlText w:val=""/>
      <w:lvlJc w:val="left"/>
      <w:pPr>
        <w:ind w:left="1200" w:hanging="360"/>
      </w:pPr>
      <w:rPr>
        <w:rFonts w:ascii="Symbol" w:hAnsi="Symbol" w:hint="default"/>
        <w:spacing w:val="-2"/>
        <w:w w:val="99"/>
        <w:sz w:val="24"/>
        <w:szCs w:val="24"/>
      </w:rPr>
    </w:lvl>
    <w:lvl w:ilvl="1" w:tplc="0918519E">
      <w:numFmt w:val="bullet"/>
      <w:lvlText w:val="o"/>
      <w:lvlJc w:val="left"/>
      <w:pPr>
        <w:ind w:left="1920" w:hanging="361"/>
      </w:pPr>
      <w:rPr>
        <w:rFonts w:ascii="Courier New" w:eastAsia="Courier New" w:hAnsi="Courier New" w:cs="Courier New" w:hint="default"/>
        <w:w w:val="99"/>
        <w:sz w:val="24"/>
        <w:szCs w:val="24"/>
      </w:rPr>
    </w:lvl>
    <w:lvl w:ilvl="2" w:tplc="AD1A4D48">
      <w:numFmt w:val="bullet"/>
      <w:lvlText w:val="•"/>
      <w:lvlJc w:val="left"/>
      <w:pPr>
        <w:ind w:left="1920" w:hanging="361"/>
      </w:pPr>
      <w:rPr>
        <w:rFonts w:hint="default"/>
      </w:rPr>
    </w:lvl>
    <w:lvl w:ilvl="3" w:tplc="5AA00DC8">
      <w:numFmt w:val="bullet"/>
      <w:lvlText w:val="•"/>
      <w:lvlJc w:val="left"/>
      <w:pPr>
        <w:ind w:left="2917" w:hanging="361"/>
      </w:pPr>
      <w:rPr>
        <w:rFonts w:hint="default"/>
      </w:rPr>
    </w:lvl>
    <w:lvl w:ilvl="4" w:tplc="F5707CEC">
      <w:numFmt w:val="bullet"/>
      <w:lvlText w:val="•"/>
      <w:lvlJc w:val="left"/>
      <w:pPr>
        <w:ind w:left="3915" w:hanging="361"/>
      </w:pPr>
      <w:rPr>
        <w:rFonts w:hint="default"/>
      </w:rPr>
    </w:lvl>
    <w:lvl w:ilvl="5" w:tplc="E91A1C74">
      <w:numFmt w:val="bullet"/>
      <w:lvlText w:val="•"/>
      <w:lvlJc w:val="left"/>
      <w:pPr>
        <w:ind w:left="4912" w:hanging="361"/>
      </w:pPr>
      <w:rPr>
        <w:rFonts w:hint="default"/>
      </w:rPr>
    </w:lvl>
    <w:lvl w:ilvl="6" w:tplc="D09C8E6E">
      <w:numFmt w:val="bullet"/>
      <w:lvlText w:val="•"/>
      <w:lvlJc w:val="left"/>
      <w:pPr>
        <w:ind w:left="5910" w:hanging="361"/>
      </w:pPr>
      <w:rPr>
        <w:rFonts w:hint="default"/>
      </w:rPr>
    </w:lvl>
    <w:lvl w:ilvl="7" w:tplc="BD760806">
      <w:numFmt w:val="bullet"/>
      <w:lvlText w:val="•"/>
      <w:lvlJc w:val="left"/>
      <w:pPr>
        <w:ind w:left="6907" w:hanging="361"/>
      </w:pPr>
      <w:rPr>
        <w:rFonts w:hint="default"/>
      </w:rPr>
    </w:lvl>
    <w:lvl w:ilvl="8" w:tplc="3134E15A">
      <w:numFmt w:val="bullet"/>
      <w:lvlText w:val="•"/>
      <w:lvlJc w:val="left"/>
      <w:pPr>
        <w:ind w:left="7905" w:hanging="361"/>
      </w:pPr>
      <w:rPr>
        <w:rFonts w:hint="default"/>
      </w:rPr>
    </w:lvl>
  </w:abstractNum>
  <w:abstractNum w:abstractNumId="4" w15:restartNumberingAfterBreak="0">
    <w:nsid w:val="0BC0688F"/>
    <w:multiLevelType w:val="hybridMultilevel"/>
    <w:tmpl w:val="102A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122587"/>
    <w:multiLevelType w:val="hybridMultilevel"/>
    <w:tmpl w:val="7274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97313"/>
    <w:multiLevelType w:val="hybridMultilevel"/>
    <w:tmpl w:val="C742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46FDB"/>
    <w:multiLevelType w:val="hybridMultilevel"/>
    <w:tmpl w:val="CA189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D4E44"/>
    <w:multiLevelType w:val="hybridMultilevel"/>
    <w:tmpl w:val="77D21E2E"/>
    <w:lvl w:ilvl="0" w:tplc="0D2473A4">
      <w:numFmt w:val="bullet"/>
      <w:lvlText w:val=""/>
      <w:lvlJc w:val="left"/>
      <w:pPr>
        <w:ind w:left="820" w:hanging="361"/>
      </w:pPr>
      <w:rPr>
        <w:rFonts w:ascii="Symbol" w:eastAsia="Symbol" w:hAnsi="Symbol" w:cs="Symbol" w:hint="default"/>
        <w:w w:val="99"/>
        <w:sz w:val="24"/>
        <w:szCs w:val="24"/>
      </w:rPr>
    </w:lvl>
    <w:lvl w:ilvl="1" w:tplc="E0084542">
      <w:numFmt w:val="bullet"/>
      <w:lvlText w:val="•"/>
      <w:lvlJc w:val="left"/>
      <w:pPr>
        <w:ind w:left="1692" w:hanging="361"/>
      </w:pPr>
      <w:rPr>
        <w:rFonts w:hint="default"/>
      </w:rPr>
    </w:lvl>
    <w:lvl w:ilvl="2" w:tplc="487C3428">
      <w:numFmt w:val="bullet"/>
      <w:lvlText w:val="•"/>
      <w:lvlJc w:val="left"/>
      <w:pPr>
        <w:ind w:left="2564" w:hanging="361"/>
      </w:pPr>
      <w:rPr>
        <w:rFonts w:hint="default"/>
      </w:rPr>
    </w:lvl>
    <w:lvl w:ilvl="3" w:tplc="3F4EE51E">
      <w:numFmt w:val="bullet"/>
      <w:lvlText w:val="•"/>
      <w:lvlJc w:val="left"/>
      <w:pPr>
        <w:ind w:left="3436" w:hanging="361"/>
      </w:pPr>
      <w:rPr>
        <w:rFonts w:hint="default"/>
      </w:rPr>
    </w:lvl>
    <w:lvl w:ilvl="4" w:tplc="37925B20">
      <w:numFmt w:val="bullet"/>
      <w:lvlText w:val="•"/>
      <w:lvlJc w:val="left"/>
      <w:pPr>
        <w:ind w:left="4308" w:hanging="361"/>
      </w:pPr>
      <w:rPr>
        <w:rFonts w:hint="default"/>
      </w:rPr>
    </w:lvl>
    <w:lvl w:ilvl="5" w:tplc="789C7D9C">
      <w:numFmt w:val="bullet"/>
      <w:lvlText w:val="•"/>
      <w:lvlJc w:val="left"/>
      <w:pPr>
        <w:ind w:left="5180" w:hanging="361"/>
      </w:pPr>
      <w:rPr>
        <w:rFonts w:hint="default"/>
      </w:rPr>
    </w:lvl>
    <w:lvl w:ilvl="6" w:tplc="452C1B26">
      <w:numFmt w:val="bullet"/>
      <w:lvlText w:val="•"/>
      <w:lvlJc w:val="left"/>
      <w:pPr>
        <w:ind w:left="6052" w:hanging="361"/>
      </w:pPr>
      <w:rPr>
        <w:rFonts w:hint="default"/>
      </w:rPr>
    </w:lvl>
    <w:lvl w:ilvl="7" w:tplc="E67CD328">
      <w:numFmt w:val="bullet"/>
      <w:lvlText w:val="•"/>
      <w:lvlJc w:val="left"/>
      <w:pPr>
        <w:ind w:left="6924" w:hanging="361"/>
      </w:pPr>
      <w:rPr>
        <w:rFonts w:hint="default"/>
      </w:rPr>
    </w:lvl>
    <w:lvl w:ilvl="8" w:tplc="5CA48976">
      <w:numFmt w:val="bullet"/>
      <w:lvlText w:val="•"/>
      <w:lvlJc w:val="left"/>
      <w:pPr>
        <w:ind w:left="7796" w:hanging="361"/>
      </w:pPr>
      <w:rPr>
        <w:rFonts w:hint="default"/>
      </w:rPr>
    </w:lvl>
  </w:abstractNum>
  <w:abstractNum w:abstractNumId="9" w15:restartNumberingAfterBreak="0">
    <w:nsid w:val="1D0A3D7E"/>
    <w:multiLevelType w:val="hybridMultilevel"/>
    <w:tmpl w:val="B5B2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F4757"/>
    <w:multiLevelType w:val="hybridMultilevel"/>
    <w:tmpl w:val="244CE5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1B55B3B"/>
    <w:multiLevelType w:val="hybridMultilevel"/>
    <w:tmpl w:val="C2D2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C2F9A"/>
    <w:multiLevelType w:val="hybridMultilevel"/>
    <w:tmpl w:val="AAD40724"/>
    <w:lvl w:ilvl="0" w:tplc="3B443276">
      <w:start w:val="1"/>
      <w:numFmt w:val="bullet"/>
      <w:lvlText w:val="•"/>
      <w:lvlJc w:val="left"/>
      <w:pPr>
        <w:tabs>
          <w:tab w:val="num" w:pos="720"/>
        </w:tabs>
        <w:ind w:left="720" w:hanging="360"/>
      </w:pPr>
      <w:rPr>
        <w:rFonts w:ascii="Times New Roman" w:hAnsi="Times New Roman" w:hint="default"/>
      </w:rPr>
    </w:lvl>
    <w:lvl w:ilvl="1" w:tplc="60D42EE2" w:tentative="1">
      <w:start w:val="1"/>
      <w:numFmt w:val="bullet"/>
      <w:lvlText w:val="•"/>
      <w:lvlJc w:val="left"/>
      <w:pPr>
        <w:tabs>
          <w:tab w:val="num" w:pos="1440"/>
        </w:tabs>
        <w:ind w:left="1440" w:hanging="360"/>
      </w:pPr>
      <w:rPr>
        <w:rFonts w:ascii="Times New Roman" w:hAnsi="Times New Roman" w:hint="default"/>
      </w:rPr>
    </w:lvl>
    <w:lvl w:ilvl="2" w:tplc="F086C7CC" w:tentative="1">
      <w:start w:val="1"/>
      <w:numFmt w:val="bullet"/>
      <w:lvlText w:val="•"/>
      <w:lvlJc w:val="left"/>
      <w:pPr>
        <w:tabs>
          <w:tab w:val="num" w:pos="2160"/>
        </w:tabs>
        <w:ind w:left="2160" w:hanging="360"/>
      </w:pPr>
      <w:rPr>
        <w:rFonts w:ascii="Times New Roman" w:hAnsi="Times New Roman" w:hint="default"/>
      </w:rPr>
    </w:lvl>
    <w:lvl w:ilvl="3" w:tplc="7C90FD46" w:tentative="1">
      <w:start w:val="1"/>
      <w:numFmt w:val="bullet"/>
      <w:lvlText w:val="•"/>
      <w:lvlJc w:val="left"/>
      <w:pPr>
        <w:tabs>
          <w:tab w:val="num" w:pos="2880"/>
        </w:tabs>
        <w:ind w:left="2880" w:hanging="360"/>
      </w:pPr>
      <w:rPr>
        <w:rFonts w:ascii="Times New Roman" w:hAnsi="Times New Roman" w:hint="default"/>
      </w:rPr>
    </w:lvl>
    <w:lvl w:ilvl="4" w:tplc="1E527692" w:tentative="1">
      <w:start w:val="1"/>
      <w:numFmt w:val="bullet"/>
      <w:lvlText w:val="•"/>
      <w:lvlJc w:val="left"/>
      <w:pPr>
        <w:tabs>
          <w:tab w:val="num" w:pos="3600"/>
        </w:tabs>
        <w:ind w:left="3600" w:hanging="360"/>
      </w:pPr>
      <w:rPr>
        <w:rFonts w:ascii="Times New Roman" w:hAnsi="Times New Roman" w:hint="default"/>
      </w:rPr>
    </w:lvl>
    <w:lvl w:ilvl="5" w:tplc="43FA577E" w:tentative="1">
      <w:start w:val="1"/>
      <w:numFmt w:val="bullet"/>
      <w:lvlText w:val="•"/>
      <w:lvlJc w:val="left"/>
      <w:pPr>
        <w:tabs>
          <w:tab w:val="num" w:pos="4320"/>
        </w:tabs>
        <w:ind w:left="4320" w:hanging="360"/>
      </w:pPr>
      <w:rPr>
        <w:rFonts w:ascii="Times New Roman" w:hAnsi="Times New Roman" w:hint="default"/>
      </w:rPr>
    </w:lvl>
    <w:lvl w:ilvl="6" w:tplc="E0107886" w:tentative="1">
      <w:start w:val="1"/>
      <w:numFmt w:val="bullet"/>
      <w:lvlText w:val="•"/>
      <w:lvlJc w:val="left"/>
      <w:pPr>
        <w:tabs>
          <w:tab w:val="num" w:pos="5040"/>
        </w:tabs>
        <w:ind w:left="5040" w:hanging="360"/>
      </w:pPr>
      <w:rPr>
        <w:rFonts w:ascii="Times New Roman" w:hAnsi="Times New Roman" w:hint="default"/>
      </w:rPr>
    </w:lvl>
    <w:lvl w:ilvl="7" w:tplc="44CEF1CC" w:tentative="1">
      <w:start w:val="1"/>
      <w:numFmt w:val="bullet"/>
      <w:lvlText w:val="•"/>
      <w:lvlJc w:val="left"/>
      <w:pPr>
        <w:tabs>
          <w:tab w:val="num" w:pos="5760"/>
        </w:tabs>
        <w:ind w:left="5760" w:hanging="360"/>
      </w:pPr>
      <w:rPr>
        <w:rFonts w:ascii="Times New Roman" w:hAnsi="Times New Roman" w:hint="default"/>
      </w:rPr>
    </w:lvl>
    <w:lvl w:ilvl="8" w:tplc="E57678B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FF636D"/>
    <w:multiLevelType w:val="hybridMultilevel"/>
    <w:tmpl w:val="15A8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C012E"/>
    <w:multiLevelType w:val="hybridMultilevel"/>
    <w:tmpl w:val="F9746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D64693"/>
    <w:multiLevelType w:val="hybridMultilevel"/>
    <w:tmpl w:val="B8D8C3E8"/>
    <w:lvl w:ilvl="0" w:tplc="48901A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61D88"/>
    <w:multiLevelType w:val="multilevel"/>
    <w:tmpl w:val="276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55B63"/>
    <w:multiLevelType w:val="hybridMultilevel"/>
    <w:tmpl w:val="396AFAE4"/>
    <w:lvl w:ilvl="0" w:tplc="84FC15C8">
      <w:start w:val="1"/>
      <w:numFmt w:val="decimal"/>
      <w:lvlText w:val="%1."/>
      <w:lvlJc w:val="left"/>
      <w:pPr>
        <w:ind w:left="720" w:hanging="360"/>
      </w:pPr>
      <w:rPr>
        <w:rFonts w:asciiTheme="majorHAnsi" w:eastAsiaTheme="minorHAnsi" w:hAnsiTheme="majorHAnsi" w:cstheme="min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831D3"/>
    <w:multiLevelType w:val="multilevel"/>
    <w:tmpl w:val="5350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BC7B99"/>
    <w:multiLevelType w:val="multilevel"/>
    <w:tmpl w:val="EDD83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3E775A"/>
    <w:multiLevelType w:val="hybridMultilevel"/>
    <w:tmpl w:val="08808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180C39"/>
    <w:multiLevelType w:val="hybridMultilevel"/>
    <w:tmpl w:val="F2869558"/>
    <w:lvl w:ilvl="0" w:tplc="E0DAA45C">
      <w:start w:val="1"/>
      <w:numFmt w:val="decimal"/>
      <w:lvlText w:val="%1."/>
      <w:lvlJc w:val="left"/>
      <w:pPr>
        <w:ind w:left="720" w:hanging="360"/>
      </w:pPr>
      <w:rPr>
        <w:rFonts w:asciiTheme="majorHAnsi" w:hAnsiTheme="majorHAnsi" w:hint="default"/>
        <w:color w:val="244061" w:themeColor="accent1" w:themeShade="8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CC262E"/>
    <w:multiLevelType w:val="hybridMultilevel"/>
    <w:tmpl w:val="0DD4DF2C"/>
    <w:lvl w:ilvl="0" w:tplc="04090001">
      <w:start w:val="1"/>
      <w:numFmt w:val="bullet"/>
      <w:lvlText w:val=""/>
      <w:lvlJc w:val="left"/>
      <w:pPr>
        <w:ind w:left="720" w:hanging="360"/>
      </w:pPr>
      <w:rPr>
        <w:rFonts w:ascii="Symbol" w:hAnsi="Symbol" w:hint="default"/>
        <w:sz w:val="26"/>
        <w:szCs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E5368"/>
    <w:multiLevelType w:val="hybridMultilevel"/>
    <w:tmpl w:val="0D6E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E2E81"/>
    <w:multiLevelType w:val="hybridMultilevel"/>
    <w:tmpl w:val="724E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51339"/>
    <w:multiLevelType w:val="hybridMultilevel"/>
    <w:tmpl w:val="4238AB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C301C2A"/>
    <w:multiLevelType w:val="hybridMultilevel"/>
    <w:tmpl w:val="83304C60"/>
    <w:lvl w:ilvl="0" w:tplc="8EA6F972">
      <w:start w:val="1"/>
      <w:numFmt w:val="decimal"/>
      <w:lvlText w:val="%1."/>
      <w:lvlJc w:val="left"/>
      <w:pPr>
        <w:ind w:left="720" w:hanging="360"/>
      </w:pPr>
      <w:rPr>
        <w:rFonts w:asciiTheme="majorHAnsi" w:hAnsiTheme="majorHAnsi" w:hint="default"/>
        <w:color w:val="244061" w:themeColor="accent1" w:themeShade="8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A2B05"/>
    <w:multiLevelType w:val="hybridMultilevel"/>
    <w:tmpl w:val="455E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91AC5"/>
    <w:multiLevelType w:val="hybridMultilevel"/>
    <w:tmpl w:val="800CB95E"/>
    <w:lvl w:ilvl="0" w:tplc="BD529962">
      <w:start w:val="1"/>
      <w:numFmt w:val="bullet"/>
      <w:lvlText w:val="•"/>
      <w:lvlJc w:val="left"/>
      <w:pPr>
        <w:tabs>
          <w:tab w:val="num" w:pos="720"/>
        </w:tabs>
        <w:ind w:left="720" w:hanging="360"/>
      </w:pPr>
      <w:rPr>
        <w:rFonts w:ascii="Times New Roman" w:hAnsi="Times New Roman" w:hint="default"/>
      </w:rPr>
    </w:lvl>
    <w:lvl w:ilvl="1" w:tplc="C9A8D9AE" w:tentative="1">
      <w:start w:val="1"/>
      <w:numFmt w:val="bullet"/>
      <w:lvlText w:val="•"/>
      <w:lvlJc w:val="left"/>
      <w:pPr>
        <w:tabs>
          <w:tab w:val="num" w:pos="1440"/>
        </w:tabs>
        <w:ind w:left="1440" w:hanging="360"/>
      </w:pPr>
      <w:rPr>
        <w:rFonts w:ascii="Times New Roman" w:hAnsi="Times New Roman" w:hint="default"/>
      </w:rPr>
    </w:lvl>
    <w:lvl w:ilvl="2" w:tplc="6CEE7ACA" w:tentative="1">
      <w:start w:val="1"/>
      <w:numFmt w:val="bullet"/>
      <w:lvlText w:val="•"/>
      <w:lvlJc w:val="left"/>
      <w:pPr>
        <w:tabs>
          <w:tab w:val="num" w:pos="2160"/>
        </w:tabs>
        <w:ind w:left="2160" w:hanging="360"/>
      </w:pPr>
      <w:rPr>
        <w:rFonts w:ascii="Times New Roman" w:hAnsi="Times New Roman" w:hint="default"/>
      </w:rPr>
    </w:lvl>
    <w:lvl w:ilvl="3" w:tplc="3B06AB70" w:tentative="1">
      <w:start w:val="1"/>
      <w:numFmt w:val="bullet"/>
      <w:lvlText w:val="•"/>
      <w:lvlJc w:val="left"/>
      <w:pPr>
        <w:tabs>
          <w:tab w:val="num" w:pos="2880"/>
        </w:tabs>
        <w:ind w:left="2880" w:hanging="360"/>
      </w:pPr>
      <w:rPr>
        <w:rFonts w:ascii="Times New Roman" w:hAnsi="Times New Roman" w:hint="default"/>
      </w:rPr>
    </w:lvl>
    <w:lvl w:ilvl="4" w:tplc="5DC60924" w:tentative="1">
      <w:start w:val="1"/>
      <w:numFmt w:val="bullet"/>
      <w:lvlText w:val="•"/>
      <w:lvlJc w:val="left"/>
      <w:pPr>
        <w:tabs>
          <w:tab w:val="num" w:pos="3600"/>
        </w:tabs>
        <w:ind w:left="3600" w:hanging="360"/>
      </w:pPr>
      <w:rPr>
        <w:rFonts w:ascii="Times New Roman" w:hAnsi="Times New Roman" w:hint="default"/>
      </w:rPr>
    </w:lvl>
    <w:lvl w:ilvl="5" w:tplc="042C65A6" w:tentative="1">
      <w:start w:val="1"/>
      <w:numFmt w:val="bullet"/>
      <w:lvlText w:val="•"/>
      <w:lvlJc w:val="left"/>
      <w:pPr>
        <w:tabs>
          <w:tab w:val="num" w:pos="4320"/>
        </w:tabs>
        <w:ind w:left="4320" w:hanging="360"/>
      </w:pPr>
      <w:rPr>
        <w:rFonts w:ascii="Times New Roman" w:hAnsi="Times New Roman" w:hint="default"/>
      </w:rPr>
    </w:lvl>
    <w:lvl w:ilvl="6" w:tplc="030C2FC0" w:tentative="1">
      <w:start w:val="1"/>
      <w:numFmt w:val="bullet"/>
      <w:lvlText w:val="•"/>
      <w:lvlJc w:val="left"/>
      <w:pPr>
        <w:tabs>
          <w:tab w:val="num" w:pos="5040"/>
        </w:tabs>
        <w:ind w:left="5040" w:hanging="360"/>
      </w:pPr>
      <w:rPr>
        <w:rFonts w:ascii="Times New Roman" w:hAnsi="Times New Roman" w:hint="default"/>
      </w:rPr>
    </w:lvl>
    <w:lvl w:ilvl="7" w:tplc="28049D24" w:tentative="1">
      <w:start w:val="1"/>
      <w:numFmt w:val="bullet"/>
      <w:lvlText w:val="•"/>
      <w:lvlJc w:val="left"/>
      <w:pPr>
        <w:tabs>
          <w:tab w:val="num" w:pos="5760"/>
        </w:tabs>
        <w:ind w:left="5760" w:hanging="360"/>
      </w:pPr>
      <w:rPr>
        <w:rFonts w:ascii="Times New Roman" w:hAnsi="Times New Roman" w:hint="default"/>
      </w:rPr>
    </w:lvl>
    <w:lvl w:ilvl="8" w:tplc="EA1859E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00745EC"/>
    <w:multiLevelType w:val="hybridMultilevel"/>
    <w:tmpl w:val="864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06B9A"/>
    <w:multiLevelType w:val="hybridMultilevel"/>
    <w:tmpl w:val="77BE583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1" w15:restartNumberingAfterBreak="0">
    <w:nsid w:val="6AC252E7"/>
    <w:multiLevelType w:val="multilevel"/>
    <w:tmpl w:val="57C8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A0DEB"/>
    <w:multiLevelType w:val="hybridMultilevel"/>
    <w:tmpl w:val="5CF2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533CD"/>
    <w:multiLevelType w:val="multilevel"/>
    <w:tmpl w:val="119A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E86B92"/>
    <w:multiLevelType w:val="hybridMultilevel"/>
    <w:tmpl w:val="1702256A"/>
    <w:lvl w:ilvl="0" w:tplc="C46E458A">
      <w:start w:val="1"/>
      <w:numFmt w:val="bullet"/>
      <w:lvlText w:val="•"/>
      <w:lvlJc w:val="left"/>
      <w:pPr>
        <w:tabs>
          <w:tab w:val="num" w:pos="720"/>
        </w:tabs>
        <w:ind w:left="720" w:hanging="360"/>
      </w:pPr>
      <w:rPr>
        <w:rFonts w:ascii="Times New Roman" w:hAnsi="Times New Roman" w:hint="default"/>
      </w:rPr>
    </w:lvl>
    <w:lvl w:ilvl="1" w:tplc="0DE20092" w:tentative="1">
      <w:start w:val="1"/>
      <w:numFmt w:val="bullet"/>
      <w:lvlText w:val="•"/>
      <w:lvlJc w:val="left"/>
      <w:pPr>
        <w:tabs>
          <w:tab w:val="num" w:pos="1440"/>
        </w:tabs>
        <w:ind w:left="1440" w:hanging="360"/>
      </w:pPr>
      <w:rPr>
        <w:rFonts w:ascii="Times New Roman" w:hAnsi="Times New Roman" w:hint="default"/>
      </w:rPr>
    </w:lvl>
    <w:lvl w:ilvl="2" w:tplc="42A40DB6" w:tentative="1">
      <w:start w:val="1"/>
      <w:numFmt w:val="bullet"/>
      <w:lvlText w:val="•"/>
      <w:lvlJc w:val="left"/>
      <w:pPr>
        <w:tabs>
          <w:tab w:val="num" w:pos="2160"/>
        </w:tabs>
        <w:ind w:left="2160" w:hanging="360"/>
      </w:pPr>
      <w:rPr>
        <w:rFonts w:ascii="Times New Roman" w:hAnsi="Times New Roman" w:hint="default"/>
      </w:rPr>
    </w:lvl>
    <w:lvl w:ilvl="3" w:tplc="8070C74E" w:tentative="1">
      <w:start w:val="1"/>
      <w:numFmt w:val="bullet"/>
      <w:lvlText w:val="•"/>
      <w:lvlJc w:val="left"/>
      <w:pPr>
        <w:tabs>
          <w:tab w:val="num" w:pos="2880"/>
        </w:tabs>
        <w:ind w:left="2880" w:hanging="360"/>
      </w:pPr>
      <w:rPr>
        <w:rFonts w:ascii="Times New Roman" w:hAnsi="Times New Roman" w:hint="default"/>
      </w:rPr>
    </w:lvl>
    <w:lvl w:ilvl="4" w:tplc="8F4E2AF6" w:tentative="1">
      <w:start w:val="1"/>
      <w:numFmt w:val="bullet"/>
      <w:lvlText w:val="•"/>
      <w:lvlJc w:val="left"/>
      <w:pPr>
        <w:tabs>
          <w:tab w:val="num" w:pos="3600"/>
        </w:tabs>
        <w:ind w:left="3600" w:hanging="360"/>
      </w:pPr>
      <w:rPr>
        <w:rFonts w:ascii="Times New Roman" w:hAnsi="Times New Roman" w:hint="default"/>
      </w:rPr>
    </w:lvl>
    <w:lvl w:ilvl="5" w:tplc="946217E6" w:tentative="1">
      <w:start w:val="1"/>
      <w:numFmt w:val="bullet"/>
      <w:lvlText w:val="•"/>
      <w:lvlJc w:val="left"/>
      <w:pPr>
        <w:tabs>
          <w:tab w:val="num" w:pos="4320"/>
        </w:tabs>
        <w:ind w:left="4320" w:hanging="360"/>
      </w:pPr>
      <w:rPr>
        <w:rFonts w:ascii="Times New Roman" w:hAnsi="Times New Roman" w:hint="default"/>
      </w:rPr>
    </w:lvl>
    <w:lvl w:ilvl="6" w:tplc="211A4A54" w:tentative="1">
      <w:start w:val="1"/>
      <w:numFmt w:val="bullet"/>
      <w:lvlText w:val="•"/>
      <w:lvlJc w:val="left"/>
      <w:pPr>
        <w:tabs>
          <w:tab w:val="num" w:pos="5040"/>
        </w:tabs>
        <w:ind w:left="5040" w:hanging="360"/>
      </w:pPr>
      <w:rPr>
        <w:rFonts w:ascii="Times New Roman" w:hAnsi="Times New Roman" w:hint="default"/>
      </w:rPr>
    </w:lvl>
    <w:lvl w:ilvl="7" w:tplc="0CDE1FAA" w:tentative="1">
      <w:start w:val="1"/>
      <w:numFmt w:val="bullet"/>
      <w:lvlText w:val="•"/>
      <w:lvlJc w:val="left"/>
      <w:pPr>
        <w:tabs>
          <w:tab w:val="num" w:pos="5760"/>
        </w:tabs>
        <w:ind w:left="5760" w:hanging="360"/>
      </w:pPr>
      <w:rPr>
        <w:rFonts w:ascii="Times New Roman" w:hAnsi="Times New Roman" w:hint="default"/>
      </w:rPr>
    </w:lvl>
    <w:lvl w:ilvl="8" w:tplc="27CC3CA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E6563EE"/>
    <w:multiLevelType w:val="hybridMultilevel"/>
    <w:tmpl w:val="E95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F49FE"/>
    <w:multiLevelType w:val="multilevel"/>
    <w:tmpl w:val="D936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E4329"/>
    <w:multiLevelType w:val="multilevel"/>
    <w:tmpl w:val="7EE4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944E47"/>
    <w:multiLevelType w:val="multilevel"/>
    <w:tmpl w:val="81AC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E4E7C"/>
    <w:multiLevelType w:val="multilevel"/>
    <w:tmpl w:val="792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F0303E"/>
    <w:multiLevelType w:val="hybridMultilevel"/>
    <w:tmpl w:val="F0581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FD85582"/>
    <w:multiLevelType w:val="hybridMultilevel"/>
    <w:tmpl w:val="35C403A2"/>
    <w:lvl w:ilvl="0" w:tplc="9F249894">
      <w:start w:val="1"/>
      <w:numFmt w:val="decimal"/>
      <w:lvlText w:val="%1."/>
      <w:lvlJc w:val="left"/>
      <w:pPr>
        <w:ind w:left="840" w:hanging="360"/>
      </w:pPr>
      <w:rPr>
        <w:rFonts w:ascii="Arial" w:eastAsia="Arial" w:hAnsi="Arial" w:cs="Arial" w:hint="default"/>
        <w:spacing w:val="-2"/>
        <w:w w:val="99"/>
        <w:sz w:val="24"/>
        <w:szCs w:val="24"/>
      </w:rPr>
    </w:lvl>
    <w:lvl w:ilvl="1" w:tplc="0918519E">
      <w:numFmt w:val="bullet"/>
      <w:lvlText w:val="o"/>
      <w:lvlJc w:val="left"/>
      <w:pPr>
        <w:ind w:left="1560" w:hanging="361"/>
      </w:pPr>
      <w:rPr>
        <w:rFonts w:ascii="Courier New" w:eastAsia="Courier New" w:hAnsi="Courier New" w:cs="Courier New" w:hint="default"/>
        <w:w w:val="99"/>
        <w:sz w:val="24"/>
        <w:szCs w:val="24"/>
      </w:rPr>
    </w:lvl>
    <w:lvl w:ilvl="2" w:tplc="AD1A4D48">
      <w:numFmt w:val="bullet"/>
      <w:lvlText w:val="•"/>
      <w:lvlJc w:val="left"/>
      <w:pPr>
        <w:ind w:left="1560" w:hanging="361"/>
      </w:pPr>
      <w:rPr>
        <w:rFonts w:hint="default"/>
      </w:rPr>
    </w:lvl>
    <w:lvl w:ilvl="3" w:tplc="5AA00DC8">
      <w:numFmt w:val="bullet"/>
      <w:lvlText w:val="•"/>
      <w:lvlJc w:val="left"/>
      <w:pPr>
        <w:ind w:left="2557" w:hanging="361"/>
      </w:pPr>
      <w:rPr>
        <w:rFonts w:hint="default"/>
      </w:rPr>
    </w:lvl>
    <w:lvl w:ilvl="4" w:tplc="F5707CEC">
      <w:numFmt w:val="bullet"/>
      <w:lvlText w:val="•"/>
      <w:lvlJc w:val="left"/>
      <w:pPr>
        <w:ind w:left="3555" w:hanging="361"/>
      </w:pPr>
      <w:rPr>
        <w:rFonts w:hint="default"/>
      </w:rPr>
    </w:lvl>
    <w:lvl w:ilvl="5" w:tplc="E91A1C74">
      <w:numFmt w:val="bullet"/>
      <w:lvlText w:val="•"/>
      <w:lvlJc w:val="left"/>
      <w:pPr>
        <w:ind w:left="4552" w:hanging="361"/>
      </w:pPr>
      <w:rPr>
        <w:rFonts w:hint="default"/>
      </w:rPr>
    </w:lvl>
    <w:lvl w:ilvl="6" w:tplc="D09C8E6E">
      <w:numFmt w:val="bullet"/>
      <w:lvlText w:val="•"/>
      <w:lvlJc w:val="left"/>
      <w:pPr>
        <w:ind w:left="5550" w:hanging="361"/>
      </w:pPr>
      <w:rPr>
        <w:rFonts w:hint="default"/>
      </w:rPr>
    </w:lvl>
    <w:lvl w:ilvl="7" w:tplc="BD760806">
      <w:numFmt w:val="bullet"/>
      <w:lvlText w:val="•"/>
      <w:lvlJc w:val="left"/>
      <w:pPr>
        <w:ind w:left="6547" w:hanging="361"/>
      </w:pPr>
      <w:rPr>
        <w:rFonts w:hint="default"/>
      </w:rPr>
    </w:lvl>
    <w:lvl w:ilvl="8" w:tplc="3134E15A">
      <w:numFmt w:val="bullet"/>
      <w:lvlText w:val="•"/>
      <w:lvlJc w:val="left"/>
      <w:pPr>
        <w:ind w:left="7545" w:hanging="361"/>
      </w:pPr>
      <w:rPr>
        <w:rFonts w:hint="default"/>
      </w:rPr>
    </w:lvl>
  </w:abstractNum>
  <w:num w:numId="1">
    <w:abstractNumId w:val="6"/>
  </w:num>
  <w:num w:numId="2">
    <w:abstractNumId w:val="15"/>
  </w:num>
  <w:num w:numId="3">
    <w:abstractNumId w:val="13"/>
  </w:num>
  <w:num w:numId="4">
    <w:abstractNumId w:val="29"/>
  </w:num>
  <w:num w:numId="5">
    <w:abstractNumId w:val="27"/>
  </w:num>
  <w:num w:numId="6">
    <w:abstractNumId w:val="9"/>
  </w:num>
  <w:num w:numId="7">
    <w:abstractNumId w:val="32"/>
  </w:num>
  <w:num w:numId="8">
    <w:abstractNumId w:val="1"/>
  </w:num>
  <w:num w:numId="9">
    <w:abstractNumId w:val="35"/>
  </w:num>
  <w:num w:numId="10">
    <w:abstractNumId w:val="23"/>
  </w:num>
  <w:num w:numId="11">
    <w:abstractNumId w:val="24"/>
  </w:num>
  <w:num w:numId="12">
    <w:abstractNumId w:val="16"/>
  </w:num>
  <w:num w:numId="13">
    <w:abstractNumId w:val="41"/>
  </w:num>
  <w:num w:numId="14">
    <w:abstractNumId w:val="8"/>
  </w:num>
  <w:num w:numId="15">
    <w:abstractNumId w:val="31"/>
  </w:num>
  <w:num w:numId="16">
    <w:abstractNumId w:val="3"/>
  </w:num>
  <w:num w:numId="17">
    <w:abstractNumId w:val="7"/>
  </w:num>
  <w:num w:numId="18">
    <w:abstractNumId w:val="5"/>
  </w:num>
  <w:num w:numId="19">
    <w:abstractNumId w:val="10"/>
  </w:num>
  <w:num w:numId="20">
    <w:abstractNumId w:val="17"/>
  </w:num>
  <w:num w:numId="21">
    <w:abstractNumId w:val="39"/>
  </w:num>
  <w:num w:numId="22">
    <w:abstractNumId w:val="36"/>
  </w:num>
  <w:num w:numId="23">
    <w:abstractNumId w:val="37"/>
  </w:num>
  <w:num w:numId="24">
    <w:abstractNumId w:val="34"/>
  </w:num>
  <w:num w:numId="25">
    <w:abstractNumId w:val="19"/>
  </w:num>
  <w:num w:numId="26">
    <w:abstractNumId w:val="38"/>
  </w:num>
  <w:num w:numId="27">
    <w:abstractNumId w:val="18"/>
  </w:num>
  <w:num w:numId="28">
    <w:abstractNumId w:val="4"/>
  </w:num>
  <w:num w:numId="29">
    <w:abstractNumId w:val="0"/>
  </w:num>
  <w:num w:numId="30">
    <w:abstractNumId w:val="14"/>
  </w:num>
  <w:num w:numId="31">
    <w:abstractNumId w:val="26"/>
  </w:num>
  <w:num w:numId="32">
    <w:abstractNumId w:val="20"/>
  </w:num>
  <w:num w:numId="33">
    <w:abstractNumId w:val="28"/>
  </w:num>
  <w:num w:numId="34">
    <w:abstractNumId w:val="25"/>
  </w:num>
  <w:num w:numId="35">
    <w:abstractNumId w:val="12"/>
  </w:num>
  <w:num w:numId="36">
    <w:abstractNumId w:val="22"/>
  </w:num>
  <w:num w:numId="37">
    <w:abstractNumId w:val="40"/>
  </w:num>
  <w:num w:numId="38">
    <w:abstractNumId w:val="33"/>
  </w:num>
  <w:num w:numId="39">
    <w:abstractNumId w:val="11"/>
  </w:num>
  <w:num w:numId="40">
    <w:abstractNumId w:val="2"/>
  </w:num>
  <w:num w:numId="41">
    <w:abstractNumId w:val="2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DF"/>
    <w:rsid w:val="0000398B"/>
    <w:rsid w:val="00043B5B"/>
    <w:rsid w:val="00051EDD"/>
    <w:rsid w:val="00063969"/>
    <w:rsid w:val="00072050"/>
    <w:rsid w:val="00077458"/>
    <w:rsid w:val="0009345E"/>
    <w:rsid w:val="000A0AE0"/>
    <w:rsid w:val="000A501E"/>
    <w:rsid w:val="000C14A2"/>
    <w:rsid w:val="000D36B7"/>
    <w:rsid w:val="000D5DB7"/>
    <w:rsid w:val="000E150F"/>
    <w:rsid w:val="000E2125"/>
    <w:rsid w:val="000E6377"/>
    <w:rsid w:val="000E7A88"/>
    <w:rsid w:val="000F4887"/>
    <w:rsid w:val="001177D1"/>
    <w:rsid w:val="001316D6"/>
    <w:rsid w:val="00134E9B"/>
    <w:rsid w:val="001672F4"/>
    <w:rsid w:val="001725C2"/>
    <w:rsid w:val="0018677D"/>
    <w:rsid w:val="001A5396"/>
    <w:rsid w:val="001A7A5E"/>
    <w:rsid w:val="001B7B9C"/>
    <w:rsid w:val="001D0ADC"/>
    <w:rsid w:val="001E0A6F"/>
    <w:rsid w:val="0021274F"/>
    <w:rsid w:val="00213711"/>
    <w:rsid w:val="0021447E"/>
    <w:rsid w:val="0022037B"/>
    <w:rsid w:val="002224FE"/>
    <w:rsid w:val="00223DAF"/>
    <w:rsid w:val="00231872"/>
    <w:rsid w:val="00270664"/>
    <w:rsid w:val="002869C6"/>
    <w:rsid w:val="00295954"/>
    <w:rsid w:val="002B3D2F"/>
    <w:rsid w:val="002C38CD"/>
    <w:rsid w:val="002C6E22"/>
    <w:rsid w:val="002D5441"/>
    <w:rsid w:val="002E5BF6"/>
    <w:rsid w:val="00314F13"/>
    <w:rsid w:val="00324A3D"/>
    <w:rsid w:val="00324A82"/>
    <w:rsid w:val="003303F1"/>
    <w:rsid w:val="00331233"/>
    <w:rsid w:val="00346621"/>
    <w:rsid w:val="00352F37"/>
    <w:rsid w:val="00373A9C"/>
    <w:rsid w:val="00376BC2"/>
    <w:rsid w:val="00384FA1"/>
    <w:rsid w:val="0039078B"/>
    <w:rsid w:val="003937DD"/>
    <w:rsid w:val="003A5E26"/>
    <w:rsid w:val="003D55E6"/>
    <w:rsid w:val="003D72F6"/>
    <w:rsid w:val="003E32C5"/>
    <w:rsid w:val="003F6983"/>
    <w:rsid w:val="004024D8"/>
    <w:rsid w:val="00403CE3"/>
    <w:rsid w:val="004159AA"/>
    <w:rsid w:val="00424B5A"/>
    <w:rsid w:val="0042790F"/>
    <w:rsid w:val="00433B2F"/>
    <w:rsid w:val="0046122C"/>
    <w:rsid w:val="00465BAE"/>
    <w:rsid w:val="00467AB2"/>
    <w:rsid w:val="00470F92"/>
    <w:rsid w:val="00471E0C"/>
    <w:rsid w:val="00494F61"/>
    <w:rsid w:val="004A5256"/>
    <w:rsid w:val="004B38C1"/>
    <w:rsid w:val="004B7903"/>
    <w:rsid w:val="004E52AC"/>
    <w:rsid w:val="004E643D"/>
    <w:rsid w:val="004F1124"/>
    <w:rsid w:val="004F61F2"/>
    <w:rsid w:val="005110C4"/>
    <w:rsid w:val="005332F9"/>
    <w:rsid w:val="0053499C"/>
    <w:rsid w:val="005507CE"/>
    <w:rsid w:val="00550BE3"/>
    <w:rsid w:val="005577FD"/>
    <w:rsid w:val="00557980"/>
    <w:rsid w:val="00581630"/>
    <w:rsid w:val="005B2F3C"/>
    <w:rsid w:val="005C22D8"/>
    <w:rsid w:val="00610C2F"/>
    <w:rsid w:val="00616FCA"/>
    <w:rsid w:val="00650010"/>
    <w:rsid w:val="0066086F"/>
    <w:rsid w:val="006632C6"/>
    <w:rsid w:val="00680EBE"/>
    <w:rsid w:val="00686C9D"/>
    <w:rsid w:val="00691409"/>
    <w:rsid w:val="006A0C27"/>
    <w:rsid w:val="006B7BC9"/>
    <w:rsid w:val="006D3A67"/>
    <w:rsid w:val="006D580A"/>
    <w:rsid w:val="00712E0C"/>
    <w:rsid w:val="00715008"/>
    <w:rsid w:val="007165D3"/>
    <w:rsid w:val="00736EC6"/>
    <w:rsid w:val="0074003B"/>
    <w:rsid w:val="00740143"/>
    <w:rsid w:val="00745301"/>
    <w:rsid w:val="00783CB1"/>
    <w:rsid w:val="007C293C"/>
    <w:rsid w:val="007C32E3"/>
    <w:rsid w:val="007D5266"/>
    <w:rsid w:val="008009FA"/>
    <w:rsid w:val="00812584"/>
    <w:rsid w:val="008135EF"/>
    <w:rsid w:val="008212EA"/>
    <w:rsid w:val="00821384"/>
    <w:rsid w:val="00842459"/>
    <w:rsid w:val="008647E5"/>
    <w:rsid w:val="00865562"/>
    <w:rsid w:val="00875B9D"/>
    <w:rsid w:val="0087761D"/>
    <w:rsid w:val="00890849"/>
    <w:rsid w:val="008D72DB"/>
    <w:rsid w:val="008D7E1B"/>
    <w:rsid w:val="008E22A4"/>
    <w:rsid w:val="008E3FB6"/>
    <w:rsid w:val="008E77AC"/>
    <w:rsid w:val="009063C0"/>
    <w:rsid w:val="0091294F"/>
    <w:rsid w:val="00915B5A"/>
    <w:rsid w:val="00917418"/>
    <w:rsid w:val="00933ABA"/>
    <w:rsid w:val="009575F3"/>
    <w:rsid w:val="00965BDF"/>
    <w:rsid w:val="009B7358"/>
    <w:rsid w:val="009C6DF9"/>
    <w:rsid w:val="009D08B2"/>
    <w:rsid w:val="009E1F52"/>
    <w:rsid w:val="009E3290"/>
    <w:rsid w:val="009F7FF6"/>
    <w:rsid w:val="00A007F5"/>
    <w:rsid w:val="00A1287D"/>
    <w:rsid w:val="00A4694D"/>
    <w:rsid w:val="00A5056A"/>
    <w:rsid w:val="00A57B00"/>
    <w:rsid w:val="00A652A5"/>
    <w:rsid w:val="00A91EDD"/>
    <w:rsid w:val="00A94ECA"/>
    <w:rsid w:val="00AB351A"/>
    <w:rsid w:val="00AD1307"/>
    <w:rsid w:val="00B00F77"/>
    <w:rsid w:val="00B01343"/>
    <w:rsid w:val="00B0306B"/>
    <w:rsid w:val="00B31872"/>
    <w:rsid w:val="00B32F53"/>
    <w:rsid w:val="00B56B6A"/>
    <w:rsid w:val="00B762DA"/>
    <w:rsid w:val="00B7685B"/>
    <w:rsid w:val="00BA01A9"/>
    <w:rsid w:val="00BC70A3"/>
    <w:rsid w:val="00BF173C"/>
    <w:rsid w:val="00C00266"/>
    <w:rsid w:val="00C32F20"/>
    <w:rsid w:val="00C53829"/>
    <w:rsid w:val="00C56190"/>
    <w:rsid w:val="00C77F1D"/>
    <w:rsid w:val="00C9528B"/>
    <w:rsid w:val="00CB56F4"/>
    <w:rsid w:val="00CB5F59"/>
    <w:rsid w:val="00D0168D"/>
    <w:rsid w:val="00D35FA4"/>
    <w:rsid w:val="00D57E45"/>
    <w:rsid w:val="00D714B1"/>
    <w:rsid w:val="00D905DC"/>
    <w:rsid w:val="00D9063E"/>
    <w:rsid w:val="00D9292A"/>
    <w:rsid w:val="00DA12AB"/>
    <w:rsid w:val="00DB53FA"/>
    <w:rsid w:val="00DC331D"/>
    <w:rsid w:val="00DD212E"/>
    <w:rsid w:val="00DE10AD"/>
    <w:rsid w:val="00DE22B4"/>
    <w:rsid w:val="00DE7015"/>
    <w:rsid w:val="00E0240E"/>
    <w:rsid w:val="00E70EDF"/>
    <w:rsid w:val="00E73AC0"/>
    <w:rsid w:val="00E77CC2"/>
    <w:rsid w:val="00E81E07"/>
    <w:rsid w:val="00E83BFD"/>
    <w:rsid w:val="00E85B86"/>
    <w:rsid w:val="00E9049F"/>
    <w:rsid w:val="00EA16CC"/>
    <w:rsid w:val="00EA6D01"/>
    <w:rsid w:val="00EB4A61"/>
    <w:rsid w:val="00EC1A3E"/>
    <w:rsid w:val="00EC3EB2"/>
    <w:rsid w:val="00ED4E55"/>
    <w:rsid w:val="00F23D11"/>
    <w:rsid w:val="00F25369"/>
    <w:rsid w:val="00F27DC3"/>
    <w:rsid w:val="00F35A2E"/>
    <w:rsid w:val="00F3644B"/>
    <w:rsid w:val="00F365EE"/>
    <w:rsid w:val="00F61566"/>
    <w:rsid w:val="00F6320E"/>
    <w:rsid w:val="00F86A07"/>
    <w:rsid w:val="00F93BB7"/>
    <w:rsid w:val="00F95743"/>
    <w:rsid w:val="00FD3889"/>
    <w:rsid w:val="00FF0BCA"/>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C66B5C"/>
  <w15:chartTrackingRefBased/>
  <w15:docId w15:val="{16D6C2CF-1163-45AE-9138-E595D23C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35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35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15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5BD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6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DF"/>
  </w:style>
  <w:style w:type="paragraph" w:styleId="Footer">
    <w:name w:val="footer"/>
    <w:basedOn w:val="Normal"/>
    <w:link w:val="FooterChar"/>
    <w:uiPriority w:val="99"/>
    <w:unhideWhenUsed/>
    <w:rsid w:val="0096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DF"/>
  </w:style>
  <w:style w:type="character" w:styleId="Hyperlink">
    <w:name w:val="Hyperlink"/>
    <w:basedOn w:val="DefaultParagraphFont"/>
    <w:uiPriority w:val="99"/>
    <w:unhideWhenUsed/>
    <w:rsid w:val="008009FA"/>
    <w:rPr>
      <w:color w:val="0000FF" w:themeColor="hyperlink"/>
      <w:u w:val="single"/>
    </w:rPr>
  </w:style>
  <w:style w:type="paragraph" w:styleId="ListParagraph">
    <w:name w:val="List Paragraph"/>
    <w:basedOn w:val="Normal"/>
    <w:uiPriority w:val="34"/>
    <w:qFormat/>
    <w:rsid w:val="00C32F20"/>
    <w:pPr>
      <w:ind w:left="720"/>
      <w:contextualSpacing/>
    </w:pPr>
  </w:style>
  <w:style w:type="character" w:customStyle="1" w:styleId="Heading1Char">
    <w:name w:val="Heading 1 Char"/>
    <w:basedOn w:val="DefaultParagraphFont"/>
    <w:link w:val="Heading1"/>
    <w:uiPriority w:val="9"/>
    <w:rsid w:val="008135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35E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316D6"/>
    <w:rPr>
      <w:sz w:val="16"/>
      <w:szCs w:val="16"/>
    </w:rPr>
  </w:style>
  <w:style w:type="paragraph" w:styleId="CommentText">
    <w:name w:val="annotation text"/>
    <w:basedOn w:val="Normal"/>
    <w:link w:val="CommentTextChar"/>
    <w:uiPriority w:val="99"/>
    <w:semiHidden/>
    <w:unhideWhenUsed/>
    <w:rsid w:val="001316D6"/>
    <w:pPr>
      <w:spacing w:line="240" w:lineRule="auto"/>
    </w:pPr>
    <w:rPr>
      <w:sz w:val="20"/>
      <w:szCs w:val="20"/>
    </w:rPr>
  </w:style>
  <w:style w:type="character" w:customStyle="1" w:styleId="CommentTextChar">
    <w:name w:val="Comment Text Char"/>
    <w:basedOn w:val="DefaultParagraphFont"/>
    <w:link w:val="CommentText"/>
    <w:uiPriority w:val="99"/>
    <w:semiHidden/>
    <w:rsid w:val="001316D6"/>
    <w:rPr>
      <w:sz w:val="20"/>
      <w:szCs w:val="20"/>
    </w:rPr>
  </w:style>
  <w:style w:type="paragraph" w:styleId="CommentSubject">
    <w:name w:val="annotation subject"/>
    <w:basedOn w:val="CommentText"/>
    <w:next w:val="CommentText"/>
    <w:link w:val="CommentSubjectChar"/>
    <w:uiPriority w:val="99"/>
    <w:semiHidden/>
    <w:unhideWhenUsed/>
    <w:rsid w:val="001316D6"/>
    <w:rPr>
      <w:b/>
      <w:bCs/>
    </w:rPr>
  </w:style>
  <w:style w:type="character" w:customStyle="1" w:styleId="CommentSubjectChar">
    <w:name w:val="Comment Subject Char"/>
    <w:basedOn w:val="CommentTextChar"/>
    <w:link w:val="CommentSubject"/>
    <w:uiPriority w:val="99"/>
    <w:semiHidden/>
    <w:rsid w:val="001316D6"/>
    <w:rPr>
      <w:b/>
      <w:bCs/>
      <w:sz w:val="20"/>
      <w:szCs w:val="20"/>
    </w:rPr>
  </w:style>
  <w:style w:type="paragraph" w:styleId="BalloonText">
    <w:name w:val="Balloon Text"/>
    <w:basedOn w:val="Normal"/>
    <w:link w:val="BalloonTextChar"/>
    <w:uiPriority w:val="99"/>
    <w:semiHidden/>
    <w:unhideWhenUsed/>
    <w:rsid w:val="00131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6D6"/>
    <w:rPr>
      <w:rFonts w:ascii="Segoe UI" w:hAnsi="Segoe UI" w:cs="Segoe UI"/>
      <w:sz w:val="18"/>
      <w:szCs w:val="18"/>
    </w:rPr>
  </w:style>
  <w:style w:type="paragraph" w:styleId="BodyText">
    <w:name w:val="Body Text"/>
    <w:basedOn w:val="Normal"/>
    <w:link w:val="BodyTextChar"/>
    <w:uiPriority w:val="1"/>
    <w:qFormat/>
    <w:rsid w:val="00E77CC2"/>
    <w:pPr>
      <w:widowControl w:val="0"/>
      <w:autoSpaceDE w:val="0"/>
      <w:autoSpaceDN w:val="0"/>
      <w:spacing w:after="0" w:line="240" w:lineRule="auto"/>
      <w:ind w:left="1540" w:hanging="360"/>
    </w:pPr>
    <w:rPr>
      <w:rFonts w:ascii="Arial" w:eastAsia="Arial" w:hAnsi="Arial" w:cs="Arial"/>
      <w:sz w:val="24"/>
      <w:szCs w:val="24"/>
    </w:rPr>
  </w:style>
  <w:style w:type="character" w:customStyle="1" w:styleId="BodyTextChar">
    <w:name w:val="Body Text Char"/>
    <w:basedOn w:val="DefaultParagraphFont"/>
    <w:link w:val="BodyText"/>
    <w:uiPriority w:val="1"/>
    <w:rsid w:val="00E77CC2"/>
    <w:rPr>
      <w:rFonts w:ascii="Arial" w:eastAsia="Arial" w:hAnsi="Arial" w:cs="Arial"/>
      <w:sz w:val="24"/>
      <w:szCs w:val="24"/>
    </w:rPr>
  </w:style>
  <w:style w:type="character" w:styleId="Strong">
    <w:name w:val="Strong"/>
    <w:basedOn w:val="DefaultParagraphFont"/>
    <w:uiPriority w:val="22"/>
    <w:qFormat/>
    <w:rsid w:val="00F3644B"/>
    <w:rPr>
      <w:b/>
      <w:bCs/>
    </w:rPr>
  </w:style>
  <w:style w:type="paragraph" w:styleId="NormalWeb">
    <w:name w:val="Normal (Web)"/>
    <w:basedOn w:val="Normal"/>
    <w:uiPriority w:val="99"/>
    <w:unhideWhenUsed/>
    <w:rsid w:val="00376B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E5BF6"/>
    <w:rPr>
      <w:color w:val="800080" w:themeColor="followedHyperlink"/>
      <w:u w:val="single"/>
    </w:rPr>
  </w:style>
  <w:style w:type="table" w:styleId="TableGrid">
    <w:name w:val="Table Grid"/>
    <w:basedOn w:val="TableNormal"/>
    <w:uiPriority w:val="59"/>
    <w:rsid w:val="00A4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50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008"/>
    <w:rPr>
      <w:sz w:val="20"/>
      <w:szCs w:val="20"/>
    </w:rPr>
  </w:style>
  <w:style w:type="character" w:styleId="FootnoteReference">
    <w:name w:val="footnote reference"/>
    <w:basedOn w:val="DefaultParagraphFont"/>
    <w:uiPriority w:val="99"/>
    <w:semiHidden/>
    <w:unhideWhenUsed/>
    <w:rsid w:val="00715008"/>
    <w:rPr>
      <w:vertAlign w:val="superscript"/>
    </w:rPr>
  </w:style>
  <w:style w:type="character" w:customStyle="1" w:styleId="Heading3Char">
    <w:name w:val="Heading 3 Char"/>
    <w:basedOn w:val="DefaultParagraphFont"/>
    <w:link w:val="Heading3"/>
    <w:uiPriority w:val="9"/>
    <w:rsid w:val="007150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6363">
      <w:bodyDiv w:val="1"/>
      <w:marLeft w:val="0"/>
      <w:marRight w:val="0"/>
      <w:marTop w:val="0"/>
      <w:marBottom w:val="0"/>
      <w:divBdr>
        <w:top w:val="none" w:sz="0" w:space="0" w:color="auto"/>
        <w:left w:val="none" w:sz="0" w:space="0" w:color="auto"/>
        <w:bottom w:val="none" w:sz="0" w:space="0" w:color="auto"/>
        <w:right w:val="none" w:sz="0" w:space="0" w:color="auto"/>
      </w:divBdr>
    </w:div>
    <w:div w:id="75787856">
      <w:bodyDiv w:val="1"/>
      <w:marLeft w:val="0"/>
      <w:marRight w:val="0"/>
      <w:marTop w:val="0"/>
      <w:marBottom w:val="0"/>
      <w:divBdr>
        <w:top w:val="none" w:sz="0" w:space="0" w:color="auto"/>
        <w:left w:val="none" w:sz="0" w:space="0" w:color="auto"/>
        <w:bottom w:val="none" w:sz="0" w:space="0" w:color="auto"/>
        <w:right w:val="none" w:sz="0" w:space="0" w:color="auto"/>
      </w:divBdr>
    </w:div>
    <w:div w:id="252130142">
      <w:bodyDiv w:val="1"/>
      <w:marLeft w:val="0"/>
      <w:marRight w:val="0"/>
      <w:marTop w:val="0"/>
      <w:marBottom w:val="0"/>
      <w:divBdr>
        <w:top w:val="none" w:sz="0" w:space="0" w:color="auto"/>
        <w:left w:val="none" w:sz="0" w:space="0" w:color="auto"/>
        <w:bottom w:val="none" w:sz="0" w:space="0" w:color="auto"/>
        <w:right w:val="none" w:sz="0" w:space="0" w:color="auto"/>
      </w:divBdr>
    </w:div>
    <w:div w:id="257374548">
      <w:bodyDiv w:val="1"/>
      <w:marLeft w:val="0"/>
      <w:marRight w:val="0"/>
      <w:marTop w:val="0"/>
      <w:marBottom w:val="0"/>
      <w:divBdr>
        <w:top w:val="none" w:sz="0" w:space="0" w:color="auto"/>
        <w:left w:val="none" w:sz="0" w:space="0" w:color="auto"/>
        <w:bottom w:val="none" w:sz="0" w:space="0" w:color="auto"/>
        <w:right w:val="none" w:sz="0" w:space="0" w:color="auto"/>
      </w:divBdr>
    </w:div>
    <w:div w:id="354381889">
      <w:bodyDiv w:val="1"/>
      <w:marLeft w:val="0"/>
      <w:marRight w:val="0"/>
      <w:marTop w:val="0"/>
      <w:marBottom w:val="0"/>
      <w:divBdr>
        <w:top w:val="none" w:sz="0" w:space="0" w:color="auto"/>
        <w:left w:val="none" w:sz="0" w:space="0" w:color="auto"/>
        <w:bottom w:val="none" w:sz="0" w:space="0" w:color="auto"/>
        <w:right w:val="none" w:sz="0" w:space="0" w:color="auto"/>
      </w:divBdr>
    </w:div>
    <w:div w:id="514736990">
      <w:bodyDiv w:val="1"/>
      <w:marLeft w:val="0"/>
      <w:marRight w:val="0"/>
      <w:marTop w:val="0"/>
      <w:marBottom w:val="0"/>
      <w:divBdr>
        <w:top w:val="none" w:sz="0" w:space="0" w:color="auto"/>
        <w:left w:val="none" w:sz="0" w:space="0" w:color="auto"/>
        <w:bottom w:val="none" w:sz="0" w:space="0" w:color="auto"/>
        <w:right w:val="none" w:sz="0" w:space="0" w:color="auto"/>
      </w:divBdr>
    </w:div>
    <w:div w:id="725182891">
      <w:bodyDiv w:val="1"/>
      <w:marLeft w:val="0"/>
      <w:marRight w:val="0"/>
      <w:marTop w:val="0"/>
      <w:marBottom w:val="0"/>
      <w:divBdr>
        <w:top w:val="none" w:sz="0" w:space="0" w:color="auto"/>
        <w:left w:val="none" w:sz="0" w:space="0" w:color="auto"/>
        <w:bottom w:val="none" w:sz="0" w:space="0" w:color="auto"/>
        <w:right w:val="none" w:sz="0" w:space="0" w:color="auto"/>
      </w:divBdr>
      <w:divsChild>
        <w:div w:id="1556742262">
          <w:marLeft w:val="547"/>
          <w:marRight w:val="0"/>
          <w:marTop w:val="154"/>
          <w:marBottom w:val="0"/>
          <w:divBdr>
            <w:top w:val="none" w:sz="0" w:space="0" w:color="auto"/>
            <w:left w:val="none" w:sz="0" w:space="0" w:color="auto"/>
            <w:bottom w:val="none" w:sz="0" w:space="0" w:color="auto"/>
            <w:right w:val="none" w:sz="0" w:space="0" w:color="auto"/>
          </w:divBdr>
        </w:div>
      </w:divsChild>
    </w:div>
    <w:div w:id="880439224">
      <w:bodyDiv w:val="1"/>
      <w:marLeft w:val="0"/>
      <w:marRight w:val="0"/>
      <w:marTop w:val="0"/>
      <w:marBottom w:val="0"/>
      <w:divBdr>
        <w:top w:val="none" w:sz="0" w:space="0" w:color="auto"/>
        <w:left w:val="none" w:sz="0" w:space="0" w:color="auto"/>
        <w:bottom w:val="none" w:sz="0" w:space="0" w:color="auto"/>
        <w:right w:val="none" w:sz="0" w:space="0" w:color="auto"/>
      </w:divBdr>
      <w:divsChild>
        <w:div w:id="366955362">
          <w:marLeft w:val="547"/>
          <w:marRight w:val="0"/>
          <w:marTop w:val="130"/>
          <w:marBottom w:val="0"/>
          <w:divBdr>
            <w:top w:val="none" w:sz="0" w:space="0" w:color="auto"/>
            <w:left w:val="none" w:sz="0" w:space="0" w:color="auto"/>
            <w:bottom w:val="none" w:sz="0" w:space="0" w:color="auto"/>
            <w:right w:val="none" w:sz="0" w:space="0" w:color="auto"/>
          </w:divBdr>
        </w:div>
        <w:div w:id="1270045463">
          <w:marLeft w:val="547"/>
          <w:marRight w:val="0"/>
          <w:marTop w:val="130"/>
          <w:marBottom w:val="0"/>
          <w:divBdr>
            <w:top w:val="none" w:sz="0" w:space="0" w:color="auto"/>
            <w:left w:val="none" w:sz="0" w:space="0" w:color="auto"/>
            <w:bottom w:val="none" w:sz="0" w:space="0" w:color="auto"/>
            <w:right w:val="none" w:sz="0" w:space="0" w:color="auto"/>
          </w:divBdr>
        </w:div>
        <w:div w:id="1253465983">
          <w:marLeft w:val="547"/>
          <w:marRight w:val="0"/>
          <w:marTop w:val="130"/>
          <w:marBottom w:val="0"/>
          <w:divBdr>
            <w:top w:val="none" w:sz="0" w:space="0" w:color="auto"/>
            <w:left w:val="none" w:sz="0" w:space="0" w:color="auto"/>
            <w:bottom w:val="none" w:sz="0" w:space="0" w:color="auto"/>
            <w:right w:val="none" w:sz="0" w:space="0" w:color="auto"/>
          </w:divBdr>
        </w:div>
      </w:divsChild>
    </w:div>
    <w:div w:id="1016005957">
      <w:bodyDiv w:val="1"/>
      <w:marLeft w:val="0"/>
      <w:marRight w:val="0"/>
      <w:marTop w:val="0"/>
      <w:marBottom w:val="0"/>
      <w:divBdr>
        <w:top w:val="none" w:sz="0" w:space="0" w:color="auto"/>
        <w:left w:val="none" w:sz="0" w:space="0" w:color="auto"/>
        <w:bottom w:val="none" w:sz="0" w:space="0" w:color="auto"/>
        <w:right w:val="none" w:sz="0" w:space="0" w:color="auto"/>
      </w:divBdr>
    </w:div>
    <w:div w:id="1556811540">
      <w:bodyDiv w:val="1"/>
      <w:marLeft w:val="0"/>
      <w:marRight w:val="0"/>
      <w:marTop w:val="0"/>
      <w:marBottom w:val="0"/>
      <w:divBdr>
        <w:top w:val="none" w:sz="0" w:space="0" w:color="auto"/>
        <w:left w:val="none" w:sz="0" w:space="0" w:color="auto"/>
        <w:bottom w:val="none" w:sz="0" w:space="0" w:color="auto"/>
        <w:right w:val="none" w:sz="0" w:space="0" w:color="auto"/>
      </w:divBdr>
    </w:div>
    <w:div w:id="1595821100">
      <w:bodyDiv w:val="1"/>
      <w:marLeft w:val="0"/>
      <w:marRight w:val="0"/>
      <w:marTop w:val="0"/>
      <w:marBottom w:val="0"/>
      <w:divBdr>
        <w:top w:val="none" w:sz="0" w:space="0" w:color="auto"/>
        <w:left w:val="none" w:sz="0" w:space="0" w:color="auto"/>
        <w:bottom w:val="none" w:sz="0" w:space="0" w:color="auto"/>
        <w:right w:val="none" w:sz="0" w:space="0" w:color="auto"/>
      </w:divBdr>
    </w:div>
    <w:div w:id="1597639694">
      <w:bodyDiv w:val="1"/>
      <w:marLeft w:val="0"/>
      <w:marRight w:val="0"/>
      <w:marTop w:val="0"/>
      <w:marBottom w:val="0"/>
      <w:divBdr>
        <w:top w:val="none" w:sz="0" w:space="0" w:color="auto"/>
        <w:left w:val="none" w:sz="0" w:space="0" w:color="auto"/>
        <w:bottom w:val="none" w:sz="0" w:space="0" w:color="auto"/>
        <w:right w:val="none" w:sz="0" w:space="0" w:color="auto"/>
      </w:divBdr>
      <w:divsChild>
        <w:div w:id="1356541172">
          <w:marLeft w:val="547"/>
          <w:marRight w:val="0"/>
          <w:marTop w:val="130"/>
          <w:marBottom w:val="0"/>
          <w:divBdr>
            <w:top w:val="none" w:sz="0" w:space="0" w:color="auto"/>
            <w:left w:val="none" w:sz="0" w:space="0" w:color="auto"/>
            <w:bottom w:val="none" w:sz="0" w:space="0" w:color="auto"/>
            <w:right w:val="none" w:sz="0" w:space="0" w:color="auto"/>
          </w:divBdr>
        </w:div>
        <w:div w:id="981351914">
          <w:marLeft w:val="547"/>
          <w:marRight w:val="0"/>
          <w:marTop w:val="130"/>
          <w:marBottom w:val="0"/>
          <w:divBdr>
            <w:top w:val="none" w:sz="0" w:space="0" w:color="auto"/>
            <w:left w:val="none" w:sz="0" w:space="0" w:color="auto"/>
            <w:bottom w:val="none" w:sz="0" w:space="0" w:color="auto"/>
            <w:right w:val="none" w:sz="0" w:space="0" w:color="auto"/>
          </w:divBdr>
        </w:div>
        <w:div w:id="1473593608">
          <w:marLeft w:val="547"/>
          <w:marRight w:val="0"/>
          <w:marTop w:val="130"/>
          <w:marBottom w:val="0"/>
          <w:divBdr>
            <w:top w:val="none" w:sz="0" w:space="0" w:color="auto"/>
            <w:left w:val="none" w:sz="0" w:space="0" w:color="auto"/>
            <w:bottom w:val="none" w:sz="0" w:space="0" w:color="auto"/>
            <w:right w:val="none" w:sz="0" w:space="0" w:color="auto"/>
          </w:divBdr>
        </w:div>
      </w:divsChild>
    </w:div>
    <w:div w:id="1663193726">
      <w:bodyDiv w:val="1"/>
      <w:marLeft w:val="0"/>
      <w:marRight w:val="0"/>
      <w:marTop w:val="0"/>
      <w:marBottom w:val="0"/>
      <w:divBdr>
        <w:top w:val="none" w:sz="0" w:space="0" w:color="auto"/>
        <w:left w:val="none" w:sz="0" w:space="0" w:color="auto"/>
        <w:bottom w:val="none" w:sz="0" w:space="0" w:color="auto"/>
        <w:right w:val="none" w:sz="0" w:space="0" w:color="auto"/>
      </w:divBdr>
    </w:div>
    <w:div w:id="1694376142">
      <w:bodyDiv w:val="1"/>
      <w:marLeft w:val="0"/>
      <w:marRight w:val="0"/>
      <w:marTop w:val="0"/>
      <w:marBottom w:val="0"/>
      <w:divBdr>
        <w:top w:val="none" w:sz="0" w:space="0" w:color="auto"/>
        <w:left w:val="none" w:sz="0" w:space="0" w:color="auto"/>
        <w:bottom w:val="none" w:sz="0" w:space="0" w:color="auto"/>
        <w:right w:val="none" w:sz="0" w:space="0" w:color="auto"/>
      </w:divBdr>
    </w:div>
    <w:div w:id="1792555514">
      <w:bodyDiv w:val="1"/>
      <w:marLeft w:val="0"/>
      <w:marRight w:val="0"/>
      <w:marTop w:val="0"/>
      <w:marBottom w:val="0"/>
      <w:divBdr>
        <w:top w:val="none" w:sz="0" w:space="0" w:color="auto"/>
        <w:left w:val="none" w:sz="0" w:space="0" w:color="auto"/>
        <w:bottom w:val="none" w:sz="0" w:space="0" w:color="auto"/>
        <w:right w:val="none" w:sz="0" w:space="0" w:color="auto"/>
      </w:divBdr>
    </w:div>
    <w:div w:id="1820995680">
      <w:bodyDiv w:val="1"/>
      <w:marLeft w:val="0"/>
      <w:marRight w:val="0"/>
      <w:marTop w:val="0"/>
      <w:marBottom w:val="0"/>
      <w:divBdr>
        <w:top w:val="none" w:sz="0" w:space="0" w:color="auto"/>
        <w:left w:val="none" w:sz="0" w:space="0" w:color="auto"/>
        <w:bottom w:val="none" w:sz="0" w:space="0" w:color="auto"/>
        <w:right w:val="none" w:sz="0" w:space="0" w:color="auto"/>
      </w:divBdr>
    </w:div>
    <w:div w:id="1878352263">
      <w:bodyDiv w:val="1"/>
      <w:marLeft w:val="0"/>
      <w:marRight w:val="0"/>
      <w:marTop w:val="0"/>
      <w:marBottom w:val="0"/>
      <w:divBdr>
        <w:top w:val="none" w:sz="0" w:space="0" w:color="auto"/>
        <w:left w:val="none" w:sz="0" w:space="0" w:color="auto"/>
        <w:bottom w:val="none" w:sz="0" w:space="0" w:color="auto"/>
        <w:right w:val="none" w:sz="0" w:space="0" w:color="auto"/>
      </w:divBdr>
    </w:div>
    <w:div w:id="21073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 xsi:nil="true"/>
    <Priority xmlns="033ab11c-6041-4f50-b845-c0c38e41b3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DC73-88E9-4C3B-84C6-A753AFF16D2A}">
  <ds:schemaRefs>
    <ds:schemaRef ds:uri="http://schemas.microsoft.com/sharepoint/v3/contenttype/forms"/>
  </ds:schemaRefs>
</ds:datastoreItem>
</file>

<file path=customXml/itemProps2.xml><?xml version="1.0" encoding="utf-8"?>
<ds:datastoreItem xmlns:ds="http://schemas.openxmlformats.org/officeDocument/2006/customXml" ds:itemID="{2A7209E1-39B8-424D-B806-4DC77CE8D569}"/>
</file>

<file path=customXml/itemProps3.xml><?xml version="1.0" encoding="utf-8"?>
<ds:datastoreItem xmlns:ds="http://schemas.openxmlformats.org/officeDocument/2006/customXml" ds:itemID="{DD7944AC-5FEF-41AC-84F1-54D8968B6A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866E4D-7518-45D4-8751-7A1727F7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Comparability under Title I-A</vt:lpstr>
    </vt:vector>
  </TitlesOfParts>
  <Company>Oregon Department of Education</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Comparability under Title I-A</dc:title>
  <dc:subject/>
  <dc:creator>MARTIN Sarah - ODE</dc:creator>
  <cp:keywords/>
  <dc:description/>
  <cp:lastModifiedBy>MARTIN Sarah - ODE</cp:lastModifiedBy>
  <cp:revision>7</cp:revision>
  <dcterms:created xsi:type="dcterms:W3CDTF">2022-07-05T18:18:00Z</dcterms:created>
  <dcterms:modified xsi:type="dcterms:W3CDTF">2022-08-29T20:58:00Z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