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032E" w14:textId="690D59C9" w:rsidR="006778D6" w:rsidRDefault="006778D6" w:rsidP="006778D6">
      <w:pPr>
        <w:pStyle w:val="Heading1"/>
        <w:spacing w:before="120"/>
        <w:jc w:val="center"/>
        <w:rPr>
          <w:rFonts w:eastAsia="Times New Roman"/>
        </w:rPr>
      </w:pPr>
      <w:r w:rsidRPr="00B91E2D">
        <w:rPr>
          <w:rFonts w:eastAsia="Times New Roman" w:cstheme="minorHAnsi"/>
          <w:b/>
          <w:bCs/>
          <w:spacing w:val="2"/>
          <w:sz w:val="40"/>
          <w:szCs w:val="40"/>
        </w:rPr>
        <w:t>T</w:t>
      </w:r>
      <w:r w:rsidRPr="00B91E2D">
        <w:rPr>
          <w:rFonts w:eastAsia="Times New Roman" w:cstheme="minorHAnsi"/>
          <w:b/>
          <w:bCs/>
          <w:spacing w:val="-1"/>
          <w:sz w:val="40"/>
          <w:szCs w:val="40"/>
        </w:rPr>
        <w:t>i</w:t>
      </w:r>
      <w:r w:rsidRPr="00B91E2D">
        <w:rPr>
          <w:rFonts w:eastAsia="Times New Roman" w:cstheme="minorHAnsi"/>
          <w:b/>
          <w:bCs/>
          <w:spacing w:val="-2"/>
          <w:sz w:val="40"/>
          <w:szCs w:val="40"/>
        </w:rPr>
        <w:t>t</w:t>
      </w:r>
      <w:r w:rsidRPr="00B91E2D">
        <w:rPr>
          <w:rFonts w:eastAsia="Times New Roman" w:cstheme="minorHAnsi"/>
          <w:b/>
          <w:bCs/>
          <w:spacing w:val="-1"/>
          <w:sz w:val="40"/>
          <w:szCs w:val="40"/>
        </w:rPr>
        <w:t>l</w:t>
      </w:r>
      <w:r w:rsidRPr="00B91E2D">
        <w:rPr>
          <w:rFonts w:eastAsia="Times New Roman" w:cstheme="minorHAnsi"/>
          <w:b/>
          <w:bCs/>
          <w:sz w:val="40"/>
          <w:szCs w:val="40"/>
        </w:rPr>
        <w:t>e</w:t>
      </w:r>
      <w:r w:rsidRPr="00B91E2D">
        <w:rPr>
          <w:rFonts w:eastAsia="Times New Roman" w:cstheme="minorHAnsi"/>
          <w:b/>
          <w:bCs/>
          <w:spacing w:val="-3"/>
          <w:sz w:val="40"/>
          <w:szCs w:val="40"/>
        </w:rPr>
        <w:t xml:space="preserve"> </w:t>
      </w:r>
      <w:r w:rsidRPr="00B91E2D">
        <w:rPr>
          <w:rFonts w:eastAsia="Times New Roman" w:cstheme="minorHAnsi"/>
          <w:b/>
          <w:bCs/>
          <w:spacing w:val="2"/>
          <w:sz w:val="40"/>
          <w:szCs w:val="40"/>
        </w:rPr>
        <w:t>II, Part A</w:t>
      </w:r>
      <w:r w:rsidRPr="00B91E2D">
        <w:rPr>
          <w:rFonts w:eastAsia="Times New Roman" w:cstheme="minorHAnsi"/>
          <w:b/>
          <w:bCs/>
          <w:spacing w:val="-1"/>
          <w:sz w:val="40"/>
          <w:szCs w:val="40"/>
        </w:rPr>
        <w:t xml:space="preserve"> “</w:t>
      </w:r>
      <w:r w:rsidRPr="00B91E2D">
        <w:rPr>
          <w:rFonts w:eastAsia="Times New Roman" w:cstheme="minorHAnsi"/>
          <w:b/>
          <w:bCs/>
          <w:spacing w:val="1"/>
          <w:sz w:val="40"/>
          <w:szCs w:val="40"/>
        </w:rPr>
        <w:t>C</w:t>
      </w:r>
      <w:r w:rsidRPr="00B91E2D">
        <w:rPr>
          <w:rFonts w:eastAsia="Times New Roman" w:cstheme="minorHAnsi"/>
          <w:b/>
          <w:bCs/>
          <w:spacing w:val="-1"/>
          <w:sz w:val="40"/>
          <w:szCs w:val="40"/>
        </w:rPr>
        <w:t>li</w:t>
      </w:r>
      <w:r w:rsidRPr="00B91E2D">
        <w:rPr>
          <w:rFonts w:eastAsia="Times New Roman" w:cstheme="minorHAnsi"/>
          <w:b/>
          <w:bCs/>
          <w:spacing w:val="-2"/>
          <w:sz w:val="40"/>
          <w:szCs w:val="40"/>
        </w:rPr>
        <w:t>f</w:t>
      </w:r>
      <w:r w:rsidRPr="00B91E2D">
        <w:rPr>
          <w:rFonts w:eastAsia="Times New Roman" w:cstheme="minorHAnsi"/>
          <w:b/>
          <w:bCs/>
          <w:sz w:val="40"/>
          <w:szCs w:val="40"/>
        </w:rPr>
        <w:t>f</w:t>
      </w:r>
      <w:r w:rsidRPr="00B91E2D">
        <w:rPr>
          <w:rFonts w:eastAsia="Times New Roman" w:cstheme="minorHAnsi"/>
          <w:b/>
          <w:bCs/>
          <w:spacing w:val="-5"/>
          <w:sz w:val="40"/>
          <w:szCs w:val="40"/>
        </w:rPr>
        <w:t xml:space="preserve"> </w:t>
      </w:r>
      <w:r w:rsidRPr="00B91E2D">
        <w:rPr>
          <w:rFonts w:eastAsia="Times New Roman" w:cstheme="minorHAnsi"/>
          <w:b/>
          <w:bCs/>
          <w:spacing w:val="1"/>
          <w:sz w:val="40"/>
          <w:szCs w:val="40"/>
        </w:rPr>
        <w:t>N</w:t>
      </w:r>
      <w:r w:rsidRPr="00B91E2D">
        <w:rPr>
          <w:rFonts w:eastAsia="Times New Roman" w:cstheme="minorHAnsi"/>
          <w:b/>
          <w:bCs/>
          <w:sz w:val="40"/>
          <w:szCs w:val="40"/>
        </w:rPr>
        <w:t>o</w:t>
      </w:r>
      <w:r w:rsidRPr="00B91E2D">
        <w:rPr>
          <w:rFonts w:eastAsia="Times New Roman" w:cstheme="minorHAnsi"/>
          <w:b/>
          <w:bCs/>
          <w:spacing w:val="-2"/>
          <w:sz w:val="40"/>
          <w:szCs w:val="40"/>
        </w:rPr>
        <w:t>t</w:t>
      </w:r>
      <w:r w:rsidRPr="00B91E2D">
        <w:rPr>
          <w:rFonts w:eastAsia="Times New Roman" w:cstheme="minorHAnsi"/>
          <w:b/>
          <w:bCs/>
          <w:spacing w:val="1"/>
          <w:sz w:val="40"/>
          <w:szCs w:val="40"/>
        </w:rPr>
        <w:t>e</w:t>
      </w:r>
      <w:r w:rsidRPr="00B91E2D">
        <w:rPr>
          <w:rFonts w:eastAsia="Times New Roman" w:cstheme="minorHAnsi"/>
          <w:b/>
          <w:bCs/>
          <w:sz w:val="40"/>
          <w:szCs w:val="40"/>
        </w:rPr>
        <w:t>s</w:t>
      </w:r>
      <w:r>
        <w:rPr>
          <w:rFonts w:eastAsia="Times New Roman" w:cstheme="minorHAnsi"/>
          <w:b/>
          <w:bCs/>
          <w:sz w:val="40"/>
          <w:szCs w:val="40"/>
        </w:rPr>
        <w:t>”</w:t>
      </w:r>
    </w:p>
    <w:p w14:paraId="52523F09" w14:textId="3FE71713" w:rsidR="00953CD4" w:rsidRPr="00D2185F" w:rsidRDefault="00953CD4" w:rsidP="00F21CFE">
      <w:pPr>
        <w:pStyle w:val="Heading1"/>
        <w:spacing w:before="120"/>
        <w:rPr>
          <w:rFonts w:eastAsia="Times New Roman"/>
        </w:rPr>
      </w:pPr>
      <w:r w:rsidRPr="00D2185F">
        <w:rPr>
          <w:rFonts w:eastAsia="Times New Roman"/>
        </w:rPr>
        <w:t>Purpose</w:t>
      </w:r>
    </w:p>
    <w:p w14:paraId="38492EC3" w14:textId="6E60B819" w:rsidR="008A79B9" w:rsidRPr="006D74FF" w:rsidRDefault="00687FE2" w:rsidP="006D74FF">
      <w:pPr>
        <w:spacing w:after="0"/>
      </w:pPr>
      <w:r w:rsidRPr="005A5FEA">
        <w:t xml:space="preserve">The purpose of Title II, Part A is to </w:t>
      </w:r>
      <w:r w:rsidRPr="00687FE2">
        <w:rPr>
          <w:b/>
        </w:rPr>
        <w:t>improve teacher and leader quality</w:t>
      </w:r>
      <w:r w:rsidRPr="005A5FEA">
        <w:t xml:space="preserve"> and focuses on </w:t>
      </w:r>
      <w:r w:rsidRPr="00687FE2">
        <w:rPr>
          <w:b/>
        </w:rPr>
        <w:t>preparing, training, and recruiting high-quality teachers and principals</w:t>
      </w:r>
      <w:r w:rsidRPr="005A5FEA">
        <w:t>.</w:t>
      </w:r>
      <w:r w:rsidRPr="00687FE2">
        <w:t xml:space="preserve"> </w:t>
      </w:r>
      <w:r>
        <w:t>The Title II</w:t>
      </w:r>
      <w:r w:rsidR="007D4C7F">
        <w:t>-</w:t>
      </w:r>
      <w:r>
        <w:t xml:space="preserve">A program is designed, among other things, </w:t>
      </w:r>
      <w:r w:rsidRPr="00687FE2">
        <w:t xml:space="preserve">to </w:t>
      </w:r>
      <w:r w:rsidRPr="009C27D5">
        <w:rPr>
          <w:bCs/>
        </w:rPr>
        <w:t>provide students fr</w:t>
      </w:r>
      <w:r w:rsidR="009C27D5" w:rsidRPr="009C27D5">
        <w:rPr>
          <w:bCs/>
        </w:rPr>
        <w:t xml:space="preserve">om families experiencing poverty and historically underserved </w:t>
      </w:r>
      <w:r w:rsidRPr="009C27D5">
        <w:rPr>
          <w:bCs/>
        </w:rPr>
        <w:t xml:space="preserve">students with greater access to effective educators. </w:t>
      </w:r>
    </w:p>
    <w:p w14:paraId="6A93B74B" w14:textId="77777777" w:rsidR="006860D6" w:rsidRPr="00D2185F" w:rsidRDefault="00687FE2" w:rsidP="006D74FF">
      <w:pPr>
        <w:pStyle w:val="Heading1"/>
        <w:rPr>
          <w:rFonts w:eastAsia="Times New Roman"/>
        </w:rPr>
      </w:pPr>
      <w:r w:rsidRPr="00D2185F">
        <w:rPr>
          <w:rFonts w:eastAsia="Times New Roman"/>
        </w:rPr>
        <w:t>Use of Title II, Part A Funds</w:t>
      </w:r>
    </w:p>
    <w:p w14:paraId="3FEBAAE3" w14:textId="7B754119" w:rsidR="00687FE2" w:rsidRDefault="00F21CFE" w:rsidP="00953CD4">
      <w:r>
        <w:t>Districts</w:t>
      </w:r>
      <w:r w:rsidR="00687FE2">
        <w:t xml:space="preserve"> can use Title II, Part A funds for a wide range of strategies and activities to support the quality and effectiveness of teachers, principals and other school staff.  </w:t>
      </w:r>
      <w:r w:rsidR="00B65592" w:rsidRPr="00B65592">
        <w:t>Ideally, the district’s application for Title II</w:t>
      </w:r>
      <w:r w:rsidR="00EB1054">
        <w:t>-</w:t>
      </w:r>
      <w:r w:rsidR="00B65592" w:rsidRPr="00B65592">
        <w:t>A</w:t>
      </w:r>
      <w:r w:rsidR="00B65592">
        <w:t xml:space="preserve"> funds</w:t>
      </w:r>
      <w:r w:rsidR="00B65592" w:rsidRPr="00B65592">
        <w:t xml:space="preserve"> reflects the larger district plan for improvement. </w:t>
      </w:r>
      <w:r w:rsidR="000E2B8D">
        <w:t xml:space="preserve">Strategies </w:t>
      </w:r>
      <w:r w:rsidR="00687FE2">
        <w:t xml:space="preserve">supported </w:t>
      </w:r>
      <w:r w:rsidR="00E06521">
        <w:t>by</w:t>
      </w:r>
      <w:r w:rsidR="00687FE2">
        <w:t xml:space="preserve"> these funds must: </w:t>
      </w:r>
    </w:p>
    <w:p w14:paraId="4F079CDB" w14:textId="77777777" w:rsidR="00687FE2" w:rsidRDefault="00687FE2" w:rsidP="00953CD4">
      <w:pPr>
        <w:pStyle w:val="ListParagraph"/>
        <w:widowControl/>
        <w:numPr>
          <w:ilvl w:val="0"/>
          <w:numId w:val="9"/>
        </w:numPr>
        <w:spacing w:before="100"/>
      </w:pPr>
      <w:r>
        <w:t>Be consistent with the purpose of Title II</w:t>
      </w:r>
      <w:r w:rsidR="00EB1054">
        <w:t>-</w:t>
      </w:r>
      <w:r>
        <w:t xml:space="preserve">A (see above), and </w:t>
      </w:r>
    </w:p>
    <w:p w14:paraId="721967F4" w14:textId="77777777" w:rsidR="00953CD4" w:rsidRDefault="00687FE2" w:rsidP="00953CD4">
      <w:pPr>
        <w:pStyle w:val="ListParagraph"/>
        <w:widowControl/>
        <w:numPr>
          <w:ilvl w:val="0"/>
          <w:numId w:val="9"/>
        </w:numPr>
        <w:spacing w:before="100"/>
      </w:pPr>
      <w:r>
        <w:t xml:space="preserve">Address the learning needs of all students, including children with disabilities, English learners, and gifted and talented students.  </w:t>
      </w:r>
    </w:p>
    <w:p w14:paraId="53B5F925" w14:textId="2B80DB06" w:rsidR="00953CD4" w:rsidRPr="00B65592" w:rsidRDefault="00CF5C1C" w:rsidP="00B65592">
      <w:r>
        <w:t>The</w:t>
      </w:r>
      <w:r w:rsidR="00687FE2">
        <w:t xml:space="preserve"> federal non-regulatory guidance for Title II</w:t>
      </w:r>
      <w:r w:rsidR="00EB1054">
        <w:t>-</w:t>
      </w:r>
      <w:r w:rsidR="00953CD4">
        <w:t>A (</w:t>
      </w:r>
      <w:hyperlink r:id="rId11" w:history="1">
        <w:r w:rsidR="0079485E" w:rsidRPr="006778D6">
          <w:rPr>
            <w:rStyle w:val="Hyperlink"/>
            <w:i/>
          </w:rPr>
          <w:t>Supporting</w:t>
        </w:r>
        <w:r w:rsidR="0079485E" w:rsidRPr="006778D6">
          <w:rPr>
            <w:rStyle w:val="Hyperlink"/>
          </w:rPr>
          <w:t xml:space="preserve"> </w:t>
        </w:r>
        <w:r w:rsidR="0079485E" w:rsidRPr="006778D6">
          <w:rPr>
            <w:rStyle w:val="Hyperlink"/>
            <w:i/>
            <w:iCs/>
          </w:rPr>
          <w:t>Effective Instruction</w:t>
        </w:r>
        <w:r w:rsidR="00EE0DF4" w:rsidRPr="006778D6">
          <w:rPr>
            <w:rStyle w:val="Hyperlink"/>
            <w:i/>
            <w:iCs/>
          </w:rPr>
          <w:t xml:space="preserve"> </w:t>
        </w:r>
        <w:r w:rsidR="0079485E" w:rsidRPr="006778D6">
          <w:rPr>
            <w:rStyle w:val="Hyperlink"/>
            <w:i/>
            <w:iCs/>
          </w:rPr>
          <w:t>State Grants</w:t>
        </w:r>
      </w:hyperlink>
      <w:r w:rsidR="00953CD4">
        <w:t xml:space="preserve">) </w:t>
      </w:r>
      <w:r>
        <w:t>provides</w:t>
      </w:r>
      <w:r w:rsidR="00953CD4">
        <w:t xml:space="preserve"> more detail on allowable strategies. </w:t>
      </w:r>
      <w:r w:rsidR="00687FE2">
        <w:t>Divided into three sections – Support for Educators, Access to Equitable Educators and Strengthening Title II</w:t>
      </w:r>
      <w:r w:rsidR="007D4C7F">
        <w:t>-</w:t>
      </w:r>
      <w:r w:rsidR="00687FE2">
        <w:t xml:space="preserve">A Investments – the guidance is designed to help districts think about </w:t>
      </w:r>
      <w:r w:rsidR="00687FE2" w:rsidRPr="00953CD4">
        <w:rPr>
          <w:b/>
        </w:rPr>
        <w:t>how to use Title II</w:t>
      </w:r>
      <w:r w:rsidR="007D4C7F">
        <w:rPr>
          <w:b/>
        </w:rPr>
        <w:t>-</w:t>
      </w:r>
      <w:r w:rsidR="00687FE2" w:rsidRPr="00953CD4">
        <w:rPr>
          <w:b/>
        </w:rPr>
        <w:t xml:space="preserve">A funds more strategically and for greater impact. </w:t>
      </w:r>
    </w:p>
    <w:p w14:paraId="0723E3E0" w14:textId="77777777" w:rsidR="00C07174" w:rsidRPr="006D74FF" w:rsidRDefault="00C07174" w:rsidP="00C07174">
      <w:pPr>
        <w:spacing w:after="0" w:line="240" w:lineRule="auto"/>
        <w:ind w:right="-230"/>
        <w:rPr>
          <w:rFonts w:eastAsia="Times New Roman" w:cstheme="minorHAnsi"/>
          <w:bCs/>
          <w:spacing w:val="-1"/>
        </w:rPr>
      </w:pPr>
      <w:r w:rsidRPr="006D74FF">
        <w:rPr>
          <w:rFonts w:eastAsia="Times New Roman" w:cstheme="minorHAnsi"/>
          <w:bCs/>
          <w:spacing w:val="-1"/>
        </w:rPr>
        <w:t>Title</w:t>
      </w:r>
      <w:r w:rsidR="006C3BD2" w:rsidRPr="006D74FF">
        <w:rPr>
          <w:rFonts w:eastAsia="Times New Roman" w:cstheme="minorHAnsi"/>
          <w:bCs/>
          <w:spacing w:val="-1"/>
        </w:rPr>
        <w:t xml:space="preserve"> II-A funds cannot be used to</w:t>
      </w:r>
      <w:r w:rsidRPr="006D74FF">
        <w:rPr>
          <w:rFonts w:eastAsia="Times New Roman" w:cstheme="minorHAnsi"/>
          <w:bCs/>
          <w:spacing w:val="-1"/>
        </w:rPr>
        <w:t>:</w:t>
      </w:r>
    </w:p>
    <w:p w14:paraId="06E9BD47" w14:textId="77777777" w:rsidR="00C07174" w:rsidRPr="00901A2D" w:rsidRDefault="006C3BD2" w:rsidP="002A6116">
      <w:pPr>
        <w:pStyle w:val="ListParagraph"/>
        <w:numPr>
          <w:ilvl w:val="0"/>
          <w:numId w:val="3"/>
        </w:numPr>
        <w:tabs>
          <w:tab w:val="left" w:pos="820"/>
        </w:tabs>
        <w:spacing w:after="0"/>
        <w:ind w:right="-230"/>
        <w:rPr>
          <w:rFonts w:eastAsia="Times New Roman" w:cstheme="minorHAnsi"/>
          <w:bCs/>
          <w:spacing w:val="-2"/>
        </w:rPr>
      </w:pPr>
      <w:r>
        <w:rPr>
          <w:rFonts w:eastAsia="Times New Roman" w:cstheme="minorHAnsi"/>
          <w:bCs/>
          <w:spacing w:val="-2"/>
        </w:rPr>
        <w:t>Create “p</w:t>
      </w:r>
      <w:r w:rsidR="00C07174" w:rsidRPr="00901A2D">
        <w:rPr>
          <w:rFonts w:eastAsia="Times New Roman" w:cstheme="minorHAnsi"/>
          <w:bCs/>
          <w:spacing w:val="-2"/>
        </w:rPr>
        <w:t>laceholders” for activities not yet developed</w:t>
      </w:r>
    </w:p>
    <w:p w14:paraId="500F0969" w14:textId="77777777" w:rsidR="00C07174" w:rsidRPr="00901A2D" w:rsidRDefault="006C3BD2" w:rsidP="002A6116">
      <w:pPr>
        <w:pStyle w:val="ListParagraph"/>
        <w:numPr>
          <w:ilvl w:val="0"/>
          <w:numId w:val="3"/>
        </w:numPr>
        <w:tabs>
          <w:tab w:val="left" w:pos="820"/>
        </w:tabs>
        <w:spacing w:after="0"/>
        <w:ind w:right="-230"/>
        <w:rPr>
          <w:rFonts w:eastAsia="Times New Roman" w:cstheme="minorHAnsi"/>
          <w:bCs/>
          <w:spacing w:val="-2"/>
        </w:rPr>
      </w:pPr>
      <w:r>
        <w:rPr>
          <w:rFonts w:eastAsia="Times New Roman" w:cstheme="minorHAnsi"/>
          <w:bCs/>
          <w:spacing w:val="-2"/>
        </w:rPr>
        <w:t>Purchase</w:t>
      </w:r>
      <w:r w:rsidR="00C07174" w:rsidRPr="00901A2D">
        <w:rPr>
          <w:rFonts w:eastAsia="Times New Roman" w:cstheme="minorHAnsi"/>
          <w:bCs/>
          <w:spacing w:val="-2"/>
        </w:rPr>
        <w:t xml:space="preserve"> materials, texts, or supplies for student use</w:t>
      </w:r>
    </w:p>
    <w:p w14:paraId="6BE8D8F5" w14:textId="77777777" w:rsidR="0054520E" w:rsidRPr="006D74FF" w:rsidRDefault="006C3BD2" w:rsidP="002A6116">
      <w:pPr>
        <w:pStyle w:val="ListParagraph"/>
        <w:numPr>
          <w:ilvl w:val="0"/>
          <w:numId w:val="3"/>
        </w:numPr>
        <w:tabs>
          <w:tab w:val="left" w:pos="820"/>
        </w:tabs>
        <w:spacing w:after="0"/>
        <w:ind w:right="-230"/>
        <w:rPr>
          <w:rFonts w:eastAsia="Times New Roman" w:cstheme="minorHAnsi"/>
          <w:bCs/>
          <w:spacing w:val="-2"/>
        </w:rPr>
      </w:pPr>
      <w:r>
        <w:rPr>
          <w:rFonts w:eastAsia="Times New Roman" w:cstheme="minorHAnsi"/>
          <w:bCs/>
          <w:spacing w:val="-2"/>
        </w:rPr>
        <w:t>Purchase</w:t>
      </w:r>
      <w:r w:rsidR="00C07174" w:rsidRPr="00901A2D">
        <w:rPr>
          <w:rFonts w:eastAsia="Times New Roman" w:cstheme="minorHAnsi"/>
          <w:bCs/>
          <w:spacing w:val="-2"/>
        </w:rPr>
        <w:t xml:space="preserve"> teacher texts, material</w:t>
      </w:r>
      <w:r w:rsidR="002A6116">
        <w:rPr>
          <w:rFonts w:eastAsia="Times New Roman" w:cstheme="minorHAnsi"/>
          <w:bCs/>
          <w:spacing w:val="-2"/>
        </w:rPr>
        <w:t>s, or supplies unless part of professional learning</w:t>
      </w:r>
    </w:p>
    <w:p w14:paraId="5ED82AB5" w14:textId="77777777" w:rsidR="00C07174" w:rsidRPr="00D2185F" w:rsidRDefault="00B40E0A" w:rsidP="006D74FF">
      <w:pPr>
        <w:pStyle w:val="Heading1"/>
        <w:rPr>
          <w:rFonts w:eastAsia="Times New Roman"/>
        </w:rPr>
      </w:pPr>
      <w:r w:rsidRPr="00D2185F">
        <w:rPr>
          <w:rFonts w:eastAsia="Times New Roman"/>
        </w:rPr>
        <w:t>Budget Narrative Application</w:t>
      </w:r>
    </w:p>
    <w:p w14:paraId="25EB5DC3" w14:textId="77777777" w:rsidR="00B41A0A" w:rsidRDefault="006A1DFE" w:rsidP="00FC4F30">
      <w:pPr>
        <w:spacing w:after="0"/>
        <w:ind w:right="-230"/>
        <w:rPr>
          <w:rStyle w:val="1"/>
          <w:rFonts w:cstheme="minorHAnsi"/>
          <w:color w:val="000000"/>
        </w:rPr>
      </w:pPr>
      <w:r>
        <w:rPr>
          <w:rFonts w:eastAsia="Times New Roman" w:cstheme="minorHAnsi"/>
          <w:spacing w:val="1"/>
        </w:rPr>
        <w:t>When completing the budget narrative</w:t>
      </w:r>
      <w:r w:rsidR="00C07174">
        <w:rPr>
          <w:rFonts w:eastAsia="Times New Roman" w:cstheme="minorHAnsi"/>
          <w:spacing w:val="1"/>
        </w:rPr>
        <w:t xml:space="preserve"> application</w:t>
      </w:r>
      <w:r>
        <w:rPr>
          <w:rFonts w:eastAsia="Times New Roman" w:cstheme="minorHAnsi"/>
          <w:spacing w:val="1"/>
        </w:rPr>
        <w:t>, d</w:t>
      </w:r>
      <w:r w:rsidR="00953CD4" w:rsidRPr="006860D6">
        <w:rPr>
          <w:rFonts w:eastAsia="Times New Roman" w:cstheme="minorHAnsi"/>
          <w:spacing w:val="1"/>
        </w:rPr>
        <w:t>escriptions</w:t>
      </w:r>
      <w:r w:rsidR="00953CD4">
        <w:rPr>
          <w:rFonts w:eastAsia="Times New Roman" w:cstheme="minorHAnsi"/>
          <w:spacing w:val="1"/>
        </w:rPr>
        <w:t xml:space="preserve"> </w:t>
      </w:r>
      <w:r w:rsidR="00C07174">
        <w:rPr>
          <w:rFonts w:eastAsia="Times New Roman" w:cstheme="minorHAnsi"/>
          <w:spacing w:val="1"/>
        </w:rPr>
        <w:t>of proposed II</w:t>
      </w:r>
      <w:r w:rsidR="007D4C7F">
        <w:rPr>
          <w:rFonts w:eastAsia="Times New Roman" w:cstheme="minorHAnsi"/>
          <w:spacing w:val="1"/>
        </w:rPr>
        <w:t>-</w:t>
      </w:r>
      <w:r w:rsidR="00953CD4">
        <w:rPr>
          <w:rFonts w:eastAsia="Times New Roman" w:cstheme="minorHAnsi"/>
          <w:spacing w:val="1"/>
        </w:rPr>
        <w:t xml:space="preserve">A </w:t>
      </w:r>
      <w:r w:rsidR="00335305">
        <w:rPr>
          <w:rFonts w:eastAsia="Times New Roman" w:cstheme="minorHAnsi"/>
          <w:spacing w:val="1"/>
        </w:rPr>
        <w:t>strategies</w:t>
      </w:r>
      <w:r w:rsidR="00953CD4">
        <w:rPr>
          <w:rFonts w:eastAsia="Times New Roman" w:cstheme="minorHAnsi"/>
          <w:spacing w:val="1"/>
        </w:rPr>
        <w:t xml:space="preserve"> </w:t>
      </w:r>
      <w:r w:rsidR="00953CD4" w:rsidRPr="00084229">
        <w:rPr>
          <w:rFonts w:eastAsia="Times New Roman" w:cstheme="minorHAnsi"/>
          <w:spacing w:val="1"/>
        </w:rPr>
        <w:t xml:space="preserve">should </w:t>
      </w:r>
      <w:proofErr w:type="gramStart"/>
      <w:r w:rsidR="00953CD4" w:rsidRPr="00084229">
        <w:rPr>
          <w:rFonts w:eastAsia="Times New Roman" w:cstheme="minorHAnsi"/>
          <w:spacing w:val="1"/>
        </w:rPr>
        <w:t>include</w:t>
      </w:r>
      <w:r w:rsidR="00D4607A">
        <w:rPr>
          <w:rFonts w:eastAsia="Times New Roman" w:cstheme="minorHAnsi"/>
          <w:spacing w:val="1"/>
        </w:rPr>
        <w:t xml:space="preserve"> WHY,</w:t>
      </w:r>
      <w:proofErr w:type="gramEnd"/>
      <w:r w:rsidR="00D4607A">
        <w:rPr>
          <w:rFonts w:eastAsia="Times New Roman" w:cstheme="minorHAnsi"/>
          <w:spacing w:val="1"/>
        </w:rPr>
        <w:t xml:space="preserve"> WHAT, WHO and HOW. </w:t>
      </w:r>
      <w:r w:rsidR="00D4607A" w:rsidRPr="00C07174">
        <w:rPr>
          <w:rStyle w:val="1"/>
          <w:rFonts w:cstheme="minorHAnsi"/>
          <w:color w:val="000000"/>
        </w:rPr>
        <w:t xml:space="preserve">For more detailed directions on this process please see the </w:t>
      </w:r>
      <w:hyperlink r:id="rId12" w:history="1">
        <w:r w:rsidR="00D4607A" w:rsidRPr="0054520E">
          <w:rPr>
            <w:rStyle w:val="Hyperlink"/>
            <w:rFonts w:cstheme="minorHAnsi"/>
          </w:rPr>
          <w:t>Title IIA Budget Narrative Guidance</w:t>
        </w:r>
      </w:hyperlink>
      <w:r w:rsidR="00D4607A">
        <w:rPr>
          <w:rStyle w:val="Hyperlink"/>
          <w:rFonts w:cstheme="minorHAnsi"/>
        </w:rPr>
        <w:t>.</w:t>
      </w:r>
      <w:r w:rsidR="00D4607A">
        <w:rPr>
          <w:rStyle w:val="1"/>
          <w:rFonts w:cstheme="minorHAnsi"/>
          <w:color w:val="000000"/>
        </w:rPr>
        <w:t xml:space="preserve"> </w:t>
      </w:r>
    </w:p>
    <w:p w14:paraId="5178CCEB" w14:textId="77777777" w:rsidR="00FC4F30" w:rsidRPr="00FC4F30" w:rsidRDefault="00FC4F30" w:rsidP="00FC4F30">
      <w:pPr>
        <w:spacing w:after="0"/>
        <w:ind w:right="-230"/>
        <w:rPr>
          <w:rFonts w:cstheme="minorHAnsi"/>
          <w:color w:val="000000"/>
          <w:sz w:val="8"/>
          <w:szCs w:val="8"/>
        </w:rPr>
      </w:pPr>
    </w:p>
    <w:p w14:paraId="225A2D5D" w14:textId="1FC309D6" w:rsidR="009D6B08" w:rsidRPr="0059433B" w:rsidRDefault="009D6B08" w:rsidP="00FC4F30">
      <w:pPr>
        <w:pStyle w:val="Heading2"/>
        <w:rPr>
          <w:i/>
          <w:iCs/>
          <w:color w:val="4F81BD" w:themeColor="accent1"/>
          <w:sz w:val="24"/>
          <w:szCs w:val="24"/>
        </w:rPr>
      </w:pPr>
      <w:r w:rsidRPr="00C64EC5">
        <w:rPr>
          <w:rFonts w:asciiTheme="minorHAnsi" w:hAnsiTheme="minorHAnsi" w:cstheme="minorHAnsi"/>
          <w:b/>
          <w:bCs/>
          <w:color w:val="auto"/>
          <w:sz w:val="22"/>
          <w:szCs w:val="22"/>
        </w:rPr>
        <w:t>WHY</w:t>
      </w:r>
      <w:r w:rsidR="00F0058E">
        <w:rPr>
          <w:rFonts w:asciiTheme="minorHAnsi" w:hAnsiTheme="minorHAnsi" w:cstheme="minorHAnsi"/>
          <w:b/>
          <w:bCs/>
          <w:color w:val="auto"/>
          <w:sz w:val="22"/>
          <w:szCs w:val="22"/>
        </w:rPr>
        <w:t>:</w:t>
      </w:r>
      <w:r w:rsidR="0059433B" w:rsidRPr="00C64EC5">
        <w:rPr>
          <w:rStyle w:val="IntenseEmphasis"/>
          <w:color w:val="auto"/>
          <w:sz w:val="24"/>
          <w:szCs w:val="24"/>
        </w:rPr>
        <w:t xml:space="preserve"> </w:t>
      </w:r>
      <w:r w:rsidRPr="00D4607A">
        <w:rPr>
          <w:rStyle w:val="1"/>
          <w:rFonts w:asciiTheme="minorHAnsi" w:hAnsiTheme="minorHAnsi" w:cstheme="minorHAnsi"/>
          <w:b/>
          <w:color w:val="000000"/>
          <w:sz w:val="22"/>
          <w:szCs w:val="22"/>
        </w:rPr>
        <w:t>The specific prioritized need</w:t>
      </w:r>
      <w:r w:rsidRPr="00D4607A">
        <w:rPr>
          <w:rStyle w:val="1"/>
          <w:rFonts w:asciiTheme="minorHAnsi" w:hAnsiTheme="minorHAnsi" w:cstheme="minorHAnsi"/>
          <w:color w:val="000000"/>
          <w:sz w:val="22"/>
          <w:szCs w:val="22"/>
        </w:rPr>
        <w:t xml:space="preserve"> to which the strategy relates.</w:t>
      </w:r>
      <w:r>
        <w:rPr>
          <w:rStyle w:val="1"/>
          <w:color w:val="000000"/>
        </w:rPr>
        <w:t xml:space="preserve"> </w:t>
      </w:r>
    </w:p>
    <w:p w14:paraId="788B0207" w14:textId="185D275E" w:rsidR="006860D6" w:rsidRPr="00C64EC5" w:rsidRDefault="0077690D" w:rsidP="00C64EC5">
      <w:pPr>
        <w:spacing w:after="0"/>
        <w:ind w:right="-230"/>
        <w:rPr>
          <w:rFonts w:cstheme="minorHAnsi"/>
          <w:b/>
          <w:bCs/>
          <w:color w:val="000000"/>
        </w:rPr>
      </w:pPr>
      <w:r w:rsidRPr="00C64EC5">
        <w:rPr>
          <w:rFonts w:cstheme="minorHAnsi"/>
          <w:b/>
          <w:bCs/>
          <w:color w:val="000000"/>
        </w:rPr>
        <w:t>WHAT</w:t>
      </w:r>
      <w:r w:rsidR="00F0058E">
        <w:rPr>
          <w:rFonts w:cstheme="minorHAnsi"/>
          <w:b/>
          <w:bCs/>
          <w:color w:val="000000"/>
        </w:rPr>
        <w:t>:</w:t>
      </w:r>
    </w:p>
    <w:p w14:paraId="07D9BE0F" w14:textId="795F6F93" w:rsidR="002A48E6" w:rsidRPr="00993002" w:rsidRDefault="002A48E6" w:rsidP="00993002">
      <w:pPr>
        <w:pStyle w:val="ListParagraph"/>
        <w:numPr>
          <w:ilvl w:val="0"/>
          <w:numId w:val="18"/>
        </w:numPr>
        <w:spacing w:after="0"/>
        <w:ind w:right="-230"/>
        <w:rPr>
          <w:rStyle w:val="1"/>
          <w:b/>
          <w:color w:val="000000"/>
        </w:rPr>
      </w:pPr>
      <w:r w:rsidRPr="00993002">
        <w:rPr>
          <w:rStyle w:val="1"/>
          <w:b/>
          <w:color w:val="000000"/>
        </w:rPr>
        <w:t xml:space="preserve">The knowledge and skills participants will obtain. </w:t>
      </w:r>
      <w:r w:rsidRPr="00993002">
        <w:rPr>
          <w:rStyle w:val="1"/>
          <w:color w:val="000000"/>
        </w:rPr>
        <w:t xml:space="preserve">Instead </w:t>
      </w:r>
      <w:r w:rsidR="000865A6" w:rsidRPr="00993002">
        <w:rPr>
          <w:rStyle w:val="1"/>
          <w:color w:val="000000"/>
        </w:rPr>
        <w:t>of a general description like “I</w:t>
      </w:r>
      <w:r w:rsidRPr="00993002">
        <w:rPr>
          <w:rStyle w:val="1"/>
          <w:color w:val="000000"/>
        </w:rPr>
        <w:t xml:space="preserve">mprove reading instruction”, be specific as in </w:t>
      </w:r>
      <w:r w:rsidR="000865A6" w:rsidRPr="00993002">
        <w:rPr>
          <w:rStyle w:val="1"/>
          <w:color w:val="000000"/>
        </w:rPr>
        <w:t>“D</w:t>
      </w:r>
      <w:r w:rsidRPr="00993002">
        <w:rPr>
          <w:rStyle w:val="1"/>
          <w:color w:val="000000"/>
        </w:rPr>
        <w:t>evelop strategies for incorporating academic vocabulary”</w:t>
      </w:r>
      <w:r w:rsidR="000865A6" w:rsidRPr="00993002">
        <w:rPr>
          <w:rStyle w:val="1"/>
          <w:color w:val="000000"/>
        </w:rPr>
        <w:t>.</w:t>
      </w:r>
    </w:p>
    <w:p w14:paraId="7BB85D3A" w14:textId="3F93BEF3" w:rsidR="006778D6" w:rsidRPr="00993002" w:rsidRDefault="00335305" w:rsidP="00993002">
      <w:pPr>
        <w:pStyle w:val="ListParagraph"/>
        <w:numPr>
          <w:ilvl w:val="0"/>
          <w:numId w:val="18"/>
        </w:numPr>
        <w:spacing w:after="0"/>
        <w:ind w:right="-230"/>
        <w:rPr>
          <w:rFonts w:cs="Arial"/>
          <w:bCs/>
          <w:color w:val="212121"/>
        </w:rPr>
      </w:pPr>
      <w:r w:rsidRPr="00993002">
        <w:rPr>
          <w:rStyle w:val="1"/>
          <w:b/>
          <w:color w:val="000000"/>
        </w:rPr>
        <w:t>How the strategy meets the USED definition of</w:t>
      </w:r>
      <w:r w:rsidRPr="00993002">
        <w:rPr>
          <w:rFonts w:cstheme="minorHAnsi"/>
        </w:rPr>
        <w:t xml:space="preserve"> </w:t>
      </w:r>
      <w:r w:rsidRPr="00993002">
        <w:rPr>
          <w:rFonts w:cstheme="minorHAnsi"/>
          <w:b/>
        </w:rPr>
        <w:t>professional learning</w:t>
      </w:r>
      <w:r w:rsidRPr="00993002">
        <w:rPr>
          <w:rFonts w:cstheme="minorHAnsi"/>
        </w:rPr>
        <w:t xml:space="preserve"> as “…high</w:t>
      </w:r>
      <w:r w:rsidR="002A6116" w:rsidRPr="00993002">
        <w:rPr>
          <w:rFonts w:cstheme="minorHAnsi"/>
        </w:rPr>
        <w:t xml:space="preserve"> quality, sustained, intensive”</w:t>
      </w:r>
      <w:r w:rsidR="000865A6" w:rsidRPr="00993002">
        <w:rPr>
          <w:rFonts w:cstheme="minorHAnsi"/>
        </w:rPr>
        <w:t xml:space="preserve">. Include the frequency (e.g., weekly PLCs) or a description of how the strategy is </w:t>
      </w:r>
      <w:r w:rsidR="000865A6" w:rsidRPr="00993002">
        <w:rPr>
          <w:rFonts w:cs="Arial"/>
          <w:bCs/>
          <w:color w:val="212121"/>
        </w:rPr>
        <w:t>part of a sustained, job-embedded plan for professional learning.</w:t>
      </w:r>
    </w:p>
    <w:p w14:paraId="32A7FF5C" w14:textId="77777777" w:rsidR="00886C44" w:rsidRPr="0059433B" w:rsidRDefault="00886C44" w:rsidP="00886C44">
      <w:pPr>
        <w:pStyle w:val="Heading2"/>
        <w:rPr>
          <w:i/>
          <w:iCs/>
          <w:color w:val="4F81BD" w:themeColor="accent1"/>
          <w:sz w:val="24"/>
          <w:szCs w:val="24"/>
        </w:rPr>
      </w:pPr>
      <w:r w:rsidRPr="00C64EC5">
        <w:rPr>
          <w:rStyle w:val="IntenseEmphasis"/>
          <w:rFonts w:asciiTheme="minorHAnsi" w:hAnsiTheme="minorHAnsi" w:cstheme="minorHAnsi"/>
          <w:b/>
          <w:bCs/>
          <w:i w:val="0"/>
          <w:iCs w:val="0"/>
          <w:color w:val="auto"/>
          <w:sz w:val="22"/>
          <w:szCs w:val="22"/>
        </w:rPr>
        <w:t>WHO</w:t>
      </w:r>
      <w:r>
        <w:rPr>
          <w:rStyle w:val="IntenseEmphasis"/>
          <w:i w:val="0"/>
          <w:iCs w:val="0"/>
          <w:color w:val="auto"/>
          <w:sz w:val="24"/>
          <w:szCs w:val="24"/>
        </w:rPr>
        <w:t>:</w:t>
      </w:r>
      <w:r w:rsidRPr="00C64EC5">
        <w:rPr>
          <w:rStyle w:val="IntenseEmphasis"/>
          <w:color w:val="auto"/>
          <w:sz w:val="24"/>
          <w:szCs w:val="24"/>
        </w:rPr>
        <w:t xml:space="preserve"> </w:t>
      </w:r>
      <w:r w:rsidRPr="00D4607A">
        <w:rPr>
          <w:rStyle w:val="1"/>
          <w:rFonts w:asciiTheme="minorHAnsi" w:hAnsiTheme="minorHAnsi" w:cstheme="minorHAnsi"/>
          <w:b/>
          <w:color w:val="000000"/>
          <w:sz w:val="22"/>
          <w:szCs w:val="22"/>
        </w:rPr>
        <w:t>Who is participating,</w:t>
      </w:r>
      <w:r w:rsidRPr="00D4607A">
        <w:rPr>
          <w:rStyle w:val="1"/>
          <w:rFonts w:asciiTheme="minorHAnsi" w:hAnsiTheme="minorHAnsi" w:cstheme="minorHAnsi"/>
          <w:color w:val="000000"/>
          <w:sz w:val="22"/>
          <w:szCs w:val="22"/>
        </w:rPr>
        <w:t xml:space="preserve"> including the type and number of staff (e.g., 10 teachers and 1 principal)</w:t>
      </w:r>
    </w:p>
    <w:p w14:paraId="06B6CFCF" w14:textId="77777777" w:rsidR="00993002" w:rsidRPr="0059433B" w:rsidRDefault="00993002" w:rsidP="00993002">
      <w:pPr>
        <w:pStyle w:val="Heading2"/>
        <w:rPr>
          <w:rStyle w:val="1"/>
          <w:i/>
          <w:iCs/>
          <w:color w:val="4F81BD" w:themeColor="accent1"/>
          <w:sz w:val="24"/>
          <w:szCs w:val="24"/>
        </w:rPr>
      </w:pPr>
      <w:r w:rsidRPr="00C64EC5">
        <w:rPr>
          <w:rStyle w:val="IntenseEmphasis"/>
          <w:rFonts w:asciiTheme="minorHAnsi" w:hAnsiTheme="minorHAnsi" w:cstheme="minorHAnsi"/>
          <w:b/>
          <w:bCs/>
          <w:i w:val="0"/>
          <w:iCs w:val="0"/>
          <w:color w:val="auto"/>
          <w:sz w:val="22"/>
          <w:szCs w:val="22"/>
        </w:rPr>
        <w:t>HOW</w:t>
      </w:r>
      <w:r>
        <w:rPr>
          <w:rStyle w:val="IntenseEmphasis"/>
          <w:rFonts w:asciiTheme="minorHAnsi" w:hAnsiTheme="minorHAnsi" w:cstheme="minorHAnsi"/>
          <w:b/>
          <w:bCs/>
          <w:i w:val="0"/>
          <w:iCs w:val="0"/>
          <w:color w:val="auto"/>
          <w:sz w:val="22"/>
          <w:szCs w:val="22"/>
        </w:rPr>
        <w:t>:</w:t>
      </w:r>
      <w:r w:rsidRPr="00C64EC5">
        <w:rPr>
          <w:rStyle w:val="IntenseEmphasis"/>
          <w:color w:val="auto"/>
          <w:sz w:val="24"/>
          <w:szCs w:val="24"/>
        </w:rPr>
        <w:t xml:space="preserve"> </w:t>
      </w:r>
      <w:r w:rsidRPr="0059433B">
        <w:rPr>
          <w:rFonts w:asciiTheme="minorHAnsi" w:eastAsiaTheme="minorHAnsi" w:hAnsiTheme="minorHAnsi" w:cs="Arial"/>
          <w:bCs/>
          <w:color w:val="212121"/>
          <w:sz w:val="22"/>
          <w:szCs w:val="22"/>
        </w:rPr>
        <w:t xml:space="preserve">A description of the measure(s) used to determine </w:t>
      </w:r>
      <w:r w:rsidRPr="0059433B">
        <w:rPr>
          <w:rFonts w:asciiTheme="minorHAnsi" w:eastAsiaTheme="minorHAnsi" w:hAnsiTheme="minorHAnsi" w:cs="Arial"/>
          <w:b/>
          <w:bCs/>
          <w:color w:val="212121"/>
          <w:sz w:val="22"/>
          <w:szCs w:val="22"/>
        </w:rPr>
        <w:t>whether the strategy had the desired impact</w:t>
      </w:r>
      <w:r w:rsidRPr="0059433B">
        <w:rPr>
          <w:rFonts w:asciiTheme="minorHAnsi" w:eastAsiaTheme="minorHAnsi" w:hAnsiTheme="minorHAnsi" w:cs="Arial"/>
          <w:bCs/>
          <w:color w:val="212121"/>
          <w:sz w:val="22"/>
          <w:szCs w:val="22"/>
        </w:rPr>
        <w:t xml:space="preserve"> (e.g. surveys, educator evaluation data, student outcomes, attendance, behavior, graduation </w:t>
      </w:r>
      <w:r>
        <w:rPr>
          <w:rFonts w:asciiTheme="minorHAnsi" w:eastAsiaTheme="minorHAnsi" w:hAnsiTheme="minorHAnsi" w:cs="Arial"/>
          <w:bCs/>
          <w:color w:val="212121"/>
          <w:sz w:val="22"/>
          <w:szCs w:val="22"/>
        </w:rPr>
        <w:t>rate, course participation</w:t>
      </w:r>
      <w:r w:rsidRPr="0059433B">
        <w:rPr>
          <w:rFonts w:asciiTheme="minorHAnsi" w:eastAsiaTheme="minorHAnsi" w:hAnsiTheme="minorHAnsi" w:cs="Arial"/>
          <w:bCs/>
          <w:color w:val="212121"/>
          <w:sz w:val="22"/>
          <w:szCs w:val="22"/>
        </w:rPr>
        <w:t>)</w:t>
      </w:r>
    </w:p>
    <w:p w14:paraId="0A8530A6" w14:textId="77777777" w:rsidR="00886C44" w:rsidRPr="00886C44" w:rsidRDefault="00886C44" w:rsidP="00886C44">
      <w:pPr>
        <w:spacing w:after="0"/>
        <w:ind w:left="360" w:right="-230" w:hanging="360"/>
        <w:rPr>
          <w:rFonts w:cs="Arial"/>
          <w:bCs/>
          <w:color w:val="212121"/>
        </w:rPr>
      </w:pPr>
    </w:p>
    <w:p w14:paraId="4E0A5CC7" w14:textId="7E962C0F" w:rsidR="006778D6" w:rsidRPr="006778D6" w:rsidRDefault="006778D6" w:rsidP="006778D6">
      <w:pPr>
        <w:tabs>
          <w:tab w:val="left" w:pos="4332"/>
        </w:tabs>
        <w:rPr>
          <w:rFonts w:cs="Arial"/>
        </w:rPr>
      </w:pPr>
      <w:r>
        <w:rPr>
          <w:rFonts w:cs="Arial"/>
        </w:rPr>
        <w:tab/>
      </w:r>
    </w:p>
    <w:p w14:paraId="49E12308" w14:textId="77777777" w:rsidR="00D2185F" w:rsidRPr="00D2185F" w:rsidRDefault="00D2185F" w:rsidP="0059433B">
      <w:pPr>
        <w:pStyle w:val="Heading1"/>
        <w:spacing w:before="120"/>
      </w:pPr>
      <w:r w:rsidRPr="00D2185F">
        <w:lastRenderedPageBreak/>
        <w:t>Supplement, Not Supplant</w:t>
      </w:r>
    </w:p>
    <w:p w14:paraId="5D09BE0D" w14:textId="697A9FCD" w:rsidR="00D4607A" w:rsidRPr="00F21CFE" w:rsidRDefault="00D4607A" w:rsidP="00F21CFE">
      <w:pPr>
        <w:spacing w:after="120"/>
        <w:rPr>
          <w:rFonts w:cs="Arial"/>
          <w:b/>
          <w:bCs/>
          <w:color w:val="000000"/>
        </w:rPr>
      </w:pPr>
      <w:r w:rsidRPr="00414B36">
        <w:rPr>
          <w:rFonts w:cstheme="minorHAnsi"/>
          <w:color w:val="000000"/>
        </w:rPr>
        <w:t>The term “</w:t>
      </w:r>
      <w:hyperlink r:id="rId13" w:history="1">
        <w:r w:rsidRPr="0059433B">
          <w:rPr>
            <w:rStyle w:val="Hyperlink"/>
            <w:rFonts w:cstheme="minorHAnsi"/>
          </w:rPr>
          <w:t>supplement, not supplant</w:t>
        </w:r>
      </w:hyperlink>
      <w:r w:rsidRPr="00414B36">
        <w:rPr>
          <w:rFonts w:cstheme="minorHAnsi"/>
          <w:color w:val="000000"/>
        </w:rPr>
        <w:t xml:space="preserve">” is common to many federal statutes authorizing education grant programs. </w:t>
      </w:r>
      <w:proofErr w:type="gramStart"/>
      <w:r>
        <w:rPr>
          <w:rFonts w:cstheme="minorHAnsi"/>
          <w:color w:val="000000"/>
        </w:rPr>
        <w:t>The</w:t>
      </w:r>
      <w:r w:rsidRPr="00414B36">
        <w:rPr>
          <w:rFonts w:cstheme="minorHAnsi"/>
          <w:color w:val="000000"/>
        </w:rPr>
        <w:t xml:space="preserve"> Every</w:t>
      </w:r>
      <w:proofErr w:type="gramEnd"/>
      <w:r w:rsidRPr="00414B36">
        <w:rPr>
          <w:rFonts w:cstheme="minorHAnsi"/>
          <w:color w:val="000000"/>
        </w:rPr>
        <w:t xml:space="preserve"> Stude</w:t>
      </w:r>
      <w:r>
        <w:rPr>
          <w:rFonts w:cstheme="minorHAnsi"/>
          <w:color w:val="000000"/>
        </w:rPr>
        <w:t>nt Succeeds Act (ESSA) states “</w:t>
      </w:r>
      <w:r w:rsidRPr="00414B36">
        <w:rPr>
          <w:rFonts w:cstheme="minorHAnsi"/>
          <w:i/>
          <w:color w:val="000000"/>
        </w:rPr>
        <w:t>Funds received under this title shall be used to supplement, and not supplant, non-Federal funds that would otherwise be used for activities authorized under this title</w:t>
      </w:r>
      <w:r w:rsidRPr="00414B36">
        <w:rPr>
          <w:rFonts w:cstheme="minorHAnsi"/>
          <w:color w:val="000000"/>
        </w:rPr>
        <w:t>”</w:t>
      </w:r>
      <w:r w:rsidR="00F21CFE">
        <w:rPr>
          <w:rFonts w:cstheme="minorHAnsi"/>
          <w:color w:val="000000"/>
        </w:rPr>
        <w:t>.</w:t>
      </w:r>
      <w:r>
        <w:rPr>
          <w:rStyle w:val="FootnoteReference"/>
          <w:rFonts w:cstheme="minorHAnsi"/>
          <w:color w:val="000000"/>
        </w:rPr>
        <w:footnoteReference w:id="1"/>
      </w:r>
      <w:r w:rsidR="009C27D5">
        <w:rPr>
          <w:rFonts w:cstheme="minorHAnsi"/>
          <w:color w:val="000000"/>
        </w:rPr>
        <w:t xml:space="preserve"> </w:t>
      </w:r>
      <w:r w:rsidR="00B842F8" w:rsidRPr="006E6B9A">
        <w:rPr>
          <w:rFonts w:cstheme="minorHAnsi"/>
          <w:bCs/>
          <w:color w:val="141412"/>
        </w:rPr>
        <w:t>Supplanting</w:t>
      </w:r>
      <w:r w:rsidR="00B842F8">
        <w:rPr>
          <w:rFonts w:cstheme="minorHAnsi"/>
          <w:bCs/>
          <w:color w:val="141412"/>
        </w:rPr>
        <w:t xml:space="preserve"> for Title II-A is</w:t>
      </w:r>
      <w:r w:rsidR="00B842F8" w:rsidRPr="006E6B9A">
        <w:rPr>
          <w:rFonts w:cstheme="minorHAnsi"/>
          <w:bCs/>
          <w:color w:val="141412"/>
        </w:rPr>
        <w:t xml:space="preserve"> presumed</w:t>
      </w:r>
      <w:r w:rsidR="00B842F8" w:rsidRPr="006E6B9A">
        <w:rPr>
          <w:rFonts w:cstheme="minorHAnsi"/>
          <w:color w:val="141412"/>
        </w:rPr>
        <w:t xml:space="preserve"> if </w:t>
      </w:r>
      <w:r w:rsidR="00B842F8">
        <w:rPr>
          <w:rFonts w:cstheme="minorHAnsi"/>
          <w:color w:val="141412"/>
        </w:rPr>
        <w:t>either</w:t>
      </w:r>
      <w:r w:rsidR="00B842F8" w:rsidRPr="006E6B9A">
        <w:rPr>
          <w:rFonts w:cstheme="minorHAnsi"/>
          <w:color w:val="141412"/>
        </w:rPr>
        <w:t xml:space="preserve"> of the following are true, according to federal fiscal guidance</w:t>
      </w:r>
      <w:r w:rsidR="00F21CFE">
        <w:rPr>
          <w:rFonts w:cstheme="minorHAnsi"/>
          <w:color w:val="141412"/>
        </w:rPr>
        <w:t>:</w:t>
      </w:r>
      <w:r w:rsidR="00B842F8">
        <w:rPr>
          <w:rStyle w:val="FootnoteReference"/>
          <w:rFonts w:cstheme="minorHAnsi"/>
          <w:color w:val="141412"/>
        </w:rPr>
        <w:footnoteReference w:id="2"/>
      </w:r>
    </w:p>
    <w:p w14:paraId="59CCD1E3" w14:textId="77777777" w:rsidR="00D4607A" w:rsidRPr="006E6B9A" w:rsidRDefault="00D4607A" w:rsidP="00D4607A">
      <w:pPr>
        <w:pStyle w:val="ListParagraph"/>
        <w:widowControl/>
        <w:numPr>
          <w:ilvl w:val="0"/>
          <w:numId w:val="16"/>
        </w:numPr>
        <w:spacing w:line="240" w:lineRule="auto"/>
        <w:rPr>
          <w:b/>
        </w:rPr>
      </w:pPr>
      <w:r w:rsidRPr="006E6B9A">
        <w:rPr>
          <w:b/>
        </w:rPr>
        <w:t>Providing services required under state or local law.</w:t>
      </w:r>
    </w:p>
    <w:p w14:paraId="219CD127" w14:textId="77777777" w:rsidR="00D4607A" w:rsidRPr="006E6B9A" w:rsidRDefault="00D4607A" w:rsidP="00D4607A">
      <w:pPr>
        <w:pStyle w:val="ListParagraph"/>
      </w:pPr>
      <w:r w:rsidRPr="006E6B9A">
        <w:t xml:space="preserve">Any services that </w:t>
      </w:r>
      <w:r>
        <w:t>a district</w:t>
      </w:r>
      <w:r w:rsidRPr="006E6B9A">
        <w:t xml:space="preserve"> is required to provide under state law, state board rule or policy or local rule or policy must be provided using state or local funds. If federal funds are used to provide those services, the U.S. Department of Education (ED) will presume that supplanting has occurred. </w:t>
      </w:r>
    </w:p>
    <w:p w14:paraId="181076EC" w14:textId="77777777" w:rsidR="00D4607A" w:rsidRPr="006E6B9A" w:rsidRDefault="00D4607A" w:rsidP="00D4607A">
      <w:pPr>
        <w:pStyle w:val="ListParagraph"/>
      </w:pPr>
    </w:p>
    <w:p w14:paraId="4AAF0696" w14:textId="77777777" w:rsidR="00D4607A" w:rsidRPr="006E6B9A" w:rsidRDefault="00D4607A" w:rsidP="00D4607A">
      <w:pPr>
        <w:pStyle w:val="ListParagraph"/>
        <w:widowControl/>
        <w:numPr>
          <w:ilvl w:val="0"/>
          <w:numId w:val="16"/>
        </w:numPr>
        <w:spacing w:line="240" w:lineRule="auto"/>
        <w:rPr>
          <w:b/>
        </w:rPr>
      </w:pPr>
      <w:r w:rsidRPr="006E6B9A">
        <w:rPr>
          <w:b/>
        </w:rPr>
        <w:t>Providing the same services as those provided in prior school year with state or local funds.</w:t>
      </w:r>
    </w:p>
    <w:p w14:paraId="379C93F1" w14:textId="77777777" w:rsidR="006A1DFE" w:rsidRPr="00D4607A" w:rsidRDefault="00D4607A" w:rsidP="0059433B">
      <w:pPr>
        <w:pStyle w:val="ListParagraph"/>
        <w:spacing w:after="120"/>
      </w:pPr>
      <w:r>
        <w:t>Districts</w:t>
      </w:r>
      <w:r w:rsidRPr="006E6B9A">
        <w:t xml:space="preserve"> are not permitted to use federal funds to replace state or local funds. If state or local funds were used in the prior school year to provide services, and those services are provided again in the current school year, the ED will presume supplanting has occurred if the state or local funds are replaced by federal funds. Even in cases where a budget s</w:t>
      </w:r>
      <w:r>
        <w:t>hortfall is anticipated, the district</w:t>
      </w:r>
      <w:r w:rsidRPr="006E6B9A">
        <w:t xml:space="preserve"> may not plan to use federal funds to cover a shortage of state or local funds. </w:t>
      </w:r>
    </w:p>
    <w:p w14:paraId="0CE44A2A" w14:textId="77777777" w:rsidR="008A79B9" w:rsidRPr="00D2185F" w:rsidRDefault="005A424F" w:rsidP="0059433B">
      <w:pPr>
        <w:pStyle w:val="Heading1"/>
        <w:spacing w:before="120"/>
        <w:rPr>
          <w:rFonts w:eastAsia="Times New Roman"/>
        </w:rPr>
      </w:pPr>
      <w:r w:rsidRPr="00D2185F">
        <w:rPr>
          <w:rFonts w:eastAsia="Times New Roman"/>
        </w:rPr>
        <w:t xml:space="preserve">Equitable Services for Private School </w:t>
      </w:r>
      <w:r w:rsidR="008C0A62" w:rsidRPr="00D2185F">
        <w:rPr>
          <w:rFonts w:eastAsia="Times New Roman"/>
        </w:rPr>
        <w:t>T</w:t>
      </w:r>
      <w:r w:rsidR="008C0A62" w:rsidRPr="00D2185F">
        <w:rPr>
          <w:rFonts w:eastAsia="Times New Roman"/>
          <w:spacing w:val="-1"/>
        </w:rPr>
        <w:t>e</w:t>
      </w:r>
      <w:r w:rsidR="008C0A62" w:rsidRPr="00D2185F">
        <w:rPr>
          <w:rFonts w:eastAsia="Times New Roman"/>
        </w:rPr>
        <w:t>a</w:t>
      </w:r>
      <w:r w:rsidR="008C0A62" w:rsidRPr="00D2185F">
        <w:rPr>
          <w:rFonts w:eastAsia="Times New Roman"/>
          <w:spacing w:val="-1"/>
        </w:rPr>
        <w:t>c</w:t>
      </w:r>
      <w:r w:rsidR="008C0A62" w:rsidRPr="00D2185F">
        <w:rPr>
          <w:rFonts w:eastAsia="Times New Roman"/>
          <w:spacing w:val="1"/>
        </w:rPr>
        <w:t>h</w:t>
      </w:r>
      <w:r w:rsidR="008C0A62" w:rsidRPr="00D2185F">
        <w:rPr>
          <w:rFonts w:eastAsia="Times New Roman"/>
          <w:spacing w:val="-1"/>
        </w:rPr>
        <w:t>er</w:t>
      </w:r>
      <w:r w:rsidR="008C0A62" w:rsidRPr="00D2185F">
        <w:rPr>
          <w:rFonts w:eastAsia="Times New Roman"/>
        </w:rPr>
        <w:t>s</w:t>
      </w:r>
      <w:r w:rsidR="008C0A62" w:rsidRPr="00D2185F">
        <w:rPr>
          <w:rFonts w:eastAsia="Times New Roman"/>
          <w:spacing w:val="-7"/>
        </w:rPr>
        <w:t xml:space="preserve"> </w:t>
      </w:r>
    </w:p>
    <w:p w14:paraId="2CFDD6EB" w14:textId="023405C7" w:rsidR="000E2B8D" w:rsidRPr="007D4C7F" w:rsidRDefault="008C0A62" w:rsidP="00F21CFE">
      <w:pPr>
        <w:pStyle w:val="Default"/>
        <w:spacing w:line="276" w:lineRule="auto"/>
        <w:rPr>
          <w:rFonts w:asciiTheme="minorHAnsi" w:hAnsiTheme="minorHAnsi" w:cstheme="minorHAnsi"/>
          <w:i/>
          <w:sz w:val="22"/>
          <w:szCs w:val="22"/>
        </w:rPr>
      </w:pPr>
      <w:r w:rsidRPr="002A48E6">
        <w:rPr>
          <w:rFonts w:asciiTheme="minorHAnsi" w:hAnsiTheme="minorHAnsi" w:cstheme="minorHAnsi"/>
          <w:sz w:val="22"/>
          <w:szCs w:val="22"/>
        </w:rPr>
        <w:t xml:space="preserve">Private school teachers, principals and other educational personnel are </w:t>
      </w:r>
      <w:hyperlink r:id="rId14" w:history="1">
        <w:r w:rsidRPr="0059433B">
          <w:rPr>
            <w:rStyle w:val="Hyperlink"/>
            <w:rFonts w:asciiTheme="minorHAnsi" w:hAnsiTheme="minorHAnsi" w:cstheme="minorHAnsi"/>
            <w:sz w:val="22"/>
            <w:szCs w:val="22"/>
          </w:rPr>
          <w:t>eligible to participate</w:t>
        </w:r>
      </w:hyperlink>
      <w:r w:rsidRPr="002A48E6">
        <w:rPr>
          <w:rFonts w:asciiTheme="minorHAnsi" w:hAnsiTheme="minorHAnsi" w:cstheme="minorHAnsi"/>
          <w:sz w:val="22"/>
          <w:szCs w:val="22"/>
        </w:rPr>
        <w:t xml:space="preserve"> </w:t>
      </w:r>
      <w:r w:rsidR="005A424F" w:rsidRPr="002A48E6">
        <w:rPr>
          <w:rFonts w:asciiTheme="minorHAnsi" w:hAnsiTheme="minorHAnsi" w:cstheme="minorHAnsi"/>
          <w:sz w:val="22"/>
          <w:szCs w:val="22"/>
        </w:rPr>
        <w:t xml:space="preserve">in </w:t>
      </w:r>
      <w:r w:rsidRPr="002A48E6">
        <w:rPr>
          <w:rFonts w:asciiTheme="minorHAnsi" w:hAnsiTheme="minorHAnsi" w:cstheme="minorHAnsi"/>
          <w:sz w:val="22"/>
          <w:szCs w:val="22"/>
        </w:rPr>
        <w:t>Title II</w:t>
      </w:r>
      <w:r w:rsidR="00E6361E" w:rsidRPr="002A48E6">
        <w:rPr>
          <w:rFonts w:asciiTheme="minorHAnsi" w:hAnsiTheme="minorHAnsi" w:cstheme="minorHAnsi"/>
          <w:sz w:val="22"/>
          <w:szCs w:val="22"/>
        </w:rPr>
        <w:t>-</w:t>
      </w:r>
      <w:r w:rsidRPr="002A48E6">
        <w:rPr>
          <w:rFonts w:asciiTheme="minorHAnsi" w:hAnsiTheme="minorHAnsi" w:cstheme="minorHAnsi"/>
          <w:sz w:val="22"/>
          <w:szCs w:val="22"/>
        </w:rPr>
        <w:t xml:space="preserve">A professional development services. An LEA is </w:t>
      </w:r>
      <w:r w:rsidRPr="002A48E6">
        <w:rPr>
          <w:rFonts w:asciiTheme="minorHAnsi" w:hAnsiTheme="minorHAnsi" w:cstheme="minorHAnsi"/>
          <w:b/>
          <w:sz w:val="22"/>
          <w:szCs w:val="22"/>
        </w:rPr>
        <w:t>required to consult</w:t>
      </w:r>
      <w:r w:rsidR="005A424F" w:rsidRPr="002A48E6">
        <w:rPr>
          <w:rFonts w:asciiTheme="minorHAnsi" w:hAnsiTheme="minorHAnsi" w:cstheme="minorHAnsi"/>
          <w:sz w:val="22"/>
          <w:szCs w:val="22"/>
        </w:rPr>
        <w:t xml:space="preserve"> </w:t>
      </w:r>
      <w:r w:rsidR="005A424F" w:rsidRPr="002A48E6">
        <w:rPr>
          <w:rFonts w:asciiTheme="minorHAnsi" w:hAnsiTheme="minorHAnsi" w:cstheme="minorHAnsi"/>
          <w:b/>
          <w:sz w:val="22"/>
          <w:szCs w:val="22"/>
        </w:rPr>
        <w:t>annually</w:t>
      </w:r>
      <w:r w:rsidRPr="002A48E6">
        <w:rPr>
          <w:rFonts w:asciiTheme="minorHAnsi" w:hAnsiTheme="minorHAnsi" w:cstheme="minorHAnsi"/>
          <w:b/>
          <w:sz w:val="22"/>
          <w:szCs w:val="22"/>
        </w:rPr>
        <w:t xml:space="preserve"> </w:t>
      </w:r>
      <w:r w:rsidRPr="002A48E6">
        <w:rPr>
          <w:rFonts w:asciiTheme="minorHAnsi" w:hAnsiTheme="minorHAnsi" w:cstheme="minorHAnsi"/>
          <w:sz w:val="22"/>
          <w:szCs w:val="22"/>
        </w:rPr>
        <w:t xml:space="preserve">in a timely </w:t>
      </w:r>
      <w:r w:rsidR="005A424F" w:rsidRPr="002A48E6">
        <w:rPr>
          <w:rFonts w:asciiTheme="minorHAnsi" w:hAnsiTheme="minorHAnsi" w:cstheme="minorHAnsi"/>
          <w:sz w:val="22"/>
          <w:szCs w:val="22"/>
        </w:rPr>
        <w:t xml:space="preserve">and </w:t>
      </w:r>
      <w:r w:rsidRPr="002A48E6">
        <w:rPr>
          <w:rFonts w:asciiTheme="minorHAnsi" w:hAnsiTheme="minorHAnsi" w:cstheme="minorHAnsi"/>
          <w:sz w:val="22"/>
          <w:szCs w:val="22"/>
        </w:rPr>
        <w:t>meaningful way with private school officials prior to making a decision that impacts</w:t>
      </w:r>
      <w:r w:rsidR="005A424F" w:rsidRPr="002A48E6">
        <w:rPr>
          <w:rFonts w:asciiTheme="minorHAnsi" w:hAnsiTheme="minorHAnsi" w:cstheme="minorHAnsi"/>
          <w:sz w:val="22"/>
          <w:szCs w:val="22"/>
        </w:rPr>
        <w:t xml:space="preserve"> </w:t>
      </w:r>
      <w:r w:rsidRPr="002A48E6">
        <w:rPr>
          <w:rFonts w:asciiTheme="minorHAnsi" w:hAnsiTheme="minorHAnsi" w:cstheme="minorHAnsi"/>
          <w:sz w:val="22"/>
          <w:szCs w:val="22"/>
        </w:rPr>
        <w:t xml:space="preserve">participation of private school staff in professional development. </w:t>
      </w:r>
      <w:r w:rsidR="002A48E6" w:rsidRPr="002A48E6">
        <w:rPr>
          <w:rFonts w:asciiTheme="minorHAnsi" w:hAnsiTheme="minorHAnsi" w:cstheme="minorHAnsi"/>
          <w:color w:val="auto"/>
          <w:sz w:val="22"/>
          <w:szCs w:val="22"/>
        </w:rPr>
        <w:t xml:space="preserve">The activities undertaken by the private school should be matched to the needs of their students, teachers and principals. </w:t>
      </w:r>
      <w:r w:rsidR="00F21CFE">
        <w:rPr>
          <w:rFonts w:asciiTheme="minorHAnsi" w:hAnsiTheme="minorHAnsi" w:cstheme="minorHAnsi"/>
          <w:sz w:val="22"/>
          <w:szCs w:val="22"/>
        </w:rPr>
        <w:t>Districts are required</w:t>
      </w:r>
      <w:r w:rsidR="002A48E6" w:rsidRPr="007D4C7F">
        <w:rPr>
          <w:rFonts w:asciiTheme="minorHAnsi" w:hAnsiTheme="minorHAnsi" w:cstheme="minorHAnsi"/>
          <w:sz w:val="22"/>
          <w:szCs w:val="22"/>
        </w:rPr>
        <w:t xml:space="preserve"> to examine </w:t>
      </w:r>
      <w:r w:rsidR="00993002" w:rsidRPr="007D4C7F">
        <w:rPr>
          <w:rFonts w:asciiTheme="minorHAnsi" w:hAnsiTheme="minorHAnsi" w:cstheme="minorHAnsi"/>
          <w:sz w:val="22"/>
          <w:szCs w:val="22"/>
        </w:rPr>
        <w:t>the needs</w:t>
      </w:r>
      <w:r w:rsidR="002A48E6" w:rsidRPr="007D4C7F">
        <w:rPr>
          <w:rFonts w:asciiTheme="minorHAnsi" w:hAnsiTheme="minorHAnsi" w:cstheme="minorHAnsi"/>
          <w:sz w:val="22"/>
          <w:szCs w:val="22"/>
        </w:rPr>
        <w:t xml:space="preserve"> of private school teachers and not simply make available to private school teachers the kinds of services </w:t>
      </w:r>
      <w:proofErr w:type="gramStart"/>
      <w:r w:rsidR="002A48E6" w:rsidRPr="007D4C7F">
        <w:rPr>
          <w:rFonts w:asciiTheme="minorHAnsi" w:hAnsiTheme="minorHAnsi" w:cstheme="minorHAnsi"/>
          <w:sz w:val="22"/>
          <w:szCs w:val="22"/>
        </w:rPr>
        <w:t>it makes</w:t>
      </w:r>
      <w:proofErr w:type="gramEnd"/>
      <w:r w:rsidR="002A48E6" w:rsidRPr="007D4C7F">
        <w:rPr>
          <w:rFonts w:asciiTheme="minorHAnsi" w:hAnsiTheme="minorHAnsi" w:cstheme="minorHAnsi"/>
          <w:sz w:val="22"/>
          <w:szCs w:val="22"/>
        </w:rPr>
        <w:t xml:space="preserve"> available to public school teachers.</w:t>
      </w:r>
      <w:r w:rsidR="00F21CFE">
        <w:rPr>
          <w:rStyle w:val="FootnoteReference"/>
          <w:rFonts w:asciiTheme="minorHAnsi" w:hAnsiTheme="minorHAnsi" w:cstheme="minorHAnsi"/>
          <w:sz w:val="22"/>
          <w:szCs w:val="22"/>
        </w:rPr>
        <w:footnoteReference w:id="3"/>
      </w:r>
      <w:r w:rsidR="002A48E6" w:rsidRPr="007D4C7F">
        <w:rPr>
          <w:rFonts w:asciiTheme="minorHAnsi" w:hAnsiTheme="minorHAnsi" w:cstheme="minorHAnsi"/>
          <w:i/>
          <w:sz w:val="22"/>
          <w:szCs w:val="22"/>
        </w:rPr>
        <w:t xml:space="preserve"> </w:t>
      </w:r>
    </w:p>
    <w:p w14:paraId="212ACEEA" w14:textId="77777777" w:rsidR="000E2B8D" w:rsidRPr="000E2B8D" w:rsidRDefault="000E2B8D" w:rsidP="000E2B8D">
      <w:pPr>
        <w:spacing w:before="150" w:after="150"/>
      </w:pPr>
      <w:r w:rsidRPr="002D3DA4">
        <w:t xml:space="preserve">The district should create a separate line item </w:t>
      </w:r>
      <w:r>
        <w:t xml:space="preserve">in its Budget Narrative </w:t>
      </w:r>
      <w:r w:rsidRPr="002D3DA4">
        <w:t xml:space="preserve">for each participating private school that includes the </w:t>
      </w:r>
      <w:r w:rsidRPr="000E2B8D">
        <w:rPr>
          <w:b/>
        </w:rPr>
        <w:t xml:space="preserve">name of the school and date of first contact as well as a </w:t>
      </w:r>
      <w:r w:rsidR="00FC4F30">
        <w:rPr>
          <w:b/>
        </w:rPr>
        <w:t xml:space="preserve">brief </w:t>
      </w:r>
      <w:r w:rsidRPr="000E2B8D">
        <w:rPr>
          <w:b/>
        </w:rPr>
        <w:t>description provided by the private school</w:t>
      </w:r>
      <w:r w:rsidRPr="000E2B8D">
        <w:t xml:space="preserve"> of each strategy/activity.</w:t>
      </w:r>
    </w:p>
    <w:p w14:paraId="02509CCF" w14:textId="77777777" w:rsidR="00D208D7" w:rsidRDefault="00D208D7" w:rsidP="0059433B">
      <w:pPr>
        <w:spacing w:before="150" w:after="120"/>
      </w:pPr>
      <w:r w:rsidRPr="00C07174">
        <w:t>Districts should be aware that Title II</w:t>
      </w:r>
      <w:r w:rsidR="00FC4F30">
        <w:t>-</w:t>
      </w:r>
      <w:r w:rsidRPr="00C07174">
        <w:t xml:space="preserve">A funds cannot be used to pay for the salary or benefits of private school teachers, nor for substitutes replacing private school teachers who attend professional development. Additionally, </w:t>
      </w:r>
      <w:r w:rsidRPr="00C07174">
        <w:rPr>
          <w:b/>
          <w:u w:val="single"/>
        </w:rPr>
        <w:t>II</w:t>
      </w:r>
      <w:r w:rsidR="007D4C7F">
        <w:rPr>
          <w:b/>
          <w:u w:val="single"/>
        </w:rPr>
        <w:t>-</w:t>
      </w:r>
      <w:r w:rsidRPr="00C07174">
        <w:rPr>
          <w:b/>
          <w:u w:val="single"/>
        </w:rPr>
        <w:t>A funds are never provided directly to the private school</w:t>
      </w:r>
      <w:r w:rsidRPr="00C07174">
        <w:t>. Rather the district serves as the fiscal agent for the private school, reimbursing providers for their services.</w:t>
      </w:r>
    </w:p>
    <w:p w14:paraId="699C74B5" w14:textId="77777777" w:rsidR="00D208D7" w:rsidRPr="00D2185F" w:rsidRDefault="00BF710B" w:rsidP="0059433B">
      <w:pPr>
        <w:pStyle w:val="Heading1"/>
        <w:spacing w:before="120"/>
        <w:rPr>
          <w:rFonts w:eastAsia="Times New Roman"/>
        </w:rPr>
      </w:pPr>
      <w:r w:rsidRPr="00D2185F">
        <w:t>Licensure Requirements</w:t>
      </w:r>
    </w:p>
    <w:p w14:paraId="323636D9" w14:textId="77777777" w:rsidR="00C07174" w:rsidRDefault="00C07174" w:rsidP="00F21CFE">
      <w:pPr>
        <w:spacing w:after="0"/>
      </w:pPr>
      <w:r w:rsidRPr="007D4C7F">
        <w:t xml:space="preserve">Federal requirements that defined “Highly Qualified” teachers </w:t>
      </w:r>
      <w:r w:rsidR="00BF710B" w:rsidRPr="007D4C7F">
        <w:t>were eliminated with the passage of ESSA.</w:t>
      </w:r>
      <w:r w:rsidRPr="007D4C7F">
        <w:t xml:space="preserve"> </w:t>
      </w:r>
      <w:r w:rsidR="00BF710B">
        <w:t>Districts</w:t>
      </w:r>
      <w:r>
        <w:t xml:space="preserve"> are </w:t>
      </w:r>
      <w:r w:rsidR="00BF710B">
        <w:t xml:space="preserve">now </w:t>
      </w:r>
      <w:r>
        <w:t xml:space="preserve">required to ensure </w:t>
      </w:r>
      <w:r w:rsidRPr="00F12022">
        <w:t xml:space="preserve">that teachers meet </w:t>
      </w:r>
      <w:hyperlink r:id="rId15" w:history="1">
        <w:r w:rsidRPr="00F21CFE">
          <w:rPr>
            <w:rStyle w:val="Hyperlink"/>
          </w:rPr>
          <w:t>state licensing requirements</w:t>
        </w:r>
      </w:hyperlink>
      <w:r>
        <w:t xml:space="preserve"> as defined by the Teacher Standards and Practices Commission (TSPC). Districts are </w:t>
      </w:r>
      <w:r w:rsidR="00E04E5A">
        <w:t xml:space="preserve">also </w:t>
      </w:r>
      <w:r>
        <w:t xml:space="preserve">encouraged to access the </w:t>
      </w:r>
      <w:hyperlink r:id="rId16" w:history="1">
        <w:r w:rsidR="004B7D38">
          <w:rPr>
            <w:rStyle w:val="Hyperlink"/>
          </w:rPr>
          <w:t>Course to Endorsement Catalogue</w:t>
        </w:r>
      </w:hyperlink>
      <w:r w:rsidR="007D4C7F">
        <w:rPr>
          <w:rStyle w:val="Hyperlink"/>
        </w:rPr>
        <w:t xml:space="preserve"> </w:t>
      </w:r>
      <w:r>
        <w:t xml:space="preserve">for guidance in determining the </w:t>
      </w:r>
      <w:r w:rsidR="00E04E5A">
        <w:t>endorsement</w:t>
      </w:r>
      <w:r>
        <w:t xml:space="preserve"> requirements for specific courses.</w:t>
      </w:r>
    </w:p>
    <w:p w14:paraId="64E2ED4F" w14:textId="77777777" w:rsidR="007D4C7F" w:rsidRDefault="007D4C7F" w:rsidP="0059433B">
      <w:pPr>
        <w:pStyle w:val="Heading1"/>
        <w:spacing w:before="120"/>
      </w:pPr>
      <w:r>
        <w:t xml:space="preserve">Related Resources </w:t>
      </w:r>
    </w:p>
    <w:p w14:paraId="70B6DEAA" w14:textId="77777777" w:rsidR="007D4C7F" w:rsidRPr="0059433B" w:rsidRDefault="007D4C7F" w:rsidP="0059433B">
      <w:pPr>
        <w:pStyle w:val="ListParagraph"/>
        <w:numPr>
          <w:ilvl w:val="0"/>
          <w:numId w:val="17"/>
        </w:numPr>
        <w:spacing w:after="0" w:line="240" w:lineRule="auto"/>
        <w:ind w:right="-230"/>
        <w:rPr>
          <w:rFonts w:eastAsia="Times New Roman" w:cstheme="minorHAnsi"/>
        </w:rPr>
      </w:pPr>
      <w:hyperlink r:id="rId17" w:history="1">
        <w:r w:rsidRPr="0059433B">
          <w:rPr>
            <w:rStyle w:val="Hyperlink"/>
            <w:rFonts w:eastAsia="Times New Roman" w:cstheme="minorHAnsi"/>
            <w:i/>
          </w:rPr>
          <w:t>Title II-A Teacher Quality website</w:t>
        </w:r>
      </w:hyperlink>
      <w:r w:rsidRPr="0059433B">
        <w:rPr>
          <w:rStyle w:val="Hyperlink"/>
          <w:rFonts w:eastAsia="Times New Roman" w:cstheme="minorHAnsi"/>
          <w:i/>
        </w:rPr>
        <w:t xml:space="preserve"> </w:t>
      </w:r>
      <w:r w:rsidRPr="0059433B">
        <w:rPr>
          <w:rStyle w:val="Hyperlink"/>
          <w:rFonts w:eastAsia="Times New Roman" w:cstheme="minorHAnsi"/>
        </w:rPr>
        <w:t>-</w:t>
      </w:r>
      <w:r w:rsidRPr="0059433B">
        <w:rPr>
          <w:rFonts w:eastAsia="Times New Roman" w:cstheme="minorHAnsi"/>
        </w:rPr>
        <w:t xml:space="preserve"> Additional resources and guidance related to Title II</w:t>
      </w:r>
      <w:r w:rsidR="00EB1054" w:rsidRPr="0059433B">
        <w:rPr>
          <w:rFonts w:eastAsia="Times New Roman" w:cstheme="minorHAnsi"/>
        </w:rPr>
        <w:t>-</w:t>
      </w:r>
      <w:r w:rsidRPr="0059433B">
        <w:rPr>
          <w:rFonts w:eastAsia="Times New Roman" w:cstheme="minorHAnsi"/>
        </w:rPr>
        <w:t>A</w:t>
      </w:r>
    </w:p>
    <w:p w14:paraId="32892056" w14:textId="77777777" w:rsidR="00E7774D" w:rsidRPr="0059433B" w:rsidRDefault="007D4C7F" w:rsidP="0059433B">
      <w:pPr>
        <w:pStyle w:val="ListParagraph"/>
        <w:numPr>
          <w:ilvl w:val="0"/>
          <w:numId w:val="17"/>
        </w:numPr>
        <w:spacing w:after="0" w:line="240" w:lineRule="auto"/>
        <w:ind w:right="-230"/>
        <w:rPr>
          <w:rFonts w:cstheme="minorHAnsi"/>
          <w:szCs w:val="24"/>
        </w:rPr>
      </w:pPr>
      <w:hyperlink r:id="rId18" w:history="1">
        <w:r w:rsidRPr="0059433B">
          <w:rPr>
            <w:rStyle w:val="Hyperlink"/>
            <w:rFonts w:eastAsia="Times New Roman" w:cstheme="minorHAnsi"/>
            <w:i/>
          </w:rPr>
          <w:t>Title II-A Listserv</w:t>
        </w:r>
      </w:hyperlink>
      <w:r w:rsidRPr="0059433B">
        <w:rPr>
          <w:rFonts w:eastAsia="Times New Roman" w:cstheme="minorHAnsi"/>
          <w:i/>
        </w:rPr>
        <w:t xml:space="preserve"> -</w:t>
      </w:r>
      <w:r w:rsidRPr="0059433B">
        <w:rPr>
          <w:rFonts w:cstheme="minorHAnsi"/>
          <w:i/>
          <w:szCs w:val="24"/>
        </w:rPr>
        <w:t xml:space="preserve"> </w:t>
      </w:r>
      <w:r w:rsidRPr="0059433B">
        <w:rPr>
          <w:rFonts w:cstheme="minorHAnsi"/>
          <w:szCs w:val="24"/>
        </w:rPr>
        <w:t>Communications and notifications regarding Title II- A</w:t>
      </w:r>
    </w:p>
    <w:p w14:paraId="51AA5164" w14:textId="77777777" w:rsidR="0059433B" w:rsidRDefault="0059433B" w:rsidP="007D4C7F">
      <w:pPr>
        <w:spacing w:after="0" w:line="240" w:lineRule="auto"/>
        <w:ind w:right="-230"/>
        <w:rPr>
          <w:rFonts w:cstheme="minorHAnsi"/>
          <w:szCs w:val="24"/>
        </w:rPr>
      </w:pPr>
    </w:p>
    <w:p w14:paraId="0E01547B" w14:textId="77777777" w:rsidR="00B91E2D" w:rsidRPr="00E7774D" w:rsidRDefault="0059433B" w:rsidP="00BF3FE7">
      <w:pPr>
        <w:rPr>
          <w:rFonts w:cstheme="minorHAnsi"/>
          <w:szCs w:val="24"/>
        </w:rPr>
      </w:pPr>
      <w:r w:rsidRPr="0059433B">
        <w:rPr>
          <w:rFonts w:cstheme="minorHAnsi"/>
          <w:b/>
          <w:szCs w:val="24"/>
        </w:rPr>
        <w:t>Contact</w:t>
      </w:r>
      <w:r>
        <w:rPr>
          <w:rFonts w:cstheme="minorHAnsi"/>
          <w:szCs w:val="24"/>
        </w:rPr>
        <w:t xml:space="preserve">: </w:t>
      </w:r>
      <w:r w:rsidRPr="00E7774D">
        <w:rPr>
          <w:rFonts w:cstheme="minorHAnsi"/>
          <w:szCs w:val="24"/>
        </w:rPr>
        <w:t xml:space="preserve">Sarah Martin, Title II-A Program Specialist, </w:t>
      </w:r>
      <w:hyperlink r:id="rId19" w:history="1">
        <w:r w:rsidRPr="00A93768">
          <w:rPr>
            <w:rStyle w:val="Hyperlink"/>
            <w:rFonts w:cstheme="minorHAnsi"/>
            <w:szCs w:val="24"/>
          </w:rPr>
          <w:t>sarah.martin@ode.oregon.gov</w:t>
        </w:r>
      </w:hyperlink>
    </w:p>
    <w:sectPr w:rsidR="00B91E2D" w:rsidRPr="00E7774D" w:rsidSect="00CE58B9">
      <w:headerReference w:type="default" r:id="rId20"/>
      <w:footerReference w:type="default" r:id="rId21"/>
      <w:pgSz w:w="12240" w:h="15840"/>
      <w:pgMar w:top="1008" w:right="720" w:bottom="540" w:left="1008" w:header="706" w:footer="8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12CD" w14:textId="77777777" w:rsidR="007D46F4" w:rsidRDefault="007D46F4">
      <w:pPr>
        <w:spacing w:after="0" w:line="240" w:lineRule="auto"/>
      </w:pPr>
      <w:r>
        <w:separator/>
      </w:r>
    </w:p>
  </w:endnote>
  <w:endnote w:type="continuationSeparator" w:id="0">
    <w:p w14:paraId="1BD2040C" w14:textId="77777777" w:rsidR="007D46F4" w:rsidRDefault="007D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F7E1" w14:textId="67E6D834" w:rsidR="007125A5" w:rsidRDefault="00871692" w:rsidP="00CE58B9">
    <w:pPr>
      <w:spacing w:after="0" w:line="200" w:lineRule="exact"/>
      <w:ind w:hanging="810"/>
      <w:jc w:val="right"/>
      <w:rPr>
        <w:sz w:val="20"/>
        <w:szCs w:val="20"/>
      </w:rPr>
    </w:pPr>
    <w:r>
      <w:rPr>
        <w:noProof/>
      </w:rPr>
      <mc:AlternateContent>
        <mc:Choice Requires="wps">
          <w:drawing>
            <wp:anchor distT="0" distB="0" distL="114300" distR="114300" simplePos="0" relativeHeight="251658240" behindDoc="1" locked="0" layoutInCell="1" allowOverlap="1" wp14:anchorId="0D856E9A" wp14:editId="52F0BB06">
              <wp:simplePos x="0" y="0"/>
              <wp:positionH relativeFrom="page">
                <wp:posOffset>6783705</wp:posOffset>
              </wp:positionH>
              <wp:positionV relativeFrom="page">
                <wp:posOffset>9488805</wp:posOffset>
              </wp:positionV>
              <wp:extent cx="100965" cy="125730"/>
              <wp:effectExtent l="1905"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CAEDF" w14:textId="77777777" w:rsidR="008A79B9" w:rsidRDefault="008C0A62">
                          <w:pPr>
                            <w:spacing w:after="0" w:line="182" w:lineRule="exact"/>
                            <w:ind w:left="40" w:right="-2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E04E5A">
                            <w:rPr>
                              <w:rFonts w:ascii="Times New Roman" w:eastAsia="Times New Roman" w:hAnsi="Times New Roman" w:cs="Times New Roman"/>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56E9A" id="_x0000_t202" coordsize="21600,21600" o:spt="202" path="m,l,21600r21600,l21600,xe">
              <v:stroke joinstyle="miter"/>
              <v:path gradientshapeok="t" o:connecttype="rect"/>
            </v:shapetype>
            <v:shape id="Text Box 1" o:spid="_x0000_s1026" type="#_x0000_t202" style="position:absolute;left:0;text-align:left;margin-left:534.15pt;margin-top:747.15pt;width:7.95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Pw1QEAAJADAAAOAAAAZHJzL2Uyb0RvYy54bWysU9tu1DAQfUfiHyy/s8kuaoF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vm+bvLCykUX603F29ep6ZkUCyPHfnwQeMgYlBK4p4mcDjc+xDJQLGkxFoW70zfp7729q8DTown&#10;iXzkOzMPUzVxdhRRYX1kGYTzmPBYc9Ah/ZJi5BEppf+5B9JS9B8tWxHnaQloCaolAKv4aSmDFHN4&#10;E+a52zsybcfIs9kWr9muxiQpjyxOPLntSeFpRONc/blPWY8fafcbAAD//wMAUEsDBBQABgAIAAAA&#10;IQDGQKTK4gAAAA8BAAAPAAAAZHJzL2Rvd25yZXYueG1sTI/BTsMwEETvSP0Haytxo3ZKiNIQp6oQ&#10;nJAQaThwdBI3sRqvQ+y24e/ZnsptRjuafZNvZzuws568cSghWglgGhvXGuwkfFVvDykwHxS2anCo&#10;JfxqD9ticZerrHUXLPV5HzpGJegzJaEPYcw4902vrfIrN2qk28FNVgWyU8fbSV2o3A58LUTCrTJI&#10;H3o16pdeN8f9yUrYfWP5an4+6s/yUJqq2gh8T45S3i/n3TOwoOdwC8MVn9ChIKbanbD1bCAvkvSR&#10;sqTiTUzqmhFpvAZWk3qK4gh4kfP/O4o/AAAA//8DAFBLAQItABQABgAIAAAAIQC2gziS/gAAAOEB&#10;AAATAAAAAAAAAAAAAAAAAAAAAABbQ29udGVudF9UeXBlc10ueG1sUEsBAi0AFAAGAAgAAAAhADj9&#10;If/WAAAAlAEAAAsAAAAAAAAAAAAAAAAALwEAAF9yZWxzLy5yZWxzUEsBAi0AFAAGAAgAAAAhAB0I&#10;U/DVAQAAkAMAAA4AAAAAAAAAAAAAAAAALgIAAGRycy9lMm9Eb2MueG1sUEsBAi0AFAAGAAgAAAAh&#10;AMZApMriAAAADwEAAA8AAAAAAAAAAAAAAAAALwQAAGRycy9kb3ducmV2LnhtbFBLBQYAAAAABAAE&#10;APMAAAA+BQAAAAA=&#10;" filled="f" stroked="f">
              <v:textbox inset="0,0,0,0">
                <w:txbxContent>
                  <w:p w14:paraId="7E3CAEDF" w14:textId="77777777" w:rsidR="008A79B9" w:rsidRDefault="008C0A62">
                    <w:pPr>
                      <w:spacing w:after="0" w:line="182" w:lineRule="exact"/>
                      <w:ind w:left="40" w:right="-2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E04E5A">
                      <w:rPr>
                        <w:rFonts w:ascii="Times New Roman" w:eastAsia="Times New Roman" w:hAnsi="Times New Roman" w:cs="Times New Roman"/>
                        <w:noProof/>
                        <w:sz w:val="16"/>
                        <w:szCs w:val="16"/>
                      </w:rPr>
                      <w:t>2</w:t>
                    </w:r>
                    <w:r>
                      <w:fldChar w:fldCharType="end"/>
                    </w:r>
                  </w:p>
                </w:txbxContent>
              </v:textbox>
              <w10:wrap anchorx="page" anchory="page"/>
            </v:shape>
          </w:pict>
        </mc:Fallback>
      </mc:AlternateContent>
    </w:r>
    <w:r w:rsidR="005E6C1F">
      <w:rPr>
        <w:i/>
        <w:sz w:val="20"/>
        <w:szCs w:val="20"/>
      </w:rPr>
      <w:tab/>
    </w:r>
    <w:r w:rsidR="005E6C1F">
      <w:rPr>
        <w:i/>
        <w:sz w:val="20"/>
        <w:szCs w:val="20"/>
      </w:rPr>
      <w:tab/>
    </w:r>
    <w:r w:rsidR="005E6C1F">
      <w:rPr>
        <w:i/>
        <w:sz w:val="20"/>
        <w:szCs w:val="20"/>
      </w:rPr>
      <w:tab/>
    </w:r>
    <w:r w:rsidR="005E6C1F">
      <w:rPr>
        <w:i/>
        <w:sz w:val="20"/>
        <w:szCs w:val="20"/>
      </w:rPr>
      <w:tab/>
    </w:r>
    <w:r w:rsidR="00D208D7">
      <w:rPr>
        <w:sz w:val="20"/>
        <w:szCs w:val="20"/>
      </w:rPr>
      <w:t>Updated</w:t>
    </w:r>
    <w:r w:rsidR="0028011C">
      <w:rPr>
        <w:sz w:val="20"/>
        <w:szCs w:val="20"/>
      </w:rPr>
      <w:t xml:space="preserve"> </w:t>
    </w:r>
    <w:r w:rsidR="006778D6">
      <w:rPr>
        <w:sz w:val="20"/>
        <w:szCs w:val="20"/>
      </w:rPr>
      <w:t>August 2025</w:t>
    </w:r>
    <w:r w:rsidR="00CE58B9">
      <w:rPr>
        <w:sz w:val="20"/>
        <w:szCs w:val="20"/>
      </w:rPr>
      <w:tab/>
    </w:r>
    <w:r w:rsidR="00CE58B9">
      <w:rPr>
        <w:sz w:val="20"/>
        <w:szCs w:val="20"/>
      </w:rPr>
      <w:tab/>
    </w:r>
    <w:r w:rsidR="007125A5">
      <w:rPr>
        <w:sz w:val="20"/>
        <w:szCs w:val="20"/>
      </w:rPr>
      <w:t>Adapted from the Vermont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70EF" w14:textId="77777777" w:rsidR="007D46F4" w:rsidRDefault="007D46F4">
      <w:pPr>
        <w:spacing w:after="0" w:line="240" w:lineRule="auto"/>
      </w:pPr>
      <w:r>
        <w:separator/>
      </w:r>
    </w:p>
  </w:footnote>
  <w:footnote w:type="continuationSeparator" w:id="0">
    <w:p w14:paraId="1C11A65B" w14:textId="77777777" w:rsidR="007D46F4" w:rsidRDefault="007D46F4">
      <w:pPr>
        <w:spacing w:after="0" w:line="240" w:lineRule="auto"/>
      </w:pPr>
      <w:r>
        <w:continuationSeparator/>
      </w:r>
    </w:p>
  </w:footnote>
  <w:footnote w:id="1">
    <w:p w14:paraId="7843AE0B" w14:textId="77777777" w:rsidR="00D4607A" w:rsidRPr="00F21CFE" w:rsidRDefault="00D4607A" w:rsidP="00D4607A">
      <w:pPr>
        <w:pStyle w:val="FootnoteText"/>
        <w:rPr>
          <w:i/>
          <w:sz w:val="18"/>
          <w:szCs w:val="18"/>
        </w:rPr>
      </w:pPr>
      <w:r w:rsidRPr="00F21CFE">
        <w:rPr>
          <w:rStyle w:val="FootnoteReference"/>
          <w:i/>
          <w:sz w:val="18"/>
          <w:szCs w:val="18"/>
        </w:rPr>
        <w:footnoteRef/>
      </w:r>
      <w:r w:rsidRPr="00F21CFE">
        <w:rPr>
          <w:i/>
          <w:sz w:val="18"/>
          <w:szCs w:val="18"/>
        </w:rPr>
        <w:t xml:space="preserve"> </w:t>
      </w:r>
      <w:r w:rsidRPr="00F21CFE">
        <w:rPr>
          <w:rFonts w:cstheme="minorHAnsi"/>
          <w:i/>
          <w:color w:val="000000"/>
          <w:sz w:val="18"/>
          <w:szCs w:val="18"/>
        </w:rPr>
        <w:t xml:space="preserve">Part C (General Provisions), Section 2301 of </w:t>
      </w:r>
      <w:proofErr w:type="gramStart"/>
      <w:r w:rsidRPr="00F21CFE">
        <w:rPr>
          <w:rFonts w:cstheme="minorHAnsi"/>
          <w:i/>
          <w:color w:val="000000"/>
          <w:sz w:val="18"/>
          <w:szCs w:val="18"/>
        </w:rPr>
        <w:t>the Every</w:t>
      </w:r>
      <w:proofErr w:type="gramEnd"/>
      <w:r w:rsidRPr="00F21CFE">
        <w:rPr>
          <w:rFonts w:cstheme="minorHAnsi"/>
          <w:i/>
          <w:color w:val="000000"/>
          <w:sz w:val="18"/>
          <w:szCs w:val="18"/>
        </w:rPr>
        <w:t xml:space="preserve"> Student Succeeds Act </w:t>
      </w:r>
    </w:p>
  </w:footnote>
  <w:footnote w:id="2">
    <w:p w14:paraId="5778C62B" w14:textId="79F4BF7C" w:rsidR="00B842F8" w:rsidRPr="00F21CFE" w:rsidRDefault="00B842F8" w:rsidP="00B842F8">
      <w:pPr>
        <w:pStyle w:val="FootnoteText"/>
        <w:rPr>
          <w:i/>
          <w:sz w:val="18"/>
          <w:szCs w:val="18"/>
        </w:rPr>
      </w:pPr>
      <w:r w:rsidRPr="00F21CFE">
        <w:rPr>
          <w:rStyle w:val="FootnoteReference"/>
          <w:i/>
          <w:sz w:val="18"/>
          <w:szCs w:val="18"/>
        </w:rPr>
        <w:footnoteRef/>
      </w:r>
      <w:r w:rsidRPr="00F21CFE">
        <w:rPr>
          <w:i/>
          <w:sz w:val="18"/>
          <w:szCs w:val="18"/>
        </w:rPr>
        <w:t xml:space="preserve"> </w:t>
      </w:r>
      <w:r w:rsidRPr="00F21CFE">
        <w:rPr>
          <w:rFonts w:cstheme="minorHAnsi"/>
          <w:i/>
          <w:iCs/>
          <w:color w:val="141412"/>
          <w:sz w:val="18"/>
          <w:szCs w:val="18"/>
        </w:rPr>
        <w:t>2 CFR Part 200, Appendix XI</w:t>
      </w:r>
    </w:p>
  </w:footnote>
  <w:footnote w:id="3">
    <w:p w14:paraId="4F57484C" w14:textId="77777777" w:rsidR="00F21CFE" w:rsidRDefault="00F21CFE">
      <w:pPr>
        <w:pStyle w:val="FootnoteText"/>
      </w:pPr>
      <w:r w:rsidRPr="00F21CFE">
        <w:rPr>
          <w:rStyle w:val="FootnoteReference"/>
          <w:i/>
          <w:sz w:val="18"/>
          <w:szCs w:val="18"/>
        </w:rPr>
        <w:footnoteRef/>
      </w:r>
      <w:r w:rsidRPr="00F21CFE">
        <w:rPr>
          <w:i/>
          <w:sz w:val="18"/>
          <w:szCs w:val="18"/>
        </w:rPr>
        <w:t xml:space="preserve"> </w:t>
      </w:r>
      <w:r w:rsidRPr="00F21CFE">
        <w:rPr>
          <w:rFonts w:cstheme="minorHAnsi"/>
          <w:i/>
          <w:sz w:val="18"/>
          <w:szCs w:val="18"/>
        </w:rPr>
        <w:t>34CFR 299.7(c)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7EB4" w14:textId="4A4E6D76" w:rsidR="009C0E81" w:rsidRPr="00ED11C4" w:rsidRDefault="00ED11C4" w:rsidP="00ED11C4">
    <w:pPr>
      <w:spacing w:before="22" w:after="0" w:line="240" w:lineRule="auto"/>
      <w:ind w:right="2819"/>
      <w:rPr>
        <w:rFonts w:eastAsia="Times New Roman" w:cstheme="minorHAnsi"/>
        <w:sz w:val="40"/>
        <w:szCs w:val="40"/>
      </w:rPr>
    </w:pPr>
    <w:r w:rsidRPr="00B31872">
      <w:rPr>
        <w:b/>
        <w:noProof/>
        <w:color w:val="1F497D" w:themeColor="text2"/>
        <w:sz w:val="40"/>
        <w:szCs w:val="40"/>
      </w:rPr>
      <w:drawing>
        <wp:anchor distT="0" distB="0" distL="114300" distR="114300" simplePos="0" relativeHeight="251658241" behindDoc="0" locked="0" layoutInCell="1" allowOverlap="1" wp14:anchorId="56503440" wp14:editId="5DF14F8B">
          <wp:simplePos x="0" y="0"/>
          <wp:positionH relativeFrom="margin">
            <wp:align>right</wp:align>
          </wp:positionH>
          <wp:positionV relativeFrom="paragraph">
            <wp:posOffset>-205740</wp:posOffset>
          </wp:positionV>
          <wp:extent cx="1654810" cy="447675"/>
          <wp:effectExtent l="0" t="0" r="2540" b="9525"/>
          <wp:wrapSquare wrapText="bothSides"/>
          <wp:docPr id="9" name="Picture 9"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67ED"/>
    <w:multiLevelType w:val="hybridMultilevel"/>
    <w:tmpl w:val="764CAE9C"/>
    <w:lvl w:ilvl="0" w:tplc="0F548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D8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2CA2F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B48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AED1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A43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092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809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6E7B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983D8F"/>
    <w:multiLevelType w:val="hybridMultilevel"/>
    <w:tmpl w:val="9EF49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05334E"/>
    <w:multiLevelType w:val="multilevel"/>
    <w:tmpl w:val="F1282A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2237D"/>
    <w:multiLevelType w:val="hybridMultilevel"/>
    <w:tmpl w:val="7B94671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2BDC4630"/>
    <w:multiLevelType w:val="hybridMultilevel"/>
    <w:tmpl w:val="B398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37AF1"/>
    <w:multiLevelType w:val="hybridMultilevel"/>
    <w:tmpl w:val="56E028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36D224D"/>
    <w:multiLevelType w:val="hybridMultilevel"/>
    <w:tmpl w:val="37F8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1C14DF"/>
    <w:multiLevelType w:val="hybridMultilevel"/>
    <w:tmpl w:val="B3926F74"/>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44C16A33"/>
    <w:multiLevelType w:val="hybridMultilevel"/>
    <w:tmpl w:val="C39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F64C7"/>
    <w:multiLevelType w:val="hybridMultilevel"/>
    <w:tmpl w:val="E760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A7185"/>
    <w:multiLevelType w:val="multilevel"/>
    <w:tmpl w:val="AC7A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44720"/>
    <w:multiLevelType w:val="hybridMultilevel"/>
    <w:tmpl w:val="5C40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01DB8"/>
    <w:multiLevelType w:val="hybridMultilevel"/>
    <w:tmpl w:val="685E3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72A93"/>
    <w:multiLevelType w:val="hybridMultilevel"/>
    <w:tmpl w:val="0404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F4A56"/>
    <w:multiLevelType w:val="hybridMultilevel"/>
    <w:tmpl w:val="1BCE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B1A24"/>
    <w:multiLevelType w:val="hybridMultilevel"/>
    <w:tmpl w:val="1EC0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83284"/>
    <w:multiLevelType w:val="hybridMultilevel"/>
    <w:tmpl w:val="507E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A1A01"/>
    <w:multiLevelType w:val="hybridMultilevel"/>
    <w:tmpl w:val="AA726CE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1343630067">
    <w:abstractNumId w:val="7"/>
  </w:num>
  <w:num w:numId="2" w16cid:durableId="612714419">
    <w:abstractNumId w:val="17"/>
  </w:num>
  <w:num w:numId="3" w16cid:durableId="1644239808">
    <w:abstractNumId w:val="11"/>
  </w:num>
  <w:num w:numId="4" w16cid:durableId="140734015">
    <w:abstractNumId w:val="3"/>
  </w:num>
  <w:num w:numId="5" w16cid:durableId="2037539693">
    <w:abstractNumId w:val="16"/>
  </w:num>
  <w:num w:numId="6" w16cid:durableId="1697343584">
    <w:abstractNumId w:val="1"/>
  </w:num>
  <w:num w:numId="7" w16cid:durableId="2094889503">
    <w:abstractNumId w:val="4"/>
  </w:num>
  <w:num w:numId="8" w16cid:durableId="657419707">
    <w:abstractNumId w:val="6"/>
  </w:num>
  <w:num w:numId="9" w16cid:durableId="1052119117">
    <w:abstractNumId w:val="15"/>
  </w:num>
  <w:num w:numId="10" w16cid:durableId="605887601">
    <w:abstractNumId w:val="0"/>
  </w:num>
  <w:num w:numId="11" w16cid:durableId="1614288457">
    <w:abstractNumId w:val="14"/>
  </w:num>
  <w:num w:numId="12" w16cid:durableId="1937128328">
    <w:abstractNumId w:val="9"/>
  </w:num>
  <w:num w:numId="13" w16cid:durableId="1945384398">
    <w:abstractNumId w:val="13"/>
  </w:num>
  <w:num w:numId="14" w16cid:durableId="1036999963">
    <w:abstractNumId w:val="10"/>
  </w:num>
  <w:num w:numId="15" w16cid:durableId="936791886">
    <w:abstractNumId w:val="2"/>
  </w:num>
  <w:num w:numId="16" w16cid:durableId="53549652">
    <w:abstractNumId w:val="12"/>
  </w:num>
  <w:num w:numId="17" w16cid:durableId="1956474253">
    <w:abstractNumId w:val="8"/>
  </w:num>
  <w:num w:numId="18" w16cid:durableId="846796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B9"/>
    <w:rsid w:val="00021166"/>
    <w:rsid w:val="000551FF"/>
    <w:rsid w:val="00065BB4"/>
    <w:rsid w:val="00084229"/>
    <w:rsid w:val="00084509"/>
    <w:rsid w:val="000865A6"/>
    <w:rsid w:val="00094EEC"/>
    <w:rsid w:val="000B35E6"/>
    <w:rsid w:val="000C6B1E"/>
    <w:rsid w:val="000D3AD6"/>
    <w:rsid w:val="000E2B8D"/>
    <w:rsid w:val="00191C1C"/>
    <w:rsid w:val="00241BBF"/>
    <w:rsid w:val="00247457"/>
    <w:rsid w:val="00274902"/>
    <w:rsid w:val="0028011C"/>
    <w:rsid w:val="002A48E6"/>
    <w:rsid w:val="002A6116"/>
    <w:rsid w:val="002E010E"/>
    <w:rsid w:val="00322EC0"/>
    <w:rsid w:val="00335305"/>
    <w:rsid w:val="00361815"/>
    <w:rsid w:val="00392A16"/>
    <w:rsid w:val="003B0669"/>
    <w:rsid w:val="003D3CF5"/>
    <w:rsid w:val="003E7F9D"/>
    <w:rsid w:val="004B7D38"/>
    <w:rsid w:val="004E5334"/>
    <w:rsid w:val="0054520E"/>
    <w:rsid w:val="0054716E"/>
    <w:rsid w:val="00594337"/>
    <w:rsid w:val="0059433B"/>
    <w:rsid w:val="005A424F"/>
    <w:rsid w:val="005E40FC"/>
    <w:rsid w:val="005E6C1F"/>
    <w:rsid w:val="0064580A"/>
    <w:rsid w:val="0065384B"/>
    <w:rsid w:val="006778D6"/>
    <w:rsid w:val="006860D6"/>
    <w:rsid w:val="00687FE2"/>
    <w:rsid w:val="006A1DFE"/>
    <w:rsid w:val="006C3BD2"/>
    <w:rsid w:val="006C6864"/>
    <w:rsid w:val="006D74FF"/>
    <w:rsid w:val="007125A5"/>
    <w:rsid w:val="0077690D"/>
    <w:rsid w:val="0079485E"/>
    <w:rsid w:val="0079514A"/>
    <w:rsid w:val="007D46F4"/>
    <w:rsid w:val="007D4C7F"/>
    <w:rsid w:val="007F7E1C"/>
    <w:rsid w:val="00812473"/>
    <w:rsid w:val="0082619D"/>
    <w:rsid w:val="00841EEE"/>
    <w:rsid w:val="00871692"/>
    <w:rsid w:val="0087481B"/>
    <w:rsid w:val="008772F4"/>
    <w:rsid w:val="00886C44"/>
    <w:rsid w:val="0088782D"/>
    <w:rsid w:val="008A79B9"/>
    <w:rsid w:val="008C0A62"/>
    <w:rsid w:val="008E4E71"/>
    <w:rsid w:val="009013FE"/>
    <w:rsid w:val="00901A2D"/>
    <w:rsid w:val="00933FCE"/>
    <w:rsid w:val="00953CD4"/>
    <w:rsid w:val="00993002"/>
    <w:rsid w:val="009C0E81"/>
    <w:rsid w:val="009C27D5"/>
    <w:rsid w:val="009D6B08"/>
    <w:rsid w:val="00A0055F"/>
    <w:rsid w:val="00A00D19"/>
    <w:rsid w:val="00A21762"/>
    <w:rsid w:val="00AF3CD8"/>
    <w:rsid w:val="00B40E0A"/>
    <w:rsid w:val="00B41A0A"/>
    <w:rsid w:val="00B627E2"/>
    <w:rsid w:val="00B65592"/>
    <w:rsid w:val="00B842F8"/>
    <w:rsid w:val="00B91335"/>
    <w:rsid w:val="00B91E2D"/>
    <w:rsid w:val="00BC06ED"/>
    <w:rsid w:val="00BD4E14"/>
    <w:rsid w:val="00BF3FE7"/>
    <w:rsid w:val="00BF710B"/>
    <w:rsid w:val="00C07174"/>
    <w:rsid w:val="00C63EC4"/>
    <w:rsid w:val="00C64EC5"/>
    <w:rsid w:val="00C713A1"/>
    <w:rsid w:val="00C82158"/>
    <w:rsid w:val="00CB34B1"/>
    <w:rsid w:val="00CC3ABA"/>
    <w:rsid w:val="00CE58B9"/>
    <w:rsid w:val="00CF5C1C"/>
    <w:rsid w:val="00D208D7"/>
    <w:rsid w:val="00D2185F"/>
    <w:rsid w:val="00D23B42"/>
    <w:rsid w:val="00D4607A"/>
    <w:rsid w:val="00D560F2"/>
    <w:rsid w:val="00D67980"/>
    <w:rsid w:val="00E04E5A"/>
    <w:rsid w:val="00E06521"/>
    <w:rsid w:val="00E23504"/>
    <w:rsid w:val="00E6361E"/>
    <w:rsid w:val="00E7774D"/>
    <w:rsid w:val="00EB1054"/>
    <w:rsid w:val="00ED11C4"/>
    <w:rsid w:val="00EE0DF4"/>
    <w:rsid w:val="00F0058E"/>
    <w:rsid w:val="00F21CFE"/>
    <w:rsid w:val="00F2323B"/>
    <w:rsid w:val="00F531B7"/>
    <w:rsid w:val="00F7381D"/>
    <w:rsid w:val="00F90B2F"/>
    <w:rsid w:val="00FA1DCA"/>
    <w:rsid w:val="00FA762E"/>
    <w:rsid w:val="00FC4F30"/>
    <w:rsid w:val="00FC5C4A"/>
    <w:rsid w:val="00FD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D701"/>
  <w15:docId w15:val="{7681CDBB-F888-422E-8E93-8D5D46C3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D74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74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81"/>
  </w:style>
  <w:style w:type="paragraph" w:styleId="Footer">
    <w:name w:val="footer"/>
    <w:basedOn w:val="Normal"/>
    <w:link w:val="FooterChar"/>
    <w:uiPriority w:val="99"/>
    <w:unhideWhenUsed/>
    <w:rsid w:val="009C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81"/>
  </w:style>
  <w:style w:type="paragraph" w:styleId="ListParagraph">
    <w:name w:val="List Paragraph"/>
    <w:basedOn w:val="Normal"/>
    <w:uiPriority w:val="34"/>
    <w:qFormat/>
    <w:rsid w:val="00CB34B1"/>
    <w:pPr>
      <w:ind w:left="720"/>
      <w:contextualSpacing/>
    </w:pPr>
  </w:style>
  <w:style w:type="character" w:styleId="CommentReference">
    <w:name w:val="annotation reference"/>
    <w:basedOn w:val="DefaultParagraphFont"/>
    <w:uiPriority w:val="99"/>
    <w:semiHidden/>
    <w:unhideWhenUsed/>
    <w:rsid w:val="00812473"/>
    <w:rPr>
      <w:sz w:val="16"/>
      <w:szCs w:val="16"/>
    </w:rPr>
  </w:style>
  <w:style w:type="paragraph" w:styleId="CommentText">
    <w:name w:val="annotation text"/>
    <w:basedOn w:val="Normal"/>
    <w:link w:val="CommentTextChar"/>
    <w:uiPriority w:val="99"/>
    <w:semiHidden/>
    <w:unhideWhenUsed/>
    <w:rsid w:val="00812473"/>
    <w:pPr>
      <w:spacing w:line="240" w:lineRule="auto"/>
    </w:pPr>
    <w:rPr>
      <w:sz w:val="20"/>
      <w:szCs w:val="20"/>
    </w:rPr>
  </w:style>
  <w:style w:type="character" w:customStyle="1" w:styleId="CommentTextChar">
    <w:name w:val="Comment Text Char"/>
    <w:basedOn w:val="DefaultParagraphFont"/>
    <w:link w:val="CommentText"/>
    <w:uiPriority w:val="99"/>
    <w:semiHidden/>
    <w:rsid w:val="00812473"/>
    <w:rPr>
      <w:sz w:val="20"/>
      <w:szCs w:val="20"/>
    </w:rPr>
  </w:style>
  <w:style w:type="paragraph" w:styleId="CommentSubject">
    <w:name w:val="annotation subject"/>
    <w:basedOn w:val="CommentText"/>
    <w:next w:val="CommentText"/>
    <w:link w:val="CommentSubjectChar"/>
    <w:uiPriority w:val="99"/>
    <w:semiHidden/>
    <w:unhideWhenUsed/>
    <w:rsid w:val="00812473"/>
    <w:rPr>
      <w:b/>
      <w:bCs/>
    </w:rPr>
  </w:style>
  <w:style w:type="character" w:customStyle="1" w:styleId="CommentSubjectChar">
    <w:name w:val="Comment Subject Char"/>
    <w:basedOn w:val="CommentTextChar"/>
    <w:link w:val="CommentSubject"/>
    <w:uiPriority w:val="99"/>
    <w:semiHidden/>
    <w:rsid w:val="00812473"/>
    <w:rPr>
      <w:b/>
      <w:bCs/>
      <w:sz w:val="20"/>
      <w:szCs w:val="20"/>
    </w:rPr>
  </w:style>
  <w:style w:type="paragraph" w:styleId="BalloonText">
    <w:name w:val="Balloon Text"/>
    <w:basedOn w:val="Normal"/>
    <w:link w:val="BalloonTextChar"/>
    <w:uiPriority w:val="99"/>
    <w:semiHidden/>
    <w:unhideWhenUsed/>
    <w:rsid w:val="0081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73"/>
    <w:rPr>
      <w:rFonts w:ascii="Tahoma" w:hAnsi="Tahoma" w:cs="Tahoma"/>
      <w:sz w:val="16"/>
      <w:szCs w:val="16"/>
    </w:rPr>
  </w:style>
  <w:style w:type="character" w:styleId="Hyperlink">
    <w:name w:val="Hyperlink"/>
    <w:basedOn w:val="DefaultParagraphFont"/>
    <w:uiPriority w:val="99"/>
    <w:unhideWhenUsed/>
    <w:rsid w:val="005A424F"/>
    <w:rPr>
      <w:color w:val="0000FF" w:themeColor="hyperlink"/>
      <w:u w:val="single"/>
    </w:rPr>
  </w:style>
  <w:style w:type="character" w:customStyle="1" w:styleId="1">
    <w:name w:val="1"/>
    <w:rsid w:val="00084229"/>
  </w:style>
  <w:style w:type="paragraph" w:customStyle="1" w:styleId="Default">
    <w:name w:val="Default"/>
    <w:rsid w:val="00084229"/>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41EEE"/>
    <w:rPr>
      <w:color w:val="800080" w:themeColor="followedHyperlink"/>
      <w:u w:val="single"/>
    </w:rPr>
  </w:style>
  <w:style w:type="paragraph" w:styleId="NormalWeb">
    <w:name w:val="Normal (Web)"/>
    <w:basedOn w:val="Normal"/>
    <w:uiPriority w:val="99"/>
    <w:unhideWhenUsed/>
    <w:rsid w:val="00D208D7"/>
    <w:pPr>
      <w:widowControl/>
      <w:spacing w:before="132" w:after="132"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7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D74F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D74FF"/>
    <w:rPr>
      <w:b/>
      <w:bCs/>
    </w:rPr>
  </w:style>
  <w:style w:type="character" w:styleId="IntenseEmphasis">
    <w:name w:val="Intense Emphasis"/>
    <w:basedOn w:val="DefaultParagraphFont"/>
    <w:uiPriority w:val="21"/>
    <w:qFormat/>
    <w:rsid w:val="009D6B08"/>
    <w:rPr>
      <w:i/>
      <w:iCs/>
      <w:color w:val="4F81BD" w:themeColor="accent1"/>
    </w:rPr>
  </w:style>
  <w:style w:type="paragraph" w:styleId="FootnoteText">
    <w:name w:val="footnote text"/>
    <w:basedOn w:val="Normal"/>
    <w:link w:val="FootnoteTextChar"/>
    <w:uiPriority w:val="99"/>
    <w:semiHidden/>
    <w:unhideWhenUsed/>
    <w:rsid w:val="00D4607A"/>
    <w:pPr>
      <w:widowControl/>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07A"/>
    <w:rPr>
      <w:sz w:val="20"/>
      <w:szCs w:val="20"/>
    </w:rPr>
  </w:style>
  <w:style w:type="character" w:styleId="FootnoteReference">
    <w:name w:val="footnote reference"/>
    <w:basedOn w:val="DefaultParagraphFont"/>
    <w:uiPriority w:val="99"/>
    <w:semiHidden/>
    <w:unhideWhenUsed/>
    <w:rsid w:val="00D4607A"/>
    <w:rPr>
      <w:vertAlign w:val="superscript"/>
    </w:rPr>
  </w:style>
  <w:style w:type="character" w:styleId="UnresolvedMention">
    <w:name w:val="Unresolved Mention"/>
    <w:basedOn w:val="DefaultParagraphFont"/>
    <w:uiPriority w:val="99"/>
    <w:semiHidden/>
    <w:unhideWhenUsed/>
    <w:rsid w:val="0067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5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chools-and-districts/grants/ESEA/Documents/SNS.docx" TargetMode="External"/><Relationship Id="rId18" Type="http://schemas.openxmlformats.org/officeDocument/2006/relationships/hyperlink" Target="https://public.govdelivery.com/accounts/ORED/subscriber/new?topic_id=ORED_13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ode/schools-and-districts/grants/ESEA/IIA/Documents/t2aapplicationinstructionsfinal.pdf" TargetMode="External"/><Relationship Id="rId17" Type="http://schemas.openxmlformats.org/officeDocument/2006/relationships/hyperlink" Target="http://www.oregon.gov/ode/schools-and-districts/grants/ESEA/IIA/Pages/default.aspx" TargetMode="External"/><Relationship Id="rId2" Type="http://schemas.openxmlformats.org/officeDocument/2006/relationships/customXml" Target="../customXml/item2.xml"/><Relationship Id="rId16" Type="http://schemas.openxmlformats.org/officeDocument/2006/relationships/hyperlink" Target="http://www.oregon.gov/ode/educator-resources/Pages/Teacher-Licensur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ov/media/document/title-ii-part-non-regulatory-guidance-january-2025" TargetMode="External"/><Relationship Id="rId5" Type="http://schemas.openxmlformats.org/officeDocument/2006/relationships/numbering" Target="numbering.xml"/><Relationship Id="rId15" Type="http://schemas.openxmlformats.org/officeDocument/2006/relationships/hyperlink" Target="https://www.oregon.gov/tspc/lic/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ah.martin@ode.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Documents/Equitable_Service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2021-08-27T07:00:00+00:00</Remediation_x0020_Date>
    <Priority xmlns="033ab11c-6041-4f50-b845-c0c38e41b3e3">New</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45293-D8CF-48A0-BC1D-7D31C07BC2F0}">
  <ds:schemaRefs>
    <ds:schemaRef ds:uri="http://schemas.openxmlformats.org/officeDocument/2006/bibliography"/>
  </ds:schemaRefs>
</ds:datastoreItem>
</file>

<file path=customXml/itemProps2.xml><?xml version="1.0" encoding="utf-8"?>
<ds:datastoreItem xmlns:ds="http://schemas.openxmlformats.org/officeDocument/2006/customXml" ds:itemID="{4835450B-BD2E-4E05-9AF7-8DDA322D7748}"/>
</file>

<file path=customXml/itemProps3.xml><?xml version="1.0" encoding="utf-8"?>
<ds:datastoreItem xmlns:ds="http://schemas.openxmlformats.org/officeDocument/2006/customXml" ds:itemID="{92973626-FEEC-4FC3-A77A-BA8BC4FF8466}">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customXml/itemProps4.xml><?xml version="1.0" encoding="utf-8"?>
<ds:datastoreItem xmlns:ds="http://schemas.openxmlformats.org/officeDocument/2006/customXml" ds:itemID="{F2A70AE9-D24E-4692-AFC4-1EAB93C4B281}">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 II-A Cliff Notes</vt:lpstr>
    </vt:vector>
  </TitlesOfParts>
  <Company>Oregon Department of Education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II-A Cliff Notes</dc:title>
  <dc:creator>MARTIN Sarah</dc:creator>
  <cp:lastModifiedBy>MARTIN Sarah * ODE</cp:lastModifiedBy>
  <cp:revision>12</cp:revision>
  <cp:lastPrinted>2014-04-28T22:49:00Z</cp:lastPrinted>
  <dcterms:created xsi:type="dcterms:W3CDTF">2024-06-07T16:26:00Z</dcterms:created>
  <dcterms:modified xsi:type="dcterms:W3CDTF">2025-08-05T16:36:00Z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2010-06-01T00:00:00Z</vt:filetime>
  </property>
  <property fmtid="{D5CDD505-2E9C-101B-9397-08002B2CF9AE}" pid="3" name="LastSaved">
    <vt:filetime>2014-01-23T00:00:00Z</vt:filetime>
  </property>
  <property fmtid="{D5CDD505-2E9C-101B-9397-08002B2CF9AE}" pid="4" name="ContentTypeId">
    <vt:lpwstr>0x010100B3812F45279552458458D0611D127A50</vt:lpwstr>
  </property>
  <property fmtid="{D5CDD505-2E9C-101B-9397-08002B2CF9AE}" pid="5" name="MSIP_Label_7730ea53-6f5e-4160-81a5-992a9105450a_Enabled">
    <vt:lpwstr>true</vt:lpwstr>
  </property>
  <property fmtid="{D5CDD505-2E9C-101B-9397-08002B2CF9AE}" pid="6" name="MSIP_Label_7730ea53-6f5e-4160-81a5-992a9105450a_SetDate">
    <vt:lpwstr>2024-06-07T16:26:42Z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7afedb16-19e5-4b2c-a2d8-1ec44a7f02b2</vt:lpwstr>
  </property>
  <property fmtid="{D5CDD505-2E9C-101B-9397-08002B2CF9AE}" pid="11" name="MSIP_Label_7730ea53-6f5e-4160-81a5-992a9105450a_ContentBits">
    <vt:lpwstr>0</vt:lpwstr>
  </property>
  <property fmtid="{D5CDD505-2E9C-101B-9397-08002B2CF9AE}" pid="12" name="MediaServiceImageTags">
    <vt:lpwstr/>
  </property>
</Properties>
</file>