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1DE37" w14:textId="69C11D63" w:rsidR="001E6D1F" w:rsidRPr="001E6D1F" w:rsidRDefault="000006DC" w:rsidP="00147728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</w:pPr>
      <w:r>
        <w:rPr>
          <w:rFonts w:ascii="Calibri" w:hAnsi="Calibri"/>
          <w:sz w:val="28"/>
        </w:rPr>
        <w:t>Participación del estudiante en</w:t>
      </w:r>
    </w:p>
    <w:p w14:paraId="6DB8619F" w14:textId="77777777" w:rsidR="000006DC" w:rsidRDefault="001E6D1F" w:rsidP="000006DC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</w:pPr>
      <w:r>
        <w:rPr>
          <w:rFonts w:ascii="Calibri" w:hAnsi="Calibri"/>
          <w:sz w:val="28"/>
        </w:rPr>
        <w:t>[</w:t>
      </w:r>
      <w:r>
        <w:rPr>
          <w:rFonts w:ascii="Calibri" w:hAnsi="Calibri"/>
          <w:sz w:val="28"/>
          <w:highlight w:val="yellow"/>
        </w:rPr>
        <w:t>District Multilingual Instructional Programs</w:t>
      </w:r>
      <w:r>
        <w:rPr>
          <w:rFonts w:ascii="Calibri" w:hAnsi="Calibri"/>
          <w:sz w:val="28"/>
        </w:rPr>
        <w:t xml:space="preserve">] </w:t>
      </w:r>
    </w:p>
    <w:p w14:paraId="6FE260EF" w14:textId="67EF9873" w:rsidR="000006DC" w:rsidRPr="000006DC" w:rsidRDefault="000006DC" w:rsidP="000006DC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2"/>
          <w14:ligatures w14:val="standardContextual"/>
        </w:rPr>
      </w:pPr>
      <w:r>
        <w:rPr>
          <w:rFonts w:ascii="Calibri" w:hAnsi="Calibri"/>
          <w:sz w:val="28"/>
        </w:rPr>
        <w:t>Año escolar [</w:t>
      </w:r>
      <w:r>
        <w:rPr>
          <w:rFonts w:ascii="Calibri" w:hAnsi="Calibri"/>
          <w:sz w:val="28"/>
          <w:highlight w:val="yellow"/>
        </w:rPr>
        <w:t>20XX-20XX</w:t>
      </w:r>
      <w:r>
        <w:rPr>
          <w:rFonts w:ascii="Calibri" w:hAnsi="Calibri"/>
          <w:sz w:val="28"/>
        </w:rPr>
        <w:t>]</w:t>
      </w:r>
    </w:p>
    <w:p w14:paraId="0FBB2E89" w14:textId="21B1FB21" w:rsidR="00AD6557" w:rsidRPr="00FF6C76" w:rsidRDefault="000006DC" w:rsidP="000006DC">
      <w:pPr>
        <w:tabs>
          <w:tab w:val="left" w:pos="1260"/>
        </w:tabs>
        <w:spacing w:before="240" w:after="0" w:line="240" w:lineRule="auto"/>
        <w:rPr>
          <w:rFonts w:ascii="Calibri" w:hAnsi="Calibri" w:cs="Calibri"/>
          <w:sz w:val="22"/>
        </w:rPr>
      </w:pPr>
      <w:r w:rsidRPr="00FF6C76">
        <w:rPr>
          <w:rFonts w:ascii="Calibri" w:hAnsi="Calibri"/>
          <w:sz w:val="22"/>
        </w:rPr>
        <w:t>[</w:t>
      </w:r>
      <w:r w:rsidRPr="00FF6C76">
        <w:rPr>
          <w:rFonts w:ascii="Calibri" w:hAnsi="Calibri"/>
          <w:sz w:val="22"/>
          <w:highlight w:val="yellow"/>
        </w:rPr>
        <w:t>DISTRICT</w:t>
      </w:r>
      <w:r w:rsidRPr="00FF6C76">
        <w:rPr>
          <w:rFonts w:ascii="Calibri" w:hAnsi="Calibri"/>
          <w:sz w:val="22"/>
        </w:rPr>
        <w:t xml:space="preserve">] ofrece varios programas y servicios diferentes para ayudar a su estudiante a leer, escribir, hablar y comprender el inglés sin la necesidad de mucho apoyo adicional. Estos recurso se proporcionan para ayudar a su estudiante a cumplir con el contenido de nivel de grado y que pueda graduarse de la preparatoria (high school) a tiempo. </w:t>
      </w:r>
    </w:p>
    <w:p w14:paraId="11FFE1E0" w14:textId="1757C8CD" w:rsidR="00AD6557" w:rsidRPr="00FF6C76" w:rsidRDefault="000006DC" w:rsidP="000006DC">
      <w:pPr>
        <w:tabs>
          <w:tab w:val="left" w:pos="1260"/>
        </w:tabs>
        <w:spacing w:line="240" w:lineRule="auto"/>
        <w:rPr>
          <w:rFonts w:ascii="Calibri" w:eastAsia="Times New Roman" w:hAnsi="Calibri" w:cs="Calibri"/>
          <w:b/>
          <w:sz w:val="22"/>
        </w:rPr>
      </w:pPr>
      <w:r w:rsidRPr="00FF6C76">
        <w:rPr>
          <w:rFonts w:ascii="Calibri" w:hAnsi="Calibri"/>
          <w:sz w:val="22"/>
        </w:rPr>
        <w:t xml:space="preserve">Los servicios y programas que proporciona el distrito se enumeran a continuación. Una revisión bajo la participación del estudiante identifica un programa en que </w:t>
      </w:r>
      <w:r w:rsidRPr="00FF6C76">
        <w:rPr>
          <w:rFonts w:ascii="Calibri" w:hAnsi="Calibri"/>
          <w:sz w:val="22"/>
          <w:highlight w:val="yellow"/>
        </w:rPr>
        <w:t>[STUDENT NAME</w:t>
      </w:r>
      <w:r w:rsidRPr="00FF6C76">
        <w:rPr>
          <w:rFonts w:ascii="Calibri" w:hAnsi="Calibri"/>
          <w:sz w:val="22"/>
        </w:rPr>
        <w:t>] está inscrito/a.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525"/>
        <w:gridCol w:w="3240"/>
        <w:gridCol w:w="6030"/>
      </w:tblGrid>
      <w:tr w:rsidR="00102758" w:rsidRPr="00FF6C76" w14:paraId="453FF751" w14:textId="7EC69F44" w:rsidTr="00B91FCD">
        <w:trPr>
          <w:trHeight w:val="422"/>
        </w:trPr>
        <w:tc>
          <w:tcPr>
            <w:tcW w:w="1525" w:type="dxa"/>
            <w:shd w:val="clear" w:color="auto" w:fill="auto"/>
          </w:tcPr>
          <w:p w14:paraId="36298293" w14:textId="3329B375" w:rsidR="00102758" w:rsidRPr="00FF6C76" w:rsidRDefault="000006DC" w:rsidP="00544952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F6C76">
              <w:rPr>
                <w:rFonts w:ascii="Calibri" w:hAnsi="Calibri"/>
                <w:b/>
                <w:sz w:val="22"/>
              </w:rPr>
              <w:t>ESTUDIANTE INSCRITO/A</w:t>
            </w:r>
          </w:p>
        </w:tc>
        <w:tc>
          <w:tcPr>
            <w:tcW w:w="3240" w:type="dxa"/>
            <w:shd w:val="clear" w:color="auto" w:fill="auto"/>
          </w:tcPr>
          <w:p w14:paraId="6B85E182" w14:textId="305C80D0" w:rsidR="00102758" w:rsidRPr="00FF6C76" w:rsidRDefault="001536DF" w:rsidP="000006DC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F6C76">
              <w:rPr>
                <w:rFonts w:ascii="Calibri" w:hAnsi="Calibri"/>
                <w:b/>
                <w:sz w:val="22"/>
              </w:rPr>
              <w:t>PROGRAMA</w:t>
            </w:r>
          </w:p>
        </w:tc>
        <w:tc>
          <w:tcPr>
            <w:tcW w:w="6030" w:type="dxa"/>
            <w:shd w:val="clear" w:color="auto" w:fill="auto"/>
          </w:tcPr>
          <w:p w14:paraId="0A2938BB" w14:textId="28C78624" w:rsidR="00102758" w:rsidRPr="00FF6C76" w:rsidRDefault="000006DC" w:rsidP="000006DC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F6C76">
              <w:rPr>
                <w:rFonts w:ascii="Calibri" w:hAnsi="Calibri"/>
                <w:b/>
                <w:sz w:val="22"/>
              </w:rPr>
              <w:t>DESCRIPCIÓN DEL PROGRAMA</w:t>
            </w:r>
          </w:p>
        </w:tc>
      </w:tr>
      <w:tr w:rsidR="00102758" w:rsidRPr="00FF6C76" w14:paraId="57D2ECC2" w14:textId="77777777" w:rsidTr="00B91FCD">
        <w:trPr>
          <w:trHeight w:val="449"/>
        </w:trPr>
        <w:tc>
          <w:tcPr>
            <w:tcW w:w="1525" w:type="dxa"/>
          </w:tcPr>
          <w:p w14:paraId="7816C789" w14:textId="77777777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240" w:type="dxa"/>
          </w:tcPr>
          <w:p w14:paraId="1CF1D320" w14:textId="523BAF0D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>ELD Class Period</w:t>
            </w:r>
          </w:p>
        </w:tc>
        <w:tc>
          <w:tcPr>
            <w:tcW w:w="6030" w:type="dxa"/>
          </w:tcPr>
          <w:p w14:paraId="043D2BF3" w14:textId="31CBF1C9" w:rsidR="00102758" w:rsidRPr="00FF6C76" w:rsidRDefault="00795A9D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 xml:space="preserve"> La instrucción del inglés se proporciona durante el periodo de clases. </w:t>
            </w:r>
          </w:p>
        </w:tc>
      </w:tr>
      <w:tr w:rsidR="00102758" w:rsidRPr="00FF6C76" w14:paraId="756447B3" w14:textId="77777777" w:rsidTr="00B91FCD">
        <w:trPr>
          <w:trHeight w:val="440"/>
        </w:trPr>
        <w:tc>
          <w:tcPr>
            <w:tcW w:w="1525" w:type="dxa"/>
          </w:tcPr>
          <w:p w14:paraId="3E78A313" w14:textId="77777777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240" w:type="dxa"/>
          </w:tcPr>
          <w:p w14:paraId="3514E21A" w14:textId="2FACF92C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>ELD Push-in</w:t>
            </w:r>
          </w:p>
        </w:tc>
        <w:tc>
          <w:tcPr>
            <w:tcW w:w="6030" w:type="dxa"/>
          </w:tcPr>
          <w:p w14:paraId="7D32BCE2" w14:textId="199D8488" w:rsidR="006A184F" w:rsidRPr="00FF6C76" w:rsidRDefault="00795A9D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 xml:space="preserve"> La instrucción se proporciona dentro del aula principal o del área de contenido del estudiante. </w:t>
            </w:r>
          </w:p>
        </w:tc>
      </w:tr>
      <w:tr w:rsidR="00102758" w:rsidRPr="00FF6C76" w14:paraId="0CFC1B5D" w14:textId="77777777" w:rsidTr="00B91FCD">
        <w:trPr>
          <w:trHeight w:val="701"/>
        </w:trPr>
        <w:tc>
          <w:tcPr>
            <w:tcW w:w="1525" w:type="dxa"/>
          </w:tcPr>
          <w:p w14:paraId="1971DDBC" w14:textId="77777777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240" w:type="dxa"/>
          </w:tcPr>
          <w:p w14:paraId="405447B8" w14:textId="564C9AD8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>ELD Pull-out</w:t>
            </w:r>
          </w:p>
        </w:tc>
        <w:tc>
          <w:tcPr>
            <w:tcW w:w="6030" w:type="dxa"/>
          </w:tcPr>
          <w:p w14:paraId="7C503030" w14:textId="738392A4" w:rsidR="00102758" w:rsidRPr="00FF6C76" w:rsidRDefault="00795A9D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 xml:space="preserve">Los estudiantes pasan una parte del día en su aula principal habitual y se “sacan” durante una parte del día para recibir servicios para aprender inglés. </w:t>
            </w:r>
          </w:p>
        </w:tc>
      </w:tr>
      <w:tr w:rsidR="00102758" w:rsidRPr="00FF6C76" w14:paraId="5124219F" w14:textId="0607AC32" w:rsidTr="00B91FCD">
        <w:tc>
          <w:tcPr>
            <w:tcW w:w="1525" w:type="dxa"/>
          </w:tcPr>
          <w:p w14:paraId="4987931B" w14:textId="77777777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240" w:type="dxa"/>
          </w:tcPr>
          <w:p w14:paraId="71235496" w14:textId="68BC2DF3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>Instrucción de desarrollo integrado del idioma inglés (ELD)</w:t>
            </w:r>
          </w:p>
        </w:tc>
        <w:tc>
          <w:tcPr>
            <w:tcW w:w="6030" w:type="dxa"/>
          </w:tcPr>
          <w:p w14:paraId="73710044" w14:textId="30CB21AB" w:rsidR="00102758" w:rsidRPr="00FF6C76" w:rsidRDefault="00795A9D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 xml:space="preserve">El idioma y el contenido se enseñan juntos, utilizando tanto el dominio del idioma inglés (ELP) como los estándares de contenido para guiar la planificación, la instrucción, la reflexión y la evaluación. </w:t>
            </w:r>
          </w:p>
        </w:tc>
      </w:tr>
      <w:tr w:rsidR="00102758" w:rsidRPr="00FF6C76" w14:paraId="00B65DF1" w14:textId="2BCE9239" w:rsidTr="00B91FCD">
        <w:trPr>
          <w:trHeight w:val="1160"/>
        </w:trPr>
        <w:tc>
          <w:tcPr>
            <w:tcW w:w="1525" w:type="dxa"/>
          </w:tcPr>
          <w:p w14:paraId="3CDB21F3" w14:textId="77777777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240" w:type="dxa"/>
          </w:tcPr>
          <w:p w14:paraId="3DB235CD" w14:textId="0C51682C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 xml:space="preserve">Newcomer ELD </w:t>
            </w:r>
          </w:p>
        </w:tc>
        <w:tc>
          <w:tcPr>
            <w:tcW w:w="6030" w:type="dxa"/>
          </w:tcPr>
          <w:p w14:paraId="5D88365B" w14:textId="77777777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>Es una clase especialmente diseñada para apoyar a los estudiantes que:</w:t>
            </w:r>
          </w:p>
          <w:p w14:paraId="2F19E283" w14:textId="1845B1D9" w:rsidR="00102758" w:rsidRPr="00FF6C76" w:rsidRDefault="00102758" w:rsidP="000637AA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60" w:after="60" w:line="240" w:lineRule="auto"/>
              <w:contextualSpacing w:val="0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 xml:space="preserve">Se acaba de inscribir en una escuela de Estados Unidos </w:t>
            </w:r>
          </w:p>
          <w:p w14:paraId="58521E8C" w14:textId="13AECD22" w:rsidR="00795A9D" w:rsidRPr="00FF6C76" w:rsidRDefault="00795A9D" w:rsidP="000637AA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60" w:after="60" w:line="240" w:lineRule="auto"/>
              <w:contextualSpacing w:val="0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 xml:space="preserve">Tienen niveles iniciales de competencia en el idioma inglés </w:t>
            </w:r>
          </w:p>
          <w:p w14:paraId="78C6E118" w14:textId="32F0201F" w:rsidR="006A184F" w:rsidRPr="00FF6C76" w:rsidRDefault="00795A9D" w:rsidP="000637AA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60" w:after="60" w:line="240" w:lineRule="auto"/>
              <w:contextualSpacing w:val="0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 xml:space="preserve">Necesitan aprender inglés rápidamente para tener éxito en la escuela </w:t>
            </w:r>
          </w:p>
        </w:tc>
      </w:tr>
      <w:tr w:rsidR="00102758" w:rsidRPr="00FF6C76" w14:paraId="77D4C433" w14:textId="23ECC469" w:rsidTr="00B91FCD">
        <w:tc>
          <w:tcPr>
            <w:tcW w:w="1525" w:type="dxa"/>
          </w:tcPr>
          <w:p w14:paraId="6727F605" w14:textId="77777777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240" w:type="dxa"/>
          </w:tcPr>
          <w:p w14:paraId="371D0CBD" w14:textId="77777777" w:rsidR="00B12F2C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 xml:space="preserve">Dual language </w:t>
            </w:r>
          </w:p>
          <w:p w14:paraId="031612C9" w14:textId="1D007F36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>(bidireccional o unidireccional)</w:t>
            </w:r>
          </w:p>
        </w:tc>
        <w:tc>
          <w:tcPr>
            <w:tcW w:w="6030" w:type="dxa"/>
          </w:tcPr>
          <w:p w14:paraId="00DB4AE4" w14:textId="02658F0F" w:rsidR="006A184F" w:rsidRPr="00FF6C76" w:rsidRDefault="00795A9D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 xml:space="preserve">Instrucción que se da en inglés y otro idioma por lo menos 50% o más del tiempo de instrucción. </w:t>
            </w:r>
          </w:p>
        </w:tc>
      </w:tr>
      <w:tr w:rsidR="00102758" w:rsidRPr="00FF6C76" w14:paraId="7015D926" w14:textId="6F3B8681" w:rsidTr="00B91FCD">
        <w:tc>
          <w:tcPr>
            <w:tcW w:w="1525" w:type="dxa"/>
          </w:tcPr>
          <w:p w14:paraId="4900E0BA" w14:textId="77777777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240" w:type="dxa"/>
          </w:tcPr>
          <w:p w14:paraId="2C6AEC85" w14:textId="77777777" w:rsidR="00B12F2C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 xml:space="preserve">Transitional Bilingual </w:t>
            </w:r>
          </w:p>
          <w:p w14:paraId="41BA0913" w14:textId="6EF79DBA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>(salida temprana o tardía)</w:t>
            </w:r>
          </w:p>
        </w:tc>
        <w:tc>
          <w:tcPr>
            <w:tcW w:w="6030" w:type="dxa"/>
          </w:tcPr>
          <w:p w14:paraId="18FAFF03" w14:textId="7CF2E22F" w:rsidR="006A184F" w:rsidRPr="00FF6C76" w:rsidRDefault="00795A9D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 xml:space="preserve">La mayor parte de la instrucción es en el idioma que se habla en casa del estudiante y con el paso de </w:t>
            </w:r>
            <w:r w:rsidRPr="00FF6C76">
              <w:rPr>
                <w:rFonts w:ascii="Calibri" w:hAnsi="Calibri"/>
                <w:sz w:val="22"/>
                <w:highlight w:val="yellow"/>
              </w:rPr>
              <w:t>[</w:t>
            </w:r>
            <w:r w:rsidR="000637AA">
              <w:rPr>
                <w:rFonts w:ascii="Calibri" w:hAnsi="Calibri"/>
                <w:sz w:val="22"/>
                <w:highlight w:val="yellow"/>
              </w:rPr>
              <w:t>NUMBER OF YEARS</w:t>
            </w:r>
            <w:r w:rsidRPr="00FF6C76">
              <w:rPr>
                <w:rFonts w:ascii="Calibri" w:hAnsi="Calibri"/>
                <w:sz w:val="22"/>
                <w:highlight w:val="yellow"/>
              </w:rPr>
              <w:t>]</w:t>
            </w:r>
            <w:r w:rsidRPr="00FF6C76">
              <w:rPr>
                <w:rFonts w:ascii="Calibri" w:hAnsi="Calibri"/>
                <w:sz w:val="22"/>
              </w:rPr>
              <w:t xml:space="preserve"> la instrucción transiciona al inglés. </w:t>
            </w:r>
          </w:p>
        </w:tc>
      </w:tr>
      <w:tr w:rsidR="00102758" w:rsidRPr="00FF6C76" w14:paraId="6CBAD1BC" w14:textId="7F734A68" w:rsidTr="00B91FCD">
        <w:tc>
          <w:tcPr>
            <w:tcW w:w="1525" w:type="dxa"/>
          </w:tcPr>
          <w:p w14:paraId="1792497F" w14:textId="77777777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240" w:type="dxa"/>
          </w:tcPr>
          <w:p w14:paraId="7F2E537E" w14:textId="77777777" w:rsidR="000006DC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 xml:space="preserve">Other Bilingual </w:t>
            </w:r>
          </w:p>
          <w:p w14:paraId="621A3D77" w14:textId="6ECE6610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>(Preservación de la herencia)</w:t>
            </w:r>
          </w:p>
        </w:tc>
        <w:tc>
          <w:tcPr>
            <w:tcW w:w="6030" w:type="dxa"/>
          </w:tcPr>
          <w:p w14:paraId="23B4DE24" w14:textId="19D294C9" w:rsidR="00102758" w:rsidRPr="00FF6C76" w:rsidRDefault="0091206F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color w:val="000000"/>
                <w:sz w:val="22"/>
              </w:rPr>
              <w:t>Las clases se ofrecen con apoyo para preservar la lengua heredada.</w:t>
            </w:r>
          </w:p>
        </w:tc>
      </w:tr>
      <w:tr w:rsidR="00102758" w:rsidRPr="00FF6C76" w14:paraId="021442DB" w14:textId="16390320" w:rsidTr="00B91FCD">
        <w:tc>
          <w:tcPr>
            <w:tcW w:w="1525" w:type="dxa"/>
          </w:tcPr>
          <w:p w14:paraId="3ACA63BA" w14:textId="77777777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240" w:type="dxa"/>
          </w:tcPr>
          <w:p w14:paraId="0160B429" w14:textId="4E8CA6AA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>Sheltered Instruction</w:t>
            </w:r>
          </w:p>
        </w:tc>
        <w:tc>
          <w:tcPr>
            <w:tcW w:w="6030" w:type="dxa"/>
          </w:tcPr>
          <w:p w14:paraId="75EC3759" w14:textId="0CDC1E50" w:rsidR="006A184F" w:rsidRPr="00FF6C76" w:rsidRDefault="00795A9D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 xml:space="preserve">El maestro utiliza estrategias de instrucción especiales para satisfacer las necesidades lingüísticas de su estudiante en las siguientes clases: </w:t>
            </w:r>
            <w:r w:rsidRPr="00FF6C76">
              <w:rPr>
                <w:rFonts w:ascii="Calibri" w:hAnsi="Calibri"/>
                <w:sz w:val="22"/>
                <w:highlight w:val="yellow"/>
              </w:rPr>
              <w:t>[ENTER APPLICABLE CLASS SUBJECTS</w:t>
            </w:r>
            <w:r w:rsidRPr="00FF6C76">
              <w:rPr>
                <w:rFonts w:ascii="Calibri" w:hAnsi="Calibri"/>
                <w:sz w:val="22"/>
              </w:rPr>
              <w:t>]</w:t>
            </w:r>
          </w:p>
        </w:tc>
      </w:tr>
      <w:tr w:rsidR="00102758" w:rsidRPr="00FF6C76" w14:paraId="3DFAE425" w14:textId="4FD5D9E7" w:rsidTr="00B91FCD">
        <w:tc>
          <w:tcPr>
            <w:tcW w:w="1525" w:type="dxa"/>
          </w:tcPr>
          <w:p w14:paraId="49BEC722" w14:textId="77777777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240" w:type="dxa"/>
          </w:tcPr>
          <w:p w14:paraId="36EA47C2" w14:textId="70875F60" w:rsidR="00102758" w:rsidRPr="00FF6C76" w:rsidRDefault="00102758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>Newcomer - Core class</w:t>
            </w:r>
          </w:p>
        </w:tc>
        <w:tc>
          <w:tcPr>
            <w:tcW w:w="6030" w:type="dxa"/>
          </w:tcPr>
          <w:p w14:paraId="54CFABB3" w14:textId="4AF21F0F" w:rsidR="006A184F" w:rsidRPr="00FF6C76" w:rsidRDefault="00795A9D" w:rsidP="000637AA">
            <w:pPr>
              <w:tabs>
                <w:tab w:val="left" w:pos="1260"/>
              </w:tabs>
              <w:spacing w:before="60" w:after="60" w:line="240" w:lineRule="auto"/>
              <w:rPr>
                <w:rFonts w:ascii="Calibri" w:hAnsi="Calibri" w:cs="Calibri"/>
                <w:sz w:val="22"/>
              </w:rPr>
            </w:pPr>
            <w:r w:rsidRPr="00FF6C76">
              <w:rPr>
                <w:rFonts w:ascii="Calibri" w:hAnsi="Calibri"/>
                <w:sz w:val="22"/>
              </w:rPr>
              <w:t xml:space="preserve">Este es un programa específicamente diseñado para apoyar a los estudiantes que se inscribieron recientemente en una escuela de Estados Unidos y necesitan apoyo para leer, escribir, hablar y comprender el idioma. La instrucción y el apoyo se proporcionan para una o más materias a nivel de grado. </w:t>
            </w:r>
          </w:p>
        </w:tc>
      </w:tr>
    </w:tbl>
    <w:p w14:paraId="1B75D878" w14:textId="77777777" w:rsidR="00A90D24" w:rsidRPr="00FF6C76" w:rsidRDefault="00A90D24" w:rsidP="00AD6557">
      <w:pPr>
        <w:widowControl w:val="0"/>
        <w:tabs>
          <w:tab w:val="left" w:pos="1260"/>
        </w:tabs>
        <w:spacing w:line="240" w:lineRule="auto"/>
        <w:rPr>
          <w:rFonts w:ascii="Calibri" w:hAnsi="Calibri" w:cs="Calibri"/>
          <w:sz w:val="22"/>
        </w:rPr>
      </w:pPr>
    </w:p>
    <w:sectPr w:rsidR="00A90D24" w:rsidRPr="00FF6C76" w:rsidSect="006A184F">
      <w:pgSz w:w="12240" w:h="15840"/>
      <w:pgMar w:top="576" w:right="720" w:bottom="50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D69C3" w14:textId="77777777" w:rsidR="00A90D24" w:rsidRDefault="00A90D24" w:rsidP="00A90D24">
      <w:pPr>
        <w:spacing w:before="0" w:after="0" w:line="240" w:lineRule="auto"/>
      </w:pPr>
      <w:r>
        <w:separator/>
      </w:r>
    </w:p>
  </w:endnote>
  <w:endnote w:type="continuationSeparator" w:id="0">
    <w:p w14:paraId="45A523A9" w14:textId="77777777" w:rsidR="00A90D24" w:rsidRDefault="00A90D24" w:rsidP="00A90D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31535" w14:textId="77777777" w:rsidR="00A90D24" w:rsidRDefault="00A90D24" w:rsidP="00A90D24">
      <w:pPr>
        <w:spacing w:before="0" w:after="0" w:line="240" w:lineRule="auto"/>
      </w:pPr>
      <w:r>
        <w:separator/>
      </w:r>
    </w:p>
  </w:footnote>
  <w:footnote w:type="continuationSeparator" w:id="0">
    <w:p w14:paraId="732C7FE2" w14:textId="77777777" w:rsidR="00A90D24" w:rsidRDefault="00A90D24" w:rsidP="00A90D2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13859">
    <w:abstractNumId w:val="2"/>
  </w:num>
  <w:num w:numId="2" w16cid:durableId="1838616653">
    <w:abstractNumId w:val="0"/>
  </w:num>
  <w:num w:numId="3" w16cid:durableId="3358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24"/>
    <w:rsid w:val="000006DC"/>
    <w:rsid w:val="00025947"/>
    <w:rsid w:val="00057FD8"/>
    <w:rsid w:val="000637AA"/>
    <w:rsid w:val="00084E6C"/>
    <w:rsid w:val="0009345E"/>
    <w:rsid w:val="000A5756"/>
    <w:rsid w:val="000C14A2"/>
    <w:rsid w:val="000D36B7"/>
    <w:rsid w:val="000E7BC7"/>
    <w:rsid w:val="00102758"/>
    <w:rsid w:val="001433F4"/>
    <w:rsid w:val="00147728"/>
    <w:rsid w:val="001536DF"/>
    <w:rsid w:val="00160C46"/>
    <w:rsid w:val="00187FD9"/>
    <w:rsid w:val="001E1764"/>
    <w:rsid w:val="001E6D1F"/>
    <w:rsid w:val="001F2837"/>
    <w:rsid w:val="0022037B"/>
    <w:rsid w:val="002216DF"/>
    <w:rsid w:val="00223DAF"/>
    <w:rsid w:val="00295954"/>
    <w:rsid w:val="002D0204"/>
    <w:rsid w:val="002D37BB"/>
    <w:rsid w:val="00300E2F"/>
    <w:rsid w:val="00307B43"/>
    <w:rsid w:val="003367CC"/>
    <w:rsid w:val="00346621"/>
    <w:rsid w:val="0038567A"/>
    <w:rsid w:val="003A5E26"/>
    <w:rsid w:val="003B5489"/>
    <w:rsid w:val="003D652F"/>
    <w:rsid w:val="003E5AD4"/>
    <w:rsid w:val="003F6983"/>
    <w:rsid w:val="004024D8"/>
    <w:rsid w:val="004159AA"/>
    <w:rsid w:val="004248F0"/>
    <w:rsid w:val="00455D57"/>
    <w:rsid w:val="00465BAE"/>
    <w:rsid w:val="00467190"/>
    <w:rsid w:val="004B38C1"/>
    <w:rsid w:val="005110C4"/>
    <w:rsid w:val="00532D27"/>
    <w:rsid w:val="0053570A"/>
    <w:rsid w:val="00544952"/>
    <w:rsid w:val="00617A1A"/>
    <w:rsid w:val="0068631A"/>
    <w:rsid w:val="006A184F"/>
    <w:rsid w:val="00712E0C"/>
    <w:rsid w:val="007421B9"/>
    <w:rsid w:val="007941C1"/>
    <w:rsid w:val="00795A9D"/>
    <w:rsid w:val="007A5E35"/>
    <w:rsid w:val="007F5E88"/>
    <w:rsid w:val="00852ADE"/>
    <w:rsid w:val="00894113"/>
    <w:rsid w:val="009118F9"/>
    <w:rsid w:val="0091206F"/>
    <w:rsid w:val="00916B04"/>
    <w:rsid w:val="00947FAC"/>
    <w:rsid w:val="00991F27"/>
    <w:rsid w:val="00A00D35"/>
    <w:rsid w:val="00A07E25"/>
    <w:rsid w:val="00A1287D"/>
    <w:rsid w:val="00A90D24"/>
    <w:rsid w:val="00AB351A"/>
    <w:rsid w:val="00AD1307"/>
    <w:rsid w:val="00AD6557"/>
    <w:rsid w:val="00B00F77"/>
    <w:rsid w:val="00B01343"/>
    <w:rsid w:val="00B04F92"/>
    <w:rsid w:val="00B05568"/>
    <w:rsid w:val="00B12F2C"/>
    <w:rsid w:val="00B3764B"/>
    <w:rsid w:val="00B556B7"/>
    <w:rsid w:val="00B56B6A"/>
    <w:rsid w:val="00B81B75"/>
    <w:rsid w:val="00B91FCD"/>
    <w:rsid w:val="00C112F3"/>
    <w:rsid w:val="00C2162B"/>
    <w:rsid w:val="00C25BBC"/>
    <w:rsid w:val="00C26B6D"/>
    <w:rsid w:val="00C3466A"/>
    <w:rsid w:val="00C35886"/>
    <w:rsid w:val="00C602AE"/>
    <w:rsid w:val="00CB1057"/>
    <w:rsid w:val="00CB56F4"/>
    <w:rsid w:val="00D05013"/>
    <w:rsid w:val="00D21CA4"/>
    <w:rsid w:val="00D429F2"/>
    <w:rsid w:val="00D53E1E"/>
    <w:rsid w:val="00D93014"/>
    <w:rsid w:val="00DD212E"/>
    <w:rsid w:val="00E13D62"/>
    <w:rsid w:val="00E31814"/>
    <w:rsid w:val="00E70EDF"/>
    <w:rsid w:val="00E73AC0"/>
    <w:rsid w:val="00E90494"/>
    <w:rsid w:val="00EA0661"/>
    <w:rsid w:val="00ED151D"/>
    <w:rsid w:val="00ED379A"/>
    <w:rsid w:val="00EF3074"/>
    <w:rsid w:val="00F01B31"/>
    <w:rsid w:val="00F27DCD"/>
    <w:rsid w:val="00F5419D"/>
    <w:rsid w:val="00FB14C3"/>
    <w:rsid w:val="00FD0BDE"/>
    <w:rsid w:val="00FF6A0A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950BB"/>
  <w15:chartTrackingRefBased/>
  <w15:docId w15:val="{EA21C643-BE0B-4B65-A43D-18D72B58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D24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D24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D24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D24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D24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D24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D24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D24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D24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D24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D24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D24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D24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D24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D24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D24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D24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D24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D24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D24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A90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D24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D24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D24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D24"/>
    <w:rPr>
      <w:b/>
      <w:bCs/>
      <w:smallCaps/>
      <w:color w:val="DA1F12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rsid w:val="00A90D24"/>
    <w:pPr>
      <w:spacing w:before="0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0D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A90D24"/>
    <w:rPr>
      <w:vertAlign w:val="superscript"/>
    </w:rPr>
  </w:style>
  <w:style w:type="table" w:styleId="TableGrid">
    <w:name w:val="Table Grid"/>
    <w:basedOn w:val="TableNormal"/>
    <w:uiPriority w:val="59"/>
    <w:rsid w:val="00A90D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21B9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2024-09-20T23:53:11+00:00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FEDF639E-4489-4714-BD33-88ADC48306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BB42DF-C1A8-448B-8DFE-0A1942FB34C4}"/>
</file>

<file path=customXml/itemProps3.xml><?xml version="1.0" encoding="utf-8"?>
<ds:datastoreItem xmlns:ds="http://schemas.openxmlformats.org/officeDocument/2006/customXml" ds:itemID="{0AFDCB5E-DC09-42B3-9B85-3C8B688D8186}"/>
</file>

<file path=customXml/itemProps4.xml><?xml version="1.0" encoding="utf-8"?>
<ds:datastoreItem xmlns:ds="http://schemas.openxmlformats.org/officeDocument/2006/customXml" ds:itemID="{9DA875DF-DA2F-4C3C-9F12-46DF9B309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2024-09-20T20:53:00Z</dcterms:created>
  <dcterms:modified xsi:type="dcterms:W3CDTF">2024-09-20T20:53:00Z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2024-08-08T16:00:25Z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e3e26e5b-b807-4e20-a50c-641660e4eaef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07f37160eb2ce9f5396f8fd85a14c60745e7f7783ac65fc1d0e28d851f82f7e6</vt:lpwstr>
  </property>
  <property fmtid="{D5CDD505-2E9C-101B-9397-08002B2CF9AE}" pid="10" name="ContentTypeId">
    <vt:lpwstr>0x010100B3812F45279552458458D0611D127A50</vt:lpwstr>
  </property>
</Properties>
</file>