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0D" w:rsidRDefault="0019380D" w:rsidP="0019380D">
      <w:pPr>
        <w:pStyle w:val="Heading1"/>
      </w:pPr>
      <w:r>
        <w:t>M</w:t>
      </w:r>
      <w:r w:rsidR="00BC7447">
        <w:t>aintenance of Effort (MOE)</w:t>
      </w:r>
    </w:p>
    <w:p w:rsidR="0019380D" w:rsidRPr="000B32B0" w:rsidRDefault="0019380D" w:rsidP="00B97A49">
      <w:pPr>
        <w:autoSpaceDE w:val="0"/>
        <w:autoSpaceDN w:val="0"/>
        <w:adjustRightInd w:val="0"/>
        <w:spacing w:after="120" w:line="240" w:lineRule="auto"/>
        <w:rPr>
          <w:rFonts w:cstheme="minorHAnsi"/>
          <w:color w:val="000000"/>
          <w:sz w:val="22"/>
        </w:rPr>
      </w:pPr>
      <w:r w:rsidRPr="000B32B0">
        <w:rPr>
          <w:rFonts w:cstheme="minorHAnsi"/>
          <w:color w:val="000000"/>
          <w:sz w:val="22"/>
        </w:rPr>
        <w:t>Maintenance of Effort requires Districts to demonstrate that the level of state and local funding remains relatively constant from year to year.</w:t>
      </w:r>
    </w:p>
    <w:p w:rsidR="0019380D" w:rsidRPr="004E3B44" w:rsidRDefault="00C819F3" w:rsidP="00C819F3">
      <w:pPr>
        <w:pStyle w:val="ListParagraph"/>
        <w:numPr>
          <w:ilvl w:val="0"/>
          <w:numId w:val="15"/>
        </w:numPr>
        <w:autoSpaceDE w:val="0"/>
        <w:autoSpaceDN w:val="0"/>
        <w:adjustRightInd w:val="0"/>
        <w:spacing w:after="0" w:line="240" w:lineRule="auto"/>
        <w:rPr>
          <w:rFonts w:cstheme="minorHAnsi"/>
          <w:color w:val="000000"/>
          <w:sz w:val="22"/>
        </w:rPr>
      </w:pPr>
      <w:r>
        <w:rPr>
          <w:rFonts w:cstheme="minorHAnsi"/>
          <w:color w:val="000000"/>
          <w:sz w:val="22"/>
        </w:rPr>
        <w:t xml:space="preserve">A </w:t>
      </w:r>
      <w:r w:rsidR="0019380D" w:rsidRPr="004E3B44">
        <w:rPr>
          <w:rFonts w:cstheme="minorHAnsi"/>
          <w:color w:val="000000"/>
          <w:sz w:val="22"/>
        </w:rPr>
        <w:t>District may receive ESEA funds only if the Oregon Department of Education (ODE) determines that the district has maintained its fiscal effort</w:t>
      </w:r>
    </w:p>
    <w:p w:rsidR="0019380D" w:rsidRPr="004E3B44" w:rsidRDefault="0019380D" w:rsidP="00C819F3">
      <w:pPr>
        <w:pStyle w:val="ListParagraph"/>
        <w:numPr>
          <w:ilvl w:val="0"/>
          <w:numId w:val="15"/>
        </w:numPr>
        <w:autoSpaceDE w:val="0"/>
        <w:autoSpaceDN w:val="0"/>
        <w:adjustRightInd w:val="0"/>
        <w:spacing w:after="0" w:line="240" w:lineRule="auto"/>
        <w:rPr>
          <w:rFonts w:cstheme="minorHAnsi"/>
          <w:color w:val="000000"/>
          <w:sz w:val="22"/>
        </w:rPr>
      </w:pPr>
      <w:r w:rsidRPr="004E3B44">
        <w:rPr>
          <w:rFonts w:cstheme="minorHAnsi"/>
          <w:color w:val="000000"/>
          <w:sz w:val="22"/>
        </w:rPr>
        <w:t>ODE must determine that either the combined fiscal effort per student or the aggregate expenditure of the District from state and local funds for the preceding fiscal year was not less than 90 percent of the combined fiscal effort or aggregate expenditure for the second preceding fiscal year.</w:t>
      </w:r>
    </w:p>
    <w:p w:rsidR="0019380D" w:rsidRPr="004E3B44" w:rsidRDefault="0019380D" w:rsidP="00C819F3">
      <w:pPr>
        <w:pStyle w:val="ListParagraph"/>
        <w:numPr>
          <w:ilvl w:val="0"/>
          <w:numId w:val="15"/>
        </w:numPr>
        <w:autoSpaceDE w:val="0"/>
        <w:autoSpaceDN w:val="0"/>
        <w:adjustRightInd w:val="0"/>
        <w:spacing w:after="120" w:line="240" w:lineRule="auto"/>
        <w:rPr>
          <w:rFonts w:cstheme="minorHAnsi"/>
          <w:color w:val="000000"/>
          <w:sz w:val="22"/>
        </w:rPr>
      </w:pPr>
      <w:r w:rsidRPr="004E3B44">
        <w:rPr>
          <w:rFonts w:cstheme="minorHAnsi"/>
          <w:color w:val="000000"/>
          <w:sz w:val="22"/>
        </w:rPr>
        <w:t>If the District fails to meet the 90 percent mark for a fiscal year and also failed to maintain effort in one or more of the five immediately preceding fiscal years (implemented with ESSA), ODE must reduce the amount of funds allocated under ESEA programs in the exact proportion to which a District fails to meet the 90 percent requirement. The proportion to be used is the percentage in which the district failed to maintain effort that is most favorable for the district from the tested categories.</w:t>
      </w:r>
    </w:p>
    <w:p w:rsidR="0019380D" w:rsidRPr="000B32B0" w:rsidRDefault="0019380D" w:rsidP="0019380D">
      <w:pPr>
        <w:pStyle w:val="Heading2"/>
      </w:pPr>
      <w:r w:rsidRPr="000B32B0">
        <w:t>Example:</w:t>
      </w:r>
      <w:bookmarkStart w:id="0" w:name="_GoBack"/>
      <w:bookmarkEnd w:id="0"/>
    </w:p>
    <w:tbl>
      <w:tblPr>
        <w:tblStyle w:val="GridTable5Dark-Accent1"/>
        <w:tblW w:w="5000" w:type="pct"/>
        <w:tblLook w:val="04A0" w:firstRow="1" w:lastRow="0" w:firstColumn="1" w:lastColumn="0" w:noHBand="0" w:noVBand="1"/>
        <w:tblDescription w:val="Example of MOE data"/>
      </w:tblPr>
      <w:tblGrid>
        <w:gridCol w:w="1734"/>
        <w:gridCol w:w="1504"/>
        <w:gridCol w:w="1619"/>
        <w:gridCol w:w="1621"/>
        <w:gridCol w:w="1350"/>
        <w:gridCol w:w="1522"/>
      </w:tblGrid>
      <w:tr w:rsidR="00C07AEE" w:rsidRPr="00C07AEE" w:rsidTr="005618C9">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927" w:type="pct"/>
          </w:tcPr>
          <w:p w:rsidR="0019380D" w:rsidRPr="00B97A49" w:rsidRDefault="0019380D" w:rsidP="00E26686">
            <w:pPr>
              <w:autoSpaceDE w:val="0"/>
              <w:autoSpaceDN w:val="0"/>
              <w:adjustRightInd w:val="0"/>
              <w:rPr>
                <w:rFonts w:cstheme="minorHAnsi"/>
                <w:b w:val="0"/>
                <w:sz w:val="22"/>
              </w:rPr>
            </w:pPr>
          </w:p>
        </w:tc>
        <w:tc>
          <w:tcPr>
            <w:tcW w:w="804" w:type="pct"/>
          </w:tcPr>
          <w:p w:rsidR="0019380D" w:rsidRPr="00C07AEE" w:rsidRDefault="0019380D" w:rsidP="00E2668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sz w:val="22"/>
              </w:rPr>
            </w:pPr>
            <w:r w:rsidRPr="00C07AEE">
              <w:rPr>
                <w:rFonts w:cstheme="minorHAnsi"/>
                <w:b w:val="0"/>
                <w:sz w:val="22"/>
              </w:rPr>
              <w:t>2011-2012 Net MOE Expenditures</w:t>
            </w:r>
          </w:p>
        </w:tc>
        <w:tc>
          <w:tcPr>
            <w:tcW w:w="866" w:type="pct"/>
          </w:tcPr>
          <w:p w:rsidR="0019380D" w:rsidRPr="00C07AEE" w:rsidRDefault="0019380D" w:rsidP="00E2668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sz w:val="22"/>
              </w:rPr>
            </w:pPr>
            <w:r w:rsidRPr="00C07AEE">
              <w:rPr>
                <w:rFonts w:cstheme="minorHAnsi"/>
                <w:b w:val="0"/>
                <w:sz w:val="22"/>
              </w:rPr>
              <w:t>2010-2011 Net MOE Expenditures</w:t>
            </w:r>
          </w:p>
        </w:tc>
        <w:tc>
          <w:tcPr>
            <w:tcW w:w="867" w:type="pct"/>
          </w:tcPr>
          <w:p w:rsidR="0019380D" w:rsidRPr="00C07AEE" w:rsidRDefault="0019380D" w:rsidP="00E2668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sz w:val="22"/>
              </w:rPr>
            </w:pPr>
            <w:r w:rsidRPr="00C07AEE">
              <w:rPr>
                <w:rFonts w:cstheme="minorHAnsi"/>
                <w:b w:val="0"/>
                <w:sz w:val="22"/>
              </w:rPr>
              <w:t>90% Funding Level Required for 11-12</w:t>
            </w:r>
          </w:p>
        </w:tc>
        <w:tc>
          <w:tcPr>
            <w:tcW w:w="722" w:type="pct"/>
          </w:tcPr>
          <w:p w:rsidR="0019380D" w:rsidRPr="00C07AEE" w:rsidRDefault="0019380D" w:rsidP="00E2668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sz w:val="22"/>
              </w:rPr>
            </w:pPr>
            <w:r w:rsidRPr="00C07AEE">
              <w:rPr>
                <w:rFonts w:cstheme="minorHAnsi"/>
                <w:b w:val="0"/>
                <w:sz w:val="22"/>
              </w:rPr>
              <w:t>Difference</w:t>
            </w:r>
          </w:p>
        </w:tc>
        <w:tc>
          <w:tcPr>
            <w:tcW w:w="814" w:type="pct"/>
          </w:tcPr>
          <w:p w:rsidR="0019380D" w:rsidRPr="00C07AEE" w:rsidRDefault="0019380D" w:rsidP="00E2668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b w:val="0"/>
                <w:sz w:val="22"/>
              </w:rPr>
            </w:pPr>
            <w:r w:rsidRPr="00C07AEE">
              <w:rPr>
                <w:rFonts w:cstheme="minorHAnsi"/>
                <w:b w:val="0"/>
                <w:sz w:val="22"/>
              </w:rPr>
              <w:t>Results</w:t>
            </w:r>
          </w:p>
        </w:tc>
      </w:tr>
      <w:tr w:rsidR="005618C9" w:rsidRPr="00C07AEE" w:rsidTr="005618C9">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27" w:type="pct"/>
          </w:tcPr>
          <w:p w:rsidR="0019380D" w:rsidRPr="00B97A49" w:rsidRDefault="00B97A49" w:rsidP="00B97A49">
            <w:pPr>
              <w:autoSpaceDE w:val="0"/>
              <w:autoSpaceDN w:val="0"/>
              <w:adjustRightInd w:val="0"/>
              <w:rPr>
                <w:rFonts w:cstheme="minorHAnsi"/>
                <w:b w:val="0"/>
                <w:sz w:val="22"/>
                <w:u w:val="single"/>
              </w:rPr>
            </w:pPr>
            <w:r w:rsidRPr="00B97A49">
              <w:rPr>
                <w:rFonts w:cstheme="minorHAnsi"/>
                <w:b w:val="0"/>
                <w:sz w:val="22"/>
                <w:u w:val="single"/>
              </w:rPr>
              <w:t>Morning SD</w:t>
            </w:r>
          </w:p>
          <w:p w:rsidR="00B97A49" w:rsidRPr="00B97A49" w:rsidRDefault="00B97A49" w:rsidP="00B97A49">
            <w:pPr>
              <w:autoSpaceDE w:val="0"/>
              <w:autoSpaceDN w:val="0"/>
              <w:adjustRightInd w:val="0"/>
              <w:rPr>
                <w:rFonts w:cstheme="minorHAnsi"/>
                <w:b w:val="0"/>
                <w:sz w:val="22"/>
              </w:rPr>
            </w:pPr>
            <w:r w:rsidRPr="00B97A49">
              <w:rPr>
                <w:rFonts w:cstheme="minorHAnsi"/>
                <w:b w:val="0"/>
                <w:sz w:val="22"/>
              </w:rPr>
              <w:t>Expenditures:</w:t>
            </w:r>
          </w:p>
        </w:tc>
        <w:tc>
          <w:tcPr>
            <w:tcW w:w="804"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000000"/>
                <w:sz w:val="22"/>
              </w:rPr>
            </w:pPr>
          </w:p>
          <w:p w:rsidR="0019380D" w:rsidRPr="00C07AEE"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bCs/>
                <w:color w:val="000000"/>
                <w:sz w:val="22"/>
              </w:rPr>
              <w:t>$6,701,574</w:t>
            </w:r>
          </w:p>
        </w:tc>
        <w:tc>
          <w:tcPr>
            <w:tcW w:w="866"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000000"/>
                <w:sz w:val="22"/>
              </w:rPr>
            </w:pPr>
          </w:p>
          <w:p w:rsidR="0019380D" w:rsidRPr="00C07AEE"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bCs/>
                <w:color w:val="000000"/>
                <w:sz w:val="22"/>
              </w:rPr>
              <w:t>$6,779,379</w:t>
            </w:r>
          </w:p>
        </w:tc>
        <w:tc>
          <w:tcPr>
            <w:tcW w:w="867"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000000"/>
                <w:sz w:val="22"/>
              </w:rPr>
            </w:pPr>
          </w:p>
          <w:p w:rsidR="0019380D" w:rsidRPr="00C07AEE"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bCs/>
                <w:color w:val="000000"/>
                <w:sz w:val="22"/>
              </w:rPr>
              <w:t>$6,101,441</w:t>
            </w:r>
          </w:p>
        </w:tc>
        <w:tc>
          <w:tcPr>
            <w:tcW w:w="722"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000000"/>
                <w:sz w:val="22"/>
              </w:rPr>
            </w:pPr>
          </w:p>
          <w:p w:rsidR="0019380D" w:rsidRPr="00C07AEE"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bCs/>
                <w:color w:val="000000"/>
                <w:sz w:val="22"/>
              </w:rPr>
              <w:t>($600,133)</w:t>
            </w:r>
          </w:p>
        </w:tc>
        <w:tc>
          <w:tcPr>
            <w:tcW w:w="814"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000000"/>
                <w:sz w:val="22"/>
                <w:highlight w:val="yellow"/>
              </w:rPr>
            </w:pPr>
          </w:p>
          <w:p w:rsidR="0019380D" w:rsidRPr="00B97A49"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bCs/>
                <w:color w:val="000000"/>
                <w:sz w:val="22"/>
              </w:rPr>
            </w:pPr>
            <w:r w:rsidRPr="00C07AEE">
              <w:rPr>
                <w:rFonts w:cstheme="minorHAnsi"/>
                <w:bCs/>
                <w:color w:val="000000"/>
                <w:sz w:val="22"/>
                <w:highlight w:val="yellow"/>
              </w:rPr>
              <w:t>No reduction</w:t>
            </w:r>
          </w:p>
        </w:tc>
      </w:tr>
      <w:tr w:rsidR="00C07AEE" w:rsidRPr="00C07AEE" w:rsidTr="005618C9">
        <w:trPr>
          <w:trHeight w:val="404"/>
        </w:trPr>
        <w:tc>
          <w:tcPr>
            <w:cnfStyle w:val="001000000000" w:firstRow="0" w:lastRow="0" w:firstColumn="1" w:lastColumn="0" w:oddVBand="0" w:evenVBand="0" w:oddHBand="0" w:evenHBand="0" w:firstRowFirstColumn="0" w:firstRowLastColumn="0" w:lastRowFirstColumn="0" w:lastRowLastColumn="0"/>
            <w:tcW w:w="927" w:type="pct"/>
          </w:tcPr>
          <w:p w:rsidR="0019380D" w:rsidRPr="00B97A49" w:rsidRDefault="00B97A49" w:rsidP="00E26686">
            <w:pPr>
              <w:autoSpaceDE w:val="0"/>
              <w:autoSpaceDN w:val="0"/>
              <w:adjustRightInd w:val="0"/>
              <w:rPr>
                <w:rFonts w:cstheme="minorHAnsi"/>
                <w:b w:val="0"/>
                <w:sz w:val="22"/>
                <w:u w:val="single"/>
              </w:rPr>
            </w:pPr>
            <w:r w:rsidRPr="00B97A49">
              <w:rPr>
                <w:rFonts w:cstheme="minorHAnsi"/>
                <w:b w:val="0"/>
                <w:sz w:val="22"/>
                <w:u w:val="single"/>
              </w:rPr>
              <w:t>Day SD</w:t>
            </w:r>
          </w:p>
          <w:p w:rsidR="00B97A49" w:rsidRPr="00B97A49" w:rsidRDefault="00B97A49" w:rsidP="00E26686">
            <w:pPr>
              <w:autoSpaceDE w:val="0"/>
              <w:autoSpaceDN w:val="0"/>
              <w:adjustRightInd w:val="0"/>
              <w:rPr>
                <w:rFonts w:cstheme="minorHAnsi"/>
                <w:b w:val="0"/>
                <w:sz w:val="22"/>
              </w:rPr>
            </w:pPr>
            <w:r w:rsidRPr="00B97A49">
              <w:rPr>
                <w:rFonts w:cstheme="minorHAnsi"/>
                <w:b w:val="0"/>
                <w:sz w:val="22"/>
              </w:rPr>
              <w:t>Expenditures:</w:t>
            </w:r>
          </w:p>
          <w:p w:rsidR="00B97A49" w:rsidRPr="00B97A49" w:rsidRDefault="00B97A49" w:rsidP="00E26686">
            <w:pPr>
              <w:autoSpaceDE w:val="0"/>
              <w:autoSpaceDN w:val="0"/>
              <w:adjustRightInd w:val="0"/>
              <w:rPr>
                <w:rFonts w:cstheme="minorHAnsi"/>
                <w:b w:val="0"/>
                <w:sz w:val="22"/>
              </w:rPr>
            </w:pPr>
            <w:r w:rsidRPr="00B97A49">
              <w:rPr>
                <w:rFonts w:cstheme="minorHAnsi"/>
                <w:b w:val="0"/>
                <w:sz w:val="22"/>
              </w:rPr>
              <w:t>Enrollment:</w:t>
            </w:r>
          </w:p>
          <w:p w:rsidR="00B97A49" w:rsidRPr="00B97A49" w:rsidRDefault="00B97A49" w:rsidP="00E26686">
            <w:pPr>
              <w:autoSpaceDE w:val="0"/>
              <w:autoSpaceDN w:val="0"/>
              <w:adjustRightInd w:val="0"/>
              <w:rPr>
                <w:rFonts w:cstheme="minorHAnsi"/>
                <w:b w:val="0"/>
                <w:sz w:val="22"/>
              </w:rPr>
            </w:pPr>
            <w:r w:rsidRPr="00B97A49">
              <w:rPr>
                <w:rFonts w:cstheme="minorHAnsi"/>
                <w:b w:val="0"/>
                <w:sz w:val="22"/>
              </w:rPr>
              <w:t>Per Pupil Expend</w:t>
            </w:r>
          </w:p>
        </w:tc>
        <w:tc>
          <w:tcPr>
            <w:tcW w:w="804" w:type="pct"/>
          </w:tcPr>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p>
          <w:p w:rsidR="0019380D" w:rsidRDefault="0019380D"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sidRPr="00C07AEE">
              <w:rPr>
                <w:rFonts w:cstheme="minorHAnsi"/>
                <w:color w:val="000000"/>
                <w:sz w:val="22"/>
              </w:rPr>
              <w:t>$14,519,606</w:t>
            </w:r>
          </w:p>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Pr>
                <w:rFonts w:cstheme="minorHAnsi"/>
                <w:color w:val="000000"/>
                <w:sz w:val="22"/>
              </w:rPr>
              <w:t>2649</w:t>
            </w:r>
          </w:p>
          <w:p w:rsidR="00B97A49" w:rsidRPr="00C07AEE"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Pr>
                <w:rFonts w:cstheme="minorHAnsi"/>
                <w:color w:val="000000"/>
                <w:sz w:val="22"/>
              </w:rPr>
              <w:t>$5,481</w:t>
            </w:r>
          </w:p>
        </w:tc>
        <w:tc>
          <w:tcPr>
            <w:tcW w:w="866" w:type="pct"/>
          </w:tcPr>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p>
          <w:p w:rsidR="0019380D" w:rsidRDefault="0019380D"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sidRPr="00C07AEE">
              <w:rPr>
                <w:rFonts w:cstheme="minorHAnsi"/>
                <w:color w:val="000000"/>
                <w:sz w:val="22"/>
              </w:rPr>
              <w:t>$16,325,278</w:t>
            </w:r>
          </w:p>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Pr>
                <w:rFonts w:cstheme="minorHAnsi"/>
                <w:color w:val="000000"/>
                <w:sz w:val="22"/>
              </w:rPr>
              <w:t>2588</w:t>
            </w:r>
          </w:p>
          <w:p w:rsidR="00B97A49" w:rsidRPr="00C07AEE"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Pr>
                <w:rFonts w:cstheme="minorHAnsi"/>
                <w:color w:val="000000"/>
                <w:sz w:val="22"/>
              </w:rPr>
              <w:t>$6,308</w:t>
            </w:r>
          </w:p>
        </w:tc>
        <w:tc>
          <w:tcPr>
            <w:tcW w:w="867" w:type="pct"/>
          </w:tcPr>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p>
          <w:p w:rsidR="0019380D" w:rsidRDefault="0019380D"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sidRPr="00C07AEE">
              <w:rPr>
                <w:rFonts w:cstheme="minorHAnsi"/>
                <w:color w:val="000000"/>
                <w:sz w:val="22"/>
              </w:rPr>
              <w:t>$14,692,750</w:t>
            </w:r>
          </w:p>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p>
          <w:p w:rsidR="00B97A49" w:rsidRPr="00C07AEE"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Pr>
                <w:rFonts w:cstheme="minorHAnsi"/>
                <w:color w:val="000000"/>
                <w:sz w:val="22"/>
              </w:rPr>
              <w:t>$5,667</w:t>
            </w:r>
          </w:p>
        </w:tc>
        <w:tc>
          <w:tcPr>
            <w:tcW w:w="722" w:type="pct"/>
          </w:tcPr>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p>
          <w:p w:rsidR="0019380D" w:rsidRDefault="0019380D"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sidRPr="00C07AEE">
              <w:rPr>
                <w:rFonts w:cstheme="minorHAnsi"/>
                <w:color w:val="000000"/>
                <w:sz w:val="22"/>
              </w:rPr>
              <w:t>$178,144</w:t>
            </w:r>
          </w:p>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p>
          <w:p w:rsidR="00B97A49" w:rsidRPr="00C07AEE"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Pr>
                <w:rFonts w:cstheme="minorHAnsi"/>
                <w:color w:val="000000"/>
                <w:sz w:val="22"/>
              </w:rPr>
              <w:t>$196</w:t>
            </w:r>
          </w:p>
        </w:tc>
        <w:tc>
          <w:tcPr>
            <w:tcW w:w="814" w:type="pct"/>
          </w:tcPr>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highlight w:val="yellow"/>
              </w:rPr>
            </w:pPr>
          </w:p>
          <w:p w:rsidR="0019380D" w:rsidRDefault="0019380D"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sidRPr="00C07AEE">
              <w:rPr>
                <w:rFonts w:cstheme="minorHAnsi"/>
                <w:color w:val="000000"/>
                <w:sz w:val="22"/>
                <w:highlight w:val="yellow"/>
              </w:rPr>
              <w:t>1.2%</w:t>
            </w:r>
          </w:p>
          <w:p w:rsidR="00B97A49"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p>
          <w:p w:rsidR="00B97A49" w:rsidRPr="00C07AEE" w:rsidRDefault="00B97A49" w:rsidP="00E266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2"/>
              </w:rPr>
            </w:pPr>
            <w:r>
              <w:rPr>
                <w:rFonts w:cstheme="minorHAnsi"/>
                <w:color w:val="000000"/>
                <w:sz w:val="22"/>
              </w:rPr>
              <w:t>3.6%</w:t>
            </w:r>
          </w:p>
        </w:tc>
      </w:tr>
      <w:tr w:rsidR="00C07AEE" w:rsidRPr="00C07AEE" w:rsidTr="00561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 w:type="pct"/>
          </w:tcPr>
          <w:p w:rsidR="00B97A49" w:rsidRPr="00B97A49" w:rsidRDefault="00B97A49" w:rsidP="00E26686">
            <w:pPr>
              <w:autoSpaceDE w:val="0"/>
              <w:autoSpaceDN w:val="0"/>
              <w:adjustRightInd w:val="0"/>
              <w:rPr>
                <w:rFonts w:cstheme="minorHAnsi"/>
                <w:b w:val="0"/>
                <w:sz w:val="22"/>
                <w:u w:val="single"/>
              </w:rPr>
            </w:pPr>
            <w:r w:rsidRPr="00B97A49">
              <w:rPr>
                <w:rFonts w:cstheme="minorHAnsi"/>
                <w:b w:val="0"/>
                <w:sz w:val="22"/>
                <w:u w:val="single"/>
              </w:rPr>
              <w:t>Night SD</w:t>
            </w:r>
          </w:p>
          <w:p w:rsidR="0019380D" w:rsidRPr="00B97A49" w:rsidRDefault="00B97A49" w:rsidP="00E26686">
            <w:pPr>
              <w:autoSpaceDE w:val="0"/>
              <w:autoSpaceDN w:val="0"/>
              <w:adjustRightInd w:val="0"/>
              <w:rPr>
                <w:rFonts w:cstheme="minorHAnsi"/>
                <w:b w:val="0"/>
                <w:sz w:val="22"/>
              </w:rPr>
            </w:pPr>
            <w:r w:rsidRPr="00B97A49">
              <w:rPr>
                <w:rFonts w:cstheme="minorHAnsi"/>
                <w:b w:val="0"/>
                <w:sz w:val="22"/>
              </w:rPr>
              <w:t>Expenditures:</w:t>
            </w:r>
          </w:p>
          <w:p w:rsidR="00B97A49" w:rsidRPr="00B97A49" w:rsidRDefault="00B97A49" w:rsidP="00E26686">
            <w:pPr>
              <w:autoSpaceDE w:val="0"/>
              <w:autoSpaceDN w:val="0"/>
              <w:adjustRightInd w:val="0"/>
              <w:rPr>
                <w:rFonts w:cstheme="minorHAnsi"/>
                <w:b w:val="0"/>
                <w:sz w:val="22"/>
              </w:rPr>
            </w:pPr>
            <w:r w:rsidRPr="00B97A49">
              <w:rPr>
                <w:rFonts w:cstheme="minorHAnsi"/>
                <w:b w:val="0"/>
                <w:sz w:val="22"/>
              </w:rPr>
              <w:t>Enrollment:</w:t>
            </w:r>
          </w:p>
          <w:p w:rsidR="00B97A49" w:rsidRPr="00B97A49" w:rsidRDefault="00B97A49" w:rsidP="00E26686">
            <w:pPr>
              <w:autoSpaceDE w:val="0"/>
              <w:autoSpaceDN w:val="0"/>
              <w:adjustRightInd w:val="0"/>
              <w:rPr>
                <w:rFonts w:cstheme="minorHAnsi"/>
                <w:b w:val="0"/>
                <w:sz w:val="22"/>
              </w:rPr>
            </w:pPr>
            <w:r w:rsidRPr="00B97A49">
              <w:rPr>
                <w:rFonts w:cstheme="minorHAnsi"/>
                <w:b w:val="0"/>
                <w:sz w:val="22"/>
              </w:rPr>
              <w:t>Per Pupil Expend</w:t>
            </w:r>
          </w:p>
        </w:tc>
        <w:tc>
          <w:tcPr>
            <w:tcW w:w="804"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p>
          <w:p w:rsidR="0019380D"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color w:val="000000"/>
                <w:sz w:val="22"/>
              </w:rPr>
              <w:t>$6,108,699</w:t>
            </w:r>
          </w:p>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Pr>
                <w:rFonts w:cstheme="minorHAnsi"/>
                <w:color w:val="000000"/>
                <w:sz w:val="22"/>
              </w:rPr>
              <w:t>1170</w:t>
            </w:r>
          </w:p>
          <w:p w:rsidR="00B97A49" w:rsidRPr="00C07AEE"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Pr>
                <w:rFonts w:cstheme="minorHAnsi"/>
                <w:color w:val="000000"/>
                <w:sz w:val="22"/>
              </w:rPr>
              <w:t>$5,221</w:t>
            </w:r>
          </w:p>
        </w:tc>
        <w:tc>
          <w:tcPr>
            <w:tcW w:w="866"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p>
          <w:p w:rsidR="0019380D"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color w:val="000000"/>
                <w:sz w:val="22"/>
              </w:rPr>
              <w:t>$6,876,795</w:t>
            </w:r>
          </w:p>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Pr>
                <w:rFonts w:cstheme="minorHAnsi"/>
                <w:color w:val="000000"/>
                <w:sz w:val="22"/>
              </w:rPr>
              <w:t>1211</w:t>
            </w:r>
          </w:p>
          <w:p w:rsidR="00B97A49" w:rsidRPr="00C07AEE"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Pr>
                <w:rFonts w:cstheme="minorHAnsi"/>
                <w:color w:val="000000"/>
                <w:sz w:val="22"/>
              </w:rPr>
              <w:t>$5,679</w:t>
            </w:r>
          </w:p>
        </w:tc>
        <w:tc>
          <w:tcPr>
            <w:tcW w:w="867"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p>
          <w:p w:rsidR="0019380D"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color w:val="000000"/>
                <w:sz w:val="22"/>
              </w:rPr>
              <w:t>$6,189,116</w:t>
            </w:r>
          </w:p>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p>
          <w:p w:rsidR="00B97A49" w:rsidRPr="00C07AEE"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Pr>
                <w:rFonts w:cstheme="minorHAnsi"/>
                <w:color w:val="000000"/>
                <w:sz w:val="22"/>
              </w:rPr>
              <w:t>$5,111</w:t>
            </w:r>
          </w:p>
        </w:tc>
        <w:tc>
          <w:tcPr>
            <w:tcW w:w="722"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p>
          <w:p w:rsidR="0019380D"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color w:val="000000"/>
                <w:sz w:val="22"/>
              </w:rPr>
              <w:t>$80,417</w:t>
            </w:r>
          </w:p>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p>
          <w:p w:rsidR="00B97A49" w:rsidRPr="00C07AEE"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Pr>
                <w:rFonts w:cstheme="minorHAnsi"/>
                <w:color w:val="000000"/>
                <w:sz w:val="22"/>
              </w:rPr>
              <w:t>($110)</w:t>
            </w:r>
          </w:p>
        </w:tc>
        <w:tc>
          <w:tcPr>
            <w:tcW w:w="814" w:type="pct"/>
          </w:tcPr>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p>
          <w:p w:rsidR="0019380D" w:rsidRDefault="0019380D"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color w:val="000000"/>
                <w:sz w:val="22"/>
              </w:rPr>
              <w:t>1.1%</w:t>
            </w:r>
          </w:p>
          <w:p w:rsidR="00B97A49"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p>
          <w:p w:rsidR="00B97A49" w:rsidRPr="00C07AEE" w:rsidRDefault="00B97A49" w:rsidP="00E266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rPr>
            </w:pPr>
            <w:r w:rsidRPr="00C07AEE">
              <w:rPr>
                <w:rFonts w:cstheme="minorHAnsi"/>
                <w:color w:val="000000"/>
                <w:sz w:val="22"/>
                <w:highlight w:val="yellow"/>
              </w:rPr>
              <w:t>No Reduction</w:t>
            </w:r>
          </w:p>
        </w:tc>
      </w:tr>
    </w:tbl>
    <w:p w:rsidR="0019380D" w:rsidRPr="000B32B0" w:rsidRDefault="0019380D" w:rsidP="0019380D">
      <w:pPr>
        <w:pStyle w:val="Heading2"/>
        <w:rPr>
          <w:bCs/>
        </w:rPr>
      </w:pPr>
      <w:r w:rsidRPr="000B32B0">
        <w:t>Results:</w:t>
      </w:r>
    </w:p>
    <w:p w:rsidR="0019380D" w:rsidRPr="00B97A49" w:rsidRDefault="00B97A49" w:rsidP="00B97A49">
      <w:pPr>
        <w:autoSpaceDE w:val="0"/>
        <w:autoSpaceDN w:val="0"/>
        <w:adjustRightInd w:val="0"/>
        <w:spacing w:after="120" w:line="240" w:lineRule="auto"/>
        <w:rPr>
          <w:rFonts w:cstheme="minorHAnsi"/>
          <w:color w:val="000000"/>
          <w:sz w:val="22"/>
        </w:rPr>
      </w:pPr>
      <w:r w:rsidRPr="00B97A49">
        <w:rPr>
          <w:rFonts w:cstheme="minorHAnsi"/>
          <w:b/>
          <w:bCs/>
          <w:color w:val="000000"/>
          <w:sz w:val="22"/>
        </w:rPr>
        <w:t>Morning</w:t>
      </w:r>
      <w:r w:rsidR="0019380D" w:rsidRPr="00B97A49">
        <w:rPr>
          <w:rFonts w:cstheme="minorHAnsi"/>
          <w:b/>
          <w:bCs/>
          <w:color w:val="000000"/>
          <w:sz w:val="22"/>
        </w:rPr>
        <w:t xml:space="preserve"> School District:</w:t>
      </w:r>
      <w:r w:rsidR="0019380D" w:rsidRPr="00B97A49">
        <w:rPr>
          <w:rFonts w:cstheme="minorHAnsi"/>
          <w:color w:val="000000"/>
          <w:sz w:val="22"/>
        </w:rPr>
        <w:t xml:space="preserve"> District spent more funds in 2011-2012 from state/local funds than the 90% needed – no reduction</w:t>
      </w:r>
    </w:p>
    <w:p w:rsidR="0019380D" w:rsidRPr="00B97A49" w:rsidRDefault="00B97A49" w:rsidP="00B97A49">
      <w:pPr>
        <w:autoSpaceDE w:val="0"/>
        <w:autoSpaceDN w:val="0"/>
        <w:adjustRightInd w:val="0"/>
        <w:spacing w:after="120" w:line="240" w:lineRule="auto"/>
        <w:rPr>
          <w:rFonts w:cstheme="minorHAnsi"/>
          <w:color w:val="000000"/>
          <w:sz w:val="22"/>
        </w:rPr>
      </w:pPr>
      <w:r w:rsidRPr="00B97A49">
        <w:rPr>
          <w:rFonts w:cstheme="minorHAnsi"/>
          <w:b/>
          <w:color w:val="000000"/>
          <w:sz w:val="22"/>
        </w:rPr>
        <w:t>Day</w:t>
      </w:r>
      <w:r w:rsidR="0019380D" w:rsidRPr="00B97A49">
        <w:rPr>
          <w:rFonts w:cstheme="minorHAnsi"/>
          <w:b/>
          <w:color w:val="000000"/>
          <w:sz w:val="22"/>
        </w:rPr>
        <w:t xml:space="preserve"> School District</w:t>
      </w:r>
      <w:r w:rsidR="00584A88">
        <w:rPr>
          <w:rFonts w:cstheme="minorHAnsi"/>
          <w:b/>
          <w:color w:val="000000"/>
          <w:sz w:val="22"/>
        </w:rPr>
        <w:t>:</w:t>
      </w:r>
      <w:r w:rsidR="00584A88" w:rsidRPr="00584A88">
        <w:rPr>
          <w:rFonts w:cstheme="minorHAnsi"/>
          <w:color w:val="000000"/>
          <w:sz w:val="22"/>
        </w:rPr>
        <w:t xml:space="preserve"> District</w:t>
      </w:r>
      <w:r w:rsidR="0019380D" w:rsidRPr="00B97A49">
        <w:rPr>
          <w:rFonts w:cstheme="minorHAnsi"/>
          <w:color w:val="000000"/>
          <w:sz w:val="22"/>
        </w:rPr>
        <w:t xml:space="preserve"> spent less in 2011-2012 than was required by 90% required funding level. The difference would result in a 1.2% decrease in allocations for FY 13. A second test was run using per pupil expenditure, this calculation would result in a 3.6% decrease in allocation. The 1.2% is most beneficial for the district so their allocation would be reduced by this amount if the district had also failed to maintain effort in one or more of the five immediately preceding fiscal years.</w:t>
      </w:r>
    </w:p>
    <w:p w:rsidR="0019380D" w:rsidRPr="00B97A49" w:rsidRDefault="00B97A49" w:rsidP="00B97A49">
      <w:pPr>
        <w:autoSpaceDE w:val="0"/>
        <w:autoSpaceDN w:val="0"/>
        <w:adjustRightInd w:val="0"/>
        <w:spacing w:after="120" w:line="240" w:lineRule="auto"/>
        <w:rPr>
          <w:rFonts w:cstheme="minorHAnsi"/>
          <w:color w:val="000000"/>
          <w:sz w:val="22"/>
        </w:rPr>
      </w:pPr>
      <w:r w:rsidRPr="00B97A49">
        <w:rPr>
          <w:rFonts w:cstheme="minorHAnsi"/>
          <w:b/>
          <w:color w:val="000000"/>
          <w:sz w:val="22"/>
        </w:rPr>
        <w:t>Night</w:t>
      </w:r>
      <w:r w:rsidR="0019380D" w:rsidRPr="00B97A49">
        <w:rPr>
          <w:rFonts w:cstheme="minorHAnsi"/>
          <w:b/>
          <w:color w:val="000000"/>
          <w:sz w:val="22"/>
        </w:rPr>
        <w:t xml:space="preserve"> School District</w:t>
      </w:r>
      <w:r w:rsidR="00584A88">
        <w:rPr>
          <w:rFonts w:cstheme="minorHAnsi"/>
          <w:b/>
          <w:color w:val="000000"/>
          <w:sz w:val="22"/>
        </w:rPr>
        <w:t>:</w:t>
      </w:r>
      <w:r w:rsidR="00584A88">
        <w:rPr>
          <w:rFonts w:cstheme="minorHAnsi"/>
          <w:color w:val="000000"/>
          <w:sz w:val="22"/>
        </w:rPr>
        <w:t xml:space="preserve"> District</w:t>
      </w:r>
      <w:r w:rsidR="0019380D" w:rsidRPr="00B97A49">
        <w:rPr>
          <w:rFonts w:cstheme="minorHAnsi"/>
          <w:color w:val="000000"/>
          <w:sz w:val="22"/>
        </w:rPr>
        <w:t xml:space="preserve"> spent less in 2011-12 than was required by 90% required funding level. The difference would result in 1.1% reduction in allocations. Using the per pupil calculation, the district met the funding requirement. Thus no reduction would be taken for FY 13.</w:t>
      </w:r>
    </w:p>
    <w:p w:rsidR="0019380D" w:rsidRPr="000B32B0" w:rsidRDefault="0019380D" w:rsidP="0019380D">
      <w:pPr>
        <w:pStyle w:val="Heading1"/>
      </w:pPr>
      <w:r w:rsidRPr="000B32B0">
        <w:lastRenderedPageBreak/>
        <w:t>Process for completing the above table:</w:t>
      </w:r>
    </w:p>
    <w:p w:rsidR="0019380D" w:rsidRPr="000B32B0" w:rsidRDefault="0019380D" w:rsidP="005618C9">
      <w:pPr>
        <w:spacing w:line="240" w:lineRule="auto"/>
        <w:rPr>
          <w:rFonts w:cstheme="minorHAnsi"/>
          <w:sz w:val="22"/>
          <w:szCs w:val="22"/>
        </w:rPr>
      </w:pPr>
      <w:r w:rsidRPr="000B32B0">
        <w:rPr>
          <w:rFonts w:cstheme="minorHAnsi"/>
          <w:sz w:val="22"/>
          <w:szCs w:val="22"/>
        </w:rPr>
        <w:t>To determine which expenditures are included in the Net MOE Expenditures column, the definitions and examples are used.</w:t>
      </w:r>
      <w:r w:rsidR="004A18C0">
        <w:rPr>
          <w:rFonts w:cstheme="minorHAnsi"/>
          <w:sz w:val="22"/>
          <w:szCs w:val="22"/>
        </w:rPr>
        <w:t xml:space="preserve"> </w:t>
      </w:r>
      <w:r w:rsidRPr="000B32B0">
        <w:rPr>
          <w:rFonts w:cstheme="minorHAnsi"/>
          <w:sz w:val="22"/>
          <w:szCs w:val="22"/>
        </w:rPr>
        <w:t>For ESEA Title programs, Maintenance of Effort expenditures are defined as general fund operating expenditures net of general fund food service revenues.</w:t>
      </w:r>
      <w:r w:rsidR="004A18C0">
        <w:rPr>
          <w:rFonts w:cstheme="minorHAnsi"/>
          <w:sz w:val="22"/>
          <w:szCs w:val="22"/>
        </w:rPr>
        <w:t xml:space="preserve"> </w:t>
      </w:r>
      <w:r w:rsidRPr="000B32B0">
        <w:rPr>
          <w:rFonts w:cstheme="minorHAnsi"/>
          <w:sz w:val="22"/>
          <w:szCs w:val="22"/>
        </w:rPr>
        <w:t>The following definitions, from the Department of Education’s Program Budgeting and Accounting Manual, are used in making the Maintenance of Effort calculations:</w:t>
      </w:r>
    </w:p>
    <w:p w:rsidR="0019380D" w:rsidRPr="000B32B0" w:rsidRDefault="0019380D" w:rsidP="0019380D">
      <w:pPr>
        <w:pStyle w:val="Heading2"/>
      </w:pPr>
      <w:r w:rsidRPr="000B32B0">
        <w:t>General Fund Operating Expenditures</w:t>
      </w:r>
    </w:p>
    <w:p w:rsidR="0019380D" w:rsidRPr="000B32B0" w:rsidRDefault="0019380D" w:rsidP="00C07AEE">
      <w:pPr>
        <w:pStyle w:val="NoSpacing"/>
      </w:pPr>
      <w:r w:rsidRPr="000B32B0">
        <w:t>Fund 100 (General Fund)</w:t>
      </w:r>
    </w:p>
    <w:p w:rsidR="0019380D" w:rsidRPr="000B32B0" w:rsidRDefault="0019380D" w:rsidP="00C07AEE">
      <w:pPr>
        <w:pStyle w:val="NoSpacing"/>
      </w:pPr>
      <w:r w:rsidRPr="000B32B0">
        <w:t>Functions in the 1000 series (1000 through 1400—Instruction)</w:t>
      </w:r>
    </w:p>
    <w:p w:rsidR="0019380D" w:rsidRPr="000B32B0" w:rsidRDefault="0019380D" w:rsidP="00C07AEE">
      <w:pPr>
        <w:pStyle w:val="NoSpacing"/>
      </w:pPr>
      <w:r w:rsidRPr="000B32B0">
        <w:t>Functions in the 2000 series (2000 through 2700—Support Services)</w:t>
      </w:r>
    </w:p>
    <w:p w:rsidR="0019380D" w:rsidRPr="000B32B0" w:rsidRDefault="0019380D" w:rsidP="00C07AEE">
      <w:pPr>
        <w:pStyle w:val="NoSpacing"/>
      </w:pPr>
      <w:r w:rsidRPr="000B32B0">
        <w:t>Function 3100 (Food Services)</w:t>
      </w:r>
    </w:p>
    <w:p w:rsidR="0019380D" w:rsidRPr="000B32B0" w:rsidRDefault="0019380D" w:rsidP="0019380D">
      <w:pPr>
        <w:pStyle w:val="Heading2"/>
      </w:pPr>
      <w:r w:rsidRPr="000B32B0">
        <w:t xml:space="preserve">Object Codes to be </w:t>
      </w:r>
      <w:proofErr w:type="gramStart"/>
      <w:r w:rsidRPr="000B32B0">
        <w:t>Excluded</w:t>
      </w:r>
      <w:proofErr w:type="gramEnd"/>
    </w:p>
    <w:p w:rsidR="0019380D" w:rsidRPr="00990BF3" w:rsidRDefault="0019380D" w:rsidP="00C07AEE">
      <w:pPr>
        <w:pStyle w:val="NoSpacing"/>
      </w:pPr>
      <w:r w:rsidRPr="00990BF3">
        <w:t>370 Tuition</w:t>
      </w:r>
    </w:p>
    <w:p w:rsidR="0019380D" w:rsidRPr="00990BF3" w:rsidRDefault="0019380D" w:rsidP="00C07AEE">
      <w:pPr>
        <w:pStyle w:val="NoSpacing"/>
      </w:pPr>
      <w:r w:rsidRPr="00990BF3">
        <w:t>371 Tuition Payments to Other Districts within State</w:t>
      </w:r>
    </w:p>
    <w:p w:rsidR="0019380D" w:rsidRPr="00990BF3" w:rsidRDefault="0019380D" w:rsidP="00C07AEE">
      <w:pPr>
        <w:pStyle w:val="NoSpacing"/>
      </w:pPr>
      <w:r w:rsidRPr="00990BF3">
        <w:t xml:space="preserve">372 Tuition Payments to Other Districts </w:t>
      </w:r>
      <w:proofErr w:type="gramStart"/>
      <w:r w:rsidRPr="00990BF3">
        <w:t>Outside</w:t>
      </w:r>
      <w:proofErr w:type="gramEnd"/>
      <w:r w:rsidRPr="00990BF3">
        <w:t xml:space="preserve"> the State</w:t>
      </w:r>
    </w:p>
    <w:p w:rsidR="0019380D" w:rsidRPr="00990BF3" w:rsidRDefault="0019380D" w:rsidP="00C07AEE">
      <w:pPr>
        <w:pStyle w:val="NoSpacing"/>
      </w:pPr>
      <w:r w:rsidRPr="00990BF3">
        <w:t>373 Tuition Payments to Private Schools</w:t>
      </w:r>
    </w:p>
    <w:p w:rsidR="0019380D" w:rsidRPr="00990BF3" w:rsidRDefault="0019380D" w:rsidP="00C07AEE">
      <w:pPr>
        <w:pStyle w:val="NoSpacing"/>
      </w:pPr>
      <w:r w:rsidRPr="00990BF3">
        <w:t>374 Other Tuition</w:t>
      </w:r>
    </w:p>
    <w:p w:rsidR="0019380D" w:rsidRPr="00990BF3" w:rsidRDefault="0019380D" w:rsidP="00C07AEE">
      <w:pPr>
        <w:pStyle w:val="NoSpacing"/>
      </w:pPr>
      <w:r w:rsidRPr="00990BF3">
        <w:t>500 Capital Outlay</w:t>
      </w:r>
    </w:p>
    <w:p w:rsidR="0019380D" w:rsidRPr="00990BF3" w:rsidRDefault="0019380D" w:rsidP="00C07AEE">
      <w:pPr>
        <w:pStyle w:val="NoSpacing"/>
      </w:pPr>
      <w:r w:rsidRPr="00990BF3">
        <w:t>510 Land Acquisition</w:t>
      </w:r>
    </w:p>
    <w:p w:rsidR="0019380D" w:rsidRPr="00990BF3" w:rsidRDefault="0019380D" w:rsidP="00C07AEE">
      <w:pPr>
        <w:pStyle w:val="NoSpacing"/>
      </w:pPr>
      <w:r w:rsidRPr="00990BF3">
        <w:t>520 Buildings Acquisition</w:t>
      </w:r>
    </w:p>
    <w:p w:rsidR="0019380D" w:rsidRPr="00990BF3" w:rsidRDefault="0019380D" w:rsidP="00C07AEE">
      <w:pPr>
        <w:pStyle w:val="NoSpacing"/>
      </w:pPr>
      <w:r w:rsidRPr="00990BF3">
        <w:t>530 Improvements Other Than Buildings</w:t>
      </w:r>
    </w:p>
    <w:p w:rsidR="0019380D" w:rsidRPr="00990BF3" w:rsidRDefault="0019380D" w:rsidP="00C07AEE">
      <w:pPr>
        <w:pStyle w:val="NoSpacing"/>
      </w:pPr>
      <w:r w:rsidRPr="00990BF3">
        <w:t>540 Equipment, Depreciable equipment</w:t>
      </w:r>
    </w:p>
    <w:p w:rsidR="0019380D" w:rsidRPr="00990BF3" w:rsidRDefault="0019380D" w:rsidP="00C07AEE">
      <w:pPr>
        <w:pStyle w:val="NoSpacing"/>
      </w:pPr>
      <w:r w:rsidRPr="00990BF3">
        <w:t>541 Initial and Additional Equipment Purchase</w:t>
      </w:r>
    </w:p>
    <w:p w:rsidR="0019380D" w:rsidRPr="00990BF3" w:rsidRDefault="0019380D" w:rsidP="00C07AEE">
      <w:pPr>
        <w:pStyle w:val="NoSpacing"/>
      </w:pPr>
      <w:r w:rsidRPr="00990BF3">
        <w:t>542 Replacement Equipment Purchase</w:t>
      </w:r>
    </w:p>
    <w:p w:rsidR="0019380D" w:rsidRPr="00990BF3" w:rsidRDefault="0019380D" w:rsidP="00C07AEE">
      <w:pPr>
        <w:pStyle w:val="NoSpacing"/>
      </w:pPr>
      <w:r w:rsidRPr="00990BF3">
        <w:t>550 Technology, Depreciable Technology</w:t>
      </w:r>
    </w:p>
    <w:p w:rsidR="0019380D" w:rsidRPr="00990BF3" w:rsidRDefault="0019380D" w:rsidP="00C07AEE">
      <w:pPr>
        <w:pStyle w:val="NoSpacing"/>
      </w:pPr>
      <w:r w:rsidRPr="00990BF3">
        <w:t>560 Depreciable Bus Garage, Bus and Capital Bus Improvements</w:t>
      </w:r>
    </w:p>
    <w:p w:rsidR="0019380D" w:rsidRPr="00990BF3" w:rsidRDefault="0019380D" w:rsidP="00C07AEE">
      <w:pPr>
        <w:pStyle w:val="NoSpacing"/>
      </w:pPr>
      <w:r w:rsidRPr="00990BF3">
        <w:t>562 Bus Garages</w:t>
      </w:r>
    </w:p>
    <w:p w:rsidR="0019380D" w:rsidRPr="00990BF3" w:rsidRDefault="0019380D" w:rsidP="00C07AEE">
      <w:pPr>
        <w:pStyle w:val="NoSpacing"/>
      </w:pPr>
      <w:r w:rsidRPr="00990BF3">
        <w:t xml:space="preserve">564 Bus and Capital Bus Improvements </w:t>
      </w:r>
    </w:p>
    <w:p w:rsidR="0019380D" w:rsidRPr="00990BF3" w:rsidRDefault="0019380D" w:rsidP="00C07AEE">
      <w:pPr>
        <w:pStyle w:val="NoSpacing"/>
      </w:pPr>
      <w:r w:rsidRPr="00990BF3">
        <w:t>590 Other Capital Outlay</w:t>
      </w:r>
    </w:p>
    <w:p w:rsidR="0019380D" w:rsidRPr="00990BF3" w:rsidRDefault="0019380D" w:rsidP="00C07AEE">
      <w:pPr>
        <w:pStyle w:val="NoSpacing"/>
      </w:pPr>
      <w:r w:rsidRPr="00990BF3">
        <w:t>610 Redemption of Principal</w:t>
      </w:r>
    </w:p>
    <w:p w:rsidR="0019380D" w:rsidRPr="00990BF3" w:rsidRDefault="0019380D" w:rsidP="00C07AEE">
      <w:pPr>
        <w:pStyle w:val="NoSpacing"/>
      </w:pPr>
      <w:r w:rsidRPr="00990BF3">
        <w:t>620 Interest</w:t>
      </w:r>
    </w:p>
    <w:p w:rsidR="0019380D" w:rsidRPr="00990BF3" w:rsidRDefault="0019380D" w:rsidP="00C07AEE">
      <w:pPr>
        <w:pStyle w:val="NoSpacing"/>
      </w:pPr>
      <w:r w:rsidRPr="00990BF3">
        <w:t>621 Regular Interest</w:t>
      </w:r>
    </w:p>
    <w:p w:rsidR="0019380D" w:rsidRDefault="0019380D" w:rsidP="00C07AEE">
      <w:pPr>
        <w:pStyle w:val="NoSpacing"/>
        <w:spacing w:after="120"/>
      </w:pPr>
      <w:r w:rsidRPr="00990BF3">
        <w:t>622 Bus Garage, Bus and Capital Bus Improvement Interest</w:t>
      </w:r>
    </w:p>
    <w:p w:rsidR="0019380D" w:rsidRPr="000B32B0" w:rsidRDefault="0019380D" w:rsidP="0019380D">
      <w:pPr>
        <w:pStyle w:val="Heading2"/>
      </w:pPr>
      <w:r w:rsidRPr="000B32B0">
        <w:t>Food Service Revenues</w:t>
      </w:r>
    </w:p>
    <w:p w:rsidR="0019380D" w:rsidRPr="000B32B0" w:rsidRDefault="0019380D" w:rsidP="00C07AEE">
      <w:pPr>
        <w:pStyle w:val="NoSpacing"/>
      </w:pPr>
      <w:r>
        <w:t>100 General Fund</w:t>
      </w:r>
    </w:p>
    <w:p w:rsidR="0019380D" w:rsidRDefault="0019380D" w:rsidP="00C07AEE">
      <w:pPr>
        <w:pStyle w:val="NoSpacing"/>
      </w:pPr>
      <w:r>
        <w:t>1600 Food Service Revenues</w:t>
      </w:r>
    </w:p>
    <w:p w:rsidR="0019380D" w:rsidRPr="00990BF3" w:rsidRDefault="0019380D" w:rsidP="00C07AEE">
      <w:pPr>
        <w:pStyle w:val="NoSpacing"/>
      </w:pPr>
      <w:r w:rsidRPr="00990BF3">
        <w:t>1610 Daily Sales – Reimbursable Programs</w:t>
      </w:r>
    </w:p>
    <w:p w:rsidR="0019380D" w:rsidRPr="00990BF3" w:rsidRDefault="0019380D" w:rsidP="00C07AEE">
      <w:pPr>
        <w:pStyle w:val="NoSpacing"/>
      </w:pPr>
      <w:r w:rsidRPr="00990BF3">
        <w:t>1611 Breakfast</w:t>
      </w:r>
    </w:p>
    <w:p w:rsidR="0019380D" w:rsidRPr="00990BF3" w:rsidRDefault="0019380D" w:rsidP="00C07AEE">
      <w:pPr>
        <w:pStyle w:val="NoSpacing"/>
      </w:pPr>
      <w:r w:rsidRPr="00990BF3">
        <w:t>1612 Lunch</w:t>
      </w:r>
    </w:p>
    <w:p w:rsidR="0019380D" w:rsidRPr="00990BF3" w:rsidRDefault="0019380D" w:rsidP="00C07AEE">
      <w:pPr>
        <w:pStyle w:val="NoSpacing"/>
      </w:pPr>
      <w:r w:rsidRPr="00990BF3">
        <w:t>1613 Special Milk Program</w:t>
      </w:r>
    </w:p>
    <w:p w:rsidR="0019380D" w:rsidRPr="00990BF3" w:rsidRDefault="0019380D" w:rsidP="00C07AEE">
      <w:pPr>
        <w:pStyle w:val="NoSpacing"/>
      </w:pPr>
      <w:r w:rsidRPr="00990BF3">
        <w:t>1620 Daily Sales – Non Reimbursable Program</w:t>
      </w:r>
    </w:p>
    <w:p w:rsidR="0019380D" w:rsidRPr="000B32B0" w:rsidRDefault="0019380D" w:rsidP="00C07AEE">
      <w:pPr>
        <w:pStyle w:val="NoSpacing"/>
      </w:pPr>
      <w:r w:rsidRPr="00990BF3">
        <w:t>1630 Special Functions</w:t>
      </w:r>
    </w:p>
    <w:p w:rsidR="0019380D" w:rsidRDefault="0019380D" w:rsidP="0019380D">
      <w:pPr>
        <w:spacing w:line="276" w:lineRule="auto"/>
        <w:rPr>
          <w:rFonts w:cstheme="minorHAnsi"/>
          <w:b/>
          <w:sz w:val="22"/>
          <w:szCs w:val="22"/>
          <w:u w:val="single"/>
        </w:rPr>
      </w:pPr>
      <w:r>
        <w:rPr>
          <w:rFonts w:cstheme="minorHAnsi"/>
          <w:b/>
          <w:sz w:val="22"/>
          <w:szCs w:val="22"/>
          <w:u w:val="single"/>
        </w:rPr>
        <w:br w:type="page"/>
      </w:r>
    </w:p>
    <w:p w:rsidR="0019380D" w:rsidRPr="000B32B0" w:rsidRDefault="0019380D" w:rsidP="0019380D">
      <w:pPr>
        <w:pStyle w:val="Heading1"/>
      </w:pPr>
      <w:r w:rsidRPr="000B32B0">
        <w:lastRenderedPageBreak/>
        <w:t>Process and Timeline for Calculation of MOE</w:t>
      </w:r>
    </w:p>
    <w:p w:rsidR="0019380D" w:rsidRPr="000B32B0" w:rsidRDefault="0019380D" w:rsidP="005618C9">
      <w:pPr>
        <w:spacing w:line="240" w:lineRule="auto"/>
        <w:rPr>
          <w:rFonts w:cstheme="minorHAnsi"/>
          <w:sz w:val="22"/>
          <w:szCs w:val="22"/>
        </w:rPr>
      </w:pPr>
      <w:r w:rsidRPr="000B32B0">
        <w:rPr>
          <w:rFonts w:cstheme="minorHAnsi"/>
          <w:sz w:val="22"/>
          <w:szCs w:val="22"/>
        </w:rPr>
        <w:t>The MOE calculations are an automated process between ODE’s Office of</w:t>
      </w:r>
      <w:r w:rsidR="00616D41">
        <w:rPr>
          <w:rFonts w:cstheme="minorHAnsi"/>
          <w:sz w:val="22"/>
          <w:szCs w:val="22"/>
        </w:rPr>
        <w:t xml:space="preserve"> Finance &amp;</w:t>
      </w:r>
      <w:r w:rsidRPr="000B32B0">
        <w:rPr>
          <w:rFonts w:cstheme="minorHAnsi"/>
          <w:sz w:val="22"/>
          <w:szCs w:val="22"/>
        </w:rPr>
        <w:t xml:space="preserve"> Information Technology (</w:t>
      </w:r>
      <w:r w:rsidR="00616D41">
        <w:rPr>
          <w:rFonts w:cstheme="minorHAnsi"/>
          <w:sz w:val="22"/>
          <w:szCs w:val="22"/>
        </w:rPr>
        <w:t>OF</w:t>
      </w:r>
      <w:r w:rsidRPr="000B32B0">
        <w:rPr>
          <w:rFonts w:cstheme="minorHAnsi"/>
          <w:sz w:val="22"/>
          <w:szCs w:val="22"/>
        </w:rPr>
        <w:t xml:space="preserve">IT) and ODE’s Office of </w:t>
      </w:r>
      <w:r w:rsidR="00616D41">
        <w:rPr>
          <w:rFonts w:cstheme="minorHAnsi"/>
          <w:sz w:val="22"/>
          <w:szCs w:val="22"/>
        </w:rPr>
        <w:t>Enhancing Student Opportunities</w:t>
      </w:r>
      <w:r w:rsidRPr="000B32B0">
        <w:rPr>
          <w:rFonts w:cstheme="minorHAnsi"/>
          <w:sz w:val="22"/>
          <w:szCs w:val="22"/>
        </w:rPr>
        <w:t xml:space="preserve"> (</w:t>
      </w:r>
      <w:r w:rsidR="00616D41">
        <w:rPr>
          <w:rFonts w:cstheme="minorHAnsi"/>
          <w:sz w:val="22"/>
          <w:szCs w:val="22"/>
        </w:rPr>
        <w:t>OESO</w:t>
      </w:r>
      <w:r w:rsidRPr="000B32B0">
        <w:rPr>
          <w:rFonts w:cstheme="minorHAnsi"/>
          <w:sz w:val="22"/>
          <w:szCs w:val="22"/>
        </w:rPr>
        <w:t>).</w:t>
      </w:r>
      <w:r w:rsidR="004A18C0">
        <w:rPr>
          <w:rFonts w:cstheme="minorHAnsi"/>
          <w:sz w:val="22"/>
          <w:szCs w:val="22"/>
        </w:rPr>
        <w:t xml:space="preserve"> </w:t>
      </w:r>
      <w:r w:rsidR="00616D41">
        <w:rPr>
          <w:rFonts w:cstheme="minorHAnsi"/>
          <w:sz w:val="22"/>
          <w:szCs w:val="22"/>
        </w:rPr>
        <w:t>OESO</w:t>
      </w:r>
      <w:r w:rsidRPr="000B32B0">
        <w:rPr>
          <w:rFonts w:cstheme="minorHAnsi"/>
          <w:sz w:val="22"/>
          <w:szCs w:val="22"/>
        </w:rPr>
        <w:t xml:space="preserve"> requests that IT pull the data from the district audited expenditures and enrollment (including ADM and ADA).</w:t>
      </w:r>
      <w:r w:rsidR="004A18C0">
        <w:rPr>
          <w:rFonts w:cstheme="minorHAnsi"/>
          <w:sz w:val="22"/>
          <w:szCs w:val="22"/>
        </w:rPr>
        <w:t xml:space="preserve"> </w:t>
      </w:r>
      <w:r w:rsidRPr="000B32B0">
        <w:rPr>
          <w:rFonts w:cstheme="minorHAnsi"/>
          <w:sz w:val="22"/>
          <w:szCs w:val="22"/>
        </w:rPr>
        <w:t>This process begins in late April- early May.</w:t>
      </w:r>
      <w:r w:rsidR="004A18C0">
        <w:rPr>
          <w:rFonts w:cstheme="minorHAnsi"/>
          <w:sz w:val="22"/>
          <w:szCs w:val="22"/>
        </w:rPr>
        <w:t xml:space="preserve"> </w:t>
      </w:r>
      <w:r w:rsidR="00616D41">
        <w:rPr>
          <w:rFonts w:cstheme="minorHAnsi"/>
          <w:sz w:val="22"/>
          <w:szCs w:val="22"/>
        </w:rPr>
        <w:t>OESO</w:t>
      </w:r>
      <w:r w:rsidRPr="000B32B0">
        <w:rPr>
          <w:rFonts w:cstheme="minorHAnsi"/>
          <w:sz w:val="22"/>
          <w:szCs w:val="22"/>
        </w:rPr>
        <w:t xml:space="preserve"> staff </w:t>
      </w:r>
      <w:r w:rsidR="00412413">
        <w:rPr>
          <w:rFonts w:cstheme="minorHAnsi"/>
          <w:sz w:val="22"/>
          <w:szCs w:val="22"/>
        </w:rPr>
        <w:t>verifies</w:t>
      </w:r>
      <w:r w:rsidRPr="000B32B0">
        <w:rPr>
          <w:rFonts w:cstheme="minorHAnsi"/>
          <w:sz w:val="22"/>
          <w:szCs w:val="22"/>
        </w:rPr>
        <w:t xml:space="preserve"> the data after it is run to ensure the correct data is being used and to see which districts have failed to maintain effort on all three tests.</w:t>
      </w:r>
      <w:r w:rsidR="004A18C0">
        <w:rPr>
          <w:rFonts w:cstheme="minorHAnsi"/>
          <w:sz w:val="22"/>
          <w:szCs w:val="22"/>
        </w:rPr>
        <w:t xml:space="preserve"> </w:t>
      </w:r>
    </w:p>
    <w:p w:rsidR="0019380D" w:rsidRPr="000B32B0" w:rsidRDefault="0019380D" w:rsidP="005618C9">
      <w:pPr>
        <w:spacing w:line="240" w:lineRule="auto"/>
        <w:rPr>
          <w:rFonts w:cstheme="minorHAnsi"/>
          <w:sz w:val="22"/>
          <w:szCs w:val="22"/>
        </w:rPr>
      </w:pPr>
      <w:r w:rsidRPr="000B32B0">
        <w:rPr>
          <w:rFonts w:cstheme="minorHAnsi"/>
          <w:sz w:val="22"/>
          <w:szCs w:val="22"/>
        </w:rPr>
        <w:t>If a district fails to maintain effort</w:t>
      </w:r>
      <w:r w:rsidR="00412413" w:rsidRPr="00412413">
        <w:t xml:space="preserve"> </w:t>
      </w:r>
      <w:r w:rsidR="00412413" w:rsidRPr="00412413">
        <w:rPr>
          <w:rFonts w:cstheme="minorHAnsi"/>
          <w:sz w:val="22"/>
          <w:szCs w:val="22"/>
        </w:rPr>
        <w:t>and also failed to maintain effort in one or more of the five immediately preceding fiscal years</w:t>
      </w:r>
      <w:r w:rsidRPr="000B32B0">
        <w:rPr>
          <w:rFonts w:cstheme="minorHAnsi"/>
          <w:sz w:val="22"/>
          <w:szCs w:val="22"/>
        </w:rPr>
        <w:t xml:space="preserve">, </w:t>
      </w:r>
      <w:r w:rsidR="00DB58E0">
        <w:rPr>
          <w:rFonts w:cstheme="minorHAnsi"/>
          <w:sz w:val="22"/>
          <w:szCs w:val="22"/>
        </w:rPr>
        <w:t>OESO</w:t>
      </w:r>
      <w:r w:rsidRPr="000B32B0">
        <w:rPr>
          <w:rFonts w:cstheme="minorHAnsi"/>
          <w:sz w:val="22"/>
          <w:szCs w:val="22"/>
        </w:rPr>
        <w:t xml:space="preserve"> staff notifies the district by phone and with a letter.</w:t>
      </w:r>
      <w:r w:rsidR="004A18C0">
        <w:rPr>
          <w:rFonts w:cstheme="minorHAnsi"/>
          <w:sz w:val="22"/>
          <w:szCs w:val="22"/>
        </w:rPr>
        <w:t xml:space="preserve"> </w:t>
      </w:r>
      <w:r w:rsidRPr="000B32B0">
        <w:rPr>
          <w:rFonts w:cstheme="minorHAnsi"/>
          <w:sz w:val="22"/>
          <w:szCs w:val="22"/>
        </w:rPr>
        <w:t>ESEA allocations are reduced by the percent the district failed to maintain effort.</w:t>
      </w:r>
      <w:r w:rsidR="004A18C0">
        <w:rPr>
          <w:rFonts w:cstheme="minorHAnsi"/>
          <w:sz w:val="22"/>
          <w:szCs w:val="22"/>
        </w:rPr>
        <w:t xml:space="preserve"> </w:t>
      </w:r>
      <w:r w:rsidRPr="000B32B0">
        <w:rPr>
          <w:rFonts w:cstheme="minorHAnsi"/>
          <w:sz w:val="22"/>
          <w:szCs w:val="22"/>
        </w:rPr>
        <w:t>The updated MOE letter will include a table listing each district’s federal program allocations prior to the MOE reduction and their final allocation after the reduction has taken place.</w:t>
      </w:r>
      <w:r w:rsidR="004A18C0">
        <w:rPr>
          <w:rFonts w:cstheme="minorHAnsi"/>
          <w:sz w:val="22"/>
          <w:szCs w:val="22"/>
        </w:rPr>
        <w:t xml:space="preserve"> </w:t>
      </w:r>
      <w:r w:rsidRPr="000B32B0">
        <w:rPr>
          <w:rFonts w:cstheme="minorHAnsi"/>
          <w:sz w:val="22"/>
          <w:szCs w:val="22"/>
        </w:rPr>
        <w:t>The next steps are as follows:</w:t>
      </w:r>
    </w:p>
    <w:p w:rsidR="0019380D" w:rsidRPr="000B32B0" w:rsidRDefault="0019380D" w:rsidP="0019380D">
      <w:pPr>
        <w:pStyle w:val="ListParagraph"/>
        <w:numPr>
          <w:ilvl w:val="0"/>
          <w:numId w:val="14"/>
        </w:numPr>
        <w:spacing w:after="0" w:line="240" w:lineRule="auto"/>
        <w:rPr>
          <w:rFonts w:cstheme="minorHAnsi"/>
          <w:b/>
          <w:sz w:val="22"/>
          <w:szCs w:val="22"/>
        </w:rPr>
      </w:pPr>
      <w:r w:rsidRPr="000B32B0">
        <w:rPr>
          <w:rFonts w:cstheme="minorHAnsi"/>
          <w:b/>
          <w:sz w:val="22"/>
          <w:szCs w:val="22"/>
        </w:rPr>
        <w:t xml:space="preserve">Internally within ODE, the education specialist assigned to federal program allocations and maintenance of efforts (MOE) will send copies of each district’s updated MOE letter to the appropriate ODE federal program education specialist to double-check that the final allocations listed in the letter concur with their worksheet of all districts’ final allocations. </w:t>
      </w:r>
    </w:p>
    <w:p w:rsidR="0019380D" w:rsidRPr="000B32B0" w:rsidRDefault="0019380D" w:rsidP="0019380D">
      <w:pPr>
        <w:pStyle w:val="ListParagraph"/>
        <w:numPr>
          <w:ilvl w:val="0"/>
          <w:numId w:val="14"/>
        </w:numPr>
        <w:spacing w:after="0" w:line="240" w:lineRule="auto"/>
        <w:rPr>
          <w:rFonts w:cstheme="minorHAnsi"/>
          <w:b/>
          <w:sz w:val="22"/>
          <w:szCs w:val="22"/>
        </w:rPr>
      </w:pPr>
      <w:r w:rsidRPr="000B32B0">
        <w:rPr>
          <w:rFonts w:cstheme="minorHAnsi"/>
          <w:b/>
          <w:sz w:val="22"/>
          <w:szCs w:val="22"/>
        </w:rPr>
        <w:t>Additionally within ODE, the education specialist assigned to federal program allocations and MOE will send copies of each district’s updated MOE letter to ODE fiscal staff assigned to federal programs to double-check that Oregon’s electronic grants management system (EGMS) reflects the correct final allocation amounts for each district.</w:t>
      </w:r>
      <w:r w:rsidR="004A18C0">
        <w:rPr>
          <w:rFonts w:cstheme="minorHAnsi"/>
          <w:b/>
          <w:sz w:val="22"/>
          <w:szCs w:val="22"/>
        </w:rPr>
        <w:t xml:space="preserve"> </w:t>
      </w:r>
    </w:p>
    <w:p w:rsidR="0019380D" w:rsidRPr="000B32B0" w:rsidRDefault="0019380D" w:rsidP="0019380D">
      <w:pPr>
        <w:pStyle w:val="ListParagraph"/>
        <w:numPr>
          <w:ilvl w:val="0"/>
          <w:numId w:val="14"/>
        </w:numPr>
        <w:spacing w:after="0" w:line="240" w:lineRule="auto"/>
        <w:rPr>
          <w:rFonts w:cstheme="minorHAnsi"/>
          <w:b/>
          <w:sz w:val="22"/>
          <w:szCs w:val="22"/>
        </w:rPr>
      </w:pPr>
      <w:r w:rsidRPr="000B32B0">
        <w:rPr>
          <w:rFonts w:cstheme="minorHAnsi"/>
          <w:b/>
          <w:sz w:val="22"/>
          <w:szCs w:val="22"/>
        </w:rPr>
        <w:t>Once both the appropriate ODE federal program education specialist and ODE fiscal staff have concurred that the MOE reduction is accurately reflected in the districts’ final allocations, the updated MOE letter explaining how failure to meet MOE resulted in a reduction of their final allocation will be sent to each district.</w:t>
      </w:r>
      <w:r w:rsidR="004A18C0">
        <w:rPr>
          <w:rFonts w:cstheme="minorHAnsi"/>
          <w:b/>
          <w:sz w:val="22"/>
          <w:szCs w:val="22"/>
        </w:rPr>
        <w:t xml:space="preserve"> </w:t>
      </w:r>
    </w:p>
    <w:p w:rsidR="0019380D" w:rsidRPr="004E3B44" w:rsidRDefault="0019380D" w:rsidP="00616D41">
      <w:pPr>
        <w:pStyle w:val="ListParagraph"/>
        <w:numPr>
          <w:ilvl w:val="0"/>
          <w:numId w:val="14"/>
        </w:numPr>
        <w:spacing w:after="120" w:line="240" w:lineRule="auto"/>
        <w:rPr>
          <w:rFonts w:cstheme="minorHAnsi"/>
          <w:b/>
          <w:sz w:val="22"/>
          <w:szCs w:val="22"/>
        </w:rPr>
      </w:pPr>
      <w:r w:rsidRPr="000B32B0">
        <w:rPr>
          <w:rFonts w:cstheme="minorHAnsi"/>
          <w:b/>
          <w:sz w:val="22"/>
          <w:szCs w:val="22"/>
        </w:rPr>
        <w:t xml:space="preserve">The education specialist assigned to federal program allocations and </w:t>
      </w:r>
      <w:r w:rsidR="00680FB2">
        <w:rPr>
          <w:rFonts w:cstheme="minorHAnsi"/>
          <w:b/>
          <w:sz w:val="22"/>
          <w:szCs w:val="22"/>
        </w:rPr>
        <w:t>MOE</w:t>
      </w:r>
      <w:r w:rsidR="004A18C0">
        <w:rPr>
          <w:rFonts w:cstheme="minorHAnsi"/>
          <w:b/>
          <w:sz w:val="22"/>
          <w:szCs w:val="22"/>
        </w:rPr>
        <w:t xml:space="preserve"> </w:t>
      </w:r>
      <w:r w:rsidRPr="000B32B0">
        <w:rPr>
          <w:rFonts w:cstheme="minorHAnsi"/>
          <w:b/>
          <w:sz w:val="22"/>
          <w:szCs w:val="22"/>
        </w:rPr>
        <w:t>will document how failure to meet MOE resulted in a reduction of a district’s final allocation in the MOE spreadsheet</w:t>
      </w:r>
      <w:r w:rsidR="004A18C0">
        <w:rPr>
          <w:rFonts w:cstheme="minorHAnsi"/>
          <w:b/>
          <w:sz w:val="22"/>
          <w:szCs w:val="22"/>
        </w:rPr>
        <w:t>s</w:t>
      </w:r>
      <w:r w:rsidRPr="000B32B0">
        <w:rPr>
          <w:rFonts w:cstheme="minorHAnsi"/>
          <w:b/>
          <w:sz w:val="22"/>
          <w:szCs w:val="22"/>
        </w:rPr>
        <w:t xml:space="preserve"> and the distri</w:t>
      </w:r>
      <w:r w:rsidR="00616D41">
        <w:rPr>
          <w:rFonts w:cstheme="minorHAnsi"/>
          <w:b/>
          <w:sz w:val="22"/>
          <w:szCs w:val="22"/>
        </w:rPr>
        <w:t>ct MOE letters are kept on file</w:t>
      </w:r>
    </w:p>
    <w:p w:rsidR="0019380D" w:rsidRPr="000B32B0" w:rsidRDefault="0019380D" w:rsidP="0019380D">
      <w:pPr>
        <w:pStyle w:val="Heading1"/>
      </w:pPr>
      <w:r w:rsidRPr="000B32B0">
        <w:t>Appeals</w:t>
      </w:r>
    </w:p>
    <w:p w:rsidR="0019380D" w:rsidRPr="000B32B0" w:rsidRDefault="0019380D" w:rsidP="005618C9">
      <w:pPr>
        <w:spacing w:line="240" w:lineRule="auto"/>
        <w:rPr>
          <w:rFonts w:cstheme="minorHAnsi"/>
          <w:sz w:val="22"/>
        </w:rPr>
      </w:pPr>
      <w:r w:rsidRPr="000B32B0">
        <w:rPr>
          <w:rFonts w:cstheme="minorHAnsi"/>
          <w:sz w:val="22"/>
        </w:rPr>
        <w:t>The district can appeal to the USDE.</w:t>
      </w:r>
      <w:r w:rsidR="004A18C0">
        <w:rPr>
          <w:rFonts w:cstheme="minorHAnsi"/>
          <w:sz w:val="22"/>
        </w:rPr>
        <w:t xml:space="preserve"> </w:t>
      </w:r>
      <w:r w:rsidRPr="000B32B0">
        <w:rPr>
          <w:rFonts w:cstheme="minorHAnsi"/>
          <w:sz w:val="22"/>
        </w:rPr>
        <w:t>This is explained in the letter to districts.</w:t>
      </w:r>
      <w:r w:rsidR="004A18C0">
        <w:rPr>
          <w:rFonts w:cstheme="minorHAnsi"/>
          <w:sz w:val="22"/>
        </w:rPr>
        <w:t xml:space="preserve"> </w:t>
      </w:r>
      <w:r w:rsidRPr="000B32B0">
        <w:rPr>
          <w:rFonts w:cstheme="minorHAnsi"/>
          <w:sz w:val="22"/>
        </w:rPr>
        <w:t>If a district does choose to appeal, they need to put their request and explanation into a formal letter to the Secretary of the USDE.</w:t>
      </w:r>
      <w:r w:rsidR="004A18C0">
        <w:rPr>
          <w:rFonts w:cstheme="minorHAnsi"/>
          <w:sz w:val="22"/>
        </w:rPr>
        <w:t xml:space="preserve"> </w:t>
      </w:r>
      <w:r w:rsidRPr="000B32B0">
        <w:rPr>
          <w:rFonts w:cstheme="minorHAnsi"/>
          <w:sz w:val="22"/>
        </w:rPr>
        <w:t>The letter and any supporting documentation are sent to us.</w:t>
      </w:r>
    </w:p>
    <w:p w:rsidR="0019380D" w:rsidRPr="000B32B0" w:rsidRDefault="004A18C0" w:rsidP="005618C9">
      <w:pPr>
        <w:spacing w:line="240" w:lineRule="auto"/>
        <w:rPr>
          <w:rFonts w:cstheme="minorHAnsi"/>
          <w:sz w:val="22"/>
        </w:rPr>
      </w:pPr>
      <w:r>
        <w:rPr>
          <w:rFonts w:cstheme="minorHAnsi"/>
          <w:sz w:val="22"/>
        </w:rPr>
        <w:t>OESO</w:t>
      </w:r>
      <w:r w:rsidR="0019380D" w:rsidRPr="000B32B0">
        <w:rPr>
          <w:rFonts w:cstheme="minorHAnsi"/>
          <w:sz w:val="22"/>
        </w:rPr>
        <w:t xml:space="preserve"> staff will contact USDE. USDE will send a spreadsheet to collect some information. Although it asks for information in different terminology, the specialist can get most of the information from the MOE spreadsheet.</w:t>
      </w:r>
      <w:r>
        <w:rPr>
          <w:rFonts w:cstheme="minorHAnsi"/>
          <w:sz w:val="22"/>
        </w:rPr>
        <w:t xml:space="preserve"> OESO</w:t>
      </w:r>
      <w:r w:rsidR="0019380D" w:rsidRPr="000B32B0">
        <w:rPr>
          <w:rFonts w:cstheme="minorHAnsi"/>
          <w:sz w:val="22"/>
        </w:rPr>
        <w:t xml:space="preserve"> staff requests the additional revenue information from ODE Fiscal Staff.</w:t>
      </w:r>
      <w:r>
        <w:rPr>
          <w:rFonts w:cstheme="minorHAnsi"/>
          <w:sz w:val="22"/>
        </w:rPr>
        <w:t xml:space="preserve"> </w:t>
      </w:r>
      <w:r w:rsidR="0019380D" w:rsidRPr="000B32B0">
        <w:rPr>
          <w:rFonts w:cstheme="minorHAnsi"/>
          <w:sz w:val="22"/>
        </w:rPr>
        <w:t xml:space="preserve">Once the information is prepared for USDE, </w:t>
      </w:r>
      <w:r>
        <w:rPr>
          <w:rFonts w:cstheme="minorHAnsi"/>
          <w:sz w:val="22"/>
        </w:rPr>
        <w:t>OESO</w:t>
      </w:r>
      <w:r w:rsidR="0019380D" w:rsidRPr="000B32B0">
        <w:rPr>
          <w:rFonts w:cstheme="minorHAnsi"/>
          <w:sz w:val="22"/>
        </w:rPr>
        <w:t xml:space="preserve"> staff will send all information to USDE for review.</w:t>
      </w:r>
      <w:r>
        <w:rPr>
          <w:rFonts w:cstheme="minorHAnsi"/>
          <w:sz w:val="22"/>
        </w:rPr>
        <w:t xml:space="preserve"> </w:t>
      </w:r>
      <w:r w:rsidR="0019380D" w:rsidRPr="000B32B0">
        <w:rPr>
          <w:rFonts w:cstheme="minorHAnsi"/>
          <w:sz w:val="22"/>
        </w:rPr>
        <w:t>They will provide additional instructions on how and who to send the appeal to.</w:t>
      </w:r>
    </w:p>
    <w:p w:rsidR="0019380D" w:rsidRPr="000B32B0" w:rsidRDefault="0019380D" w:rsidP="005618C9">
      <w:pPr>
        <w:spacing w:line="240" w:lineRule="auto"/>
        <w:rPr>
          <w:rFonts w:cstheme="minorHAnsi"/>
          <w:sz w:val="22"/>
        </w:rPr>
      </w:pPr>
      <w:r w:rsidRPr="000B32B0">
        <w:rPr>
          <w:rFonts w:cstheme="minorHAnsi"/>
          <w:sz w:val="22"/>
        </w:rPr>
        <w:t>The USDE will make a determination and notify ODE and the district of their decision.</w:t>
      </w:r>
      <w:r w:rsidR="004A18C0">
        <w:rPr>
          <w:rFonts w:cstheme="minorHAnsi"/>
          <w:sz w:val="22"/>
        </w:rPr>
        <w:t xml:space="preserve"> </w:t>
      </w:r>
      <w:r w:rsidRPr="000B32B0">
        <w:rPr>
          <w:rFonts w:cstheme="minorHAnsi"/>
          <w:sz w:val="22"/>
        </w:rPr>
        <w:t>Until the decision is made, the MOE reduction will take place.</w:t>
      </w:r>
    </w:p>
    <w:p w:rsidR="002E6FBF" w:rsidRPr="0019380D" w:rsidRDefault="002E6FBF" w:rsidP="0019380D"/>
    <w:sectPr w:rsidR="002E6FBF" w:rsidRPr="0019380D" w:rsidSect="00D51424">
      <w:headerReference w:type="default" r:id="rId8"/>
      <w:footerReference w:type="default" r:id="rId9"/>
      <w:headerReference w:type="first" r:id="rId10"/>
      <w:footerReference w:type="first" r:id="rId11"/>
      <w:pgSz w:w="12240" w:h="15840"/>
      <w:pgMar w:top="2250" w:right="1440" w:bottom="9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D4F" w:rsidRDefault="00D02D4F" w:rsidP="00CE459D">
      <w:pPr>
        <w:spacing w:after="0" w:line="240" w:lineRule="auto"/>
      </w:pPr>
      <w:r>
        <w:separator/>
      </w:r>
    </w:p>
  </w:endnote>
  <w:endnote w:type="continuationSeparator" w:id="0">
    <w:p w:rsidR="00D02D4F" w:rsidRDefault="00D02D4F"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4A18C0">
                            <w:t xml:space="preserve"> </w:t>
                          </w:r>
                          <w:r w:rsidR="00B25F74">
                            <w:t>|</w:t>
                          </w:r>
                          <w:r w:rsidR="004A18C0">
                            <w:t xml:space="preserve"> </w:t>
                          </w:r>
                          <w:r w:rsidR="00B321D1">
                            <w:t>Voice: 503-947-5600</w:t>
                          </w:r>
                          <w:r w:rsidR="004A18C0">
                            <w:t xml:space="preserve"> </w:t>
                          </w:r>
                          <w:r w:rsidR="00B321D1">
                            <w:t>|</w:t>
                          </w:r>
                          <w:r w:rsidR="00B25F74">
                            <w:t xml:space="preserve"> </w:t>
                          </w:r>
                          <w:r w:rsidR="00B321D1">
                            <w:t>Fax: 503-378-5156</w:t>
                          </w:r>
                          <w:r w:rsidR="004A18C0">
                            <w:t xml:space="preserve"> </w:t>
                          </w:r>
                          <w:r w:rsidR="00B25F74">
                            <w:t>|</w:t>
                          </w:r>
                          <w:r w:rsidR="004A18C0">
                            <w:t xml:space="preserve"> </w:t>
                          </w:r>
                          <w:r w:rsidR="00B25F74">
                            <w:t>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4A18C0">
                      <w:t xml:space="preserve"> </w:t>
                    </w:r>
                    <w:r w:rsidR="00B25F74">
                      <w:t>|</w:t>
                    </w:r>
                    <w:r w:rsidR="004A18C0">
                      <w:t xml:space="preserve"> </w:t>
                    </w:r>
                    <w:r w:rsidR="00B321D1">
                      <w:t>Voice: 503-947-5600</w:t>
                    </w:r>
                    <w:r w:rsidR="004A18C0">
                      <w:t xml:space="preserve"> </w:t>
                    </w:r>
                    <w:r w:rsidR="00B321D1">
                      <w:t>|</w:t>
                    </w:r>
                    <w:r w:rsidR="00B25F74">
                      <w:t xml:space="preserve"> </w:t>
                    </w:r>
                    <w:r w:rsidR="00B321D1">
                      <w:t>Fax: 503-378-5156</w:t>
                    </w:r>
                    <w:r w:rsidR="004A18C0">
                      <w:t xml:space="preserve"> </w:t>
                    </w:r>
                    <w:r w:rsidR="00B25F74">
                      <w:t>|</w:t>
                    </w:r>
                    <w:r w:rsidR="004A18C0">
                      <w:t xml:space="preserve"> </w:t>
                    </w:r>
                    <w:r w:rsidR="00B25F74">
                      <w:t>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F29" w:rsidRDefault="005A5F29">
    <w:pPr>
      <w:pStyle w:val="Footer"/>
    </w:pPr>
    <w:r>
      <w:rPr>
        <w:noProof/>
      </w:rPr>
      <mc:AlternateContent>
        <mc:Choice Requires="wps">
          <w:drawing>
            <wp:anchor distT="45720" distB="45720" distL="114300" distR="114300" simplePos="0" relativeHeight="251671552" behindDoc="0" locked="1" layoutInCell="1" allowOverlap="1" wp14:anchorId="26DA7154" wp14:editId="253A654E">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rsidR="005A5F29" w:rsidRDefault="005A5F29" w:rsidP="005A5F29">
                          <w:pPr>
                            <w:pStyle w:val="Header"/>
                            <w:jc w:val="center"/>
                          </w:pPr>
                          <w:r>
                            <w:t>255 Capitol St NE, Salem, OR 97310</w:t>
                          </w:r>
                          <w:r w:rsidR="004A18C0">
                            <w:t xml:space="preserve"> </w:t>
                          </w:r>
                          <w:r>
                            <w:t>|</w:t>
                          </w:r>
                          <w:r w:rsidR="004A18C0">
                            <w:t xml:space="preserve"> </w:t>
                          </w:r>
                          <w:r>
                            <w:t>Voice: 503-947-5600</w:t>
                          </w:r>
                          <w:r w:rsidR="004A18C0">
                            <w:t xml:space="preserve"> </w:t>
                          </w:r>
                          <w:r>
                            <w:t>| Fax: 503-378-5156</w:t>
                          </w:r>
                          <w:r w:rsidR="004A18C0">
                            <w:t xml:space="preserve"> </w:t>
                          </w:r>
                          <w:r>
                            <w:t>|</w:t>
                          </w:r>
                          <w:r w:rsidR="004A18C0">
                            <w:t xml:space="preserve"> </w:t>
                          </w:r>
                          <w:r>
                            <w:t>www.oregon.gov/ode</w:t>
                          </w:r>
                        </w:p>
                        <w:p w:rsidR="005A5F29" w:rsidRDefault="005A5F29" w:rsidP="005A5F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A7154"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" filled="f" stroked="f">
              <v:textbox>
                <w:txbxContent>
                  <w:p w:rsidR="005A5F29" w:rsidRDefault="005A5F29" w:rsidP="005A5F29">
                    <w:pPr>
                      <w:pStyle w:val="Header"/>
                      <w:jc w:val="center"/>
                    </w:pPr>
                    <w:r>
                      <w:t>255 Capitol St NE, Salem, OR 97310</w:t>
                    </w:r>
                    <w:r w:rsidR="004A18C0">
                      <w:t xml:space="preserve"> </w:t>
                    </w:r>
                    <w:r>
                      <w:t>|</w:t>
                    </w:r>
                    <w:r w:rsidR="004A18C0">
                      <w:t xml:space="preserve"> </w:t>
                    </w:r>
                    <w:r>
                      <w:t>Voice: 503-947-5600</w:t>
                    </w:r>
                    <w:r w:rsidR="004A18C0">
                      <w:t xml:space="preserve"> </w:t>
                    </w:r>
                    <w:r>
                      <w:t>| Fax: 503-378-5156</w:t>
                    </w:r>
                    <w:r w:rsidR="004A18C0">
                      <w:t xml:space="preserve"> </w:t>
                    </w:r>
                    <w:r>
                      <w:t>|</w:t>
                    </w:r>
                    <w:r w:rsidR="004A18C0">
                      <w:t xml:space="preserve"> </w:t>
                    </w:r>
                    <w:r>
                      <w:t>www.oregon.gov/ode</w:t>
                    </w:r>
                  </w:p>
                  <w:p w:rsidR="005A5F29" w:rsidRDefault="005A5F29" w:rsidP="005A5F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D4F" w:rsidRDefault="00D02D4F" w:rsidP="00CE459D">
      <w:pPr>
        <w:spacing w:after="0" w:line="240" w:lineRule="auto"/>
      </w:pPr>
      <w:r>
        <w:separator/>
      </w:r>
    </w:p>
  </w:footnote>
  <w:footnote w:type="continuationSeparator" w:id="0">
    <w:p w:rsidR="00D02D4F" w:rsidRDefault="00D02D4F"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246BF6" w:rsidP="00B321D1">
    <w:pPr>
      <w:pStyle w:val="Header"/>
      <w:jc w:val="right"/>
    </w:pPr>
    <w:r>
      <w:softHyphen/>
    </w:r>
    <w:r>
      <w:softHyphen/>
    </w:r>
    <w:r>
      <w:softHyphen/>
    </w:r>
  </w:p>
  <w:p w:rsidR="00B321D1" w:rsidRDefault="00277DA1" w:rsidP="00277DA1">
    <w:pPr>
      <w:pStyle w:val="Header"/>
      <w:tabs>
        <w:tab w:val="left" w:pos="495"/>
        <w:tab w:val="left" w:pos="1980"/>
        <w:tab w:val="left" w:pos="2070"/>
      </w:tabs>
    </w:pPr>
    <w:r>
      <w:tab/>
    </w:r>
    <w:r>
      <w:tab/>
    </w:r>
    <w:r>
      <w:tab/>
    </w:r>
    <w:r>
      <w:tab/>
    </w:r>
  </w:p>
  <w:p w:rsidR="00B321D1" w:rsidRDefault="00B321D1" w:rsidP="00B321D1">
    <w:pPr>
      <w:pStyle w:val="Header"/>
      <w:jc w:val="right"/>
    </w:pPr>
  </w:p>
  <w:p w:rsidR="00B321D1" w:rsidRDefault="00B321D1" w:rsidP="00B321D1">
    <w:pPr>
      <w:pStyle w:val="Header"/>
      <w:jc w:val="right"/>
    </w:pPr>
  </w:p>
  <w:p w:rsidR="00B321D1" w:rsidRDefault="00B321D1" w:rsidP="00B321D1">
    <w:pPr>
      <w:pStyle w:val="Header"/>
      <w:jc w:val="right"/>
    </w:pPr>
  </w:p>
  <w:p w:rsidR="00B321D1" w:rsidRDefault="00B321D1" w:rsidP="00B321D1">
    <w:pPr>
      <w:pStyle w:val="Header"/>
      <w:jc w:val="right"/>
    </w:pPr>
  </w:p>
  <w:p w:rsidR="00B321D1" w:rsidRDefault="00B321D1" w:rsidP="00B321D1">
    <w:pPr>
      <w:pStyle w:val="Header"/>
      <w:jc w:val="right"/>
    </w:pP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D51424">
    <w:pPr>
      <w:pStyle w:val="Header"/>
    </w:pPr>
    <w:r>
      <w:rPr>
        <w:noProof/>
      </w:rPr>
      <mc:AlternateContent>
        <mc:Choice Requires="wps">
          <w:drawing>
            <wp:anchor distT="0" distB="0" distL="114300" distR="114300" simplePos="0" relativeHeight="251659263" behindDoc="0" locked="0" layoutInCell="1" allowOverlap="1">
              <wp:simplePos x="0" y="0"/>
              <wp:positionH relativeFrom="column">
                <wp:posOffset>-457200</wp:posOffset>
              </wp:positionH>
              <wp:positionV relativeFrom="paragraph">
                <wp:posOffset>1019175</wp:posOffset>
              </wp:positionV>
              <wp:extent cx="2552700" cy="323850"/>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23850"/>
                      </a:xfrm>
                      <a:prstGeom prst="rect">
                        <a:avLst/>
                      </a:prstGeom>
                      <a:noFill/>
                      <a:ln w="9525">
                        <a:noFill/>
                        <a:miter lim="800000"/>
                        <a:headEnd/>
                        <a:tailEnd/>
                      </a:ln>
                    </wps:spPr>
                    <wps:txb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pt;margin-top:80.25pt;width:201pt;height:2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" filled="f" stroked="f">
              <v:textbox>
                <w:txbxContent>
                  <w:p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87295B">
      <w:rPr>
        <w:noProof/>
      </w:rPr>
      <w:drawing>
        <wp:anchor distT="0" distB="0" distL="114300" distR="114300" simplePos="0" relativeHeight="251658239" behindDoc="0" locked="0" layoutInCell="1" allowOverlap="1">
          <wp:simplePos x="0" y="0"/>
          <wp:positionH relativeFrom="column">
            <wp:posOffset>-581025</wp:posOffset>
          </wp:positionH>
          <wp:positionV relativeFrom="paragraph">
            <wp:posOffset>200025</wp:posOffset>
          </wp:positionV>
          <wp:extent cx="2676525" cy="1045143"/>
          <wp:effectExtent l="0" t="0" r="0" b="0"/>
          <wp:wrapNone/>
          <wp:docPr id="1" name="Picture 1"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95002" cy="1052358"/>
                  </a:xfrm>
                  <a:prstGeom prst="rect">
                    <a:avLst/>
                  </a:prstGeom>
                </pic:spPr>
              </pic:pic>
            </a:graphicData>
          </a:graphic>
          <wp14:sizeRelH relativeFrom="margin">
            <wp14:pctWidth>0</wp14:pctWidth>
          </wp14:sizeRelH>
          <wp14:sizeRelV relativeFrom="margin">
            <wp14:pctHeight>0</wp14:pctHeight>
          </wp14:sizeRelV>
        </wp:anchor>
      </w:drawing>
    </w:r>
    <w:r w:rsidR="00277DA1" w:rsidRPr="00277DA1">
      <w:rPr>
        <w:noProof/>
      </w:rPr>
      <mc:AlternateContent>
        <mc:Choice Requires="wps">
          <w:drawing>
            <wp:anchor distT="45720" distB="45720" distL="114300" distR="114300" simplePos="0" relativeHeight="251668480" behindDoc="0" locked="1" layoutInCell="1" allowOverlap="1" wp14:anchorId="6030EE24" wp14:editId="502CD24A">
              <wp:simplePos x="0" y="0"/>
              <wp:positionH relativeFrom="column">
                <wp:posOffset>1731010</wp:posOffset>
              </wp:positionH>
              <wp:positionV relativeFrom="page">
                <wp:posOffset>190500</wp:posOffset>
              </wp:positionV>
              <wp:extent cx="4482465" cy="1150620"/>
              <wp:effectExtent l="0" t="0" r="0" b="0"/>
              <wp:wrapSquare wrapText="bothSides"/>
              <wp:docPr id="5" name="Text Box 2" descr="2017-2018&#10;CIP Budget Narrative/Spending Workbook&#10;ESEA/ESSA Statement of Assurances"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2465" cy="1150620"/>
                      </a:xfrm>
                      <a:prstGeom prst="rect">
                        <a:avLst/>
                      </a:prstGeom>
                      <a:noFill/>
                      <a:ln w="9525">
                        <a:noFill/>
                        <a:miter lim="800000"/>
                        <a:headEnd/>
                        <a:tailEnd/>
                      </a:ln>
                    </wps:spPr>
                    <wps:txbx>
                      <w:txbxContent>
                        <w:p w:rsidR="00277DA1" w:rsidRPr="00C07AEE" w:rsidRDefault="0019380D" w:rsidP="00C07AEE">
                          <w:pPr>
                            <w:spacing w:after="40" w:line="240" w:lineRule="auto"/>
                            <w:jc w:val="right"/>
                            <w:rPr>
                              <w:b/>
                              <w:sz w:val="32"/>
                              <w:szCs w:val="32"/>
                            </w:rPr>
                          </w:pPr>
                          <w:r>
                            <w:rPr>
                              <w:b/>
                              <w:sz w:val="32"/>
                              <w:szCs w:val="32"/>
                            </w:rPr>
                            <w:t>Process for Calculation of Maintenance of Effort for ESEA/ESSA Title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0EE24" id="_x0000_s1028" type="#_x0000_t202" alt="Title: 2017-2018 CIP Budget Narrative Assurances - Description: 2017-2018&#10;CIP Budget Narrative/Spending Workbook&#10;ESEA/ESSA Statement of Assurances" style="position:absolute;margin-left:136.3pt;margin-top:15pt;width:352.95pt;height:9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" filled="f" stroked="f">
              <v:textbox>
                <w:txbxContent>
                  <w:p w:rsidR="00277DA1" w:rsidRPr="00C07AEE" w:rsidRDefault="0019380D" w:rsidP="00C07AEE">
                    <w:pPr>
                      <w:spacing w:after="40" w:line="240" w:lineRule="auto"/>
                      <w:jc w:val="right"/>
                      <w:rPr>
                        <w:b/>
                        <w:sz w:val="32"/>
                        <w:szCs w:val="32"/>
                      </w:rPr>
                    </w:pPr>
                    <w:r>
                      <w:rPr>
                        <w:b/>
                        <w:sz w:val="32"/>
                        <w:szCs w:val="32"/>
                      </w:rPr>
                      <w:t>Process for Calculation of Maintenance of Effort for ESEA/ESSA Title Programs</w:t>
                    </w:r>
                  </w:p>
                </w:txbxContent>
              </v:textbox>
              <w10:wrap type="square" anchory="page"/>
              <w10:anchorlock/>
            </v:shape>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38A73D87" wp14:editId="02F02BAE">
              <wp:simplePos x="0" y="0"/>
              <wp:positionH relativeFrom="column">
                <wp:posOffset>-124460</wp:posOffset>
              </wp:positionH>
              <wp:positionV relativeFrom="page">
                <wp:posOffset>1342390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8309D"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8pt,105.7pt" to="472.6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D04E2"/>
    <w:multiLevelType w:val="hybridMultilevel"/>
    <w:tmpl w:val="1D38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B2B3E"/>
    <w:multiLevelType w:val="hybridMultilevel"/>
    <w:tmpl w:val="66089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959CD"/>
    <w:multiLevelType w:val="hybridMultilevel"/>
    <w:tmpl w:val="C0AC1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990C23"/>
    <w:multiLevelType w:val="hybridMultilevel"/>
    <w:tmpl w:val="A53448D8"/>
    <w:lvl w:ilvl="0" w:tplc="26D2C6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F335C"/>
    <w:multiLevelType w:val="hybridMultilevel"/>
    <w:tmpl w:val="16DEA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06"/>
    <w:rsid w:val="00051ADF"/>
    <w:rsid w:val="00075B20"/>
    <w:rsid w:val="00092D08"/>
    <w:rsid w:val="000C5F65"/>
    <w:rsid w:val="000D3C77"/>
    <w:rsid w:val="000E1ACF"/>
    <w:rsid w:val="000E43ED"/>
    <w:rsid w:val="00111A06"/>
    <w:rsid w:val="0019380D"/>
    <w:rsid w:val="0022758A"/>
    <w:rsid w:val="00246BF6"/>
    <w:rsid w:val="0026344F"/>
    <w:rsid w:val="00277DA1"/>
    <w:rsid w:val="00280989"/>
    <w:rsid w:val="002B5451"/>
    <w:rsid w:val="002B54CB"/>
    <w:rsid w:val="002B7A3F"/>
    <w:rsid w:val="002D77D3"/>
    <w:rsid w:val="002E6FBF"/>
    <w:rsid w:val="002F7F83"/>
    <w:rsid w:val="00336615"/>
    <w:rsid w:val="003B5A9D"/>
    <w:rsid w:val="003C65ED"/>
    <w:rsid w:val="00412413"/>
    <w:rsid w:val="004220BC"/>
    <w:rsid w:val="00456699"/>
    <w:rsid w:val="00497C06"/>
    <w:rsid w:val="004A18C0"/>
    <w:rsid w:val="004B44FF"/>
    <w:rsid w:val="004C507D"/>
    <w:rsid w:val="0050143A"/>
    <w:rsid w:val="00532EC4"/>
    <w:rsid w:val="005618C9"/>
    <w:rsid w:val="00584A88"/>
    <w:rsid w:val="00593C35"/>
    <w:rsid w:val="00597929"/>
    <w:rsid w:val="005A5F29"/>
    <w:rsid w:val="005B6F2B"/>
    <w:rsid w:val="005F0E66"/>
    <w:rsid w:val="005F2534"/>
    <w:rsid w:val="00616D41"/>
    <w:rsid w:val="00655A8A"/>
    <w:rsid w:val="00680FB2"/>
    <w:rsid w:val="00682B20"/>
    <w:rsid w:val="00694C60"/>
    <w:rsid w:val="006F41AD"/>
    <w:rsid w:val="007C797B"/>
    <w:rsid w:val="00835B6B"/>
    <w:rsid w:val="0086607A"/>
    <w:rsid w:val="0087295B"/>
    <w:rsid w:val="008915A5"/>
    <w:rsid w:val="00957404"/>
    <w:rsid w:val="00965306"/>
    <w:rsid w:val="00A70A87"/>
    <w:rsid w:val="00A953DF"/>
    <w:rsid w:val="00AB0805"/>
    <w:rsid w:val="00AB6C0C"/>
    <w:rsid w:val="00AC311C"/>
    <w:rsid w:val="00AE1357"/>
    <w:rsid w:val="00B00C83"/>
    <w:rsid w:val="00B25F74"/>
    <w:rsid w:val="00B321D1"/>
    <w:rsid w:val="00B34DEF"/>
    <w:rsid w:val="00B92C83"/>
    <w:rsid w:val="00B97A49"/>
    <w:rsid w:val="00BC7447"/>
    <w:rsid w:val="00BE747E"/>
    <w:rsid w:val="00C07AEE"/>
    <w:rsid w:val="00C4690C"/>
    <w:rsid w:val="00C819F3"/>
    <w:rsid w:val="00CA2B57"/>
    <w:rsid w:val="00CD2DBE"/>
    <w:rsid w:val="00CD732C"/>
    <w:rsid w:val="00CE459D"/>
    <w:rsid w:val="00D02D4F"/>
    <w:rsid w:val="00D51424"/>
    <w:rsid w:val="00D76049"/>
    <w:rsid w:val="00DA43E0"/>
    <w:rsid w:val="00DA52CE"/>
    <w:rsid w:val="00DB58E0"/>
    <w:rsid w:val="00DC2FE0"/>
    <w:rsid w:val="00DC7D58"/>
    <w:rsid w:val="00DD5DB2"/>
    <w:rsid w:val="00E21354"/>
    <w:rsid w:val="00E9673F"/>
    <w:rsid w:val="00EA1437"/>
    <w:rsid w:val="00EC4BF6"/>
    <w:rsid w:val="00F01A54"/>
    <w:rsid w:val="00F47491"/>
    <w:rsid w:val="00FE32E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7575A5"/>
  <w15:docId w15:val="{1436C0B8-54F8-4D9D-87C1-B4BEE675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DEF"/>
  </w:style>
  <w:style w:type="paragraph" w:styleId="Heading1">
    <w:name w:val="heading 1"/>
    <w:basedOn w:val="Normal"/>
    <w:next w:val="Normal"/>
    <w:link w:val="Heading1Char"/>
    <w:uiPriority w:val="9"/>
    <w:qFormat/>
    <w:rsid w:val="00BE747E"/>
    <w:pPr>
      <w:keepNext/>
      <w:keepLines/>
      <w:spacing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unhideWhenUsed/>
    <w:qFormat/>
    <w:rsid w:val="0019380D"/>
    <w:pPr>
      <w:keepNext/>
      <w:keepLines/>
      <w:spacing w:before="40" w:after="0"/>
      <w:outlineLvl w:val="2"/>
    </w:pPr>
    <w:rPr>
      <w:rFonts w:asciiTheme="majorHAnsi" w:eastAsiaTheme="majorEastAsia" w:hAnsiTheme="majorHAnsi" w:cstheme="majorBidi"/>
      <w:color w:val="0D3A5D"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BE747E"/>
    <w:rPr>
      <w:rFonts w:eastAsiaTheme="majorEastAsia" w:cstheme="majorBidi"/>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277DA1"/>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paragraph" w:styleId="BalloonText">
    <w:name w:val="Balloon Text"/>
    <w:basedOn w:val="Normal"/>
    <w:link w:val="BalloonTextChar"/>
    <w:uiPriority w:val="99"/>
    <w:semiHidden/>
    <w:unhideWhenUsed/>
    <w:rsid w:val="00BE7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47E"/>
    <w:rPr>
      <w:rFonts w:ascii="Segoe UI" w:hAnsi="Segoe UI" w:cs="Segoe UI"/>
      <w:sz w:val="18"/>
      <w:szCs w:val="18"/>
    </w:rPr>
  </w:style>
  <w:style w:type="paragraph" w:styleId="NoSpacing">
    <w:name w:val="No Spacing"/>
    <w:uiPriority w:val="1"/>
    <w:qFormat/>
    <w:rsid w:val="00BE747E"/>
    <w:pPr>
      <w:spacing w:after="0" w:line="240" w:lineRule="auto"/>
    </w:pPr>
  </w:style>
  <w:style w:type="character" w:styleId="FollowedHyperlink">
    <w:name w:val="FollowedHyperlink"/>
    <w:basedOn w:val="DefaultParagraphFont"/>
    <w:uiPriority w:val="99"/>
    <w:semiHidden/>
    <w:unhideWhenUsed/>
    <w:rsid w:val="00A70A87"/>
    <w:rPr>
      <w:color w:val="21AAE8" w:themeColor="followedHyperlink"/>
      <w:u w:val="single"/>
    </w:rPr>
  </w:style>
  <w:style w:type="character" w:customStyle="1" w:styleId="Heading3Char">
    <w:name w:val="Heading 3 Char"/>
    <w:basedOn w:val="DefaultParagraphFont"/>
    <w:link w:val="Heading3"/>
    <w:uiPriority w:val="9"/>
    <w:rsid w:val="0019380D"/>
    <w:rPr>
      <w:rFonts w:asciiTheme="majorHAnsi" w:eastAsiaTheme="majorEastAsia" w:hAnsiTheme="majorHAnsi" w:cstheme="majorBidi"/>
      <w:color w:val="0D3A5D" w:themeColor="accent1" w:themeShade="7F"/>
      <w:sz w:val="24"/>
      <w:szCs w:val="24"/>
    </w:rPr>
  </w:style>
  <w:style w:type="table" w:styleId="GridTable5Dark-Accent6">
    <w:name w:val="Grid Table 5 Dark Accent 6"/>
    <w:basedOn w:val="TableNormal"/>
    <w:uiPriority w:val="50"/>
    <w:rsid w:val="00C07A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4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75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75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75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75BC" w:themeFill="accent6"/>
      </w:tcPr>
    </w:tblStylePr>
    <w:tblStylePr w:type="band1Vert">
      <w:tblPr/>
      <w:tcPr>
        <w:shd w:val="clear" w:color="auto" w:fill="97C9F0" w:themeFill="accent6" w:themeFillTint="66"/>
      </w:tcPr>
    </w:tblStylePr>
    <w:tblStylePr w:type="band1Horz">
      <w:tblPr/>
      <w:tcPr>
        <w:shd w:val="clear" w:color="auto" w:fill="97C9F0" w:themeFill="accent6" w:themeFillTint="66"/>
      </w:tcPr>
    </w:tblStylePr>
  </w:style>
  <w:style w:type="table" w:styleId="GridTable3-Accent6">
    <w:name w:val="Grid Table 3 Accent 6"/>
    <w:basedOn w:val="TableNormal"/>
    <w:uiPriority w:val="48"/>
    <w:rsid w:val="00C07AEE"/>
    <w:pPr>
      <w:spacing w:after="0" w:line="240" w:lineRule="auto"/>
    </w:pPr>
    <w:tblPr>
      <w:tblStyleRowBandSize w:val="1"/>
      <w:tblStyleColBandSize w:val="1"/>
      <w:tblBorders>
        <w:top w:val="single" w:sz="4" w:space="0" w:color="64AEE8" w:themeColor="accent6" w:themeTint="99"/>
        <w:left w:val="single" w:sz="4" w:space="0" w:color="64AEE8" w:themeColor="accent6" w:themeTint="99"/>
        <w:bottom w:val="single" w:sz="4" w:space="0" w:color="64AEE8" w:themeColor="accent6" w:themeTint="99"/>
        <w:right w:val="single" w:sz="4" w:space="0" w:color="64AEE8" w:themeColor="accent6" w:themeTint="99"/>
        <w:insideH w:val="single" w:sz="4" w:space="0" w:color="64AEE8" w:themeColor="accent6" w:themeTint="99"/>
        <w:insideV w:val="single" w:sz="4" w:space="0" w:color="64AE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4F7" w:themeFill="accent6" w:themeFillTint="33"/>
      </w:tcPr>
    </w:tblStylePr>
    <w:tblStylePr w:type="band1Horz">
      <w:tblPr/>
      <w:tcPr>
        <w:shd w:val="clear" w:color="auto" w:fill="CBE4F7" w:themeFill="accent6" w:themeFillTint="33"/>
      </w:tcPr>
    </w:tblStylePr>
    <w:tblStylePr w:type="neCell">
      <w:tblPr/>
      <w:tcPr>
        <w:tcBorders>
          <w:bottom w:val="single" w:sz="4" w:space="0" w:color="64AEE8" w:themeColor="accent6" w:themeTint="99"/>
        </w:tcBorders>
      </w:tcPr>
    </w:tblStylePr>
    <w:tblStylePr w:type="nwCell">
      <w:tblPr/>
      <w:tcPr>
        <w:tcBorders>
          <w:bottom w:val="single" w:sz="4" w:space="0" w:color="64AEE8" w:themeColor="accent6" w:themeTint="99"/>
        </w:tcBorders>
      </w:tcPr>
    </w:tblStylePr>
    <w:tblStylePr w:type="seCell">
      <w:tblPr/>
      <w:tcPr>
        <w:tcBorders>
          <w:top w:val="single" w:sz="4" w:space="0" w:color="64AEE8" w:themeColor="accent6" w:themeTint="99"/>
        </w:tcBorders>
      </w:tcPr>
    </w:tblStylePr>
    <w:tblStylePr w:type="swCell">
      <w:tblPr/>
      <w:tcPr>
        <w:tcBorders>
          <w:top w:val="single" w:sz="4" w:space="0" w:color="64AEE8" w:themeColor="accent6" w:themeTint="99"/>
        </w:tcBorders>
      </w:tcPr>
    </w:tblStylePr>
  </w:style>
  <w:style w:type="table" w:styleId="GridTable5Dark-Accent1">
    <w:name w:val="Grid Table 5 Dark Accent 1"/>
    <w:basedOn w:val="TableNormal"/>
    <w:uiPriority w:val="50"/>
    <w:rsid w:val="00C07A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4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75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75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75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75BC" w:themeFill="accent1"/>
      </w:tcPr>
    </w:tblStylePr>
    <w:tblStylePr w:type="band1Vert">
      <w:tblPr/>
      <w:tcPr>
        <w:shd w:val="clear" w:color="auto" w:fill="97C9F0" w:themeFill="accent1" w:themeFillTint="66"/>
      </w:tcPr>
    </w:tblStylePr>
    <w:tblStylePr w:type="band1Horz">
      <w:tblPr/>
      <w:tcPr>
        <w:shd w:val="clear" w:color="auto" w:fill="97C9F0" w:themeFill="accent1" w:themeFillTint="66"/>
      </w:tcPr>
    </w:tblStylePr>
  </w:style>
  <w:style w:type="table" w:styleId="GridTable4-Accent4">
    <w:name w:val="Grid Table 4 Accent 4"/>
    <w:basedOn w:val="TableNormal"/>
    <w:uiPriority w:val="49"/>
    <w:rsid w:val="00B97A49"/>
    <w:pPr>
      <w:spacing w:after="0" w:line="240" w:lineRule="auto"/>
    </w:pPr>
    <w:tblPr>
      <w:tblStyleRowBandSize w:val="1"/>
      <w:tblStyleColBandSize w:val="1"/>
      <w:tblBorders>
        <w:top w:val="single" w:sz="4" w:space="0" w:color="AADEF6" w:themeColor="accent4" w:themeTint="99"/>
        <w:left w:val="single" w:sz="4" w:space="0" w:color="AADEF6" w:themeColor="accent4" w:themeTint="99"/>
        <w:bottom w:val="single" w:sz="4" w:space="0" w:color="AADEF6" w:themeColor="accent4" w:themeTint="99"/>
        <w:right w:val="single" w:sz="4" w:space="0" w:color="AADEF6" w:themeColor="accent4" w:themeTint="99"/>
        <w:insideH w:val="single" w:sz="4" w:space="0" w:color="AADEF6" w:themeColor="accent4" w:themeTint="99"/>
        <w:insideV w:val="single" w:sz="4" w:space="0" w:color="AADEF6" w:themeColor="accent4" w:themeTint="99"/>
      </w:tblBorders>
    </w:tblPr>
    <w:tblStylePr w:type="firstRow">
      <w:rPr>
        <w:b/>
        <w:bCs/>
        <w:color w:val="FFFFFF" w:themeColor="background1"/>
      </w:rPr>
      <w:tblPr/>
      <w:tcPr>
        <w:tcBorders>
          <w:top w:val="single" w:sz="4" w:space="0" w:color="72C9F1" w:themeColor="accent4"/>
          <w:left w:val="single" w:sz="4" w:space="0" w:color="72C9F1" w:themeColor="accent4"/>
          <w:bottom w:val="single" w:sz="4" w:space="0" w:color="72C9F1" w:themeColor="accent4"/>
          <w:right w:val="single" w:sz="4" w:space="0" w:color="72C9F1" w:themeColor="accent4"/>
          <w:insideH w:val="nil"/>
          <w:insideV w:val="nil"/>
        </w:tcBorders>
        <w:shd w:val="clear" w:color="auto" w:fill="72C9F1" w:themeFill="accent4"/>
      </w:tcPr>
    </w:tblStylePr>
    <w:tblStylePr w:type="lastRow">
      <w:rPr>
        <w:b/>
        <w:bCs/>
      </w:rPr>
      <w:tblPr/>
      <w:tcPr>
        <w:tcBorders>
          <w:top w:val="double" w:sz="4" w:space="0" w:color="72C9F1" w:themeColor="accent4"/>
        </w:tcBorders>
      </w:tcPr>
    </w:tblStylePr>
    <w:tblStylePr w:type="firstCol">
      <w:rPr>
        <w:b/>
        <w:bCs/>
      </w:rPr>
    </w:tblStylePr>
    <w:tblStylePr w:type="lastCol">
      <w:rPr>
        <w:b/>
        <w:bCs/>
      </w:rPr>
    </w:tblStylePr>
    <w:tblStylePr w:type="band1Vert">
      <w:tblPr/>
      <w:tcPr>
        <w:shd w:val="clear" w:color="auto" w:fill="E2F4FC" w:themeFill="accent4" w:themeFillTint="33"/>
      </w:tcPr>
    </w:tblStylePr>
    <w:tblStylePr w:type="band1Horz">
      <w:tblPr/>
      <w:tcPr>
        <w:shd w:val="clear" w:color="auto" w:fill="E2F4F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033ab11c-6041-4f50-b845-c0c38e41b3e3" xsi:nil="true"/>
    <Remediation_x0020_Date xmlns="033ab11c-6041-4f50-b845-c0c38e41b3e3">2018-11-07T08:00:00+00:00</Remediation_x0020_Date>
    <Priority xmlns="033ab11c-6041-4f50-b845-c0c38e41b3e3">New</Priority>
  </documentManagement>
</p:properties>
</file>

<file path=customXml/itemProps1.xml><?xml version="1.0" encoding="utf-8"?>
<ds:datastoreItem xmlns:ds="http://schemas.openxmlformats.org/officeDocument/2006/customXml" ds:itemID="{AE541D61-AEB5-4E75-B169-3137BBB3CC84}">
  <ds:schemaRefs>
    <ds:schemaRef ds:uri="http://schemas.openxmlformats.org/officeDocument/2006/bibliography"/>
  </ds:schemaRefs>
</ds:datastoreItem>
</file>

<file path=customXml/itemProps2.xml><?xml version="1.0" encoding="utf-8"?>
<ds:datastoreItem xmlns:ds="http://schemas.openxmlformats.org/officeDocument/2006/customXml" ds:itemID="{B02B3D01-2CC5-4435-ADD1-AE6692E7BF08}"/>
</file>

<file path=customXml/itemProps3.xml><?xml version="1.0" encoding="utf-8"?>
<ds:datastoreItem xmlns:ds="http://schemas.openxmlformats.org/officeDocument/2006/customXml" ds:itemID="{8F946CB1-ED9C-462A-B381-2A814F77805A}"/>
</file>

<file path=customXml/itemProps4.xml><?xml version="1.0" encoding="utf-8"?>
<ds:datastoreItem xmlns:ds="http://schemas.openxmlformats.org/officeDocument/2006/customXml" ds:itemID="{9B45951B-1851-4BF8-9AF4-87DCAE967751}"/>
</file>

<file path=docProps/app.xml><?xml version="1.0" encoding="utf-8"?>
<Properties xmlns="http://schemas.openxmlformats.org/officeDocument/2006/extended-properties" xmlns:vt="http://schemas.openxmlformats.org/officeDocument/2006/docPropsVTypes">
  <Template>Normal.dotm</Template>
  <TotalTime>29</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statement-of-assurances-19-20</vt:lpstr>
    </vt:vector>
  </TitlesOfParts>
  <Company>State of Oregon, DAS</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statement-of-assurances-19-20</dc:title>
  <dc:creator>"swopee"</dc:creator>
  <cp:lastModifiedBy>SWOPE Emily - ODE</cp:lastModifiedBy>
  <cp:revision>12</cp:revision>
  <cp:lastPrinted>2017-07-07T22:43:00Z</cp:lastPrinted>
  <dcterms:created xsi:type="dcterms:W3CDTF">2020-07-27T16:40:00Z</dcterms:created>
  <dcterms:modified xsi:type="dcterms:W3CDTF">2020-07-27T17:12:00Z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