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C2" w:rsidRDefault="00822EC2">
      <w:pPr>
        <w:rPr>
          <w:b/>
          <w:sz w:val="28"/>
          <w:szCs w:val="28"/>
        </w:rPr>
      </w:pPr>
      <w:bookmarkStart w:id="0" w:name="_GoBack"/>
      <w:bookmarkEnd w:id="0"/>
    </w:p>
    <w:p w:rsidR="00C810B2" w:rsidRDefault="00C810B2" w:rsidP="00822EC2">
      <w:pPr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C810B2" w:rsidRDefault="00C810B2" w:rsidP="00822EC2">
      <w:pPr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C810B2" w:rsidRDefault="00C810B2" w:rsidP="00822EC2">
      <w:pPr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ahoma" w:hAnsi="Tahoma" w:cs="Tahoma"/>
          <w:noProof/>
          <w:sz w:val="40"/>
          <w:szCs w:val="40"/>
        </w:rPr>
        <w:drawing>
          <wp:inline distT="0" distB="0" distL="0" distR="0" wp14:anchorId="08D00E40" wp14:editId="30BF5497">
            <wp:extent cx="1504950" cy="1485900"/>
            <wp:effectExtent l="0" t="0" r="0" b="0"/>
            <wp:docPr id="3" name="Picture 3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B2" w:rsidRDefault="00C810B2" w:rsidP="00822EC2">
      <w:pPr>
        <w:spacing w:after="0" w:line="24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822EC2" w:rsidRPr="00822EC2" w:rsidRDefault="00822EC2" w:rsidP="00C810B2">
      <w:pPr>
        <w:spacing w:after="0" w:line="240" w:lineRule="auto"/>
        <w:rPr>
          <w:rFonts w:ascii="Times New Roman" w:hAnsi="Times New Roman" w:cs="Times New Roman"/>
          <w:b/>
          <w:sz w:val="64"/>
          <w:szCs w:val="64"/>
        </w:rPr>
      </w:pPr>
      <w:r w:rsidRPr="00822EC2">
        <w:rPr>
          <w:rFonts w:ascii="Times New Roman" w:hAnsi="Times New Roman" w:cs="Times New Roman"/>
          <w:b/>
          <w:sz w:val="64"/>
          <w:szCs w:val="64"/>
        </w:rPr>
        <w:t>Oregon Department of Education</w:t>
      </w:r>
    </w:p>
    <w:p w:rsidR="00822EC2" w:rsidRPr="00822EC2" w:rsidRDefault="00C810B2" w:rsidP="00822EC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56"/>
          <w:szCs w:val="72"/>
        </w:rPr>
        <w:t xml:space="preserve">Recommendations for </w:t>
      </w:r>
      <w:r w:rsidR="006F4226">
        <w:rPr>
          <w:rFonts w:ascii="Times New Roman" w:hAnsi="Times New Roman" w:cs="Times New Roman"/>
          <w:b/>
          <w:sz w:val="56"/>
          <w:szCs w:val="72"/>
        </w:rPr>
        <w:t>District</w:t>
      </w:r>
      <w:r>
        <w:rPr>
          <w:rFonts w:ascii="Times New Roman" w:hAnsi="Times New Roman" w:cs="Times New Roman"/>
          <w:b/>
          <w:sz w:val="56"/>
          <w:szCs w:val="72"/>
        </w:rPr>
        <w:t xml:space="preserve"> &amp; </w:t>
      </w:r>
      <w:r w:rsidR="006F4226">
        <w:rPr>
          <w:rFonts w:ascii="Times New Roman" w:hAnsi="Times New Roman" w:cs="Times New Roman"/>
          <w:b/>
          <w:sz w:val="56"/>
          <w:szCs w:val="72"/>
        </w:rPr>
        <w:t>School</w:t>
      </w:r>
      <w:r>
        <w:rPr>
          <w:rFonts w:ascii="Times New Roman" w:hAnsi="Times New Roman" w:cs="Times New Roman"/>
          <w:b/>
          <w:sz w:val="56"/>
          <w:szCs w:val="72"/>
        </w:rPr>
        <w:t xml:space="preserve"> Improvement &amp; Accountability</w:t>
      </w:r>
    </w:p>
    <w:p w:rsidR="007E259E" w:rsidRDefault="00C73A9F" w:rsidP="00822EC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72"/>
        </w:rPr>
      </w:pPr>
      <w:r>
        <w:rPr>
          <w:rFonts w:ascii="Times New Roman" w:hAnsi="Times New Roman" w:cs="Times New Roman"/>
          <w:sz w:val="44"/>
          <w:szCs w:val="72"/>
        </w:rPr>
        <w:t>July 31</w:t>
      </w:r>
      <w:r w:rsidR="00C810B2">
        <w:rPr>
          <w:rFonts w:ascii="Times New Roman" w:hAnsi="Times New Roman" w:cs="Times New Roman"/>
          <w:sz w:val="44"/>
          <w:szCs w:val="72"/>
        </w:rPr>
        <w:t>, 2014</w:t>
      </w:r>
    </w:p>
    <w:p w:rsidR="000E6C65" w:rsidRDefault="000E6C65">
      <w:pPr>
        <w:rPr>
          <w:rFonts w:ascii="Times New Roman" w:hAnsi="Times New Roman" w:cs="Times New Roman"/>
          <w:sz w:val="44"/>
          <w:szCs w:val="72"/>
        </w:rPr>
      </w:pPr>
      <w:r>
        <w:rPr>
          <w:rFonts w:ascii="Times New Roman" w:hAnsi="Times New Roman" w:cs="Times New Roman"/>
          <w:sz w:val="44"/>
          <w:szCs w:val="72"/>
        </w:rPr>
        <w:br w:type="page"/>
      </w:r>
    </w:p>
    <w:p w:rsidR="00C810B2" w:rsidRPr="004270CF" w:rsidRDefault="00C90524" w:rsidP="00427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District &amp; School Improvement &amp; Accountability </w:t>
      </w:r>
      <w:r w:rsidR="00C810B2">
        <w:rPr>
          <w:b/>
          <w:sz w:val="28"/>
          <w:szCs w:val="28"/>
        </w:rPr>
        <w:t xml:space="preserve">Taskforce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  <w:tblCaption w:val="Taskforce Names"/>
      </w:tblPr>
      <w:tblGrid>
        <w:gridCol w:w="4230"/>
        <w:gridCol w:w="3780"/>
      </w:tblGrid>
      <w:tr w:rsidR="004270CF" w:rsidTr="000E6C65">
        <w:trPr>
          <w:tblHeader/>
        </w:trPr>
        <w:tc>
          <w:tcPr>
            <w:tcW w:w="4230" w:type="dxa"/>
            <w:shd w:val="clear" w:color="auto" w:fill="DAEEF3" w:themeFill="accent5" w:themeFillTint="33"/>
          </w:tcPr>
          <w:p w:rsidR="004270CF" w:rsidRPr="00100604" w:rsidRDefault="004270CF" w:rsidP="00D34166">
            <w:pPr>
              <w:jc w:val="center"/>
              <w:rPr>
                <w:b/>
              </w:rPr>
            </w:pPr>
          </w:p>
          <w:p w:rsidR="004270CF" w:rsidRPr="00100604" w:rsidRDefault="004270CF" w:rsidP="00D34166">
            <w:pPr>
              <w:jc w:val="center"/>
              <w:rPr>
                <w:b/>
              </w:rPr>
            </w:pPr>
            <w:r w:rsidRPr="00100604">
              <w:rPr>
                <w:b/>
              </w:rPr>
              <w:t>Name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4270CF" w:rsidRPr="00100604" w:rsidRDefault="004270CF" w:rsidP="00D34166">
            <w:pPr>
              <w:jc w:val="center"/>
              <w:rPr>
                <w:b/>
              </w:rPr>
            </w:pPr>
          </w:p>
          <w:p w:rsidR="004270CF" w:rsidRPr="00100604" w:rsidRDefault="004270CF" w:rsidP="00D34166">
            <w:pPr>
              <w:jc w:val="center"/>
              <w:rPr>
                <w:b/>
              </w:rPr>
            </w:pPr>
            <w:r w:rsidRPr="00100604">
              <w:rPr>
                <w:b/>
              </w:rPr>
              <w:t>Affiliation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>Melinda Boyle</w:t>
            </w:r>
          </w:p>
        </w:tc>
        <w:tc>
          <w:tcPr>
            <w:tcW w:w="3780" w:type="dxa"/>
          </w:tcPr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 xml:space="preserve">Administrator, </w:t>
            </w:r>
            <w:r>
              <w:rPr>
                <w:rFonts w:cstheme="minorHAnsi"/>
              </w:rPr>
              <w:t>Jefferson County School District</w:t>
            </w:r>
          </w:p>
        </w:tc>
      </w:tr>
      <w:tr w:rsidR="004270CF" w:rsidTr="00D34166">
        <w:trPr>
          <w:trHeight w:val="575"/>
        </w:trPr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Jim Green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Oregon School Boards Association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 xml:space="preserve">Don </w:t>
            </w:r>
            <w:proofErr w:type="spellStart"/>
            <w:r w:rsidRPr="00100604">
              <w:rPr>
                <w:rFonts w:cstheme="minorHAnsi"/>
              </w:rPr>
              <w:t>Grotting</w:t>
            </w:r>
            <w:proofErr w:type="spellEnd"/>
          </w:p>
        </w:tc>
        <w:tc>
          <w:tcPr>
            <w:tcW w:w="3780" w:type="dxa"/>
          </w:tcPr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 xml:space="preserve">Superintendent, </w:t>
            </w:r>
            <w:r>
              <w:rPr>
                <w:rFonts w:cstheme="minorHAnsi"/>
              </w:rPr>
              <w:t>David Douglas School District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 xml:space="preserve">Craig </w:t>
            </w:r>
            <w:proofErr w:type="spellStart"/>
            <w:r w:rsidRPr="00100604">
              <w:rPr>
                <w:rFonts w:cstheme="minorHAnsi"/>
              </w:rPr>
              <w:t>Hoppes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Superintendent, Astoria School District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Mark Jackson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 xml:space="preserve">Executive Director, REAP 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Mark Johnson</w:t>
            </w:r>
          </w:p>
        </w:tc>
        <w:tc>
          <w:tcPr>
            <w:tcW w:w="3780" w:type="dxa"/>
          </w:tcPr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 xml:space="preserve">State Representative and Hood River School Board Member 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Charles Martinez</w:t>
            </w:r>
          </w:p>
        </w:tc>
        <w:tc>
          <w:tcPr>
            <w:tcW w:w="3780" w:type="dxa"/>
          </w:tcPr>
          <w:p w:rsidR="004270CF" w:rsidRPr="00100604" w:rsidRDefault="004270CF" w:rsidP="004129A7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>State Board of</w:t>
            </w:r>
            <w:r>
              <w:rPr>
                <w:rFonts w:cstheme="minorHAnsi"/>
              </w:rPr>
              <w:t xml:space="preserve"> Education </w:t>
            </w:r>
            <w:r w:rsidR="004129A7">
              <w:rPr>
                <w:rFonts w:cstheme="minorHAnsi"/>
              </w:rPr>
              <w:t xml:space="preserve">Member and </w:t>
            </w:r>
            <w:r>
              <w:rPr>
                <w:rFonts w:cstheme="minorHAnsi"/>
              </w:rPr>
              <w:t>Professor at University of Oregon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 xml:space="preserve">Colleen </w:t>
            </w:r>
            <w:proofErr w:type="spellStart"/>
            <w:r w:rsidRPr="00100604">
              <w:rPr>
                <w:rFonts w:cstheme="minorHAnsi"/>
              </w:rPr>
              <w:t>Mileham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 xml:space="preserve">Staff, </w:t>
            </w:r>
            <w:r>
              <w:rPr>
                <w:rFonts w:cstheme="minorHAnsi"/>
              </w:rPr>
              <w:t>Oregon Education Association</w:t>
            </w:r>
          </w:p>
        </w:tc>
      </w:tr>
      <w:tr w:rsidR="004270CF" w:rsidRPr="00100604" w:rsidTr="00D34166">
        <w:trPr>
          <w:trHeight w:val="575"/>
        </w:trPr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Matt Morton</w:t>
            </w:r>
          </w:p>
        </w:tc>
        <w:tc>
          <w:tcPr>
            <w:tcW w:w="3780" w:type="dxa"/>
          </w:tcPr>
          <w:p w:rsidR="004270CF" w:rsidRPr="00100604" w:rsidRDefault="004270CF" w:rsidP="004129A7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 xml:space="preserve">Executive Director, </w:t>
            </w:r>
            <w:r w:rsidR="00E24EE2">
              <w:rPr>
                <w:rFonts w:cstheme="minorHAnsi"/>
              </w:rPr>
              <w:t>NAYA</w:t>
            </w:r>
            <w:r w:rsidRPr="00100604">
              <w:rPr>
                <w:rFonts w:cstheme="minorHAnsi"/>
              </w:rPr>
              <w:t xml:space="preserve"> Family Center </w:t>
            </w:r>
            <w:r w:rsidR="004129A7">
              <w:rPr>
                <w:rFonts w:cstheme="minorHAnsi"/>
              </w:rPr>
              <w:t>and</w:t>
            </w:r>
            <w:r w:rsidR="004129A7" w:rsidRPr="00100604">
              <w:rPr>
                <w:rFonts w:cstheme="minorHAnsi"/>
              </w:rPr>
              <w:t xml:space="preserve"> </w:t>
            </w:r>
            <w:r w:rsidRPr="00100604">
              <w:rPr>
                <w:rFonts w:cstheme="minorHAnsi"/>
              </w:rPr>
              <w:t>PPS School Board Member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Doug Nelson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Oregon School Boards Association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 xml:space="preserve">Ken </w:t>
            </w:r>
            <w:proofErr w:type="spellStart"/>
            <w:r w:rsidRPr="00100604">
              <w:rPr>
                <w:rFonts w:cstheme="minorHAnsi"/>
              </w:rPr>
              <w:t>Parshall</w:t>
            </w:r>
            <w:proofErr w:type="spellEnd"/>
          </w:p>
        </w:tc>
        <w:tc>
          <w:tcPr>
            <w:tcW w:w="3780" w:type="dxa"/>
          </w:tcPr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Administrator, Salem-Keizer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proofErr w:type="spellStart"/>
            <w:r w:rsidRPr="00100604">
              <w:rPr>
                <w:rFonts w:cstheme="minorHAnsi"/>
              </w:rPr>
              <w:t>MaryAlice</w:t>
            </w:r>
            <w:proofErr w:type="spellEnd"/>
            <w:r w:rsidRPr="00100604">
              <w:rPr>
                <w:rFonts w:cstheme="minorHAnsi"/>
              </w:rPr>
              <w:t xml:space="preserve"> Russell</w:t>
            </w:r>
          </w:p>
        </w:tc>
        <w:tc>
          <w:tcPr>
            <w:tcW w:w="3780" w:type="dxa"/>
          </w:tcPr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 xml:space="preserve">Superintendent, McMinnville </w:t>
            </w:r>
            <w:r>
              <w:rPr>
                <w:rFonts w:cstheme="minorHAnsi"/>
              </w:rPr>
              <w:t>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Crystal Schmidt-</w:t>
            </w:r>
            <w:proofErr w:type="spellStart"/>
            <w:r w:rsidRPr="00100604">
              <w:rPr>
                <w:rFonts w:cstheme="minorHAnsi"/>
              </w:rPr>
              <w:t>Dipaola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 xml:space="preserve">School Improvement Coach 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Susan Waddell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>Linn Benton Lincoln ESD</w:t>
            </w:r>
          </w:p>
        </w:tc>
      </w:tr>
    </w:tbl>
    <w:p w:rsidR="004270CF" w:rsidRDefault="004270CF"/>
    <w:p w:rsidR="000E6C65" w:rsidRDefault="000E6C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10B2" w:rsidRPr="00375C67" w:rsidRDefault="00044FAB" w:rsidP="00427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2014 ESEA Flexibility Advisory Committee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  <w:tblCaption w:val="Advisory Committee Members"/>
      </w:tblPr>
      <w:tblGrid>
        <w:gridCol w:w="4230"/>
        <w:gridCol w:w="3780"/>
      </w:tblGrid>
      <w:tr w:rsidR="004270CF" w:rsidTr="000E6C65">
        <w:trPr>
          <w:tblHeader/>
        </w:trPr>
        <w:tc>
          <w:tcPr>
            <w:tcW w:w="4230" w:type="dxa"/>
            <w:shd w:val="clear" w:color="auto" w:fill="DAEEF3" w:themeFill="accent5" w:themeFillTint="33"/>
          </w:tcPr>
          <w:p w:rsidR="004270CF" w:rsidRPr="00100604" w:rsidRDefault="004270CF" w:rsidP="00D34166">
            <w:pPr>
              <w:jc w:val="center"/>
              <w:rPr>
                <w:b/>
              </w:rPr>
            </w:pPr>
          </w:p>
          <w:p w:rsidR="004270CF" w:rsidRPr="00100604" w:rsidRDefault="004270CF" w:rsidP="00D34166">
            <w:pPr>
              <w:jc w:val="center"/>
              <w:rPr>
                <w:b/>
              </w:rPr>
            </w:pPr>
            <w:r w:rsidRPr="00100604">
              <w:rPr>
                <w:b/>
              </w:rPr>
              <w:t>Name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4270CF" w:rsidRPr="00100604" w:rsidRDefault="004270CF" w:rsidP="00D34166">
            <w:pPr>
              <w:jc w:val="center"/>
              <w:rPr>
                <w:b/>
              </w:rPr>
            </w:pPr>
          </w:p>
          <w:p w:rsidR="004270CF" w:rsidRPr="00100604" w:rsidRDefault="004270CF" w:rsidP="00D34166">
            <w:pPr>
              <w:jc w:val="center"/>
              <w:rPr>
                <w:b/>
              </w:rPr>
            </w:pPr>
            <w:r w:rsidRPr="00100604">
              <w:rPr>
                <w:b/>
              </w:rPr>
              <w:t>Affiliation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Morgan Allen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Oregon School Boards Association</w:t>
            </w:r>
          </w:p>
        </w:tc>
      </w:tr>
      <w:tr w:rsidR="004270CF" w:rsidTr="00D34166">
        <w:trPr>
          <w:trHeight w:val="575"/>
        </w:trPr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  <w:b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Darin Barnard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Tualatin-Tualatin School District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  <w:b/>
              </w:rPr>
            </w:pPr>
          </w:p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  <w:r w:rsidRPr="0044095E">
              <w:rPr>
                <w:rFonts w:cstheme="minorHAnsi"/>
              </w:rPr>
              <w:t>Gary Bennett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Sherwood School District</w:t>
            </w:r>
          </w:p>
        </w:tc>
      </w:tr>
      <w:tr w:rsidR="004270CF" w:rsidTr="00D34166">
        <w:tc>
          <w:tcPr>
            <w:tcW w:w="4230" w:type="dxa"/>
          </w:tcPr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  <w:r w:rsidRPr="0044095E">
              <w:rPr>
                <w:rFonts w:cstheme="minorHAnsi"/>
              </w:rPr>
              <w:t>Colin Cameron</w:t>
            </w:r>
          </w:p>
        </w:tc>
        <w:tc>
          <w:tcPr>
            <w:tcW w:w="3780" w:type="dxa"/>
          </w:tcPr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Confederation of Oregon School Administrators </w:t>
            </w:r>
          </w:p>
        </w:tc>
      </w:tr>
      <w:tr w:rsidR="004270CF" w:rsidTr="00D34166">
        <w:tc>
          <w:tcPr>
            <w:tcW w:w="4230" w:type="dxa"/>
          </w:tcPr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  <w:r w:rsidRPr="0044095E">
              <w:rPr>
                <w:rFonts w:cstheme="minorHAnsi"/>
              </w:rPr>
              <w:t>Lindsay Capps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Oregon Education Association</w:t>
            </w:r>
          </w:p>
        </w:tc>
      </w:tr>
      <w:tr w:rsidR="004270CF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  <w:b/>
              </w:rPr>
            </w:pPr>
          </w:p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Nina Carlson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Oregon Parent Teacher Association</w:t>
            </w:r>
          </w:p>
        </w:tc>
      </w:tr>
      <w:tr w:rsidR="004270CF" w:rsidTr="00D34166">
        <w:tc>
          <w:tcPr>
            <w:tcW w:w="4230" w:type="dxa"/>
          </w:tcPr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  <w:r w:rsidRPr="0044095E">
              <w:rPr>
                <w:rFonts w:cstheme="minorHAnsi"/>
              </w:rPr>
              <w:t>Matt Coleman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Educational Policy Improvement Center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44095E" w:rsidRDefault="004270CF" w:rsidP="00D34166">
            <w:pPr>
              <w:spacing w:line="320" w:lineRule="atLeast"/>
              <w:rPr>
                <w:rFonts w:cstheme="minorHAnsi"/>
              </w:rPr>
            </w:pPr>
            <w:r w:rsidRPr="0044095E">
              <w:rPr>
                <w:rFonts w:cstheme="minorHAnsi"/>
              </w:rPr>
              <w:t>Darin Drill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Cascade School District</w:t>
            </w:r>
          </w:p>
        </w:tc>
      </w:tr>
      <w:tr w:rsidR="004270CF" w:rsidRPr="00100604" w:rsidTr="00D34166">
        <w:trPr>
          <w:trHeight w:val="575"/>
        </w:trPr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proofErr w:type="spellStart"/>
            <w:r w:rsidRPr="00344C08">
              <w:rPr>
                <w:rFonts w:cstheme="minorHAnsi"/>
              </w:rPr>
              <w:t>Toya</w:t>
            </w:r>
            <w:proofErr w:type="spellEnd"/>
            <w:r w:rsidRPr="00344C08">
              <w:rPr>
                <w:rFonts w:cstheme="minorHAnsi"/>
              </w:rPr>
              <w:t xml:space="preserve"> Fick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Stand for Children-Oregon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 w:rsidRPr="00344C08">
              <w:rPr>
                <w:rFonts w:cstheme="minorHAnsi"/>
              </w:rPr>
              <w:t xml:space="preserve">Jonathan </w:t>
            </w:r>
            <w:proofErr w:type="spellStart"/>
            <w:r w:rsidRPr="00344C08">
              <w:rPr>
                <w:rFonts w:cstheme="minorHAnsi"/>
              </w:rPr>
              <w:t>Fost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Newberg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 w:rsidRPr="00344C08">
              <w:rPr>
                <w:rFonts w:cstheme="minorHAnsi"/>
              </w:rPr>
              <w:t>Colt Gill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Bethel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 w:rsidRPr="00344C08">
              <w:rPr>
                <w:rFonts w:cstheme="minorHAnsi"/>
              </w:rPr>
              <w:t xml:space="preserve">Don </w:t>
            </w:r>
            <w:proofErr w:type="spellStart"/>
            <w:r w:rsidRPr="00344C08">
              <w:rPr>
                <w:rFonts w:cstheme="minorHAnsi"/>
              </w:rPr>
              <w:t>Grotting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David Douglas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Karen Justice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Parkrose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Juan </w:t>
            </w:r>
            <w:proofErr w:type="spellStart"/>
            <w:r>
              <w:rPr>
                <w:rFonts w:cstheme="minorHAnsi"/>
              </w:rPr>
              <w:t>Larios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Woodburn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Karl Logan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Portland Public Schools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Bob </w:t>
            </w:r>
            <w:proofErr w:type="spellStart"/>
            <w:r>
              <w:rPr>
                <w:rFonts w:cstheme="minorHAnsi"/>
              </w:rPr>
              <w:t>Lorence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Umatilla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  <w:b/>
              </w:rPr>
            </w:pPr>
            <w:r w:rsidRPr="00100604">
              <w:rPr>
                <w:rFonts w:cstheme="minorHAnsi"/>
              </w:rPr>
              <w:t>Charles Martinez</w:t>
            </w:r>
          </w:p>
        </w:tc>
        <w:tc>
          <w:tcPr>
            <w:tcW w:w="3780" w:type="dxa"/>
          </w:tcPr>
          <w:p w:rsidR="004270CF" w:rsidRPr="00100604" w:rsidRDefault="004270CF" w:rsidP="004129A7">
            <w:pPr>
              <w:spacing w:line="320" w:lineRule="atLeast"/>
              <w:rPr>
                <w:rFonts w:cstheme="minorHAnsi"/>
              </w:rPr>
            </w:pPr>
            <w:r w:rsidRPr="00100604">
              <w:rPr>
                <w:rFonts w:cstheme="minorHAnsi"/>
              </w:rPr>
              <w:t>State Board of</w:t>
            </w:r>
            <w:r>
              <w:rPr>
                <w:rFonts w:cstheme="minorHAnsi"/>
              </w:rPr>
              <w:t xml:space="preserve"> Education </w:t>
            </w:r>
            <w:r w:rsidR="004129A7">
              <w:rPr>
                <w:rFonts w:cstheme="minorHAnsi"/>
              </w:rPr>
              <w:t xml:space="preserve">Member and </w:t>
            </w:r>
            <w:r>
              <w:rPr>
                <w:rFonts w:cstheme="minorHAnsi"/>
              </w:rPr>
              <w:t>Professor at University of Oregon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Michael McDonald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Bend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Colleen </w:t>
            </w:r>
            <w:proofErr w:type="spellStart"/>
            <w:r>
              <w:rPr>
                <w:rFonts w:cstheme="minorHAnsi"/>
              </w:rPr>
              <w:t>Mileham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Oregon Education Association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Hawi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Muleta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Franklin High School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Shelby Olson-Rogers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Salem-Keizer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Mary Pearson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Portland Public Schools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Sascha</w:t>
            </w:r>
            <w:proofErr w:type="spellEnd"/>
            <w:r>
              <w:rPr>
                <w:rFonts w:cstheme="minorHAnsi"/>
              </w:rPr>
              <w:t xml:space="preserve"> Perrins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Portland Public Schools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Damien Reardon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Reynolds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Ken Richardson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David Douglas School District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Julie Smith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Chalkboard</w:t>
            </w:r>
            <w:r w:rsidR="00E24EE2">
              <w:rPr>
                <w:rFonts w:cstheme="minorHAnsi"/>
              </w:rPr>
              <w:t xml:space="preserve"> Project </w:t>
            </w:r>
          </w:p>
        </w:tc>
      </w:tr>
      <w:tr w:rsidR="004270CF" w:rsidRPr="00100604" w:rsidTr="00D34166"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Steve </w:t>
            </w:r>
            <w:proofErr w:type="spellStart"/>
            <w:r>
              <w:rPr>
                <w:rFonts w:cstheme="minorHAnsi"/>
              </w:rPr>
              <w:t>Sugg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Sheridan School District</w:t>
            </w:r>
          </w:p>
        </w:tc>
      </w:tr>
      <w:tr w:rsidR="004270CF" w:rsidRPr="00100604" w:rsidTr="00D34166">
        <w:trPr>
          <w:trHeight w:val="341"/>
        </w:trPr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Chuck </w:t>
            </w:r>
            <w:proofErr w:type="spellStart"/>
            <w:r>
              <w:rPr>
                <w:rFonts w:cstheme="minorHAnsi"/>
              </w:rPr>
              <w:t>Tomac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Education Northwest</w:t>
            </w:r>
          </w:p>
        </w:tc>
      </w:tr>
      <w:tr w:rsidR="004270CF" w:rsidRPr="00100604" w:rsidTr="00D34166">
        <w:trPr>
          <w:trHeight w:val="341"/>
        </w:trPr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Victor Vergara</w:t>
            </w:r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Woodburn School District</w:t>
            </w:r>
          </w:p>
        </w:tc>
      </w:tr>
      <w:tr w:rsidR="004270CF" w:rsidRPr="00100604" w:rsidTr="00D34166">
        <w:trPr>
          <w:trHeight w:val="341"/>
        </w:trPr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Jenni </w:t>
            </w:r>
            <w:proofErr w:type="spellStart"/>
            <w:r>
              <w:rPr>
                <w:rFonts w:cstheme="minorHAnsi"/>
              </w:rPr>
              <w:t>Villano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Portland Public Schools</w:t>
            </w:r>
          </w:p>
        </w:tc>
      </w:tr>
      <w:tr w:rsidR="004270CF" w:rsidRPr="00100604" w:rsidTr="00D34166">
        <w:trPr>
          <w:trHeight w:val="341"/>
        </w:trPr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Ken </w:t>
            </w:r>
            <w:proofErr w:type="spellStart"/>
            <w:r>
              <w:rPr>
                <w:rFonts w:cstheme="minorHAnsi"/>
              </w:rPr>
              <w:t>Yarnell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Beaverton School District</w:t>
            </w:r>
          </w:p>
        </w:tc>
      </w:tr>
      <w:tr w:rsidR="004270CF" w:rsidRPr="00100604" w:rsidTr="00D34166">
        <w:trPr>
          <w:trHeight w:val="341"/>
        </w:trPr>
        <w:tc>
          <w:tcPr>
            <w:tcW w:w="4230" w:type="dxa"/>
          </w:tcPr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344C08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Kevin </w:t>
            </w:r>
            <w:proofErr w:type="spellStart"/>
            <w:r>
              <w:rPr>
                <w:rFonts w:cstheme="minorHAnsi"/>
              </w:rPr>
              <w:t>Zerzan</w:t>
            </w:r>
            <w:proofErr w:type="spellEnd"/>
          </w:p>
        </w:tc>
        <w:tc>
          <w:tcPr>
            <w:tcW w:w="3780" w:type="dxa"/>
          </w:tcPr>
          <w:p w:rsidR="004270CF" w:rsidRDefault="004270CF" w:rsidP="00D34166">
            <w:pPr>
              <w:spacing w:line="320" w:lineRule="atLeast"/>
              <w:rPr>
                <w:rFonts w:cstheme="minorHAnsi"/>
              </w:rPr>
            </w:pPr>
          </w:p>
          <w:p w:rsidR="004270CF" w:rsidRPr="00100604" w:rsidRDefault="004270CF" w:rsidP="00D34166">
            <w:pPr>
              <w:spacing w:line="320" w:lineRule="atLeast"/>
              <w:rPr>
                <w:rFonts w:cstheme="minorHAnsi"/>
              </w:rPr>
            </w:pPr>
            <w:r>
              <w:rPr>
                <w:rFonts w:cstheme="minorHAnsi"/>
              </w:rPr>
              <w:t>Gladstone School District</w:t>
            </w:r>
          </w:p>
        </w:tc>
      </w:tr>
    </w:tbl>
    <w:p w:rsidR="00375C67" w:rsidRDefault="00375C67"/>
    <w:p w:rsidR="00C810B2" w:rsidRDefault="00EE55CD">
      <w:r>
        <w:t xml:space="preserve">Staffed by: </w:t>
      </w:r>
    </w:p>
    <w:p w:rsidR="00106724" w:rsidRDefault="00106724" w:rsidP="00106724">
      <w:pPr>
        <w:pStyle w:val="ListParagraph"/>
        <w:numPr>
          <w:ilvl w:val="0"/>
          <w:numId w:val="17"/>
        </w:numPr>
      </w:pPr>
      <w:r>
        <w:t xml:space="preserve">Rob Saxton, Deputy Superintendent </w:t>
      </w:r>
      <w:r w:rsidR="004129A7">
        <w:t>of Public Instruction</w:t>
      </w:r>
    </w:p>
    <w:p w:rsidR="00106724" w:rsidRDefault="00106724" w:rsidP="00106724">
      <w:pPr>
        <w:pStyle w:val="ListParagraph"/>
        <w:numPr>
          <w:ilvl w:val="0"/>
          <w:numId w:val="17"/>
        </w:numPr>
      </w:pPr>
      <w:r>
        <w:t xml:space="preserve">Sarah Pope, Chief of Staff </w:t>
      </w:r>
    </w:p>
    <w:p w:rsidR="00106724" w:rsidRDefault="00106724" w:rsidP="00106724">
      <w:pPr>
        <w:pStyle w:val="ListParagraph"/>
        <w:numPr>
          <w:ilvl w:val="0"/>
          <w:numId w:val="17"/>
        </w:numPr>
      </w:pPr>
      <w:r>
        <w:t xml:space="preserve">Lisa Harlan, School Improvement Director </w:t>
      </w:r>
    </w:p>
    <w:p w:rsidR="007E259E" w:rsidRDefault="00106724" w:rsidP="0003648D">
      <w:pPr>
        <w:pStyle w:val="ListParagraph"/>
        <w:numPr>
          <w:ilvl w:val="0"/>
          <w:numId w:val="17"/>
        </w:numPr>
      </w:pPr>
      <w:r>
        <w:t xml:space="preserve">Jon </w:t>
      </w:r>
      <w:proofErr w:type="spellStart"/>
      <w:r>
        <w:t>Wiens</w:t>
      </w:r>
      <w:proofErr w:type="spellEnd"/>
      <w:r>
        <w:t xml:space="preserve">, Accountability Director </w:t>
      </w:r>
    </w:p>
    <w:p w:rsidR="007E259E" w:rsidRDefault="007E259E">
      <w:r>
        <w:br w:type="page"/>
      </w:r>
    </w:p>
    <w:p w:rsidR="00C73A9F" w:rsidRPr="007E259E" w:rsidRDefault="00C73A9F" w:rsidP="000E6C65">
      <w:pPr>
        <w:pStyle w:val="Heading2"/>
      </w:pPr>
      <w:r w:rsidRPr="00C73A9F">
        <w:rPr>
          <w:rFonts w:eastAsia="Times New Roman"/>
        </w:rPr>
        <w:lastRenderedPageBreak/>
        <w:t>Preface</w:t>
      </w:r>
    </w:p>
    <w:p w:rsidR="00106724" w:rsidRDefault="00721933" w:rsidP="00105719">
      <w:pPr>
        <w:spacing w:after="0" w:line="240" w:lineRule="auto"/>
        <w:contextualSpacing/>
        <w:rPr>
          <w:rFonts w:eastAsia="Times New Roman" w:cs="Times New Roman"/>
        </w:rPr>
      </w:pPr>
      <w:r w:rsidRPr="00721933">
        <w:rPr>
          <w:rFonts w:eastAsia="Times New Roman" w:cs="Times New Roman"/>
        </w:rPr>
        <w:t>I</w:t>
      </w:r>
      <w:r w:rsidR="00105719" w:rsidRPr="00721933">
        <w:rPr>
          <w:rFonts w:eastAsia="Times New Roman" w:cs="Times New Roman"/>
        </w:rPr>
        <w:t xml:space="preserve">n March 2014, Chief Education Officer Nancy Golden requested the Oregon Department of Education </w:t>
      </w:r>
      <w:r w:rsidR="00044FAB">
        <w:rPr>
          <w:rFonts w:eastAsia="Times New Roman" w:cs="Times New Roman"/>
        </w:rPr>
        <w:t>work with stakeholders to “(a) Design and implement an accountability system of progressive interventions for school</w:t>
      </w:r>
      <w:r w:rsidR="004129A7">
        <w:rPr>
          <w:rFonts w:eastAsia="Times New Roman" w:cs="Times New Roman"/>
        </w:rPr>
        <w:t>s</w:t>
      </w:r>
      <w:r w:rsidR="00044FAB">
        <w:rPr>
          <w:rFonts w:eastAsia="Times New Roman" w:cs="Times New Roman"/>
        </w:rPr>
        <w:t xml:space="preserve"> and school districts that do not demonstrate improvement; and (b) Provide technical assistance to school</w:t>
      </w:r>
      <w:r w:rsidR="004129A7">
        <w:rPr>
          <w:rFonts w:eastAsia="Times New Roman" w:cs="Times New Roman"/>
        </w:rPr>
        <w:t>s</w:t>
      </w:r>
      <w:r w:rsidR="00044FAB">
        <w:rPr>
          <w:rFonts w:eastAsia="Times New Roman" w:cs="Times New Roman"/>
        </w:rPr>
        <w:t xml:space="preserve"> and school districts that do not demonstrate improvement.” </w:t>
      </w:r>
    </w:p>
    <w:p w:rsidR="00C73A9F" w:rsidRDefault="00105719" w:rsidP="00C73A9F">
      <w:pPr>
        <w:spacing w:after="0" w:line="240" w:lineRule="auto"/>
      </w:pPr>
      <w:r w:rsidRPr="00721933">
        <w:t>Over</w:t>
      </w:r>
      <w:r w:rsidR="00721933">
        <w:t xml:space="preserve"> a period of three months this </w:t>
      </w:r>
      <w:r w:rsidR="00044FAB">
        <w:t>s</w:t>
      </w:r>
      <w:r w:rsidR="00721933">
        <w:t xml:space="preserve">pring and early </w:t>
      </w:r>
      <w:r w:rsidR="00044FAB">
        <w:t>s</w:t>
      </w:r>
      <w:r w:rsidRPr="00721933">
        <w:t xml:space="preserve">ummer, ODE convened a taskforce to draft a set of recommendations to address this </w:t>
      </w:r>
      <w:r w:rsidR="00106724">
        <w:t>request</w:t>
      </w:r>
      <w:r w:rsidRPr="00721933">
        <w:t xml:space="preserve">. </w:t>
      </w:r>
      <w:r w:rsidR="00C73A9F">
        <w:t xml:space="preserve">The taskforce </w:t>
      </w:r>
      <w:proofErr w:type="gramStart"/>
      <w:r w:rsidR="00C73A9F">
        <w:t>was made up</w:t>
      </w:r>
      <w:proofErr w:type="gramEnd"/>
      <w:r w:rsidR="00C73A9F">
        <w:t xml:space="preserve"> of school, district, and ESD leaders, school board members, legislators, </w:t>
      </w:r>
      <w:r w:rsidR="002D5939">
        <w:t xml:space="preserve">leaders of </w:t>
      </w:r>
      <w:r w:rsidR="00C73A9F">
        <w:t xml:space="preserve">community-based organizations, school improvement coaches, and staff from partner associations. </w:t>
      </w:r>
      <w:r w:rsidR="00721933" w:rsidRPr="00721933">
        <w:t xml:space="preserve">A </w:t>
      </w:r>
      <w:r w:rsidR="00721933">
        <w:t xml:space="preserve">full list of taskforce members </w:t>
      </w:r>
      <w:proofErr w:type="gramStart"/>
      <w:r w:rsidR="00721933" w:rsidRPr="00721933">
        <w:t>is described</w:t>
      </w:r>
      <w:proofErr w:type="gramEnd"/>
      <w:r w:rsidR="00721933" w:rsidRPr="00721933">
        <w:t xml:space="preserve"> on page</w:t>
      </w:r>
      <w:r w:rsidR="004B7A2C">
        <w:t xml:space="preserve"> 2</w:t>
      </w:r>
      <w:r w:rsidR="00721933" w:rsidRPr="00721933">
        <w:t xml:space="preserve">. </w:t>
      </w:r>
    </w:p>
    <w:p w:rsidR="00C73A9F" w:rsidRDefault="00C73A9F" w:rsidP="00C73A9F">
      <w:pPr>
        <w:spacing w:after="0" w:line="240" w:lineRule="auto"/>
      </w:pPr>
    </w:p>
    <w:p w:rsidR="006245CB" w:rsidRDefault="00126A15">
      <w:r>
        <w:t>This work could not be more important because we have far too many students</w:t>
      </w:r>
      <w:r w:rsidR="006245CB">
        <w:t xml:space="preserve">, </w:t>
      </w:r>
      <w:r w:rsidR="006F4226">
        <w:t xml:space="preserve">many </w:t>
      </w:r>
      <w:r w:rsidR="006245CB">
        <w:t xml:space="preserve">of whom are students of color, </w:t>
      </w:r>
      <w:r>
        <w:t>in chron</w:t>
      </w:r>
      <w:r w:rsidR="006245CB">
        <w:t xml:space="preserve">ically underperforming schools. In addition to the 93 </w:t>
      </w:r>
      <w:r w:rsidR="004129A7">
        <w:t>F</w:t>
      </w:r>
      <w:r w:rsidR="006245CB">
        <w:t xml:space="preserve">ocus and </w:t>
      </w:r>
      <w:r w:rsidR="004129A7">
        <w:t>P</w:t>
      </w:r>
      <w:r w:rsidR="006245CB">
        <w:t xml:space="preserve">riority schools serving </w:t>
      </w:r>
      <w:r w:rsidR="00106724">
        <w:t>over 37,700</w:t>
      </w:r>
      <w:r w:rsidR="006245CB">
        <w:t xml:space="preserve"> students, we have approximately </w:t>
      </w:r>
      <w:r w:rsidR="00106724">
        <w:t>32,300</w:t>
      </w:r>
      <w:r w:rsidR="006245CB">
        <w:t xml:space="preserve"> more students attending 112 </w:t>
      </w:r>
      <w:r w:rsidR="00AF5E68">
        <w:t xml:space="preserve">additional </w:t>
      </w:r>
      <w:r w:rsidR="006245CB">
        <w:t>schools rated a level 1 (</w:t>
      </w:r>
      <w:r w:rsidR="002D5939">
        <w:t xml:space="preserve">in the </w:t>
      </w:r>
      <w:r w:rsidR="006245CB">
        <w:t xml:space="preserve">bottom 5% of </w:t>
      </w:r>
      <w:r w:rsidR="002D5939">
        <w:t xml:space="preserve">all </w:t>
      </w:r>
      <w:r w:rsidR="006245CB">
        <w:t xml:space="preserve">schools). </w:t>
      </w:r>
      <w:r w:rsidR="002D5939">
        <w:t xml:space="preserve">Students of color are overwhelmingly </w:t>
      </w:r>
      <w:r w:rsidR="00AF5E68">
        <w:t>attend</w:t>
      </w:r>
      <w:r w:rsidR="006F4226">
        <w:t>ing</w:t>
      </w:r>
      <w:r w:rsidR="002D5939">
        <w:t xml:space="preserve"> these schools. </w:t>
      </w:r>
      <w:r w:rsidR="006245CB">
        <w:t xml:space="preserve">Over 36% of </w:t>
      </w:r>
      <w:r w:rsidR="006F4226">
        <w:t>the state’s</w:t>
      </w:r>
      <w:r w:rsidR="006245CB">
        <w:t xml:space="preserve"> African American elementary school students attend schools in the bottom 15%, and approximately 30% of American Indian/Alaska Native, 29% of Latino students, and 29% of Pacific Islander students are in these schools. </w:t>
      </w:r>
    </w:p>
    <w:p w:rsidR="006245CB" w:rsidRDefault="006245CB">
      <w:r>
        <w:t>The low level of stude</w:t>
      </w:r>
      <w:r w:rsidR="002D5939">
        <w:t>nt outcomes in these schools has reached a crisis</w:t>
      </w:r>
      <w:r>
        <w:t>. In these schools</w:t>
      </w:r>
      <w:r w:rsidR="004129A7">
        <w:t>,</w:t>
      </w:r>
      <w:r>
        <w:t xml:space="preserve"> </w:t>
      </w:r>
      <w:r w:rsidR="00126A15">
        <w:t xml:space="preserve">barely more than half of all students are reading </w:t>
      </w:r>
      <w:r w:rsidR="006F4226">
        <w:t xml:space="preserve">at benchmark </w:t>
      </w:r>
      <w:r w:rsidR="00126A15">
        <w:t>by 3</w:t>
      </w:r>
      <w:r w:rsidR="00126A15" w:rsidRPr="00126A15">
        <w:rPr>
          <w:vertAlign w:val="superscript"/>
        </w:rPr>
        <w:t>rd</w:t>
      </w:r>
      <w:r w:rsidR="00126A15">
        <w:t xml:space="preserve"> grade</w:t>
      </w:r>
      <w:r>
        <w:t xml:space="preserve">, </w:t>
      </w:r>
      <w:r w:rsidR="00126A15">
        <w:t xml:space="preserve">and </w:t>
      </w:r>
      <w:r w:rsidR="00E50D7C">
        <w:t>less than</w:t>
      </w:r>
      <w:r w:rsidR="00126A15">
        <w:t xml:space="preserve"> 43% of students of color are reading</w:t>
      </w:r>
      <w:r>
        <w:t xml:space="preserve"> </w:t>
      </w:r>
      <w:r w:rsidR="006F4226">
        <w:t xml:space="preserve">at benchmark </w:t>
      </w:r>
      <w:r>
        <w:t>by 3</w:t>
      </w:r>
      <w:r w:rsidRPr="006245CB">
        <w:rPr>
          <w:vertAlign w:val="superscript"/>
        </w:rPr>
        <w:t>rd</w:t>
      </w:r>
      <w:r>
        <w:t xml:space="preserve"> grade</w:t>
      </w:r>
      <w:r w:rsidR="00126A15">
        <w:t xml:space="preserve">. The data does not improve </w:t>
      </w:r>
      <w:r w:rsidR="00C90524">
        <w:t>when we look at graduation rates</w:t>
      </w:r>
      <w:r w:rsidR="00126A15">
        <w:t xml:space="preserve">. The graduation rates in our lowest performing non-title schools (where we start to </w:t>
      </w:r>
      <w:r>
        <w:t>include</w:t>
      </w:r>
      <w:r w:rsidR="00126A15">
        <w:t xml:space="preserve"> high schools because most high schools are not </w:t>
      </w:r>
      <w:r w:rsidR="004129A7">
        <w:t>T</w:t>
      </w:r>
      <w:r w:rsidR="00126A15">
        <w:t>itle 1</w:t>
      </w:r>
      <w:r w:rsidR="004129A7">
        <w:t xml:space="preserve"> funded</w:t>
      </w:r>
      <w:r w:rsidR="00126A15">
        <w:t xml:space="preserve">) is approximately 34% for all students and 28% for students of color. </w:t>
      </w:r>
    </w:p>
    <w:p w:rsidR="006A0705" w:rsidRDefault="00126A15">
      <w:r>
        <w:t xml:space="preserve">The good news is that with supports and interventions, our </w:t>
      </w:r>
      <w:r w:rsidR="004129A7">
        <w:t>F</w:t>
      </w:r>
      <w:r>
        <w:t xml:space="preserve">ocus and </w:t>
      </w:r>
      <w:r w:rsidR="004129A7">
        <w:t>P</w:t>
      </w:r>
      <w:r>
        <w:t xml:space="preserve">riority schools are making progress. Of the 93 </w:t>
      </w:r>
      <w:r w:rsidR="000E2BE7">
        <w:t>F</w:t>
      </w:r>
      <w:r>
        <w:t xml:space="preserve">ocus and </w:t>
      </w:r>
      <w:r w:rsidR="000E2BE7">
        <w:t>P</w:t>
      </w:r>
      <w:r>
        <w:t xml:space="preserve">riority schools, over half would not be </w:t>
      </w:r>
      <w:r w:rsidR="006F4226">
        <w:t xml:space="preserve">re-identified because they have made enough progress to exit </w:t>
      </w:r>
      <w:r w:rsidR="000E2BE7">
        <w:t>F</w:t>
      </w:r>
      <w:r w:rsidR="006F4226">
        <w:t xml:space="preserve">ocus or </w:t>
      </w:r>
      <w:r w:rsidR="000E2BE7">
        <w:t>P</w:t>
      </w:r>
      <w:r w:rsidR="006F4226">
        <w:t xml:space="preserve">riority status. </w:t>
      </w:r>
    </w:p>
    <w:p w:rsidR="00AF5E68" w:rsidRDefault="00AF5E68">
      <w:r>
        <w:t xml:space="preserve">The following memo explains the taskforce’s </w:t>
      </w:r>
      <w:r w:rsidR="00106724">
        <w:t>n</w:t>
      </w:r>
      <w:r>
        <w:t>ine recommendations broken down into the following four categories:</w:t>
      </w:r>
    </w:p>
    <w:p w:rsidR="00AF5E68" w:rsidRDefault="00106724" w:rsidP="00AF5E68">
      <w:pPr>
        <w:pStyle w:val="ListParagraph"/>
        <w:numPr>
          <w:ilvl w:val="0"/>
          <w:numId w:val="16"/>
        </w:numPr>
      </w:pPr>
      <w:r>
        <w:t>District Rating S</w:t>
      </w:r>
      <w:r w:rsidR="00AF5E68">
        <w:t xml:space="preserve">ystem </w:t>
      </w:r>
    </w:p>
    <w:p w:rsidR="00AF5E68" w:rsidRDefault="00106724" w:rsidP="00AF5E68">
      <w:pPr>
        <w:pStyle w:val="ListParagraph"/>
        <w:numPr>
          <w:ilvl w:val="0"/>
          <w:numId w:val="16"/>
        </w:numPr>
      </w:pPr>
      <w:r>
        <w:t>School Identification S</w:t>
      </w:r>
      <w:r w:rsidR="00AF5E68">
        <w:t xml:space="preserve">ystem </w:t>
      </w:r>
    </w:p>
    <w:p w:rsidR="00AF5E68" w:rsidRDefault="00106724" w:rsidP="00AF5E68">
      <w:pPr>
        <w:pStyle w:val="ListParagraph"/>
        <w:numPr>
          <w:ilvl w:val="0"/>
          <w:numId w:val="16"/>
        </w:numPr>
      </w:pPr>
      <w:r>
        <w:t>Supports and Interventions for Underperforming S</w:t>
      </w:r>
      <w:r w:rsidR="00AF5E68">
        <w:t>chools</w:t>
      </w:r>
    </w:p>
    <w:p w:rsidR="00106724" w:rsidRDefault="00AF5E68" w:rsidP="00106724">
      <w:pPr>
        <w:pStyle w:val="ListParagraph"/>
        <w:numPr>
          <w:ilvl w:val="0"/>
          <w:numId w:val="16"/>
        </w:numPr>
      </w:pPr>
      <w:r>
        <w:t xml:space="preserve">Supports and </w:t>
      </w:r>
      <w:r w:rsidR="00106724">
        <w:t>I</w:t>
      </w:r>
      <w:r>
        <w:t>nterventions</w:t>
      </w:r>
      <w:r w:rsidR="00106724">
        <w:t xml:space="preserve"> for Underperforming D</w:t>
      </w:r>
      <w:r>
        <w:t xml:space="preserve">istricts </w:t>
      </w:r>
    </w:p>
    <w:p w:rsidR="006B2E3F" w:rsidRPr="00106724" w:rsidRDefault="00AD087A" w:rsidP="000E6C65">
      <w:pPr>
        <w:pStyle w:val="Heading2"/>
      </w:pPr>
      <w:r w:rsidRPr="00106724">
        <w:t>District Rating S</w:t>
      </w:r>
      <w:r w:rsidR="006B2E3F" w:rsidRPr="00106724">
        <w:t>ystem</w:t>
      </w:r>
    </w:p>
    <w:p w:rsidR="006245CB" w:rsidRDefault="006245CB" w:rsidP="009534F7">
      <w:pPr>
        <w:pStyle w:val="Heading3"/>
      </w:pPr>
      <w:r>
        <w:t xml:space="preserve">Recommendation #1: </w:t>
      </w:r>
      <w:r w:rsidR="006F4226">
        <w:t>Implement</w:t>
      </w:r>
      <w:r>
        <w:t xml:space="preserve"> a district rating based on the following five sets of data where every data set is weighted equally</w:t>
      </w:r>
      <w:r w:rsidR="00106724">
        <w:t xml:space="preserve"> (i.e. makes up 20% of the rating system)</w:t>
      </w:r>
      <w:r>
        <w:t xml:space="preserve">: </w:t>
      </w:r>
    </w:p>
    <w:p w:rsidR="006245CB" w:rsidRPr="006245CB" w:rsidRDefault="006B2E3F" w:rsidP="006245CB">
      <w:pPr>
        <w:pStyle w:val="ListParagraph"/>
        <w:numPr>
          <w:ilvl w:val="0"/>
          <w:numId w:val="15"/>
        </w:numPr>
        <w:rPr>
          <w:b/>
        </w:rPr>
      </w:pPr>
      <w:r>
        <w:t>3</w:t>
      </w:r>
      <w:r w:rsidRPr="006245CB">
        <w:rPr>
          <w:vertAlign w:val="superscript"/>
        </w:rPr>
        <w:t>rd</w:t>
      </w:r>
      <w:r>
        <w:t xml:space="preserve"> grade reading </w:t>
      </w:r>
      <w:r w:rsidR="00106724">
        <w:t xml:space="preserve">achievement </w:t>
      </w:r>
    </w:p>
    <w:p w:rsidR="006245CB" w:rsidRPr="006245CB" w:rsidRDefault="006B2E3F" w:rsidP="006245CB">
      <w:pPr>
        <w:pStyle w:val="ListParagraph"/>
        <w:numPr>
          <w:ilvl w:val="0"/>
          <w:numId w:val="15"/>
        </w:numPr>
        <w:rPr>
          <w:b/>
        </w:rPr>
      </w:pPr>
      <w:r>
        <w:t>3-8</w:t>
      </w:r>
      <w:r w:rsidRPr="006245CB">
        <w:rPr>
          <w:vertAlign w:val="superscript"/>
        </w:rPr>
        <w:t>th</w:t>
      </w:r>
      <w:r>
        <w:t xml:space="preserve"> grade growth in math </w:t>
      </w:r>
    </w:p>
    <w:p w:rsidR="006245CB" w:rsidRPr="006245CB" w:rsidRDefault="006B2E3F" w:rsidP="006245CB">
      <w:pPr>
        <w:pStyle w:val="ListParagraph"/>
        <w:numPr>
          <w:ilvl w:val="0"/>
          <w:numId w:val="15"/>
        </w:numPr>
        <w:rPr>
          <w:b/>
        </w:rPr>
      </w:pPr>
      <w:r>
        <w:t>3-8</w:t>
      </w:r>
      <w:r w:rsidRPr="006245CB">
        <w:rPr>
          <w:vertAlign w:val="superscript"/>
        </w:rPr>
        <w:t>th</w:t>
      </w:r>
      <w:r>
        <w:t xml:space="preserve"> grade growth in reading  </w:t>
      </w:r>
    </w:p>
    <w:p w:rsidR="006245CB" w:rsidRPr="006245CB" w:rsidRDefault="006245CB" w:rsidP="006245CB">
      <w:pPr>
        <w:pStyle w:val="ListParagraph"/>
        <w:numPr>
          <w:ilvl w:val="0"/>
          <w:numId w:val="15"/>
        </w:numPr>
        <w:rPr>
          <w:b/>
        </w:rPr>
      </w:pPr>
      <w:r>
        <w:lastRenderedPageBreak/>
        <w:t>9</w:t>
      </w:r>
      <w:r w:rsidRPr="006245CB">
        <w:rPr>
          <w:vertAlign w:val="superscript"/>
        </w:rPr>
        <w:t>th</w:t>
      </w:r>
      <w:r>
        <w:t xml:space="preserve"> grade attendance </w:t>
      </w:r>
    </w:p>
    <w:p w:rsidR="006B2E3F" w:rsidRPr="006245CB" w:rsidRDefault="006B2E3F" w:rsidP="006245CB">
      <w:pPr>
        <w:pStyle w:val="ListParagraph"/>
        <w:numPr>
          <w:ilvl w:val="0"/>
          <w:numId w:val="15"/>
        </w:numPr>
        <w:rPr>
          <w:b/>
        </w:rPr>
      </w:pPr>
      <w:r>
        <w:t>Graduation rate 5</w:t>
      </w:r>
      <w:r w:rsidRPr="006245CB">
        <w:rPr>
          <w:vertAlign w:val="superscript"/>
        </w:rPr>
        <w:t>th</w:t>
      </w:r>
      <w:r w:rsidR="006245CB">
        <w:t xml:space="preserve"> year</w:t>
      </w:r>
    </w:p>
    <w:p w:rsidR="006245CB" w:rsidRPr="00E24EE2" w:rsidRDefault="006245CB" w:rsidP="006245CB">
      <w:r w:rsidRPr="00E24EE2">
        <w:t xml:space="preserve">Rationale: </w:t>
      </w:r>
      <w:r w:rsidR="000E2BE7">
        <w:t>T</w:t>
      </w:r>
      <w:r w:rsidRPr="00E24EE2">
        <w:t xml:space="preserve">hese data sets focus schools and districts </w:t>
      </w:r>
      <w:r w:rsidR="00C001B6" w:rsidRPr="00E24EE2">
        <w:t>on the most important indicators of student success and align to the achievement compact</w:t>
      </w:r>
      <w:r w:rsidR="000E2BE7">
        <w:t>s</w:t>
      </w:r>
      <w:r w:rsidR="00C001B6" w:rsidRPr="00E24EE2">
        <w:t xml:space="preserve">. </w:t>
      </w:r>
    </w:p>
    <w:p w:rsidR="006B2E3F" w:rsidRDefault="006B2E3F" w:rsidP="00EE5D1B">
      <w:pPr>
        <w:pStyle w:val="ListParagraph"/>
        <w:numPr>
          <w:ilvl w:val="0"/>
          <w:numId w:val="1"/>
        </w:numPr>
      </w:pPr>
      <w:r>
        <w:t xml:space="preserve">Additional measures to be </w:t>
      </w:r>
      <w:r w:rsidRPr="00EE5D1B">
        <w:t>discussed</w:t>
      </w:r>
      <w:r>
        <w:t xml:space="preserve"> </w:t>
      </w:r>
      <w:r w:rsidR="00EE5D1B">
        <w:t>for potential inclu</w:t>
      </w:r>
      <w:r w:rsidR="000E2BE7">
        <w:t>sion</w:t>
      </w:r>
      <w:r w:rsidR="00EE5D1B">
        <w:t xml:space="preserve"> at a later point when the</w:t>
      </w:r>
      <w:r>
        <w:t xml:space="preserve"> data is reliable</w:t>
      </w:r>
      <w:r w:rsidR="000E2BE7">
        <w:t xml:space="preserve"> include</w:t>
      </w:r>
      <w:r>
        <w:t xml:space="preserve">: </w:t>
      </w:r>
    </w:p>
    <w:p w:rsidR="006B2E3F" w:rsidRDefault="006B2E3F" w:rsidP="006B2E3F">
      <w:pPr>
        <w:pStyle w:val="ListParagraph"/>
        <w:numPr>
          <w:ilvl w:val="0"/>
          <w:numId w:val="3"/>
        </w:numPr>
      </w:pPr>
      <w:r>
        <w:t>9</w:t>
      </w:r>
      <w:r w:rsidRPr="00843F44">
        <w:rPr>
          <w:vertAlign w:val="superscript"/>
        </w:rPr>
        <w:t>th</w:t>
      </w:r>
      <w:r>
        <w:t xml:space="preserve"> grade on track </w:t>
      </w:r>
    </w:p>
    <w:p w:rsidR="006B2E3F" w:rsidRDefault="006B2E3F" w:rsidP="006B2E3F">
      <w:pPr>
        <w:pStyle w:val="ListParagraph"/>
        <w:numPr>
          <w:ilvl w:val="0"/>
          <w:numId w:val="3"/>
        </w:numPr>
      </w:pPr>
      <w:r>
        <w:t>Post-secondary level courses taken</w:t>
      </w:r>
      <w:r w:rsidR="00080C4B">
        <w:t xml:space="preserve"> </w:t>
      </w:r>
    </w:p>
    <w:p w:rsidR="006B2E3F" w:rsidRPr="00843F44" w:rsidRDefault="00080C4B" w:rsidP="006B2E3F">
      <w:pPr>
        <w:pStyle w:val="ListParagraph"/>
        <w:numPr>
          <w:ilvl w:val="0"/>
          <w:numId w:val="3"/>
        </w:numPr>
      </w:pPr>
      <w:r>
        <w:t>K</w:t>
      </w:r>
      <w:r w:rsidR="006B2E3F">
        <w:t>-3</w:t>
      </w:r>
      <w:r w:rsidR="006B2E3F" w:rsidRPr="00843F44">
        <w:rPr>
          <w:vertAlign w:val="superscript"/>
        </w:rPr>
        <w:t>rd</w:t>
      </w:r>
      <w:r>
        <w:t xml:space="preserve"> grade data points</w:t>
      </w:r>
    </w:p>
    <w:p w:rsidR="00EE5D1B" w:rsidRDefault="00EE5D1B" w:rsidP="000E6C65">
      <w:pPr>
        <w:pStyle w:val="Heading3"/>
      </w:pPr>
      <w:r>
        <w:t xml:space="preserve">Recommendation #2: Achievement gap measure </w:t>
      </w:r>
    </w:p>
    <w:p w:rsidR="00EE5D1B" w:rsidRPr="00EE5D1B" w:rsidRDefault="00C001B6" w:rsidP="00EE5D1B">
      <w:pPr>
        <w:pStyle w:val="ListParagraph"/>
        <w:numPr>
          <w:ilvl w:val="0"/>
          <w:numId w:val="7"/>
        </w:numPr>
      </w:pPr>
      <w:r>
        <w:t>The d</w:t>
      </w:r>
      <w:r w:rsidR="00EE5D1B">
        <w:t>istrict rating system must incentiv</w:t>
      </w:r>
      <w:r w:rsidR="000E2BE7">
        <w:t>ize</w:t>
      </w:r>
      <w:r w:rsidR="00EE5D1B">
        <w:t xml:space="preserve"> c</w:t>
      </w:r>
      <w:r>
        <w:t xml:space="preserve">losing the achievement gap. In order to do that, the taskforce recommends that </w:t>
      </w:r>
      <w:r w:rsidR="00EE5D1B">
        <w:t>all students</w:t>
      </w:r>
      <w:r w:rsidR="00985E6E">
        <w:t>’</w:t>
      </w:r>
      <w:r w:rsidR="00EE5D1B">
        <w:t xml:space="preserve"> growth and achievement levels </w:t>
      </w:r>
      <w:r>
        <w:t>should</w:t>
      </w:r>
      <w:r w:rsidR="00EE5D1B">
        <w:t xml:space="preserve"> make up 60% of the r</w:t>
      </w:r>
      <w:r w:rsidR="006F4226">
        <w:t>ating and subgroup</w:t>
      </w:r>
      <w:r w:rsidR="00EE5D1B">
        <w:t xml:space="preserve"> (students of color, </w:t>
      </w:r>
      <w:r w:rsidR="001502BC">
        <w:t>limited English proficient, special education,</w:t>
      </w:r>
      <w:r w:rsidR="00EE5D1B">
        <w:t xml:space="preserve"> and economically disadvantaged</w:t>
      </w:r>
      <w:r w:rsidR="00106724">
        <w:t xml:space="preserve"> students</w:t>
      </w:r>
      <w:r w:rsidR="00EE5D1B">
        <w:t>)</w:t>
      </w:r>
      <w:r w:rsidR="00985E6E">
        <w:t xml:space="preserve"> achievement and growth </w:t>
      </w:r>
      <w:r>
        <w:t>should</w:t>
      </w:r>
      <w:r w:rsidR="00985E6E">
        <w:t xml:space="preserve"> make up 40%</w:t>
      </w:r>
      <w:r w:rsidR="00EE5D1B">
        <w:t xml:space="preserve">. </w:t>
      </w:r>
      <w:r>
        <w:t xml:space="preserve">Although this is slightly different than the current school report card rating where </w:t>
      </w:r>
      <w:r w:rsidR="00EE5D1B">
        <w:t>subgroups growth and achievement count</w:t>
      </w:r>
      <w:r>
        <w:t>s</w:t>
      </w:r>
      <w:r w:rsidR="00EE5D1B">
        <w:t xml:space="preserve"> for 33% </w:t>
      </w:r>
      <w:r>
        <w:t xml:space="preserve">of the rating, the taskforce </w:t>
      </w:r>
      <w:r w:rsidR="00106724">
        <w:t>believes</w:t>
      </w:r>
      <w:r>
        <w:t xml:space="preserve"> increasing the percentage </w:t>
      </w:r>
      <w:r w:rsidR="00106724">
        <w:t>to 40% further</w:t>
      </w:r>
      <w:r w:rsidR="001502BC">
        <w:t xml:space="preserve"> </w:t>
      </w:r>
      <w:r>
        <w:t xml:space="preserve">focuses districts on closing achievement gaps. </w:t>
      </w:r>
    </w:p>
    <w:p w:rsidR="00EE5D1B" w:rsidRPr="00EE5D1B" w:rsidRDefault="00EE5D1B" w:rsidP="000E6C65">
      <w:pPr>
        <w:pStyle w:val="Heading3"/>
      </w:pPr>
      <w:r w:rsidRPr="00EE5D1B">
        <w:t>Recommendation #</w:t>
      </w:r>
      <w:r>
        <w:t>3</w:t>
      </w:r>
      <w:r w:rsidRPr="00EE5D1B">
        <w:t>: Identify bottom 5%, do not rate all districts</w:t>
      </w:r>
    </w:p>
    <w:p w:rsidR="006B2E3F" w:rsidRDefault="006B2E3F" w:rsidP="00EE5D1B">
      <w:pPr>
        <w:pStyle w:val="ListParagraph"/>
        <w:numPr>
          <w:ilvl w:val="0"/>
          <w:numId w:val="6"/>
        </w:numPr>
      </w:pPr>
      <w:r>
        <w:t xml:space="preserve">Only </w:t>
      </w:r>
      <w:r w:rsidR="00985E6E">
        <w:t xml:space="preserve">the </w:t>
      </w:r>
      <w:r>
        <w:t xml:space="preserve">bottom 5% of districts </w:t>
      </w:r>
      <w:r w:rsidR="001502BC">
        <w:t>should</w:t>
      </w:r>
      <w:r>
        <w:t xml:space="preserve"> receive a rating</w:t>
      </w:r>
      <w:r w:rsidR="00EE5D1B">
        <w:t xml:space="preserve"> </w:t>
      </w:r>
      <w:r w:rsidR="00985E6E">
        <w:t>because</w:t>
      </w:r>
      <w:r w:rsidR="00EE5D1B">
        <w:t xml:space="preserve"> </w:t>
      </w:r>
      <w:r w:rsidR="00985E6E">
        <w:t>this model is precise and accurate enough to identify the bottom 5% of districts</w:t>
      </w:r>
      <w:r w:rsidR="00EE5D1B">
        <w:t xml:space="preserve">. </w:t>
      </w:r>
    </w:p>
    <w:p w:rsidR="006B2E3F" w:rsidRDefault="006B2E3F" w:rsidP="00EE5D1B">
      <w:pPr>
        <w:pStyle w:val="ListParagraph"/>
        <w:numPr>
          <w:ilvl w:val="0"/>
          <w:numId w:val="4"/>
        </w:numPr>
      </w:pPr>
      <w:r>
        <w:t xml:space="preserve">Intervene in approximately </w:t>
      </w:r>
      <w:r w:rsidR="001502BC">
        <w:t>three</w:t>
      </w:r>
      <w:r>
        <w:t xml:space="preserve"> distr</w:t>
      </w:r>
      <w:r w:rsidR="00985E6E">
        <w:t xml:space="preserve">icts in order to ensure success, </w:t>
      </w:r>
      <w:r w:rsidR="00E24EE2">
        <w:t xml:space="preserve">while </w:t>
      </w:r>
      <w:r w:rsidR="00985E6E">
        <w:t xml:space="preserve">the remaining </w:t>
      </w:r>
      <w:r w:rsidR="001502BC">
        <w:t>seven</w:t>
      </w:r>
      <w:r w:rsidR="00985E6E">
        <w:t xml:space="preserve"> districts </w:t>
      </w:r>
      <w:proofErr w:type="gramStart"/>
      <w:r w:rsidR="00985E6E">
        <w:t xml:space="preserve">should be </w:t>
      </w:r>
      <w:r w:rsidR="00225077">
        <w:t>notified</w:t>
      </w:r>
      <w:proofErr w:type="gramEnd"/>
      <w:r w:rsidR="00985E6E">
        <w:t xml:space="preserve"> of their status</w:t>
      </w:r>
      <w:r w:rsidR="00225077">
        <w:t xml:space="preserve"> so they can take appropriate action to change student outcomes</w:t>
      </w:r>
      <w:r w:rsidR="00985E6E">
        <w:t xml:space="preserve">. </w:t>
      </w:r>
    </w:p>
    <w:p w:rsidR="001502BC" w:rsidRDefault="001502BC" w:rsidP="000E6C65">
      <w:pPr>
        <w:pStyle w:val="Heading3"/>
      </w:pPr>
      <w:r>
        <w:t xml:space="preserve">Recommendation #4: Cycle for district identification </w:t>
      </w:r>
      <w:r w:rsidR="00106724">
        <w:t xml:space="preserve">and exit criteria </w:t>
      </w:r>
    </w:p>
    <w:p w:rsidR="001502BC" w:rsidRDefault="001502BC" w:rsidP="001502BC">
      <w:pPr>
        <w:pStyle w:val="ListParagraph"/>
        <w:numPr>
          <w:ilvl w:val="0"/>
          <w:numId w:val="4"/>
        </w:numPr>
      </w:pPr>
      <w:r>
        <w:t xml:space="preserve">Districts </w:t>
      </w:r>
      <w:r w:rsidR="00106724">
        <w:t xml:space="preserve">should </w:t>
      </w:r>
      <w:r>
        <w:t xml:space="preserve">receive supports and interventions for four years, </w:t>
      </w:r>
      <w:r w:rsidR="00106724">
        <w:t xml:space="preserve">as </w:t>
      </w:r>
      <w:r w:rsidR="000E2BE7">
        <w:t>F</w:t>
      </w:r>
      <w:r>
        <w:t xml:space="preserve">ocus and </w:t>
      </w:r>
      <w:r w:rsidR="000E2BE7">
        <w:t>P</w:t>
      </w:r>
      <w:r>
        <w:t>riority schools</w:t>
      </w:r>
      <w:r w:rsidR="00106724">
        <w:t xml:space="preserve"> do</w:t>
      </w:r>
      <w:r>
        <w:t xml:space="preserve">, but identification (i.e. adding new districts to the list) </w:t>
      </w:r>
      <w:r w:rsidR="00225077">
        <w:t xml:space="preserve">and support for these newly identified districts </w:t>
      </w:r>
      <w:r>
        <w:t>occurs every two years.</w:t>
      </w:r>
    </w:p>
    <w:p w:rsidR="001502BC" w:rsidRDefault="001502BC" w:rsidP="001502BC">
      <w:pPr>
        <w:pStyle w:val="ListParagraph"/>
        <w:numPr>
          <w:ilvl w:val="0"/>
          <w:numId w:val="4"/>
        </w:numPr>
      </w:pPr>
      <w:r>
        <w:t xml:space="preserve">The list of the bottom 5% of districts </w:t>
      </w:r>
      <w:proofErr w:type="gramStart"/>
      <w:r>
        <w:t>is produced</w:t>
      </w:r>
      <w:proofErr w:type="gramEnd"/>
      <w:r>
        <w:t xml:space="preserve"> annually so districts know if they are dropping into a warning zone. </w:t>
      </w:r>
    </w:p>
    <w:p w:rsidR="00E24EE2" w:rsidRPr="00C90524" w:rsidRDefault="001502BC" w:rsidP="006B2E3F">
      <w:pPr>
        <w:pStyle w:val="ListParagraph"/>
        <w:numPr>
          <w:ilvl w:val="0"/>
          <w:numId w:val="4"/>
        </w:numPr>
      </w:pPr>
      <w:r>
        <w:t xml:space="preserve">To successfully exit, districts </w:t>
      </w:r>
      <w:r w:rsidR="00225077">
        <w:t>must</w:t>
      </w:r>
      <w:r>
        <w:t xml:space="preserve"> move out of the bottom 5% of districts (not just bottom three districts) </w:t>
      </w:r>
    </w:p>
    <w:p w:rsidR="00C90524" w:rsidRDefault="00C90524" w:rsidP="006B2E3F">
      <w:pPr>
        <w:rPr>
          <w:b/>
          <w:sz w:val="28"/>
          <w:szCs w:val="28"/>
          <w:u w:val="single"/>
        </w:rPr>
      </w:pPr>
    </w:p>
    <w:p w:rsidR="006B2E3F" w:rsidRDefault="006B2E3F" w:rsidP="000E6C65">
      <w:pPr>
        <w:pStyle w:val="Heading2"/>
      </w:pPr>
      <w:r w:rsidRPr="00553B02">
        <w:lastRenderedPageBreak/>
        <w:t>School Identification System</w:t>
      </w:r>
    </w:p>
    <w:p w:rsidR="00760E76" w:rsidRPr="00760E76" w:rsidRDefault="00760E76" w:rsidP="000E6C65">
      <w:pPr>
        <w:pStyle w:val="Heading3"/>
      </w:pPr>
      <w:r>
        <w:t>Recommendation #</w:t>
      </w:r>
      <w:r w:rsidR="001502BC">
        <w:t>5</w:t>
      </w:r>
      <w:r>
        <w:t xml:space="preserve">: Identifying chronically underperforming schools (regardless of Title </w:t>
      </w:r>
      <w:r w:rsidR="00106724">
        <w:t xml:space="preserve">I </w:t>
      </w:r>
      <w:r>
        <w:t>status)</w:t>
      </w:r>
    </w:p>
    <w:p w:rsidR="006B2E3F" w:rsidRDefault="007E259E" w:rsidP="006B2E3F">
      <w:pPr>
        <w:pStyle w:val="ListParagraph"/>
        <w:numPr>
          <w:ilvl w:val="0"/>
          <w:numId w:val="5"/>
        </w:numPr>
      </w:pPr>
      <w:r>
        <w:t xml:space="preserve">With over 32,000 </w:t>
      </w:r>
      <w:r w:rsidR="00106724">
        <w:t>students att</w:t>
      </w:r>
      <w:r>
        <w:t>ending 112 schools that are in the bottom 5% and not currently receiving systemic supports and interventions, the taskforce recommends that a</w:t>
      </w:r>
      <w:r w:rsidR="006B2E3F">
        <w:t xml:space="preserve">ll schools </w:t>
      </w:r>
      <w:r w:rsidR="00985E6E">
        <w:t>should be</w:t>
      </w:r>
      <w:r w:rsidR="006B2E3F">
        <w:t xml:space="preserve"> identified (</w:t>
      </w:r>
      <w:r w:rsidR="001502BC">
        <w:t>elementary schools, middle schools, high schools, a</w:t>
      </w:r>
      <w:r w:rsidR="006B2E3F">
        <w:t xml:space="preserve">lternative </w:t>
      </w:r>
      <w:r w:rsidR="001502BC">
        <w:t>high schools, and charter schools</w:t>
      </w:r>
      <w:r w:rsidR="006B2E3F">
        <w:t>)</w:t>
      </w:r>
      <w:r w:rsidR="001502BC">
        <w:t xml:space="preserve"> regardless of </w:t>
      </w:r>
      <w:r w:rsidR="00622351">
        <w:t xml:space="preserve">their </w:t>
      </w:r>
      <w:r w:rsidR="001502BC">
        <w:t xml:space="preserve">Title </w:t>
      </w:r>
      <w:r w:rsidR="00106724">
        <w:t xml:space="preserve">I </w:t>
      </w:r>
      <w:r w:rsidR="001502BC">
        <w:t>status</w:t>
      </w:r>
      <w:r w:rsidR="00080C4B">
        <w:t xml:space="preserve">. </w:t>
      </w:r>
    </w:p>
    <w:p w:rsidR="00080C4B" w:rsidRDefault="001502BC" w:rsidP="006B2E3F">
      <w:pPr>
        <w:pStyle w:val="ListParagraph"/>
        <w:numPr>
          <w:ilvl w:val="0"/>
          <w:numId w:val="5"/>
        </w:numPr>
      </w:pPr>
      <w:r>
        <w:t>With an additional $15 million</w:t>
      </w:r>
      <w:r w:rsidR="000E2BE7">
        <w:t xml:space="preserve"> per </w:t>
      </w:r>
      <w:r>
        <w:t>biennium investment from the legislature,</w:t>
      </w:r>
      <w:r w:rsidR="00760E76">
        <w:t xml:space="preserve"> </w:t>
      </w:r>
      <w:r w:rsidR="00080C4B">
        <w:t>ODE has the capacity to intervene in approximately 50 additional underperforming schools</w:t>
      </w:r>
      <w:r w:rsidR="00C90524">
        <w:t>.</w:t>
      </w:r>
      <w:r w:rsidR="00760E76">
        <w:t xml:space="preserve"> </w:t>
      </w:r>
      <w:r w:rsidR="00C90524">
        <w:t xml:space="preserve"> </w:t>
      </w:r>
      <w:r w:rsidR="000E2BE7">
        <w:t xml:space="preserve">This includes both those that </w:t>
      </w:r>
      <w:proofErr w:type="gramStart"/>
      <w:r w:rsidR="000E2BE7">
        <w:t>are identified</w:t>
      </w:r>
      <w:proofErr w:type="gramEnd"/>
      <w:r w:rsidR="000E2BE7">
        <w:t xml:space="preserve"> at the school level and those identified through the district process described above. </w:t>
      </w:r>
      <w:r>
        <w:t xml:space="preserve"> As a result, t</w:t>
      </w:r>
      <w:r w:rsidR="00760E76">
        <w:t xml:space="preserve">here should not be more than 50 schools </w:t>
      </w:r>
      <w:r>
        <w:t xml:space="preserve">identified </w:t>
      </w:r>
      <w:r w:rsidR="00760E76">
        <w:t xml:space="preserve">because </w:t>
      </w:r>
      <w:proofErr w:type="gramStart"/>
      <w:r w:rsidR="00760E76">
        <w:t>it’s</w:t>
      </w:r>
      <w:proofErr w:type="gramEnd"/>
      <w:r w:rsidR="00760E76">
        <w:t xml:space="preserve"> important </w:t>
      </w:r>
      <w:r w:rsidR="000E2BE7">
        <w:t xml:space="preserve">sufficient </w:t>
      </w:r>
      <w:r w:rsidR="00225077">
        <w:t xml:space="preserve">resources are available to ensure </w:t>
      </w:r>
      <w:r w:rsidR="00760E76">
        <w:t xml:space="preserve">the supports and interventions are successful. </w:t>
      </w:r>
      <w:r>
        <w:t xml:space="preserve">However, </w:t>
      </w:r>
      <w:proofErr w:type="gramStart"/>
      <w:r>
        <w:t>it’s</w:t>
      </w:r>
      <w:proofErr w:type="gramEnd"/>
      <w:r>
        <w:t xml:space="preserve"> critical to note that </w:t>
      </w:r>
      <w:r w:rsidR="00667BA1">
        <w:t xml:space="preserve">there are </w:t>
      </w:r>
      <w:r>
        <w:t xml:space="preserve">approximately </w:t>
      </w:r>
      <w:r w:rsidR="00667BA1">
        <w:t xml:space="preserve">112 </w:t>
      </w:r>
      <w:r>
        <w:t xml:space="preserve">schools </w:t>
      </w:r>
      <w:r w:rsidR="00667BA1">
        <w:t xml:space="preserve">in the bottom 5% </w:t>
      </w:r>
      <w:r>
        <w:t xml:space="preserve">(in addition to the </w:t>
      </w:r>
      <w:r w:rsidR="000E2BE7">
        <w:t>F</w:t>
      </w:r>
      <w:r>
        <w:t xml:space="preserve">ocus and </w:t>
      </w:r>
      <w:r w:rsidR="000E2BE7">
        <w:t>P</w:t>
      </w:r>
      <w:r>
        <w:t>riority schools). An investment of $15 million</w:t>
      </w:r>
      <w:r w:rsidR="000E2BE7">
        <w:t xml:space="preserve"> per </w:t>
      </w:r>
      <w:r>
        <w:t>biennium is</w:t>
      </w:r>
      <w:r w:rsidR="007E259E">
        <w:t xml:space="preserve"> necessary</w:t>
      </w:r>
      <w:r w:rsidR="000E2BE7">
        <w:t xml:space="preserve"> </w:t>
      </w:r>
      <w:r w:rsidR="007E259E">
        <w:t>but</w:t>
      </w:r>
      <w:r w:rsidR="000E2BE7">
        <w:t xml:space="preserve"> </w:t>
      </w:r>
      <w:r w:rsidR="007E259E">
        <w:t>not sufficient to reach</w:t>
      </w:r>
      <w:r w:rsidR="00C90524">
        <w:t xml:space="preserve"> all schools in the b</w:t>
      </w:r>
      <w:r w:rsidR="007E259E">
        <w:t xml:space="preserve">ottom 5%. </w:t>
      </w:r>
    </w:p>
    <w:p w:rsidR="00F66437" w:rsidRPr="00AD087A" w:rsidRDefault="00AD087A" w:rsidP="00F66437">
      <w:pPr>
        <w:pStyle w:val="ListParagraph"/>
        <w:numPr>
          <w:ilvl w:val="0"/>
          <w:numId w:val="5"/>
        </w:numPr>
      </w:pPr>
      <w:r>
        <w:t>The n</w:t>
      </w:r>
      <w:r w:rsidR="00553B02">
        <w:t>umbers of each school type identified should be propo</w:t>
      </w:r>
      <w:r w:rsidR="00080C4B">
        <w:t xml:space="preserve">rtional to the </w:t>
      </w:r>
      <w:r w:rsidR="007E259E">
        <w:t>percentage</w:t>
      </w:r>
      <w:r w:rsidR="00080C4B">
        <w:t xml:space="preserve"> of </w:t>
      </w:r>
      <w:r>
        <w:t xml:space="preserve">that </w:t>
      </w:r>
      <w:r w:rsidR="00080C4B">
        <w:t>school type</w:t>
      </w:r>
      <w:r>
        <w:t xml:space="preserve"> statewide</w:t>
      </w:r>
      <w:r w:rsidR="00080C4B">
        <w:t xml:space="preserve">. </w:t>
      </w:r>
      <w:r w:rsidR="009320CC">
        <w:t>Ho</w:t>
      </w:r>
      <w:r w:rsidR="00225077">
        <w:t>wever, if a school scores at the lowest rating possible (i.e. 20 points),</w:t>
      </w:r>
      <w:r w:rsidR="009320CC">
        <w:t xml:space="preserve"> then they </w:t>
      </w:r>
      <w:r>
        <w:t>must be identified,</w:t>
      </w:r>
      <w:r w:rsidR="009320CC">
        <w:t xml:space="preserve"> and the rest of the schools are added proportionally. </w:t>
      </w:r>
      <w:r w:rsidR="00080C4B">
        <w:t xml:space="preserve">For example, since elementary schools make </w:t>
      </w:r>
      <w:r>
        <w:t>up 54% of our schools, the</w:t>
      </w:r>
      <w:r w:rsidR="00080C4B">
        <w:t xml:space="preserve"> number of identified and supported </w:t>
      </w:r>
      <w:r w:rsidR="00C16092">
        <w:t xml:space="preserve">lowest performing </w:t>
      </w:r>
      <w:r w:rsidR="00080C4B">
        <w:t xml:space="preserve">elementary schools should make up </w:t>
      </w:r>
      <w:r>
        <w:t>54</w:t>
      </w:r>
      <w:r w:rsidR="00080C4B">
        <w:t>% of the total</w:t>
      </w:r>
      <w:r w:rsidR="00C16092">
        <w:t xml:space="preserve"> (including </w:t>
      </w:r>
      <w:r w:rsidR="004B7A2C">
        <w:t>F</w:t>
      </w:r>
      <w:r w:rsidR="00C16092">
        <w:t xml:space="preserve">ocus and </w:t>
      </w:r>
      <w:r w:rsidR="004B7A2C">
        <w:t>P</w:t>
      </w:r>
      <w:r w:rsidR="00C16092">
        <w:t>riority schools)</w:t>
      </w:r>
      <w:r w:rsidR="00080C4B">
        <w:t xml:space="preserve">. </w:t>
      </w:r>
    </w:p>
    <w:tbl>
      <w:tblPr>
        <w:tblW w:w="10530" w:type="dxa"/>
        <w:tblInd w:w="-522" w:type="dxa"/>
        <w:tblLook w:val="04A0" w:firstRow="1" w:lastRow="0" w:firstColumn="1" w:lastColumn="0" w:noHBand="0" w:noVBand="1"/>
      </w:tblPr>
      <w:tblGrid>
        <w:gridCol w:w="2956"/>
        <w:gridCol w:w="895"/>
        <w:gridCol w:w="895"/>
        <w:gridCol w:w="2904"/>
        <w:gridCol w:w="1350"/>
        <w:gridCol w:w="1530"/>
      </w:tblGrid>
      <w:tr w:rsidR="00F66437" w:rsidTr="007E259E">
        <w:trPr>
          <w:trHeight w:val="300"/>
        </w:trPr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437" w:rsidRDefault="00F664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School Type (excluding YCEP)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437" w:rsidRDefault="00F664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School Type Counts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437" w:rsidRDefault="00F6643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Identified Schools</w:t>
            </w:r>
          </w:p>
        </w:tc>
      </w:tr>
      <w:tr w:rsidR="00AD087A" w:rsidTr="007E259E">
        <w:trPr>
          <w:trHeight w:val="1200"/>
        </w:trPr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7A" w:rsidRDefault="00AD087A">
            <w:pPr>
              <w:rPr>
                <w:rFonts w:cs="Calibri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# Schools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% of All Schools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Currently Identified as Focus or Priority (not including SIG)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# of new schools to be added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Total</w:t>
            </w:r>
          </w:p>
        </w:tc>
      </w:tr>
      <w:tr w:rsidR="00AD087A" w:rsidTr="007E259E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Elementary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54%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D087A" w:rsidTr="007E259E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Middle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15%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</w:tr>
      <w:tr w:rsidR="00AD087A" w:rsidTr="007E259E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High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18%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AD087A" w:rsidTr="007E259E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Charter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10%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</w:tr>
      <w:tr w:rsidR="00AD087A" w:rsidTr="007E259E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Alternative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3%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</w:tr>
      <w:tr w:rsidR="00AD087A" w:rsidTr="007E259E">
        <w:trPr>
          <w:trHeight w:val="6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Lowest Performing Districts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(Included in above counts)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</w:tr>
      <w:tr w:rsidR="00AD087A" w:rsidTr="007E259E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Total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087A" w:rsidRDefault="00AD08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124</w:t>
            </w:r>
          </w:p>
        </w:tc>
      </w:tr>
    </w:tbl>
    <w:p w:rsidR="00F66437" w:rsidRDefault="00F66437" w:rsidP="006B2E3F">
      <w:pPr>
        <w:rPr>
          <w:b/>
          <w:sz w:val="28"/>
          <w:szCs w:val="28"/>
          <w:u w:val="single"/>
        </w:rPr>
      </w:pPr>
    </w:p>
    <w:p w:rsidR="006B2E3F" w:rsidRDefault="00080C4B" w:rsidP="000E6C65">
      <w:pPr>
        <w:pStyle w:val="Heading2"/>
      </w:pPr>
      <w:r w:rsidRPr="00080C4B">
        <w:lastRenderedPageBreak/>
        <w:t xml:space="preserve">Supports and Interventions for Underperforming Schools </w:t>
      </w:r>
    </w:p>
    <w:p w:rsidR="00044FAB" w:rsidRDefault="002F68BF" w:rsidP="000E6C65">
      <w:pPr>
        <w:pStyle w:val="Heading3"/>
      </w:pPr>
      <w:r w:rsidRPr="002F68BF">
        <w:t>Recommendation #</w:t>
      </w:r>
      <w:r w:rsidR="00AF5E68">
        <w:t>6</w:t>
      </w:r>
      <w:r w:rsidRPr="002F68BF">
        <w:t xml:space="preserve">: </w:t>
      </w:r>
      <w:r w:rsidR="007E259E">
        <w:t xml:space="preserve">Since supports and interventions are </w:t>
      </w:r>
      <w:r w:rsidR="00044FAB">
        <w:t>working</w:t>
      </w:r>
      <w:r w:rsidR="007E259E">
        <w:t xml:space="preserve"> with Focus and Priority schools, continue with those </w:t>
      </w:r>
      <w:r w:rsidR="00622351">
        <w:t xml:space="preserve">supports with </w:t>
      </w:r>
      <w:r w:rsidR="00044FAB">
        <w:t xml:space="preserve">these </w:t>
      </w:r>
      <w:r w:rsidR="00C90524">
        <w:t>six</w:t>
      </w:r>
      <w:r w:rsidR="00044FAB">
        <w:t xml:space="preserve"> revisions:</w:t>
      </w:r>
    </w:p>
    <w:p w:rsidR="00044FAB" w:rsidRDefault="00080C4B" w:rsidP="00044FAB">
      <w:pPr>
        <w:pStyle w:val="ListParagraph"/>
        <w:numPr>
          <w:ilvl w:val="0"/>
          <w:numId w:val="18"/>
        </w:numPr>
      </w:pPr>
      <w:r>
        <w:t>Narrow</w:t>
      </w:r>
      <w:r w:rsidR="00B53740">
        <w:t xml:space="preserve"> the </w:t>
      </w:r>
      <w:r w:rsidR="00225077">
        <w:t xml:space="preserve">evaluation </w:t>
      </w:r>
      <w:r w:rsidR="00B53740">
        <w:t xml:space="preserve">tool and </w:t>
      </w:r>
      <w:r w:rsidR="00884E86">
        <w:t>re</w:t>
      </w:r>
      <w:r w:rsidR="00B53740">
        <w:t xml:space="preserve">port so planning and </w:t>
      </w:r>
      <w:r w:rsidR="00884E86">
        <w:t xml:space="preserve">improvement </w:t>
      </w:r>
      <w:proofErr w:type="gramStart"/>
      <w:r w:rsidR="00760E76">
        <w:t>are more focused</w:t>
      </w:r>
      <w:proofErr w:type="gramEnd"/>
      <w:r w:rsidR="00760E76">
        <w:t xml:space="preserve">. </w:t>
      </w:r>
    </w:p>
    <w:p w:rsidR="00044FAB" w:rsidRDefault="00EC78C6" w:rsidP="00044FAB">
      <w:pPr>
        <w:pStyle w:val="ListParagraph"/>
        <w:numPr>
          <w:ilvl w:val="0"/>
          <w:numId w:val="18"/>
        </w:numPr>
      </w:pPr>
      <w:r>
        <w:t>ODE has the r</w:t>
      </w:r>
      <w:r w:rsidR="00B53740">
        <w:t xml:space="preserve">ight to refuse (i.e. reject the plan) based on evidence (i.e. best practice) and/or </w:t>
      </w:r>
      <w:r w:rsidR="00622351">
        <w:t>the school’s</w:t>
      </w:r>
      <w:r w:rsidR="00B53740">
        <w:t xml:space="preserve"> </w:t>
      </w:r>
      <w:r w:rsidR="00225077">
        <w:t xml:space="preserve">proposed </w:t>
      </w:r>
      <w:r w:rsidR="00B53740">
        <w:t xml:space="preserve">budget. </w:t>
      </w:r>
    </w:p>
    <w:p w:rsidR="00044FAB" w:rsidRDefault="00B53740" w:rsidP="00044FAB">
      <w:pPr>
        <w:pStyle w:val="ListParagraph"/>
        <w:numPr>
          <w:ilvl w:val="0"/>
          <w:numId w:val="18"/>
        </w:numPr>
      </w:pPr>
      <w:r>
        <w:t>Maintain and improve ODE’s progress monitoring (</w:t>
      </w:r>
      <w:r w:rsidR="00225077">
        <w:t xml:space="preserve">i.e. </w:t>
      </w:r>
      <w:r>
        <w:t>internal ODE work)</w:t>
      </w:r>
      <w:r w:rsidR="00225077">
        <w:t>.</w:t>
      </w:r>
    </w:p>
    <w:p w:rsidR="00B53740" w:rsidRDefault="004B7A2C" w:rsidP="00044FAB">
      <w:pPr>
        <w:pStyle w:val="ListParagraph"/>
        <w:numPr>
          <w:ilvl w:val="0"/>
          <w:numId w:val="18"/>
        </w:numPr>
      </w:pPr>
      <w:r>
        <w:t>District s</w:t>
      </w:r>
      <w:r w:rsidR="00B53740">
        <w:t>uperintendent needs to be involved in planning and</w:t>
      </w:r>
      <w:r w:rsidR="00622351">
        <w:t xml:space="preserve"> regular check-ins on progress. </w:t>
      </w:r>
      <w:r>
        <w:t>District s</w:t>
      </w:r>
      <w:r w:rsidR="00B53740">
        <w:t xml:space="preserve">uperintendent keeps the school board up to date through an annual check-in. </w:t>
      </w:r>
    </w:p>
    <w:p w:rsidR="00B53740" w:rsidRDefault="00B53740" w:rsidP="00044FAB">
      <w:pPr>
        <w:pStyle w:val="ListParagraph"/>
        <w:numPr>
          <w:ilvl w:val="0"/>
          <w:numId w:val="18"/>
        </w:numPr>
      </w:pPr>
      <w:r>
        <w:t xml:space="preserve">Increase funding (more than </w:t>
      </w:r>
      <w:r w:rsidR="00760E76">
        <w:t>$</w:t>
      </w:r>
      <w:r>
        <w:t>40-60,000</w:t>
      </w:r>
      <w:r w:rsidR="00760E76">
        <w:t>/school</w:t>
      </w:r>
      <w:r>
        <w:t>) for supports and interventions</w:t>
      </w:r>
      <w:r w:rsidR="00622351">
        <w:t>.</w:t>
      </w:r>
      <w:r>
        <w:t xml:space="preserve"> </w:t>
      </w:r>
    </w:p>
    <w:p w:rsidR="00044FAB" w:rsidRPr="00C90524" w:rsidRDefault="00225077" w:rsidP="00044FAB">
      <w:pPr>
        <w:pStyle w:val="ListParagraph"/>
        <w:numPr>
          <w:ilvl w:val="0"/>
          <w:numId w:val="18"/>
        </w:numPr>
      </w:pPr>
      <w:r w:rsidRPr="00C90524">
        <w:t>Provide a c</w:t>
      </w:r>
      <w:r w:rsidR="007E259E" w:rsidRPr="00C90524">
        <w:t xml:space="preserve">hallenge grant to Tribes and/or </w:t>
      </w:r>
      <w:r w:rsidR="000E6C65" w:rsidRPr="00C90524">
        <w:t>community-based</w:t>
      </w:r>
      <w:r w:rsidR="007E259E" w:rsidRPr="00C90524">
        <w:t xml:space="preserve"> organizations</w:t>
      </w:r>
      <w:r w:rsidR="00622351" w:rsidRPr="00C90524">
        <w:t xml:space="preserve"> to support school improvement efforts. </w:t>
      </w:r>
      <w:r w:rsidR="007E259E" w:rsidRPr="00C90524">
        <w:t xml:space="preserve"> </w:t>
      </w:r>
    </w:p>
    <w:p w:rsidR="002D5939" w:rsidRPr="00044FAB" w:rsidRDefault="00F6572B" w:rsidP="000E6C65">
      <w:pPr>
        <w:pStyle w:val="Heading3"/>
      </w:pPr>
      <w:r w:rsidRPr="00044FAB">
        <w:t>Recommendation #</w:t>
      </w:r>
      <w:r w:rsidR="00AF5E68" w:rsidRPr="00044FAB">
        <w:t>7</w:t>
      </w:r>
      <w:r w:rsidRPr="00044FAB">
        <w:t xml:space="preserve">: What to do if </w:t>
      </w:r>
      <w:r w:rsidR="007E259E" w:rsidRPr="00044FAB">
        <w:t xml:space="preserve">identified </w:t>
      </w:r>
      <w:r w:rsidRPr="00044FAB">
        <w:t>school</w:t>
      </w:r>
      <w:r w:rsidR="009320CC" w:rsidRPr="00044FAB">
        <w:t>s</w:t>
      </w:r>
      <w:r w:rsidRPr="00044FAB">
        <w:t xml:space="preserve"> do not improve </w:t>
      </w:r>
      <w:r w:rsidR="00003813" w:rsidRPr="00044FAB">
        <w:t>after 3-4 years</w:t>
      </w:r>
    </w:p>
    <w:p w:rsidR="006B2E3F" w:rsidRPr="002D5939" w:rsidRDefault="002D5939">
      <w:r w:rsidRPr="002D5939">
        <w:t>The Department’s</w:t>
      </w:r>
      <w:r w:rsidR="00941A84" w:rsidRPr="002D5939">
        <w:t xml:space="preserve"> </w:t>
      </w:r>
      <w:r>
        <w:t xml:space="preserve">2014 </w:t>
      </w:r>
      <w:r w:rsidR="00941A84" w:rsidRPr="002D5939">
        <w:t xml:space="preserve">ESEA </w:t>
      </w:r>
      <w:r w:rsidRPr="002D5939">
        <w:t>Flexibility</w:t>
      </w:r>
      <w:r w:rsidR="00941A84" w:rsidRPr="002D5939">
        <w:t xml:space="preserve"> Advisory Committee </w:t>
      </w:r>
      <w:r w:rsidR="00622351">
        <w:t xml:space="preserve">(roster of participants on page 3-4) </w:t>
      </w:r>
      <w:r w:rsidRPr="002D5939">
        <w:t xml:space="preserve">developed the following plan for intervening </w:t>
      </w:r>
      <w:r>
        <w:t xml:space="preserve">in </w:t>
      </w:r>
      <w:r w:rsidR="004B7A2C">
        <w:t>F</w:t>
      </w:r>
      <w:r>
        <w:t xml:space="preserve">ocus and </w:t>
      </w:r>
      <w:r w:rsidR="004B7A2C">
        <w:t>P</w:t>
      </w:r>
      <w:r>
        <w:t xml:space="preserve">riority schools </w:t>
      </w:r>
      <w:r w:rsidRPr="002D5939">
        <w:t xml:space="preserve">if progress </w:t>
      </w:r>
      <w:proofErr w:type="gramStart"/>
      <w:r w:rsidRPr="002D5939">
        <w:t>i</w:t>
      </w:r>
      <w:r w:rsidR="00225077">
        <w:t>s</w:t>
      </w:r>
      <w:r w:rsidRPr="002D5939">
        <w:t xml:space="preserve"> not being made</w:t>
      </w:r>
      <w:proofErr w:type="gramEnd"/>
      <w:r w:rsidRPr="002D5939">
        <w:t xml:space="preserve">. </w:t>
      </w:r>
      <w:r>
        <w:t xml:space="preserve">This taskforce </w:t>
      </w:r>
      <w:r w:rsidR="00622351">
        <w:t xml:space="preserve">largely </w:t>
      </w:r>
      <w:r>
        <w:t xml:space="preserve">recommended implementing </w:t>
      </w:r>
      <w:r w:rsidR="00AF5E68">
        <w:t xml:space="preserve">their </w:t>
      </w:r>
      <w:r>
        <w:t>plan</w:t>
      </w:r>
      <w:r w:rsidR="00622351">
        <w:t xml:space="preserve">, </w:t>
      </w:r>
      <w:r>
        <w:t xml:space="preserve">with </w:t>
      </w:r>
      <w:r w:rsidR="00622351">
        <w:t xml:space="preserve">a few </w:t>
      </w:r>
      <w:r w:rsidR="008B6E77">
        <w:t>revisions</w:t>
      </w:r>
      <w:r w:rsidR="00622351">
        <w:t xml:space="preserve"> included below.</w:t>
      </w:r>
    </w:p>
    <w:p w:rsidR="00003813" w:rsidRDefault="00003813" w:rsidP="000E6C65">
      <w:pPr>
        <w:pStyle w:val="Heading2"/>
      </w:pPr>
      <w:r>
        <w:t>Intervention Step One</w:t>
      </w:r>
    </w:p>
    <w:p w:rsidR="00003813" w:rsidRDefault="00003813" w:rsidP="00003813">
      <w:pPr>
        <w:pStyle w:val="ListParagraph"/>
        <w:numPr>
          <w:ilvl w:val="0"/>
          <w:numId w:val="10"/>
        </w:numPr>
        <w:spacing w:after="0" w:line="240" w:lineRule="auto"/>
      </w:pPr>
      <w:r w:rsidRPr="00AF5E68">
        <w:t>A diagnostic review</w:t>
      </w:r>
      <w:r>
        <w:t>, to be conducted by an external team</w:t>
      </w:r>
      <w:r w:rsidR="007E259E">
        <w:t>,</w:t>
      </w:r>
      <w:r>
        <w:t xml:space="preserve"> to understand the school’s context and issues preventing progress:  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Diagnostic reviews may happen after years </w:t>
      </w:r>
      <w:r w:rsidRPr="007E259E">
        <w:t>two,</w:t>
      </w:r>
      <w:r>
        <w:t xml:space="preserve"> three, or four of Priority or Focus status, depending on what the data show and progress made. The data triggers that determine </w:t>
      </w:r>
      <w:proofErr w:type="gramStart"/>
      <w:r>
        <w:t>whether or not</w:t>
      </w:r>
      <w:proofErr w:type="gramEnd"/>
      <w:r>
        <w:t xml:space="preserve"> it’s </w:t>
      </w:r>
      <w:r w:rsidR="00225077">
        <w:t xml:space="preserve">after </w:t>
      </w:r>
      <w:r w:rsidRPr="007E259E">
        <w:t>year 2, 3</w:t>
      </w:r>
      <w:r>
        <w:t xml:space="preserve">, or 4 need to be defined. 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>Since our Focus and Priority schools are finishing their 2</w:t>
      </w:r>
      <w:r w:rsidRPr="00C87DE0">
        <w:rPr>
          <w:vertAlign w:val="superscript"/>
        </w:rPr>
        <w:t>nd</w:t>
      </w:r>
      <w:r>
        <w:t xml:space="preserve"> year, the earliest this </w:t>
      </w:r>
      <w:r w:rsidR="007E259E">
        <w:t>first diagnostic review c</w:t>
      </w:r>
      <w:r>
        <w:t xml:space="preserve">ould happen would be </w:t>
      </w:r>
      <w:proofErr w:type="gramStart"/>
      <w:r>
        <w:t>Spring</w:t>
      </w:r>
      <w:proofErr w:type="gramEnd"/>
      <w:r>
        <w:t xml:space="preserve"> 2015 or Spring 2016. 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A clear rubric for the diagnostic review needs to be </w:t>
      </w:r>
      <w:proofErr w:type="gramStart"/>
      <w:r>
        <w:t>used</w:t>
      </w:r>
      <w:proofErr w:type="gramEnd"/>
      <w:r>
        <w:t xml:space="preserve"> and shared with the school beforehand. 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Results of the review </w:t>
      </w:r>
      <w:proofErr w:type="gramStart"/>
      <w:r>
        <w:t>will be shared</w:t>
      </w:r>
      <w:proofErr w:type="gramEnd"/>
      <w:r>
        <w:t xml:space="preserve"> with the superintendent, school, and school board.</w:t>
      </w:r>
    </w:p>
    <w:p w:rsidR="00003813" w:rsidRPr="00AF5E68" w:rsidRDefault="00003813" w:rsidP="00003813">
      <w:pPr>
        <w:pStyle w:val="ListParagraph"/>
        <w:numPr>
          <w:ilvl w:val="0"/>
          <w:numId w:val="10"/>
        </w:numPr>
        <w:spacing w:after="0" w:line="240" w:lineRule="auto"/>
      </w:pPr>
      <w:r w:rsidRPr="00AF5E68">
        <w:t>Make-up of the review and planning teams: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External Review Team </w:t>
      </w:r>
      <w:proofErr w:type="gramStart"/>
      <w:r>
        <w:t>is made up</w:t>
      </w:r>
      <w:proofErr w:type="gramEnd"/>
      <w:r>
        <w:t xml:space="preserve"> of staff who are not in the school or district. They must have proven experience in school turnaround and respect and credibility from the field. 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Internal Planning team then creates the plan based </w:t>
      </w:r>
      <w:proofErr w:type="gramStart"/>
      <w:r>
        <w:t>off of</w:t>
      </w:r>
      <w:proofErr w:type="gramEnd"/>
      <w:r>
        <w:t xml:space="preserve"> the review and is made up of internal school and district staff and </w:t>
      </w:r>
      <w:r w:rsidR="00225077">
        <w:t>two</w:t>
      </w:r>
      <w:r>
        <w:t xml:space="preserve"> members</w:t>
      </w:r>
      <w:r w:rsidR="00476A5D">
        <w:t xml:space="preserve"> from the external review team</w:t>
      </w:r>
      <w:r w:rsidR="00044FAB">
        <w:t xml:space="preserve">. School board members </w:t>
      </w:r>
      <w:proofErr w:type="gramStart"/>
      <w:r w:rsidR="00044FAB">
        <w:t>shall be kept</w:t>
      </w:r>
      <w:proofErr w:type="gramEnd"/>
      <w:r w:rsidR="00044FAB">
        <w:t xml:space="preserve"> appraised of the process and recommendations. </w:t>
      </w:r>
      <w:r w:rsidR="00476A5D">
        <w:t xml:space="preserve"> </w:t>
      </w:r>
    </w:p>
    <w:p w:rsidR="00003813" w:rsidRPr="00AF5E68" w:rsidRDefault="00003813" w:rsidP="00003813">
      <w:pPr>
        <w:pStyle w:val="ListParagraph"/>
        <w:numPr>
          <w:ilvl w:val="0"/>
          <w:numId w:val="10"/>
        </w:numPr>
        <w:spacing w:after="0" w:line="240" w:lineRule="auto"/>
      </w:pPr>
      <w:r w:rsidRPr="00AF5E68">
        <w:t>After the review:</w:t>
      </w:r>
    </w:p>
    <w:p w:rsidR="00003813" w:rsidRPr="00476A5D" w:rsidRDefault="00476A5D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>P</w:t>
      </w:r>
      <w:r w:rsidR="00003813" w:rsidRPr="00476A5D">
        <w:t xml:space="preserve">lan would need to </w:t>
      </w:r>
      <w:proofErr w:type="gramStart"/>
      <w:r w:rsidR="00003813" w:rsidRPr="00476A5D">
        <w:t>be recommended</w:t>
      </w:r>
      <w:proofErr w:type="gramEnd"/>
      <w:r w:rsidR="00003813" w:rsidRPr="00476A5D">
        <w:t xml:space="preserve"> for </w:t>
      </w:r>
      <w:r w:rsidR="00AF5E68" w:rsidRPr="00476A5D">
        <w:t>approval</w:t>
      </w:r>
      <w:r w:rsidR="00003813" w:rsidRPr="00476A5D">
        <w:t xml:space="preserve"> by the external team, with final approval from the Deputy Superintendent</w:t>
      </w:r>
      <w:r w:rsidR="004B7A2C">
        <w:t xml:space="preserve"> of Public Instruction</w:t>
      </w:r>
      <w:r w:rsidR="00003813" w:rsidRPr="00476A5D">
        <w:t xml:space="preserve">. 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>School implements plan</w:t>
      </w:r>
      <w:r w:rsidR="004B7A2C">
        <w:t>.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Implementation </w:t>
      </w:r>
      <w:proofErr w:type="gramStart"/>
      <w:r>
        <w:t xml:space="preserve">is </w:t>
      </w:r>
      <w:r w:rsidR="000E6C65">
        <w:t>monitored</w:t>
      </w:r>
      <w:proofErr w:type="gramEnd"/>
      <w:r w:rsidR="000E6C65">
        <w:t>.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Plan </w:t>
      </w:r>
      <w:proofErr w:type="gramStart"/>
      <w:r>
        <w:t>is adjusted</w:t>
      </w:r>
      <w:proofErr w:type="gramEnd"/>
      <w:r>
        <w:t xml:space="preserve"> as needed</w:t>
      </w:r>
      <w:r w:rsidR="004B7A2C">
        <w:t>.</w:t>
      </w:r>
      <w:r>
        <w:t xml:space="preserve"> </w:t>
      </w:r>
    </w:p>
    <w:p w:rsidR="00003813" w:rsidRDefault="00003813" w:rsidP="00003813">
      <w:pPr>
        <w:pStyle w:val="ListParagraph"/>
        <w:numPr>
          <w:ilvl w:val="0"/>
          <w:numId w:val="10"/>
        </w:numPr>
        <w:spacing w:after="0" w:line="240" w:lineRule="auto"/>
      </w:pPr>
      <w:r>
        <w:t>There are two main distinguishing features between the plans in Step 1 &amp; 2: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In Step 1, the plan is developed locally and </w:t>
      </w:r>
      <w:r w:rsidRPr="00E16CB0">
        <w:rPr>
          <w:u w:val="single"/>
        </w:rPr>
        <w:t>may</w:t>
      </w:r>
      <w:r>
        <w:t xml:space="preserve"> include, not </w:t>
      </w:r>
      <w:r w:rsidRPr="00E16CB0">
        <w:rPr>
          <w:u w:val="single"/>
        </w:rPr>
        <w:t>shall</w:t>
      </w:r>
      <w:r>
        <w:t xml:space="preserve"> include</w:t>
      </w:r>
      <w:r w:rsidR="004B7A2C">
        <w:t>,</w:t>
      </w:r>
      <w:r>
        <w:t xml:space="preserve"> the following: </w:t>
      </w:r>
    </w:p>
    <w:p w:rsidR="00003813" w:rsidRDefault="00003813" w:rsidP="00003813">
      <w:pPr>
        <w:pStyle w:val="ListParagraph"/>
        <w:numPr>
          <w:ilvl w:val="2"/>
          <w:numId w:val="10"/>
        </w:numPr>
        <w:spacing w:after="0" w:line="240" w:lineRule="auto"/>
      </w:pPr>
      <w:r>
        <w:lastRenderedPageBreak/>
        <w:t>Ensure effective and appropriate formative and interim assessments are in place.</w:t>
      </w:r>
    </w:p>
    <w:p w:rsidR="00003813" w:rsidRDefault="00003813" w:rsidP="00003813">
      <w:pPr>
        <w:pStyle w:val="ListParagraph"/>
        <w:numPr>
          <w:ilvl w:val="2"/>
          <w:numId w:val="10"/>
        </w:numPr>
        <w:spacing w:after="0" w:line="240" w:lineRule="auto"/>
      </w:pPr>
      <w:r>
        <w:t>Ensure the district and school are in a process of learning from similar schools.</w:t>
      </w:r>
    </w:p>
    <w:p w:rsidR="00003813" w:rsidRDefault="00003813" w:rsidP="00003813">
      <w:pPr>
        <w:pStyle w:val="ListParagraph"/>
        <w:numPr>
          <w:ilvl w:val="2"/>
          <w:numId w:val="10"/>
        </w:numPr>
        <w:spacing w:after="0" w:line="240" w:lineRule="auto"/>
      </w:pPr>
      <w:r>
        <w:t>Engage the school board in professional development and accountability discussions.</w:t>
      </w:r>
    </w:p>
    <w:p w:rsidR="00003813" w:rsidRDefault="00003813" w:rsidP="00003813">
      <w:pPr>
        <w:pStyle w:val="ListParagraph"/>
        <w:numPr>
          <w:ilvl w:val="2"/>
          <w:numId w:val="10"/>
        </w:numPr>
        <w:spacing w:after="0" w:line="240" w:lineRule="auto"/>
      </w:pPr>
      <w:r>
        <w:t>Provide additional resources and supports in the form of staffing, for example counselors, social workers, etc.</w:t>
      </w:r>
    </w:p>
    <w:p w:rsidR="00003813" w:rsidRDefault="00003813" w:rsidP="00003813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In Step 1, the plan cannot include replacing superintendent, district staff, principal, and/or teachers. </w:t>
      </w:r>
    </w:p>
    <w:p w:rsidR="00AF5E68" w:rsidRDefault="00AF5E68" w:rsidP="00AF5E68">
      <w:pPr>
        <w:pStyle w:val="ListParagraph"/>
        <w:spacing w:after="0" w:line="240" w:lineRule="auto"/>
        <w:ind w:left="1440"/>
      </w:pPr>
    </w:p>
    <w:p w:rsidR="00003813" w:rsidRPr="0096022C" w:rsidRDefault="00003813" w:rsidP="000E6C65">
      <w:pPr>
        <w:pStyle w:val="Heading2"/>
      </w:pPr>
      <w:r>
        <w:t>Intervention Step</w:t>
      </w:r>
      <w:r w:rsidRPr="0096022C">
        <w:t xml:space="preserve"> Two</w:t>
      </w:r>
    </w:p>
    <w:p w:rsidR="00476A5D" w:rsidRDefault="00476A5D" w:rsidP="00003813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It is possible to by-pass Step 1 and move directly to Step 2 if the situation is egregious. </w:t>
      </w:r>
      <w:r w:rsidR="00225077">
        <w:t xml:space="preserve">Such as </w:t>
      </w:r>
      <w:proofErr w:type="gramStart"/>
      <w:r w:rsidR="00225077">
        <w:t>improvement</w:t>
      </w:r>
      <w:proofErr w:type="gramEnd"/>
      <w:r w:rsidR="00225077">
        <w:t xml:space="preserve"> plans are not implemented and/or there is blatant disregard for engaging in the process. </w:t>
      </w:r>
    </w:p>
    <w:p w:rsidR="00003813" w:rsidRDefault="00003813" w:rsidP="00003813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One or more supports and interventions </w:t>
      </w:r>
      <w:r w:rsidRPr="0008325F">
        <w:rPr>
          <w:u w:val="single"/>
        </w:rPr>
        <w:t>shall</w:t>
      </w:r>
      <w:r>
        <w:t xml:space="preserve"> be required to be implemented, depending on the results of the diagnostic review, consisting of but not limited to:</w:t>
      </w:r>
    </w:p>
    <w:p w:rsidR="00003813" w:rsidRDefault="005227A9" w:rsidP="00003813">
      <w:pPr>
        <w:pStyle w:val="ListParagraph"/>
        <w:numPr>
          <w:ilvl w:val="1"/>
          <w:numId w:val="9"/>
        </w:numPr>
        <w:spacing w:after="0" w:line="240" w:lineRule="auto"/>
      </w:pPr>
      <w:r>
        <w:t>R</w:t>
      </w:r>
      <w:r w:rsidR="00003813">
        <w:t>eplace staff in leadership positions with turnaround leaders, for example-</w:t>
      </w:r>
    </w:p>
    <w:p w:rsidR="00003813" w:rsidRDefault="00003813" w:rsidP="00003813">
      <w:pPr>
        <w:pStyle w:val="ListParagraph"/>
        <w:numPr>
          <w:ilvl w:val="2"/>
          <w:numId w:val="9"/>
        </w:numPr>
        <w:spacing w:after="0" w:line="240" w:lineRule="auto"/>
      </w:pPr>
      <w:r>
        <w:t>Superintendent</w:t>
      </w:r>
    </w:p>
    <w:p w:rsidR="00003813" w:rsidRDefault="00003813" w:rsidP="00003813">
      <w:pPr>
        <w:pStyle w:val="ListParagraph"/>
        <w:numPr>
          <w:ilvl w:val="2"/>
          <w:numId w:val="9"/>
        </w:numPr>
        <w:spacing w:after="0" w:line="240" w:lineRule="auto"/>
      </w:pPr>
      <w:r>
        <w:t>District staff</w:t>
      </w:r>
    </w:p>
    <w:p w:rsidR="00003813" w:rsidRDefault="00003813" w:rsidP="00003813">
      <w:pPr>
        <w:pStyle w:val="ListParagraph"/>
        <w:numPr>
          <w:ilvl w:val="2"/>
          <w:numId w:val="9"/>
        </w:numPr>
        <w:spacing w:after="0" w:line="240" w:lineRule="auto"/>
      </w:pPr>
      <w:r>
        <w:t xml:space="preserve">Principal </w:t>
      </w:r>
    </w:p>
    <w:p w:rsidR="00003813" w:rsidRDefault="00003813" w:rsidP="00003813">
      <w:pPr>
        <w:pStyle w:val="ListParagraph"/>
        <w:numPr>
          <w:ilvl w:val="1"/>
          <w:numId w:val="9"/>
        </w:numPr>
        <w:spacing w:after="0" w:line="240" w:lineRule="auto"/>
      </w:pPr>
      <w:r>
        <w:t>Limited staff replacement</w:t>
      </w:r>
      <w:r w:rsidR="00C0625E">
        <w:t>.</w:t>
      </w:r>
    </w:p>
    <w:p w:rsidR="00003813" w:rsidRDefault="00003813" w:rsidP="00003813">
      <w:pPr>
        <w:pStyle w:val="ListParagraph"/>
        <w:numPr>
          <w:ilvl w:val="1"/>
          <w:numId w:val="9"/>
        </w:numPr>
        <w:spacing w:after="0" w:line="240" w:lineRule="auto"/>
      </w:pPr>
      <w:r>
        <w:t>Direction over budget</w:t>
      </w:r>
      <w:r w:rsidR="00C0625E">
        <w:t>.</w:t>
      </w:r>
    </w:p>
    <w:p w:rsidR="00003813" w:rsidRDefault="00003813" w:rsidP="00003813">
      <w:pPr>
        <w:pStyle w:val="ListParagraph"/>
        <w:numPr>
          <w:ilvl w:val="1"/>
          <w:numId w:val="9"/>
        </w:numPr>
        <w:spacing w:after="0" w:line="240" w:lineRule="auto"/>
      </w:pPr>
      <w:r>
        <w:t>Increased instructional time</w:t>
      </w:r>
      <w:r w:rsidR="00C0625E">
        <w:t>.</w:t>
      </w:r>
    </w:p>
    <w:p w:rsidR="00003813" w:rsidRDefault="00003813" w:rsidP="00003813">
      <w:pPr>
        <w:pStyle w:val="ListParagraph"/>
        <w:numPr>
          <w:ilvl w:val="1"/>
          <w:numId w:val="9"/>
        </w:numPr>
        <w:spacing w:after="0" w:line="240" w:lineRule="auto"/>
      </w:pPr>
      <w:r>
        <w:t>Identify the district as at-risk and place accountability on the district for more involvement in school improvement efforts.</w:t>
      </w:r>
    </w:p>
    <w:p w:rsidR="00044FAB" w:rsidRDefault="00044FAB" w:rsidP="00044FAB">
      <w:pPr>
        <w:pStyle w:val="ListParagraph"/>
        <w:spacing w:after="0" w:line="240" w:lineRule="auto"/>
        <w:ind w:left="1800"/>
      </w:pPr>
    </w:p>
    <w:p w:rsidR="00003813" w:rsidRPr="003D408B" w:rsidRDefault="00003813" w:rsidP="000E6C65">
      <w:pPr>
        <w:pStyle w:val="Heading2"/>
      </w:pPr>
      <w:r>
        <w:t>Intervention Step</w:t>
      </w:r>
      <w:r w:rsidRPr="003D408B">
        <w:t xml:space="preserve"> Three</w:t>
      </w:r>
      <w:r>
        <w:t xml:space="preserve"> </w:t>
      </w:r>
    </w:p>
    <w:p w:rsidR="00044FAB" w:rsidRPr="00044FAB" w:rsidRDefault="00044FAB" w:rsidP="00044FAB">
      <w:pPr>
        <w:pStyle w:val="ListParagraph"/>
        <w:numPr>
          <w:ilvl w:val="0"/>
          <w:numId w:val="9"/>
        </w:numPr>
        <w:spacing w:after="0" w:line="240" w:lineRule="auto"/>
        <w:rPr>
          <w:b/>
          <w:sz w:val="28"/>
          <w:szCs w:val="28"/>
          <w:u w:val="single"/>
        </w:rPr>
      </w:pPr>
      <w:r w:rsidRPr="00044FAB">
        <w:t xml:space="preserve">The Deputy Superintendent </w:t>
      </w:r>
      <w:proofErr w:type="gramStart"/>
      <w:r w:rsidRPr="00044FAB">
        <w:t>is tasked</w:t>
      </w:r>
      <w:proofErr w:type="gramEnd"/>
      <w:r w:rsidRPr="00044FAB">
        <w:t xml:space="preserve"> with the process and selection </w:t>
      </w:r>
      <w:r>
        <w:t xml:space="preserve">of the leader for the </w:t>
      </w:r>
      <w:r w:rsidRPr="00044FAB">
        <w:t xml:space="preserve">school and/or district. </w:t>
      </w:r>
    </w:p>
    <w:p w:rsidR="00044FAB" w:rsidRDefault="00044FAB" w:rsidP="00044FAB">
      <w:pPr>
        <w:spacing w:after="0" w:line="240" w:lineRule="auto"/>
        <w:rPr>
          <w:b/>
          <w:sz w:val="28"/>
          <w:szCs w:val="28"/>
          <w:u w:val="single"/>
        </w:rPr>
      </w:pPr>
    </w:p>
    <w:p w:rsidR="00003813" w:rsidRPr="00044FAB" w:rsidRDefault="00941A84" w:rsidP="000E6C65">
      <w:pPr>
        <w:pStyle w:val="Heading2"/>
      </w:pPr>
      <w:r w:rsidRPr="00044FAB">
        <w:t xml:space="preserve">Supports and Interventions for Underperforming Districts </w:t>
      </w:r>
    </w:p>
    <w:p w:rsidR="00941A84" w:rsidRPr="00C76026" w:rsidRDefault="00941A84" w:rsidP="00C76026">
      <w:pPr>
        <w:pStyle w:val="Heading2"/>
      </w:pPr>
      <w:r w:rsidRPr="00C76026">
        <w:t>Recommendation #</w:t>
      </w:r>
      <w:r w:rsidR="00AF5E68" w:rsidRPr="00C76026">
        <w:t>8</w:t>
      </w:r>
      <w:r w:rsidRPr="00C76026">
        <w:t xml:space="preserve">: After identifying the bottom </w:t>
      </w:r>
      <w:r w:rsidR="00AF5E68" w:rsidRPr="00C76026">
        <w:t>three</w:t>
      </w:r>
      <w:r w:rsidRPr="00C76026">
        <w:t xml:space="preserve"> districts, the following </w:t>
      </w:r>
      <w:r w:rsidR="00AF5E68" w:rsidRPr="00C76026">
        <w:t>six</w:t>
      </w:r>
      <w:r w:rsidR="005227A9" w:rsidRPr="00C76026">
        <w:t xml:space="preserve"> steps should occur: </w:t>
      </w:r>
    </w:p>
    <w:p w:rsidR="00941A84" w:rsidRDefault="00941A84" w:rsidP="00941A84">
      <w:pPr>
        <w:pStyle w:val="ListParagraph"/>
        <w:numPr>
          <w:ilvl w:val="0"/>
          <w:numId w:val="11"/>
        </w:numPr>
      </w:pPr>
      <w:r>
        <w:t xml:space="preserve">Deputy Superintendent and/or Chief Education Officer meet </w:t>
      </w:r>
      <w:r w:rsidR="005227A9">
        <w:t xml:space="preserve">with the </w:t>
      </w:r>
      <w:r w:rsidR="00C0625E">
        <w:t>district s</w:t>
      </w:r>
      <w:r>
        <w:t>uperintendent</w:t>
      </w:r>
      <w:r w:rsidR="00C0625E">
        <w:t>.</w:t>
      </w:r>
      <w:r>
        <w:t xml:space="preserve"> </w:t>
      </w:r>
    </w:p>
    <w:p w:rsidR="00941A84" w:rsidRDefault="00C0625E" w:rsidP="00941A84">
      <w:pPr>
        <w:pStyle w:val="ListParagraph"/>
        <w:numPr>
          <w:ilvl w:val="0"/>
          <w:numId w:val="11"/>
        </w:numPr>
      </w:pPr>
      <w:r>
        <w:t xml:space="preserve">A second meeting </w:t>
      </w:r>
      <w:proofErr w:type="gramStart"/>
      <w:r>
        <w:t>is held</w:t>
      </w:r>
      <w:proofErr w:type="gramEnd"/>
      <w:r>
        <w:t xml:space="preserve"> with both </w:t>
      </w:r>
      <w:r w:rsidR="00941A84">
        <w:t xml:space="preserve">the </w:t>
      </w:r>
      <w:r>
        <w:t>s</w:t>
      </w:r>
      <w:r w:rsidR="00941A84">
        <w:t>uperintendent and School Board</w:t>
      </w:r>
      <w:r>
        <w:t>.</w:t>
      </w:r>
      <w:r w:rsidR="00941A84">
        <w:t xml:space="preserve"> </w:t>
      </w:r>
    </w:p>
    <w:p w:rsidR="00941A84" w:rsidRDefault="00941A84" w:rsidP="00941A84">
      <w:pPr>
        <w:pStyle w:val="ListParagraph"/>
        <w:numPr>
          <w:ilvl w:val="0"/>
          <w:numId w:val="11"/>
        </w:numPr>
      </w:pPr>
      <w:r>
        <w:t xml:space="preserve">Leadership coach </w:t>
      </w:r>
      <w:proofErr w:type="gramStart"/>
      <w:r w:rsidR="00AF5E68">
        <w:t>is put</w:t>
      </w:r>
      <w:proofErr w:type="gramEnd"/>
      <w:r>
        <w:t xml:space="preserve"> in place for superintendent</w:t>
      </w:r>
      <w:r w:rsidR="00C0625E">
        <w:t>.</w:t>
      </w:r>
      <w:r>
        <w:t xml:space="preserve"> </w:t>
      </w:r>
    </w:p>
    <w:p w:rsidR="00941A84" w:rsidRDefault="00941A84" w:rsidP="00941A84">
      <w:pPr>
        <w:pStyle w:val="ListParagraph"/>
        <w:numPr>
          <w:ilvl w:val="0"/>
          <w:numId w:val="11"/>
        </w:numPr>
      </w:pPr>
      <w:r>
        <w:t>Review process begins</w:t>
      </w:r>
      <w:r w:rsidR="00C0625E">
        <w:t>.</w:t>
      </w:r>
    </w:p>
    <w:p w:rsidR="00941A84" w:rsidRDefault="00941A84" w:rsidP="00941A84">
      <w:pPr>
        <w:pStyle w:val="ListParagraph"/>
        <w:numPr>
          <w:ilvl w:val="1"/>
          <w:numId w:val="11"/>
        </w:numPr>
      </w:pPr>
      <w:r>
        <w:t>Internal review team starts with a self-</w:t>
      </w:r>
      <w:r w:rsidR="000E6C65">
        <w:t>assessment.</w:t>
      </w:r>
    </w:p>
    <w:p w:rsidR="00941A84" w:rsidRDefault="00941A84" w:rsidP="00941A84">
      <w:pPr>
        <w:pStyle w:val="ListParagraph"/>
        <w:numPr>
          <w:ilvl w:val="1"/>
          <w:numId w:val="11"/>
        </w:numPr>
      </w:pPr>
      <w:r>
        <w:t>External review team begins as well</w:t>
      </w:r>
      <w:r w:rsidR="00C0625E">
        <w:t>.</w:t>
      </w:r>
    </w:p>
    <w:p w:rsidR="00941A84" w:rsidRDefault="00941A84" w:rsidP="00941A84">
      <w:pPr>
        <w:pStyle w:val="ListParagraph"/>
        <w:numPr>
          <w:ilvl w:val="0"/>
          <w:numId w:val="11"/>
        </w:numPr>
      </w:pPr>
      <w:r>
        <w:t xml:space="preserve">District </w:t>
      </w:r>
      <w:r w:rsidR="005370C8">
        <w:t xml:space="preserve">develops improvement plan </w:t>
      </w:r>
      <w:r w:rsidR="005227A9">
        <w:t xml:space="preserve">based on what emerges through the review </w:t>
      </w:r>
      <w:r w:rsidR="000E6C65">
        <w:t>process.</w:t>
      </w:r>
    </w:p>
    <w:p w:rsidR="005370C8" w:rsidRDefault="005227A9" w:rsidP="00941A84">
      <w:pPr>
        <w:pStyle w:val="ListParagraph"/>
        <w:numPr>
          <w:ilvl w:val="0"/>
          <w:numId w:val="11"/>
        </w:numPr>
      </w:pPr>
      <w:r>
        <w:t xml:space="preserve">Plan </w:t>
      </w:r>
      <w:proofErr w:type="gramStart"/>
      <w:r>
        <w:t>is recommended</w:t>
      </w:r>
      <w:proofErr w:type="gramEnd"/>
      <w:r>
        <w:t xml:space="preserve"> for approval by the </w:t>
      </w:r>
      <w:r w:rsidR="005370C8">
        <w:t xml:space="preserve">external </w:t>
      </w:r>
      <w:r>
        <w:t xml:space="preserve">review </w:t>
      </w:r>
      <w:r w:rsidR="00D50386">
        <w:t xml:space="preserve">team, with </w:t>
      </w:r>
      <w:r>
        <w:t xml:space="preserve">final approval by the </w:t>
      </w:r>
      <w:r w:rsidR="00C0625E">
        <w:t xml:space="preserve">State </w:t>
      </w:r>
      <w:r w:rsidR="005370C8">
        <w:t>Deputy Superintendent</w:t>
      </w:r>
      <w:r w:rsidR="00C0625E">
        <w:t>.</w:t>
      </w:r>
      <w:r w:rsidR="005370C8">
        <w:t xml:space="preserve"> </w:t>
      </w:r>
    </w:p>
    <w:p w:rsidR="005370C8" w:rsidRPr="005370C8" w:rsidRDefault="005370C8" w:rsidP="000E6C65">
      <w:pPr>
        <w:pStyle w:val="Heading3"/>
      </w:pPr>
      <w:r w:rsidRPr="005370C8">
        <w:lastRenderedPageBreak/>
        <w:t xml:space="preserve">These </w:t>
      </w:r>
      <w:r w:rsidR="00AF5E68">
        <w:t>four</w:t>
      </w:r>
      <w:r w:rsidRPr="005370C8">
        <w:t xml:space="preserve"> things </w:t>
      </w:r>
      <w:r w:rsidRPr="005370C8">
        <w:rPr>
          <w:i/>
          <w:u w:val="single"/>
        </w:rPr>
        <w:t>shall</w:t>
      </w:r>
      <w:r w:rsidRPr="005370C8">
        <w:t xml:space="preserve"> be included in all district plans: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Embedded professional development centered on instruction</w:t>
      </w:r>
      <w:r w:rsidR="00C0625E">
        <w:t>.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Time for teacher collaboration</w:t>
      </w:r>
      <w:r w:rsidR="00C0625E">
        <w:t>.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 xml:space="preserve">Freedom from </w:t>
      </w:r>
      <w:r w:rsidR="00C90524">
        <w:t>any non-essential ODE requirements and</w:t>
      </w:r>
      <w:r>
        <w:t xml:space="preserve"> </w:t>
      </w:r>
      <w:r w:rsidR="00C90524">
        <w:t>reports</w:t>
      </w:r>
      <w:r w:rsidR="00C0625E">
        <w:t>.</w:t>
      </w:r>
    </w:p>
    <w:p w:rsidR="005370C8" w:rsidRDefault="005370C8" w:rsidP="00941A84">
      <w:pPr>
        <w:pStyle w:val="ListParagraph"/>
        <w:numPr>
          <w:ilvl w:val="0"/>
          <w:numId w:val="9"/>
        </w:numPr>
      </w:pPr>
      <w:r>
        <w:t>District must meet minimum number of instruction hours</w:t>
      </w:r>
      <w:r w:rsidR="005227A9">
        <w:t xml:space="preserve"> (</w:t>
      </w:r>
      <w:r w:rsidR="00D50386">
        <w:t xml:space="preserve">i.e. </w:t>
      </w:r>
      <w:r w:rsidR="005227A9">
        <w:t>990)</w:t>
      </w:r>
      <w:r>
        <w:t xml:space="preserve">, and state will then </w:t>
      </w:r>
      <w:r w:rsidR="005227A9">
        <w:t>invest in</w:t>
      </w:r>
      <w:r>
        <w:t xml:space="preserve"> a 5% increase of instructional time beyond the minimum</w:t>
      </w:r>
      <w:r w:rsidR="00C0625E">
        <w:t>.</w:t>
      </w:r>
      <w:r>
        <w:t xml:space="preserve"> </w:t>
      </w:r>
    </w:p>
    <w:p w:rsidR="00941A84" w:rsidRPr="005370C8" w:rsidRDefault="00941A84" w:rsidP="000E6C65">
      <w:pPr>
        <w:pStyle w:val="Heading3"/>
      </w:pPr>
      <w:r w:rsidRPr="005370C8">
        <w:t>Menu of supports</w:t>
      </w:r>
      <w:r w:rsidR="005370C8">
        <w:t>/interventions</w:t>
      </w:r>
      <w:r w:rsidRPr="005370C8">
        <w:t xml:space="preserve"> </w:t>
      </w:r>
      <w:r w:rsidRPr="005370C8">
        <w:rPr>
          <w:i/>
          <w:u w:val="single"/>
        </w:rPr>
        <w:t>may</w:t>
      </w:r>
      <w:r w:rsidRPr="005370C8">
        <w:t xml:space="preserve"> </w:t>
      </w:r>
      <w:r w:rsidR="008468F9">
        <w:t xml:space="preserve">be </w:t>
      </w:r>
      <w:r w:rsidRPr="005370C8">
        <w:t>include</w:t>
      </w:r>
      <w:r w:rsidR="008468F9">
        <w:t>d in district plans</w:t>
      </w:r>
      <w:r w:rsidRPr="005370C8">
        <w:t xml:space="preserve">: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Access to leadership professional development, may include a Summer Leadership Institute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Partnership with other organizations like ESDs or other districts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Budget for other district visits to find/see best practices</w:t>
      </w:r>
      <w:r w:rsidR="00C0625E">
        <w:t>.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Money to implement plan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Organization</w:t>
      </w:r>
      <w:r w:rsidR="00C0625E">
        <w:t>al</w:t>
      </w:r>
      <w:r>
        <w:t xml:space="preserve"> Assessment </w:t>
      </w:r>
      <w:r w:rsidR="00D50386">
        <w:t>(currently underway in four school districts with Strategic Investment resources)</w:t>
      </w:r>
      <w:r w:rsidR="00C0625E">
        <w:t>.</w:t>
      </w:r>
      <w:r w:rsidR="00D50386"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Work with professional organizations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Contract with high performing school district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Board engagement and align</w:t>
      </w:r>
      <w:r w:rsidR="00C0625E">
        <w:t>ing</w:t>
      </w:r>
      <w:r>
        <w:t xml:space="preserve"> priorities to instruction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Suspend state science and social studies testing</w:t>
      </w:r>
      <w:r w:rsidR="00C90524">
        <w:t xml:space="preserve"> for the school/district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 xml:space="preserve">Access to team of highly skilled teachers and instructional coaches to provide job embedded </w:t>
      </w:r>
      <w:r w:rsidR="00044FAB">
        <w:t>professional development</w:t>
      </w:r>
      <w:r w:rsidR="00C0625E">
        <w:t>.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ODE staff support to district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Resource for extended time/ summer programs</w:t>
      </w:r>
      <w:r w:rsidR="00C0625E">
        <w:t>.</w:t>
      </w:r>
      <w:r>
        <w:t xml:space="preserve"> </w:t>
      </w:r>
    </w:p>
    <w:p w:rsidR="005227A9" w:rsidRDefault="005227A9" w:rsidP="005370C8">
      <w:pPr>
        <w:pStyle w:val="ListParagraph"/>
        <w:numPr>
          <w:ilvl w:val="0"/>
          <w:numId w:val="9"/>
        </w:numPr>
      </w:pPr>
      <w:r>
        <w:t>Reduction in class sizes K-2</w:t>
      </w:r>
      <w:r w:rsidR="00C0625E">
        <w:t>.</w:t>
      </w:r>
    </w:p>
    <w:p w:rsidR="005227A9" w:rsidRDefault="005227A9" w:rsidP="005370C8">
      <w:pPr>
        <w:pStyle w:val="ListParagraph"/>
        <w:numPr>
          <w:ilvl w:val="0"/>
          <w:numId w:val="9"/>
        </w:numPr>
      </w:pPr>
      <w:r>
        <w:t>Implementation of full-day kindergarten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Physical improvements for buildings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Support collaboration with unions and leadership</w:t>
      </w:r>
      <w:r w:rsidR="00C0625E">
        <w:t>.</w:t>
      </w:r>
      <w:r>
        <w:t xml:space="preserve"> </w:t>
      </w:r>
    </w:p>
    <w:p w:rsidR="005370C8" w:rsidRDefault="005370C8" w:rsidP="005370C8">
      <w:pPr>
        <w:pStyle w:val="ListParagraph"/>
        <w:numPr>
          <w:ilvl w:val="0"/>
          <w:numId w:val="9"/>
        </w:numPr>
      </w:pPr>
      <w:r>
        <w:t>Placement of additional coaches in district and/or schools</w:t>
      </w:r>
      <w:r w:rsidR="00C0625E">
        <w:t>.</w:t>
      </w:r>
    </w:p>
    <w:p w:rsidR="00622351" w:rsidRDefault="00622351" w:rsidP="00622351">
      <w:pPr>
        <w:pStyle w:val="ListParagraph"/>
        <w:numPr>
          <w:ilvl w:val="0"/>
          <w:numId w:val="9"/>
        </w:numPr>
      </w:pPr>
      <w:r>
        <w:t>Community engagement</w:t>
      </w:r>
      <w:r w:rsidR="00C0625E">
        <w:t>.</w:t>
      </w:r>
      <w:r>
        <w:t xml:space="preserve"> </w:t>
      </w:r>
    </w:p>
    <w:p w:rsidR="005370C8" w:rsidRDefault="00D50386" w:rsidP="00D50386">
      <w:pPr>
        <w:pStyle w:val="ListParagraph"/>
        <w:numPr>
          <w:ilvl w:val="0"/>
          <w:numId w:val="9"/>
        </w:numPr>
      </w:pPr>
      <w:r>
        <w:t xml:space="preserve">School </w:t>
      </w:r>
      <w:r w:rsidR="005370C8">
        <w:t xml:space="preserve">Board mentorship/coaches </w:t>
      </w:r>
      <w:r>
        <w:t>and/or t</w:t>
      </w:r>
      <w:r w:rsidR="005370C8">
        <w:t>raining</w:t>
      </w:r>
      <w:r w:rsidR="00C0625E">
        <w:t>.</w:t>
      </w:r>
      <w:r w:rsidR="005370C8">
        <w:t xml:space="preserve"> </w:t>
      </w:r>
    </w:p>
    <w:p w:rsidR="005227A9" w:rsidRDefault="005227A9" w:rsidP="000E6C65">
      <w:pPr>
        <w:pStyle w:val="Heading2"/>
      </w:pPr>
      <w:r w:rsidRPr="005227A9">
        <w:t>Recommendation #</w:t>
      </w:r>
      <w:r w:rsidR="00AF5E68">
        <w:t>9</w:t>
      </w:r>
      <w:r w:rsidRPr="005227A9">
        <w:t xml:space="preserve">: </w:t>
      </w:r>
      <w:r w:rsidR="00C0625E">
        <w:t>W</w:t>
      </w:r>
      <w:r w:rsidRPr="005227A9">
        <w:t xml:space="preserve">hat to do if districts do not improve after </w:t>
      </w:r>
      <w:r w:rsidR="00044FAB">
        <w:t>2</w:t>
      </w:r>
      <w:r w:rsidRPr="005227A9">
        <w:t xml:space="preserve">-4 years </w:t>
      </w:r>
    </w:p>
    <w:p w:rsidR="005E12E4" w:rsidRPr="005E12E4" w:rsidRDefault="00044FAB" w:rsidP="00044FAB">
      <w:pPr>
        <w:pStyle w:val="ListParagraph"/>
        <w:numPr>
          <w:ilvl w:val="0"/>
          <w:numId w:val="12"/>
        </w:numPr>
      </w:pPr>
      <w:r>
        <w:t>Follow the s</w:t>
      </w:r>
      <w:r w:rsidR="005227A9">
        <w:t xml:space="preserve">ame </w:t>
      </w:r>
      <w:r w:rsidR="000E6C65">
        <w:t>three-step</w:t>
      </w:r>
      <w:r>
        <w:t xml:space="preserve"> process</w:t>
      </w:r>
      <w:r w:rsidR="005227A9">
        <w:t xml:space="preserve"> as described </w:t>
      </w:r>
      <w:r w:rsidR="00C90524">
        <w:t xml:space="preserve">on </w:t>
      </w:r>
      <w:r>
        <w:t xml:space="preserve">pages 8-9 </w:t>
      </w:r>
      <w:r w:rsidR="005227A9">
        <w:t>for schools that do not improve</w:t>
      </w:r>
      <w:r>
        <w:t>.</w:t>
      </w:r>
      <w:r w:rsidR="001A1571">
        <w:t xml:space="preserve"> </w:t>
      </w:r>
    </w:p>
    <w:sectPr w:rsidR="005E12E4" w:rsidRPr="005E12E4" w:rsidSect="00C810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2B" w:rsidRDefault="008B072B" w:rsidP="00C810B2">
      <w:pPr>
        <w:spacing w:after="0" w:line="240" w:lineRule="auto"/>
      </w:pPr>
      <w:r>
        <w:separator/>
      </w:r>
    </w:p>
  </w:endnote>
  <w:endnote w:type="continuationSeparator" w:id="0">
    <w:p w:rsidR="008B072B" w:rsidRDefault="008B072B" w:rsidP="00C8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92358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E259E" w:rsidRDefault="007E259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185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E259E" w:rsidRDefault="007E2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2B" w:rsidRDefault="008B072B" w:rsidP="00C810B2">
      <w:pPr>
        <w:spacing w:after="0" w:line="240" w:lineRule="auto"/>
      </w:pPr>
      <w:r>
        <w:separator/>
      </w:r>
    </w:p>
  </w:footnote>
  <w:footnote w:type="continuationSeparator" w:id="0">
    <w:p w:rsidR="008B072B" w:rsidRDefault="008B072B" w:rsidP="00C81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DF9"/>
    <w:multiLevelType w:val="hybridMultilevel"/>
    <w:tmpl w:val="3224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750C"/>
    <w:multiLevelType w:val="hybridMultilevel"/>
    <w:tmpl w:val="1BB2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BDA"/>
    <w:multiLevelType w:val="hybridMultilevel"/>
    <w:tmpl w:val="24BA6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0D24"/>
    <w:multiLevelType w:val="hybridMultilevel"/>
    <w:tmpl w:val="AC28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531E"/>
    <w:multiLevelType w:val="hybridMultilevel"/>
    <w:tmpl w:val="C36C9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3A6A27"/>
    <w:multiLevelType w:val="hybridMultilevel"/>
    <w:tmpl w:val="6CDA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45C55"/>
    <w:multiLevelType w:val="hybridMultilevel"/>
    <w:tmpl w:val="39388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01555"/>
    <w:multiLevelType w:val="hybridMultilevel"/>
    <w:tmpl w:val="3F589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90341"/>
    <w:multiLevelType w:val="hybridMultilevel"/>
    <w:tmpl w:val="C71C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32D12"/>
    <w:multiLevelType w:val="hybridMultilevel"/>
    <w:tmpl w:val="94E6C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50C4"/>
    <w:multiLevelType w:val="hybridMultilevel"/>
    <w:tmpl w:val="67B4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73166"/>
    <w:multiLevelType w:val="hybridMultilevel"/>
    <w:tmpl w:val="A11A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5299"/>
    <w:multiLevelType w:val="hybridMultilevel"/>
    <w:tmpl w:val="E0781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24F5"/>
    <w:multiLevelType w:val="hybridMultilevel"/>
    <w:tmpl w:val="E418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66116"/>
    <w:multiLevelType w:val="hybridMultilevel"/>
    <w:tmpl w:val="BBE6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44275"/>
    <w:multiLevelType w:val="hybridMultilevel"/>
    <w:tmpl w:val="9976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52FD1"/>
    <w:multiLevelType w:val="hybridMultilevel"/>
    <w:tmpl w:val="61F6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0442F"/>
    <w:multiLevelType w:val="hybridMultilevel"/>
    <w:tmpl w:val="25243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8"/>
  </w:num>
  <w:num w:numId="5">
    <w:abstractNumId w:val="13"/>
  </w:num>
  <w:num w:numId="6">
    <w:abstractNumId w:val="11"/>
  </w:num>
  <w:num w:numId="7">
    <w:abstractNumId w:val="14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3"/>
  </w:num>
  <w:num w:numId="14">
    <w:abstractNumId w:val="7"/>
  </w:num>
  <w:num w:numId="15">
    <w:abstractNumId w:val="17"/>
  </w:num>
  <w:num w:numId="16">
    <w:abstractNumId w:val="1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3F"/>
    <w:rsid w:val="00003813"/>
    <w:rsid w:val="00044FAB"/>
    <w:rsid w:val="00061A9E"/>
    <w:rsid w:val="00080C4B"/>
    <w:rsid w:val="000E2BE7"/>
    <w:rsid w:val="000E6C65"/>
    <w:rsid w:val="00105719"/>
    <w:rsid w:val="00106724"/>
    <w:rsid w:val="00126A15"/>
    <w:rsid w:val="001502BC"/>
    <w:rsid w:val="001A1571"/>
    <w:rsid w:val="00225077"/>
    <w:rsid w:val="0023068C"/>
    <w:rsid w:val="00236F58"/>
    <w:rsid w:val="002D5939"/>
    <w:rsid w:val="002F68BF"/>
    <w:rsid w:val="0030223B"/>
    <w:rsid w:val="00375C67"/>
    <w:rsid w:val="003A5185"/>
    <w:rsid w:val="004129A7"/>
    <w:rsid w:val="004270CF"/>
    <w:rsid w:val="00476A5D"/>
    <w:rsid w:val="004B7A2C"/>
    <w:rsid w:val="0051274C"/>
    <w:rsid w:val="005227A9"/>
    <w:rsid w:val="005370C8"/>
    <w:rsid w:val="00553B02"/>
    <w:rsid w:val="005E12E4"/>
    <w:rsid w:val="00622351"/>
    <w:rsid w:val="006245CB"/>
    <w:rsid w:val="00667BA1"/>
    <w:rsid w:val="00667D63"/>
    <w:rsid w:val="006A0705"/>
    <w:rsid w:val="006B2E3F"/>
    <w:rsid w:val="006F4226"/>
    <w:rsid w:val="00721933"/>
    <w:rsid w:val="00760E76"/>
    <w:rsid w:val="007B1A01"/>
    <w:rsid w:val="007E259E"/>
    <w:rsid w:val="00822EC2"/>
    <w:rsid w:val="008468F9"/>
    <w:rsid w:val="00884E86"/>
    <w:rsid w:val="008B072B"/>
    <w:rsid w:val="008B6E77"/>
    <w:rsid w:val="008F6E1A"/>
    <w:rsid w:val="009320CC"/>
    <w:rsid w:val="00941A84"/>
    <w:rsid w:val="009534F7"/>
    <w:rsid w:val="00985E6E"/>
    <w:rsid w:val="00993EDD"/>
    <w:rsid w:val="00A92C66"/>
    <w:rsid w:val="00AA4D06"/>
    <w:rsid w:val="00AD087A"/>
    <w:rsid w:val="00AF5E68"/>
    <w:rsid w:val="00B53740"/>
    <w:rsid w:val="00C001B6"/>
    <w:rsid w:val="00C0625E"/>
    <w:rsid w:val="00C06C68"/>
    <w:rsid w:val="00C16092"/>
    <w:rsid w:val="00C72AB7"/>
    <w:rsid w:val="00C73A9F"/>
    <w:rsid w:val="00C76026"/>
    <w:rsid w:val="00C810B2"/>
    <w:rsid w:val="00C90524"/>
    <w:rsid w:val="00D27EFA"/>
    <w:rsid w:val="00D50386"/>
    <w:rsid w:val="00D96BD5"/>
    <w:rsid w:val="00DB7305"/>
    <w:rsid w:val="00E24EE2"/>
    <w:rsid w:val="00E50D7C"/>
    <w:rsid w:val="00E74A30"/>
    <w:rsid w:val="00E90F4D"/>
    <w:rsid w:val="00EC78C6"/>
    <w:rsid w:val="00EE55CD"/>
    <w:rsid w:val="00EE5D1B"/>
    <w:rsid w:val="00F6572B"/>
    <w:rsid w:val="00F6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68C719-11AC-4636-BE1E-7D10A01B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6C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E3F"/>
    <w:pPr>
      <w:ind w:left="720"/>
      <w:contextualSpacing/>
    </w:pPr>
  </w:style>
  <w:style w:type="table" w:styleId="TableGrid">
    <w:name w:val="Table Grid"/>
    <w:basedOn w:val="TableNormal"/>
    <w:uiPriority w:val="59"/>
    <w:rsid w:val="0055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C2"/>
    <w:rPr>
      <w:rFonts w:ascii="Tahoma" w:hAnsi="Tahoma" w:cs="Tahoma"/>
      <w:sz w:val="16"/>
      <w:szCs w:val="16"/>
    </w:rPr>
  </w:style>
  <w:style w:type="table" w:styleId="MediumList1-Accent1">
    <w:name w:val="Medium List 1 Accent 1"/>
    <w:basedOn w:val="TableNormal"/>
    <w:uiPriority w:val="65"/>
    <w:rsid w:val="00C810B2"/>
    <w:pPr>
      <w:spacing w:after="0" w:line="240" w:lineRule="auto"/>
    </w:pPr>
    <w:rPr>
      <w:rFonts w:ascii="Arial" w:hAnsi="Arial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8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0B2"/>
  </w:style>
  <w:style w:type="paragraph" w:styleId="Footer">
    <w:name w:val="footer"/>
    <w:basedOn w:val="Normal"/>
    <w:link w:val="FooterChar"/>
    <w:uiPriority w:val="99"/>
    <w:unhideWhenUsed/>
    <w:rsid w:val="00C8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0B2"/>
  </w:style>
  <w:style w:type="character" w:styleId="CommentReference">
    <w:name w:val="annotation reference"/>
    <w:basedOn w:val="DefaultParagraphFont"/>
    <w:uiPriority w:val="99"/>
    <w:semiHidden/>
    <w:unhideWhenUsed/>
    <w:rsid w:val="00412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9A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E6C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6C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2018-07-16T07:00:00+00:00</Remediation_x0020_Date>
    <Priority xmlns="033ab11c-6041-4f50-b845-c0c38e41b3e3">Tier 1</Priority>
    <Estimated_x0020_Creation_x0020_Date xmlns="033ab11c-6041-4f50-b845-c0c38e41b3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A5C1C-CD11-456E-BCB5-C81281E2F216}"/>
</file>

<file path=customXml/itemProps2.xml><?xml version="1.0" encoding="utf-8"?>
<ds:datastoreItem xmlns:ds="http://schemas.openxmlformats.org/officeDocument/2006/customXml" ds:itemID="{314EB9DA-C3C6-4C07-AF03-A5EBAAF3ED84}"/>
</file>

<file path=customXml/itemProps3.xml><?xml version="1.0" encoding="utf-8"?>
<ds:datastoreItem xmlns:ds="http://schemas.openxmlformats.org/officeDocument/2006/customXml" ds:itemID="{222047E9-2BCE-48B1-88CA-283C8ACF5891}"/>
</file>

<file path=customXml/itemProps4.xml><?xml version="1.0" encoding="utf-8"?>
<ds:datastoreItem xmlns:ds="http://schemas.openxmlformats.org/officeDocument/2006/customXml" ds:itemID="{80D4F370-17A4-4FA7-A3B5-E92B12683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Recommendations for District &amp; School Improvement &amp; Accountability</dc:title>
  <dc:creator>POPE Sarah</dc:creator>
  <cp:lastModifiedBy>DUMAS Sheli - ODE</cp:lastModifiedBy>
  <cp:revision>2</cp:revision>
  <cp:lastPrinted>2014-07-17T19:58:00Z</cp:lastPrinted>
  <dcterms:created xsi:type="dcterms:W3CDTF">2018-03-16T18:11:00Z</dcterms:created>
  <dcterms:modified xsi:type="dcterms:W3CDTF">2018-03-16T18:11:00Z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