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8D69A" w14:textId="1D7736B2" w:rsidR="00D94816" w:rsidRPr="00BE09A4" w:rsidRDefault="00D94816" w:rsidP="00BE09A4">
      <w:pPr>
        <w:pStyle w:val="Title"/>
      </w:pPr>
      <w:r w:rsidRPr="00BE09A4">
        <w:t xml:space="preserve">ESSA Quick Reference Brief: Supplement Not Supplant </w:t>
      </w:r>
    </w:p>
    <w:p w14:paraId="3A55F3F4" w14:textId="7CBF97A0" w:rsidR="00D6394C" w:rsidRPr="00E11AB1" w:rsidRDefault="00EB50C1" w:rsidP="000D6110">
      <w:pPr>
        <w:pStyle w:val="Heading1"/>
        <w:ind w:right="255"/>
        <w:rPr>
          <w:color w:val="E36C0A" w:themeColor="accent6" w:themeShade="BF"/>
          <w:sz w:val="28"/>
        </w:rPr>
      </w:pPr>
      <w:r w:rsidRPr="00E11AB1">
        <w:t>What the Law Says</w:t>
      </w:r>
    </w:p>
    <w:p w14:paraId="74123BB4" w14:textId="330BF544" w:rsidR="00C73A3D" w:rsidRDefault="00AB181C" w:rsidP="004A617F">
      <w:r>
        <w:t xml:space="preserve">Most </w:t>
      </w:r>
      <w:proofErr w:type="gramStart"/>
      <w:r>
        <w:t>E</w:t>
      </w:r>
      <w:r w:rsidR="00C73A3D">
        <w:t>very</w:t>
      </w:r>
      <w:proofErr w:type="gramEnd"/>
      <w:r w:rsidR="00C73A3D">
        <w:t xml:space="preserve"> </w:t>
      </w:r>
      <w:r>
        <w:t>S</w:t>
      </w:r>
      <w:r w:rsidR="00C73A3D">
        <w:t xml:space="preserve">tudent </w:t>
      </w:r>
      <w:r>
        <w:t>S</w:t>
      </w:r>
      <w:r w:rsidR="00C73A3D">
        <w:t xml:space="preserve">ucceeds </w:t>
      </w:r>
      <w:r>
        <w:t>A</w:t>
      </w:r>
      <w:r w:rsidR="00C73A3D">
        <w:t>ct (ESSA)</w:t>
      </w:r>
      <w:r>
        <w:t xml:space="preserve"> programs require districts to </w:t>
      </w:r>
      <w:r w:rsidR="00414B36" w:rsidRPr="00FD17A3">
        <w:t>supplement, and not supplant</w:t>
      </w:r>
      <w:r w:rsidR="00015802">
        <w:t>,</w:t>
      </w:r>
      <w:r>
        <w:t xml:space="preserve"> the state</w:t>
      </w:r>
      <w:r w:rsidR="00C84E8E">
        <w:t xml:space="preserve"> and</w:t>
      </w:r>
      <w:r>
        <w:t xml:space="preserve"> local</w:t>
      </w:r>
      <w:r w:rsidR="00C84E8E">
        <w:t xml:space="preserve"> </w:t>
      </w:r>
      <w:r w:rsidR="00501CA4">
        <w:t xml:space="preserve">funds </w:t>
      </w:r>
      <w:r>
        <w:t>they would otherwise spend on education.</w:t>
      </w:r>
      <w:r w:rsidR="00015802">
        <w:t xml:space="preserve"> Generally, this means,</w:t>
      </w:r>
      <w:r w:rsidR="00015802">
        <w:rPr>
          <w:iCs/>
        </w:rPr>
        <w:t xml:space="preserve"> ESSA funds should add to (supplement) and not replace (supplant) state and local funds.</w:t>
      </w:r>
      <w:r w:rsidR="00C84E8E">
        <w:rPr>
          <w:iCs/>
        </w:rPr>
        <w:t xml:space="preserve"> A few programs also require districts to use </w:t>
      </w:r>
      <w:r w:rsidR="00B72EE9">
        <w:rPr>
          <w:iCs/>
        </w:rPr>
        <w:t xml:space="preserve">federal </w:t>
      </w:r>
      <w:r w:rsidR="00C84E8E">
        <w:rPr>
          <w:iCs/>
        </w:rPr>
        <w:t xml:space="preserve">program funds to add to and not replace other federal funds. </w:t>
      </w:r>
      <w:r w:rsidR="00720DEF">
        <w:rPr>
          <w:iCs/>
        </w:rPr>
        <w:t>The tests for c</w:t>
      </w:r>
      <w:r w:rsidR="00C84E8E">
        <w:rPr>
          <w:iCs/>
        </w:rPr>
        <w:t xml:space="preserve">ompliance with supplement </w:t>
      </w:r>
      <w:proofErr w:type="gramStart"/>
      <w:r w:rsidR="00C84E8E">
        <w:rPr>
          <w:iCs/>
        </w:rPr>
        <w:t>not supplant</w:t>
      </w:r>
      <w:proofErr w:type="gramEnd"/>
      <w:r w:rsidR="00C84E8E">
        <w:rPr>
          <w:iCs/>
        </w:rPr>
        <w:t xml:space="preserve"> requirements </w:t>
      </w:r>
      <w:r w:rsidR="00720DEF">
        <w:rPr>
          <w:iCs/>
        </w:rPr>
        <w:t>vary</w:t>
      </w:r>
      <w:r w:rsidR="00C84E8E">
        <w:rPr>
          <w:iCs/>
        </w:rPr>
        <w:t xml:space="preserve"> </w:t>
      </w:r>
      <w:r w:rsidR="005B638A">
        <w:rPr>
          <w:iCs/>
        </w:rPr>
        <w:t>depending on the federal program being implemented</w:t>
      </w:r>
      <w:r w:rsidR="00414B36" w:rsidRPr="00414B36">
        <w:t xml:space="preserve">. </w:t>
      </w:r>
    </w:p>
    <w:p w14:paraId="6E8CFB86" w14:textId="770FD890" w:rsidR="00CB78F6" w:rsidRDefault="008A69D5" w:rsidP="00CB78F6">
      <w:pPr>
        <w:pStyle w:val="NormalWeb"/>
        <w:spacing w:before="240" w:beforeAutospacing="0" w:after="120" w:afterAutospacing="0" w:line="276" w:lineRule="auto"/>
        <w:ind w:right="255"/>
        <w:rPr>
          <w:rFonts w:asciiTheme="minorHAnsi" w:hAnsiTheme="minorHAnsi" w:cstheme="minorHAnsi"/>
          <w:color w:val="000000"/>
          <w:sz w:val="4"/>
          <w:szCs w:val="4"/>
        </w:rPr>
      </w:pPr>
      <w:r>
        <w:rPr>
          <w:rFonts w:asciiTheme="minorHAnsi" w:hAnsiTheme="minorHAnsi" w:cstheme="minorHAnsi"/>
          <w:color w:val="000000"/>
          <w:sz w:val="22"/>
          <w:szCs w:val="22"/>
        </w:rPr>
        <w:t>While this brief covers the provisions in ESSA, districts should also note that IDEA and Perkins also have their own supplement not supplant requirements.</w:t>
      </w:r>
      <w:r w:rsidR="00C73A3D">
        <w:rPr>
          <w:rFonts w:asciiTheme="minorHAnsi" w:hAnsiTheme="minorHAnsi" w:cstheme="minorHAnsi"/>
          <w:color w:val="000000"/>
          <w:sz w:val="22"/>
          <w:szCs w:val="22"/>
        </w:rPr>
        <w:t xml:space="preserve"> </w:t>
      </w:r>
      <w:r w:rsidR="00C73A3D">
        <w:rPr>
          <w:rFonts w:asciiTheme="minorHAnsi" w:hAnsiTheme="minorHAnsi" w:cstheme="minorHAnsi"/>
          <w:sz w:val="22"/>
          <w:szCs w:val="22"/>
        </w:rPr>
        <w:t>Because of the unique nature of each title program, districts are encouraged to reach out to the appropriate program specialist with specific SNS questions.</w:t>
      </w:r>
      <w:r w:rsidR="00C73A3D">
        <w:rPr>
          <w:rFonts w:asciiTheme="minorHAnsi" w:hAnsiTheme="minorHAnsi" w:cstheme="minorHAnsi"/>
          <w:color w:val="141412"/>
          <w:sz w:val="22"/>
          <w:szCs w:val="22"/>
        </w:rPr>
        <w:t xml:space="preserve"> </w:t>
      </w:r>
    </w:p>
    <w:p w14:paraId="34C3380C" w14:textId="5B19F7F1" w:rsidR="00BD5910" w:rsidRPr="00BD5910" w:rsidRDefault="00782184" w:rsidP="00000FDC">
      <w:pPr>
        <w:pStyle w:val="Heading2"/>
        <w:spacing w:after="240"/>
      </w:pPr>
      <w:r>
        <w:t>Federal Grant funds must not replace:</w:t>
      </w:r>
    </w:p>
    <w:tbl>
      <w:tblPr>
        <w:tblStyle w:val="GridTable4-Accent1"/>
        <w:tblW w:w="0" w:type="auto"/>
        <w:jc w:val="center"/>
        <w:tblLook w:val="04A0" w:firstRow="1" w:lastRow="0" w:firstColumn="1" w:lastColumn="0" w:noHBand="0" w:noVBand="1"/>
        <w:tblDescription w:val="Federal grant funds table"/>
      </w:tblPr>
      <w:tblGrid>
        <w:gridCol w:w="2030"/>
        <w:gridCol w:w="2030"/>
        <w:gridCol w:w="2030"/>
        <w:gridCol w:w="2030"/>
      </w:tblGrid>
      <w:tr w:rsidR="00CB78F6" w:rsidRPr="00C312DA" w14:paraId="51D3AC54" w14:textId="77777777" w:rsidTr="000B574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030" w:type="dxa"/>
            <w:shd w:val="clear" w:color="auto" w:fill="1F497D" w:themeFill="text2"/>
            <w:vAlign w:val="center"/>
          </w:tcPr>
          <w:p w14:paraId="23C1B346" w14:textId="2B32F3C0" w:rsidR="00CB78F6" w:rsidRPr="00C312DA" w:rsidRDefault="000F5E56" w:rsidP="00E10945">
            <w:pPr>
              <w:spacing w:after="120"/>
              <w:ind w:right="255"/>
              <w:jc w:val="center"/>
              <w:rPr>
                <w:iCs/>
                <w:sz w:val="24"/>
                <w:szCs w:val="24"/>
              </w:rPr>
            </w:pPr>
            <w:r w:rsidRPr="00C312DA">
              <w:rPr>
                <w:iCs/>
                <w:sz w:val="24"/>
                <w:szCs w:val="24"/>
              </w:rPr>
              <w:t>Grant Program</w:t>
            </w:r>
          </w:p>
        </w:tc>
        <w:tc>
          <w:tcPr>
            <w:tcW w:w="2030" w:type="dxa"/>
            <w:shd w:val="clear" w:color="auto" w:fill="1F497D" w:themeFill="text2"/>
            <w:vAlign w:val="center"/>
          </w:tcPr>
          <w:p w14:paraId="590752F4" w14:textId="77777777" w:rsidR="00CB78F6" w:rsidRPr="00C312DA" w:rsidRDefault="00CB78F6" w:rsidP="00E10945">
            <w:pPr>
              <w:spacing w:after="120"/>
              <w:ind w:right="255"/>
              <w:jc w:val="center"/>
              <w:cnfStyle w:val="100000000000" w:firstRow="1" w:lastRow="0" w:firstColumn="0" w:lastColumn="0" w:oddVBand="0" w:evenVBand="0" w:oddHBand="0" w:evenHBand="0" w:firstRowFirstColumn="0" w:firstRowLastColumn="0" w:lastRowFirstColumn="0" w:lastRowLastColumn="0"/>
              <w:rPr>
                <w:b w:val="0"/>
                <w:color w:val="F2F2F2" w:themeColor="background1" w:themeShade="F2"/>
                <w:sz w:val="24"/>
                <w:szCs w:val="24"/>
              </w:rPr>
            </w:pPr>
            <w:r w:rsidRPr="00C312DA">
              <w:rPr>
                <w:color w:val="F2F2F2" w:themeColor="background1" w:themeShade="F2"/>
                <w:sz w:val="24"/>
                <w:szCs w:val="24"/>
              </w:rPr>
              <w:t>Federal Funds</w:t>
            </w:r>
          </w:p>
        </w:tc>
        <w:tc>
          <w:tcPr>
            <w:tcW w:w="2030" w:type="dxa"/>
            <w:shd w:val="clear" w:color="auto" w:fill="1F497D" w:themeFill="text2"/>
            <w:vAlign w:val="center"/>
          </w:tcPr>
          <w:p w14:paraId="09064245" w14:textId="77777777" w:rsidR="00CB78F6" w:rsidRPr="00C312DA" w:rsidRDefault="00CB78F6" w:rsidP="00E10945">
            <w:pPr>
              <w:spacing w:after="120"/>
              <w:ind w:right="255"/>
              <w:jc w:val="center"/>
              <w:cnfStyle w:val="100000000000" w:firstRow="1" w:lastRow="0" w:firstColumn="0" w:lastColumn="0" w:oddVBand="0" w:evenVBand="0" w:oddHBand="0" w:evenHBand="0" w:firstRowFirstColumn="0" w:firstRowLastColumn="0" w:lastRowFirstColumn="0" w:lastRowLastColumn="0"/>
              <w:rPr>
                <w:b w:val="0"/>
                <w:color w:val="F2F2F2" w:themeColor="background1" w:themeShade="F2"/>
                <w:sz w:val="24"/>
                <w:szCs w:val="24"/>
              </w:rPr>
            </w:pPr>
            <w:r w:rsidRPr="00C312DA">
              <w:rPr>
                <w:color w:val="F2F2F2" w:themeColor="background1" w:themeShade="F2"/>
                <w:sz w:val="24"/>
                <w:szCs w:val="24"/>
              </w:rPr>
              <w:t>State Funds</w:t>
            </w:r>
          </w:p>
        </w:tc>
        <w:tc>
          <w:tcPr>
            <w:tcW w:w="2030" w:type="dxa"/>
            <w:shd w:val="clear" w:color="auto" w:fill="1F497D" w:themeFill="text2"/>
            <w:vAlign w:val="center"/>
          </w:tcPr>
          <w:p w14:paraId="50290C8F" w14:textId="77777777" w:rsidR="00CB78F6" w:rsidRPr="00C312DA" w:rsidRDefault="00CB78F6" w:rsidP="00E10945">
            <w:pPr>
              <w:spacing w:after="120"/>
              <w:ind w:right="255"/>
              <w:jc w:val="center"/>
              <w:cnfStyle w:val="100000000000" w:firstRow="1" w:lastRow="0" w:firstColumn="0" w:lastColumn="0" w:oddVBand="0" w:evenVBand="0" w:oddHBand="0" w:evenHBand="0" w:firstRowFirstColumn="0" w:firstRowLastColumn="0" w:lastRowFirstColumn="0" w:lastRowLastColumn="0"/>
              <w:rPr>
                <w:b w:val="0"/>
                <w:color w:val="F2F2F2" w:themeColor="background1" w:themeShade="F2"/>
                <w:sz w:val="24"/>
                <w:szCs w:val="24"/>
              </w:rPr>
            </w:pPr>
            <w:r w:rsidRPr="00C312DA">
              <w:rPr>
                <w:color w:val="F2F2F2" w:themeColor="background1" w:themeShade="F2"/>
                <w:sz w:val="24"/>
                <w:szCs w:val="24"/>
              </w:rPr>
              <w:t>Local Funds</w:t>
            </w:r>
          </w:p>
        </w:tc>
      </w:tr>
      <w:tr w:rsidR="00CB78F6" w:rsidRPr="00C312DA" w14:paraId="6568BA58" w14:textId="77777777" w:rsidTr="00145422">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030" w:type="dxa"/>
          </w:tcPr>
          <w:p w14:paraId="4086FF50" w14:textId="77777777" w:rsidR="00CB78F6" w:rsidRPr="00C312DA" w:rsidRDefault="00CB78F6" w:rsidP="007B25EE">
            <w:pPr>
              <w:spacing w:after="120"/>
              <w:ind w:right="255"/>
              <w:rPr>
                <w:sz w:val="24"/>
                <w:szCs w:val="24"/>
              </w:rPr>
            </w:pPr>
            <w:r w:rsidRPr="00C312DA">
              <w:rPr>
                <w:sz w:val="24"/>
                <w:szCs w:val="24"/>
              </w:rPr>
              <w:t>Title I, Part A</w:t>
            </w:r>
          </w:p>
        </w:tc>
        <w:tc>
          <w:tcPr>
            <w:tcW w:w="2030" w:type="dxa"/>
            <w:vAlign w:val="bottom"/>
          </w:tcPr>
          <w:p w14:paraId="15FD7004"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2030" w:type="dxa"/>
            <w:vAlign w:val="bottom"/>
          </w:tcPr>
          <w:p w14:paraId="36BEF5A9"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sz w:val="24"/>
                <w:szCs w:val="24"/>
              </w:rPr>
            </w:pPr>
            <w:r w:rsidRPr="00C312DA">
              <w:rPr>
                <w:rFonts w:ascii="Chiller" w:hAnsi="Chiller"/>
                <w:sz w:val="24"/>
                <w:szCs w:val="24"/>
              </w:rPr>
              <w:sym w:font="Wingdings" w:char="F0FC"/>
            </w:r>
          </w:p>
        </w:tc>
        <w:tc>
          <w:tcPr>
            <w:tcW w:w="2030" w:type="dxa"/>
            <w:vAlign w:val="bottom"/>
          </w:tcPr>
          <w:p w14:paraId="56E334AD"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sz w:val="24"/>
                <w:szCs w:val="24"/>
              </w:rPr>
            </w:pPr>
            <w:r w:rsidRPr="00C312DA">
              <w:rPr>
                <w:rFonts w:ascii="Chiller" w:hAnsi="Chiller"/>
                <w:sz w:val="24"/>
                <w:szCs w:val="24"/>
              </w:rPr>
              <w:sym w:font="Wingdings" w:char="F0FC"/>
            </w:r>
          </w:p>
        </w:tc>
      </w:tr>
      <w:tr w:rsidR="00CB78F6" w:rsidRPr="00C312DA" w14:paraId="4844AD2B" w14:textId="77777777" w:rsidTr="00145422">
        <w:trPr>
          <w:trHeight w:val="334"/>
          <w:jc w:val="center"/>
        </w:trPr>
        <w:tc>
          <w:tcPr>
            <w:cnfStyle w:val="001000000000" w:firstRow="0" w:lastRow="0" w:firstColumn="1" w:lastColumn="0" w:oddVBand="0" w:evenVBand="0" w:oddHBand="0" w:evenHBand="0" w:firstRowFirstColumn="0" w:firstRowLastColumn="0" w:lastRowFirstColumn="0" w:lastRowLastColumn="0"/>
            <w:tcW w:w="2030" w:type="dxa"/>
          </w:tcPr>
          <w:p w14:paraId="7DC1B894" w14:textId="77777777" w:rsidR="00CB78F6" w:rsidRPr="00C312DA" w:rsidRDefault="00CB78F6" w:rsidP="007B25EE">
            <w:pPr>
              <w:spacing w:after="120"/>
              <w:ind w:right="255"/>
              <w:rPr>
                <w:sz w:val="24"/>
                <w:szCs w:val="24"/>
              </w:rPr>
            </w:pPr>
            <w:r w:rsidRPr="00C312DA">
              <w:rPr>
                <w:sz w:val="24"/>
                <w:szCs w:val="24"/>
              </w:rPr>
              <w:t>Title I, Part C</w:t>
            </w:r>
          </w:p>
        </w:tc>
        <w:tc>
          <w:tcPr>
            <w:tcW w:w="2030" w:type="dxa"/>
            <w:vAlign w:val="bottom"/>
          </w:tcPr>
          <w:p w14:paraId="0BD2F437"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sz w:val="24"/>
                <w:szCs w:val="24"/>
              </w:rPr>
            </w:pPr>
            <w:r w:rsidRPr="00C312DA">
              <w:rPr>
                <w:rFonts w:ascii="Chiller" w:hAnsi="Chiller"/>
                <w:sz w:val="24"/>
                <w:szCs w:val="24"/>
              </w:rPr>
              <w:sym w:font="Wingdings" w:char="F0FC"/>
            </w:r>
            <w:r w:rsidRPr="00C312DA">
              <w:rPr>
                <w:rFonts w:ascii="Chiller" w:hAnsi="Chiller"/>
                <w:sz w:val="24"/>
                <w:szCs w:val="24"/>
              </w:rPr>
              <w:t>*</w:t>
            </w:r>
          </w:p>
        </w:tc>
        <w:tc>
          <w:tcPr>
            <w:tcW w:w="2030" w:type="dxa"/>
            <w:vAlign w:val="bottom"/>
          </w:tcPr>
          <w:p w14:paraId="36EF8B91"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rFonts w:ascii="Chiller" w:hAnsi="Chiller"/>
                <w:sz w:val="24"/>
                <w:szCs w:val="24"/>
              </w:rPr>
            </w:pPr>
            <w:r w:rsidRPr="00C312DA">
              <w:rPr>
                <w:rFonts w:ascii="Chiller" w:hAnsi="Chiller"/>
                <w:sz w:val="24"/>
                <w:szCs w:val="24"/>
              </w:rPr>
              <w:sym w:font="Wingdings" w:char="F0FC"/>
            </w:r>
          </w:p>
        </w:tc>
        <w:tc>
          <w:tcPr>
            <w:tcW w:w="2030" w:type="dxa"/>
            <w:vAlign w:val="bottom"/>
          </w:tcPr>
          <w:p w14:paraId="1ECA0C40"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rFonts w:ascii="Chiller" w:hAnsi="Chiller"/>
                <w:sz w:val="24"/>
                <w:szCs w:val="24"/>
              </w:rPr>
            </w:pPr>
            <w:r w:rsidRPr="00C312DA">
              <w:rPr>
                <w:rFonts w:ascii="Chiller" w:hAnsi="Chiller"/>
                <w:sz w:val="24"/>
                <w:szCs w:val="24"/>
              </w:rPr>
              <w:sym w:font="Wingdings" w:char="F0FC"/>
            </w:r>
          </w:p>
        </w:tc>
      </w:tr>
      <w:tr w:rsidR="00CB78F6" w:rsidRPr="00C312DA" w14:paraId="0E216128" w14:textId="77777777" w:rsidTr="00145422">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030" w:type="dxa"/>
          </w:tcPr>
          <w:p w14:paraId="0DB43420" w14:textId="77777777" w:rsidR="00CB78F6" w:rsidRPr="00C312DA" w:rsidRDefault="00CB78F6" w:rsidP="007B25EE">
            <w:pPr>
              <w:spacing w:after="120"/>
              <w:ind w:right="255"/>
              <w:rPr>
                <w:sz w:val="24"/>
                <w:szCs w:val="24"/>
              </w:rPr>
            </w:pPr>
            <w:r w:rsidRPr="00C312DA">
              <w:rPr>
                <w:sz w:val="24"/>
                <w:szCs w:val="24"/>
              </w:rPr>
              <w:t>Title II, Part A</w:t>
            </w:r>
          </w:p>
        </w:tc>
        <w:tc>
          <w:tcPr>
            <w:tcW w:w="2030" w:type="dxa"/>
            <w:vAlign w:val="bottom"/>
          </w:tcPr>
          <w:p w14:paraId="55405982"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2030" w:type="dxa"/>
            <w:vAlign w:val="bottom"/>
          </w:tcPr>
          <w:p w14:paraId="20B6BEAC"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rFonts w:ascii="Chiller" w:hAnsi="Chiller"/>
                <w:sz w:val="24"/>
                <w:szCs w:val="24"/>
              </w:rPr>
            </w:pPr>
            <w:r w:rsidRPr="00C312DA">
              <w:rPr>
                <w:rFonts w:ascii="Chiller" w:hAnsi="Chiller"/>
                <w:sz w:val="24"/>
                <w:szCs w:val="24"/>
              </w:rPr>
              <w:sym w:font="Wingdings" w:char="F0FC"/>
            </w:r>
          </w:p>
        </w:tc>
        <w:tc>
          <w:tcPr>
            <w:tcW w:w="2030" w:type="dxa"/>
            <w:vAlign w:val="bottom"/>
          </w:tcPr>
          <w:p w14:paraId="1DBD9C49"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rFonts w:ascii="Chiller" w:hAnsi="Chiller"/>
                <w:sz w:val="24"/>
                <w:szCs w:val="24"/>
              </w:rPr>
            </w:pPr>
            <w:r w:rsidRPr="00C312DA">
              <w:rPr>
                <w:rFonts w:ascii="Chiller" w:hAnsi="Chiller"/>
                <w:sz w:val="24"/>
                <w:szCs w:val="24"/>
              </w:rPr>
              <w:sym w:font="Wingdings" w:char="F0FC"/>
            </w:r>
          </w:p>
        </w:tc>
      </w:tr>
      <w:tr w:rsidR="00CB78F6" w:rsidRPr="00C312DA" w14:paraId="4ABE21A7" w14:textId="77777777" w:rsidTr="00145422">
        <w:trPr>
          <w:trHeight w:val="334"/>
          <w:jc w:val="center"/>
        </w:trPr>
        <w:tc>
          <w:tcPr>
            <w:cnfStyle w:val="001000000000" w:firstRow="0" w:lastRow="0" w:firstColumn="1" w:lastColumn="0" w:oddVBand="0" w:evenVBand="0" w:oddHBand="0" w:evenHBand="0" w:firstRowFirstColumn="0" w:firstRowLastColumn="0" w:lastRowFirstColumn="0" w:lastRowLastColumn="0"/>
            <w:tcW w:w="2030" w:type="dxa"/>
          </w:tcPr>
          <w:p w14:paraId="3198FDB2" w14:textId="77777777" w:rsidR="00CB78F6" w:rsidRPr="00C312DA" w:rsidRDefault="00CB78F6" w:rsidP="007B25EE">
            <w:pPr>
              <w:spacing w:after="120"/>
              <w:ind w:right="255"/>
              <w:rPr>
                <w:sz w:val="24"/>
                <w:szCs w:val="24"/>
              </w:rPr>
            </w:pPr>
            <w:r w:rsidRPr="00C312DA">
              <w:rPr>
                <w:sz w:val="24"/>
                <w:szCs w:val="24"/>
              </w:rPr>
              <w:t>Title III, Part A</w:t>
            </w:r>
          </w:p>
        </w:tc>
        <w:tc>
          <w:tcPr>
            <w:tcW w:w="2030" w:type="dxa"/>
            <w:vAlign w:val="bottom"/>
          </w:tcPr>
          <w:p w14:paraId="5549580D"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sz w:val="24"/>
                <w:szCs w:val="24"/>
              </w:rPr>
            </w:pPr>
            <w:r w:rsidRPr="00C312DA">
              <w:rPr>
                <w:rFonts w:ascii="Chiller" w:hAnsi="Chiller"/>
                <w:sz w:val="24"/>
                <w:szCs w:val="24"/>
              </w:rPr>
              <w:sym w:font="Wingdings" w:char="F0FC"/>
            </w:r>
            <w:r w:rsidRPr="00C312DA">
              <w:rPr>
                <w:rFonts w:ascii="Chiller" w:hAnsi="Chiller"/>
                <w:sz w:val="24"/>
                <w:szCs w:val="24"/>
              </w:rPr>
              <w:t>*</w:t>
            </w:r>
          </w:p>
        </w:tc>
        <w:tc>
          <w:tcPr>
            <w:tcW w:w="2030" w:type="dxa"/>
            <w:vAlign w:val="bottom"/>
          </w:tcPr>
          <w:p w14:paraId="79C3C203"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sz w:val="24"/>
                <w:szCs w:val="24"/>
              </w:rPr>
            </w:pPr>
            <w:r w:rsidRPr="00C312DA">
              <w:rPr>
                <w:rFonts w:ascii="Chiller" w:hAnsi="Chiller"/>
                <w:sz w:val="24"/>
                <w:szCs w:val="24"/>
              </w:rPr>
              <w:sym w:font="Wingdings" w:char="F0FC"/>
            </w:r>
          </w:p>
        </w:tc>
        <w:tc>
          <w:tcPr>
            <w:tcW w:w="2030" w:type="dxa"/>
            <w:vAlign w:val="bottom"/>
          </w:tcPr>
          <w:p w14:paraId="65F6DE61"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sz w:val="24"/>
                <w:szCs w:val="24"/>
              </w:rPr>
            </w:pPr>
            <w:r w:rsidRPr="00C312DA">
              <w:rPr>
                <w:rFonts w:ascii="Chiller" w:hAnsi="Chiller"/>
                <w:sz w:val="24"/>
                <w:szCs w:val="24"/>
              </w:rPr>
              <w:sym w:font="Wingdings" w:char="F0FC"/>
            </w:r>
          </w:p>
        </w:tc>
      </w:tr>
      <w:tr w:rsidR="00CB78F6" w:rsidRPr="00C312DA" w14:paraId="0ED92FBA" w14:textId="77777777" w:rsidTr="00145422">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2030" w:type="dxa"/>
          </w:tcPr>
          <w:p w14:paraId="7B1DEB84" w14:textId="77777777" w:rsidR="00CB78F6" w:rsidRPr="00C312DA" w:rsidRDefault="00CB78F6" w:rsidP="007B25EE">
            <w:pPr>
              <w:spacing w:after="120"/>
              <w:ind w:right="255"/>
              <w:rPr>
                <w:sz w:val="24"/>
                <w:szCs w:val="24"/>
              </w:rPr>
            </w:pPr>
            <w:r w:rsidRPr="00C312DA">
              <w:rPr>
                <w:sz w:val="24"/>
                <w:szCs w:val="24"/>
              </w:rPr>
              <w:t>Title IV, Part A</w:t>
            </w:r>
          </w:p>
        </w:tc>
        <w:tc>
          <w:tcPr>
            <w:tcW w:w="2030" w:type="dxa"/>
            <w:vAlign w:val="bottom"/>
          </w:tcPr>
          <w:p w14:paraId="45E11DB7"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030" w:type="dxa"/>
            <w:vAlign w:val="bottom"/>
          </w:tcPr>
          <w:p w14:paraId="683DCB92"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sz w:val="24"/>
                <w:szCs w:val="24"/>
              </w:rPr>
            </w:pPr>
            <w:r w:rsidRPr="00C312DA">
              <w:rPr>
                <w:rFonts w:ascii="Chiller" w:hAnsi="Chiller"/>
                <w:sz w:val="24"/>
                <w:szCs w:val="24"/>
              </w:rPr>
              <w:sym w:font="Wingdings" w:char="F0FC"/>
            </w:r>
          </w:p>
        </w:tc>
        <w:tc>
          <w:tcPr>
            <w:tcW w:w="2030" w:type="dxa"/>
            <w:vAlign w:val="bottom"/>
          </w:tcPr>
          <w:p w14:paraId="25B794EE" w14:textId="77777777" w:rsidR="00CB78F6" w:rsidRPr="00C312DA" w:rsidRDefault="00CB78F6" w:rsidP="00145422">
            <w:pPr>
              <w:spacing w:after="120"/>
              <w:ind w:right="255"/>
              <w:jc w:val="center"/>
              <w:cnfStyle w:val="000000100000" w:firstRow="0" w:lastRow="0" w:firstColumn="0" w:lastColumn="0" w:oddVBand="0" w:evenVBand="0" w:oddHBand="1" w:evenHBand="0" w:firstRowFirstColumn="0" w:firstRowLastColumn="0" w:lastRowFirstColumn="0" w:lastRowLastColumn="0"/>
              <w:rPr>
                <w:sz w:val="24"/>
                <w:szCs w:val="24"/>
              </w:rPr>
            </w:pPr>
            <w:r w:rsidRPr="00C312DA">
              <w:rPr>
                <w:rFonts w:ascii="Chiller" w:hAnsi="Chiller"/>
                <w:sz w:val="24"/>
                <w:szCs w:val="24"/>
              </w:rPr>
              <w:sym w:font="Wingdings" w:char="F0FC"/>
            </w:r>
          </w:p>
        </w:tc>
      </w:tr>
      <w:tr w:rsidR="00CB78F6" w:rsidRPr="00C312DA" w14:paraId="1BECB6FB" w14:textId="77777777" w:rsidTr="00145422">
        <w:trPr>
          <w:trHeight w:val="334"/>
          <w:jc w:val="center"/>
        </w:trPr>
        <w:tc>
          <w:tcPr>
            <w:cnfStyle w:val="001000000000" w:firstRow="0" w:lastRow="0" w:firstColumn="1" w:lastColumn="0" w:oddVBand="0" w:evenVBand="0" w:oddHBand="0" w:evenHBand="0" w:firstRowFirstColumn="0" w:firstRowLastColumn="0" w:lastRowFirstColumn="0" w:lastRowLastColumn="0"/>
            <w:tcW w:w="2030" w:type="dxa"/>
          </w:tcPr>
          <w:p w14:paraId="3D08AE10" w14:textId="77777777" w:rsidR="00CB78F6" w:rsidRPr="00C312DA" w:rsidRDefault="00CB78F6" w:rsidP="007B25EE">
            <w:pPr>
              <w:spacing w:after="120"/>
              <w:ind w:right="255"/>
              <w:rPr>
                <w:sz w:val="24"/>
                <w:szCs w:val="24"/>
              </w:rPr>
            </w:pPr>
            <w:r w:rsidRPr="00C312DA">
              <w:rPr>
                <w:sz w:val="24"/>
                <w:szCs w:val="24"/>
              </w:rPr>
              <w:t>Title IV, Part B</w:t>
            </w:r>
          </w:p>
        </w:tc>
        <w:tc>
          <w:tcPr>
            <w:tcW w:w="2030" w:type="dxa"/>
            <w:vAlign w:val="bottom"/>
          </w:tcPr>
          <w:p w14:paraId="110A7E32"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sz w:val="24"/>
                <w:szCs w:val="24"/>
              </w:rPr>
            </w:pPr>
            <w:r w:rsidRPr="00C312DA">
              <w:rPr>
                <w:rFonts w:ascii="Chiller" w:hAnsi="Chiller"/>
                <w:sz w:val="24"/>
                <w:szCs w:val="24"/>
              </w:rPr>
              <w:sym w:font="Wingdings" w:char="F0FC"/>
            </w:r>
            <w:r w:rsidRPr="00C312DA">
              <w:rPr>
                <w:rFonts w:ascii="Chiller" w:hAnsi="Chiller"/>
                <w:sz w:val="24"/>
                <w:szCs w:val="24"/>
              </w:rPr>
              <w:t>*</w:t>
            </w:r>
          </w:p>
        </w:tc>
        <w:tc>
          <w:tcPr>
            <w:tcW w:w="2030" w:type="dxa"/>
            <w:vAlign w:val="bottom"/>
          </w:tcPr>
          <w:p w14:paraId="5A980A98"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sz w:val="24"/>
                <w:szCs w:val="24"/>
              </w:rPr>
            </w:pPr>
            <w:r w:rsidRPr="00C312DA">
              <w:rPr>
                <w:rFonts w:ascii="Chiller" w:hAnsi="Chiller"/>
                <w:sz w:val="24"/>
                <w:szCs w:val="24"/>
              </w:rPr>
              <w:sym w:font="Wingdings" w:char="F0FC"/>
            </w:r>
          </w:p>
        </w:tc>
        <w:tc>
          <w:tcPr>
            <w:tcW w:w="2030" w:type="dxa"/>
            <w:vAlign w:val="bottom"/>
          </w:tcPr>
          <w:p w14:paraId="15DB5F89" w14:textId="77777777" w:rsidR="00CB78F6" w:rsidRPr="00C312DA" w:rsidRDefault="00CB78F6" w:rsidP="00145422">
            <w:pPr>
              <w:spacing w:after="120"/>
              <w:ind w:right="255"/>
              <w:jc w:val="center"/>
              <w:cnfStyle w:val="000000000000" w:firstRow="0" w:lastRow="0" w:firstColumn="0" w:lastColumn="0" w:oddVBand="0" w:evenVBand="0" w:oddHBand="0" w:evenHBand="0" w:firstRowFirstColumn="0" w:firstRowLastColumn="0" w:lastRowFirstColumn="0" w:lastRowLastColumn="0"/>
              <w:rPr>
                <w:sz w:val="24"/>
                <w:szCs w:val="24"/>
              </w:rPr>
            </w:pPr>
            <w:r w:rsidRPr="00C312DA">
              <w:rPr>
                <w:rFonts w:ascii="Chiller" w:hAnsi="Chiller"/>
                <w:sz w:val="24"/>
                <w:szCs w:val="24"/>
              </w:rPr>
              <w:sym w:font="Wingdings" w:char="F0FC"/>
            </w:r>
          </w:p>
        </w:tc>
      </w:tr>
    </w:tbl>
    <w:p w14:paraId="5E4EA244" w14:textId="1068B80B" w:rsidR="000F3D8D" w:rsidRPr="000B5748" w:rsidRDefault="00CB78F6" w:rsidP="002D5A4B">
      <w:pPr>
        <w:pStyle w:val="NormalWeb"/>
        <w:spacing w:before="240" w:beforeAutospacing="0" w:after="240" w:afterAutospacing="0"/>
        <w:ind w:right="255"/>
        <w:rPr>
          <w:rFonts w:asciiTheme="minorHAnsi" w:hAnsiTheme="minorHAnsi" w:cstheme="minorHAnsi"/>
          <w:i/>
          <w:color w:val="000000"/>
          <w:sz w:val="20"/>
          <w:szCs w:val="20"/>
        </w:rPr>
      </w:pPr>
      <w:r w:rsidRPr="00BC43BC">
        <w:rPr>
          <w:rFonts w:asciiTheme="minorHAnsi" w:hAnsiTheme="minorHAnsi" w:cstheme="minorHAnsi"/>
          <w:b/>
          <w:bCs/>
          <w:i/>
          <w:color w:val="000000"/>
          <w:sz w:val="20"/>
          <w:szCs w:val="20"/>
        </w:rPr>
        <w:t>*</w:t>
      </w:r>
      <w:r w:rsidRPr="00BC43BC">
        <w:rPr>
          <w:rFonts w:asciiTheme="minorHAnsi" w:hAnsiTheme="minorHAnsi" w:cstheme="minorHAnsi"/>
          <w:i/>
          <w:color w:val="000000"/>
          <w:sz w:val="20"/>
          <w:szCs w:val="20"/>
        </w:rPr>
        <w:t xml:space="preserve">In addition to supplementing state and local funds, Title I-C, Title III and Title IV-B </w:t>
      </w:r>
      <w:r>
        <w:rPr>
          <w:rFonts w:asciiTheme="minorHAnsi" w:hAnsiTheme="minorHAnsi" w:cstheme="minorHAnsi"/>
          <w:i/>
          <w:color w:val="000000"/>
          <w:sz w:val="20"/>
          <w:szCs w:val="20"/>
        </w:rPr>
        <w:t>must</w:t>
      </w:r>
      <w:r w:rsidRPr="00BC43BC">
        <w:rPr>
          <w:rFonts w:asciiTheme="minorHAnsi" w:hAnsiTheme="minorHAnsi" w:cstheme="minorHAnsi"/>
          <w:i/>
          <w:color w:val="000000"/>
          <w:sz w:val="20"/>
          <w:szCs w:val="20"/>
        </w:rPr>
        <w:t xml:space="preserve"> supplement </w:t>
      </w:r>
      <w:r w:rsidRPr="00601CE5">
        <w:rPr>
          <w:rFonts w:asciiTheme="minorHAnsi" w:hAnsiTheme="minorHAnsi" w:cstheme="minorHAnsi"/>
          <w:b/>
          <w:i/>
          <w:color w:val="000000"/>
          <w:sz w:val="20"/>
          <w:szCs w:val="20"/>
        </w:rPr>
        <w:t xml:space="preserve">other </w:t>
      </w:r>
      <w:r w:rsidRPr="00601CE5">
        <w:rPr>
          <w:rFonts w:asciiTheme="minorHAnsi" w:hAnsiTheme="minorHAnsi" w:cstheme="minorHAnsi"/>
          <w:b/>
          <w:bCs/>
          <w:i/>
          <w:color w:val="000000"/>
          <w:sz w:val="20"/>
          <w:szCs w:val="20"/>
        </w:rPr>
        <w:t>federal</w:t>
      </w:r>
      <w:r w:rsidRPr="00601CE5">
        <w:rPr>
          <w:rFonts w:asciiTheme="minorHAnsi" w:hAnsiTheme="minorHAnsi" w:cstheme="minorHAnsi"/>
          <w:b/>
          <w:i/>
          <w:color w:val="000000"/>
          <w:sz w:val="20"/>
          <w:szCs w:val="20"/>
        </w:rPr>
        <w:t xml:space="preserve"> funds</w:t>
      </w:r>
      <w:r w:rsidRPr="00BC43BC">
        <w:rPr>
          <w:rFonts w:asciiTheme="minorHAnsi" w:hAnsiTheme="minorHAnsi" w:cstheme="minorHAnsi"/>
          <w:i/>
          <w:color w:val="000000"/>
          <w:sz w:val="20"/>
          <w:szCs w:val="20"/>
        </w:rPr>
        <w:t>.</w:t>
      </w:r>
    </w:p>
    <w:p w14:paraId="1A3F9229" w14:textId="33260B74" w:rsidR="00541FFA" w:rsidRDefault="003F21EC" w:rsidP="00FD17A3">
      <w:pPr>
        <w:pStyle w:val="Heading1"/>
        <w:ind w:right="255"/>
        <w:rPr>
          <w:rStyle w:val="Heading2Char"/>
          <w:i/>
          <w:iCs/>
          <w:sz w:val="28"/>
          <w:szCs w:val="28"/>
        </w:rPr>
      </w:pPr>
      <w:r w:rsidRPr="00E11AB1">
        <w:t xml:space="preserve">Requirements </w:t>
      </w:r>
    </w:p>
    <w:p w14:paraId="69F373A1" w14:textId="0F9C7312" w:rsidR="000D6110" w:rsidRPr="00827CAC" w:rsidRDefault="000D6110" w:rsidP="000D6110">
      <w:pPr>
        <w:pStyle w:val="Heading4"/>
        <w:rPr>
          <w:rStyle w:val="Heading2Char"/>
        </w:rPr>
      </w:pPr>
      <w:r w:rsidRPr="00827CAC">
        <w:rPr>
          <w:rStyle w:val="Heading2Char"/>
        </w:rPr>
        <w:t>Title I, Part A</w:t>
      </w:r>
      <w:r w:rsidR="00827CAC" w:rsidRPr="00827CAC">
        <w:rPr>
          <w:rStyle w:val="Heading2Char"/>
        </w:rPr>
        <w:t xml:space="preserve"> (Improving Basic Programs)</w:t>
      </w:r>
    </w:p>
    <w:p w14:paraId="57FA74EB" w14:textId="0EC867BC" w:rsidR="002D5180" w:rsidRDefault="00541FFA" w:rsidP="00541FFA">
      <w:pPr>
        <w:rPr>
          <w:bCs/>
        </w:rPr>
      </w:pPr>
      <w:r>
        <w:rPr>
          <w:bCs/>
        </w:rPr>
        <w:t>Before</w:t>
      </w:r>
      <w:r w:rsidRPr="0040318C">
        <w:rPr>
          <w:bCs/>
        </w:rPr>
        <w:t xml:space="preserve"> ESSA, </w:t>
      </w:r>
      <w:r>
        <w:rPr>
          <w:bCs/>
        </w:rPr>
        <w:t xml:space="preserve">a district was presumed to violate supplement </w:t>
      </w:r>
      <w:proofErr w:type="gramStart"/>
      <w:r>
        <w:rPr>
          <w:bCs/>
        </w:rPr>
        <w:t>not supplant</w:t>
      </w:r>
      <w:proofErr w:type="gramEnd"/>
      <w:r>
        <w:rPr>
          <w:bCs/>
        </w:rPr>
        <w:t xml:space="preserve"> rules if it spent Title I</w:t>
      </w:r>
      <w:r w:rsidR="00D416DC">
        <w:rPr>
          <w:bCs/>
        </w:rPr>
        <w:t>-</w:t>
      </w:r>
      <w:r>
        <w:rPr>
          <w:bCs/>
        </w:rPr>
        <w:t xml:space="preserve">A funds on (1) </w:t>
      </w:r>
      <w:r w:rsidR="00D416DC">
        <w:rPr>
          <w:bCs/>
        </w:rPr>
        <w:t>an activity the district is legally required to carry out</w:t>
      </w:r>
      <w:r>
        <w:rPr>
          <w:bCs/>
        </w:rPr>
        <w:t xml:space="preserve">, (2) </w:t>
      </w:r>
      <w:r w:rsidR="00D416DC">
        <w:rPr>
          <w:bCs/>
        </w:rPr>
        <w:t xml:space="preserve">an </w:t>
      </w:r>
      <w:r>
        <w:rPr>
          <w:bCs/>
        </w:rPr>
        <w:t>activit</w:t>
      </w:r>
      <w:r w:rsidR="00D416DC">
        <w:rPr>
          <w:bCs/>
        </w:rPr>
        <w:t xml:space="preserve">y </w:t>
      </w:r>
      <w:r>
        <w:rPr>
          <w:bCs/>
        </w:rPr>
        <w:t xml:space="preserve">the district </w:t>
      </w:r>
      <w:r w:rsidR="00D416DC">
        <w:rPr>
          <w:bCs/>
        </w:rPr>
        <w:t>funded with</w:t>
      </w:r>
      <w:r>
        <w:rPr>
          <w:bCs/>
        </w:rPr>
        <w:t xml:space="preserve"> state or local </w:t>
      </w:r>
      <w:r w:rsidR="00D416DC">
        <w:rPr>
          <w:bCs/>
        </w:rPr>
        <w:t>money</w:t>
      </w:r>
      <w:r>
        <w:rPr>
          <w:bCs/>
        </w:rPr>
        <w:t xml:space="preserve"> the prior year, or (3)</w:t>
      </w:r>
      <w:r w:rsidR="00D416DC">
        <w:rPr>
          <w:bCs/>
        </w:rPr>
        <w:t xml:space="preserve"> an activity the district</w:t>
      </w:r>
      <w:r>
        <w:rPr>
          <w:bCs/>
        </w:rPr>
        <w:t xml:space="preserve"> </w:t>
      </w:r>
      <w:r w:rsidR="00D416DC">
        <w:rPr>
          <w:bCs/>
        </w:rPr>
        <w:t xml:space="preserve">also </w:t>
      </w:r>
      <w:r>
        <w:rPr>
          <w:bCs/>
        </w:rPr>
        <w:t>provide</w:t>
      </w:r>
      <w:r w:rsidR="00D416DC">
        <w:rPr>
          <w:bCs/>
        </w:rPr>
        <w:t>s</w:t>
      </w:r>
      <w:r>
        <w:rPr>
          <w:bCs/>
        </w:rPr>
        <w:t xml:space="preserve"> to non-Title I students with state or local funds. </w:t>
      </w:r>
    </w:p>
    <w:p w14:paraId="2E5C05B6" w14:textId="55D646FB" w:rsidR="002D5A4B" w:rsidRDefault="00541FFA" w:rsidP="00827CAC">
      <w:r w:rsidRPr="0040318C">
        <w:rPr>
          <w:bCs/>
        </w:rPr>
        <w:t xml:space="preserve">Under ESSA, these three presumptions no longer apply. </w:t>
      </w:r>
      <w:r w:rsidRPr="002D5180">
        <w:rPr>
          <w:rFonts w:cstheme="minorHAnsi"/>
          <w:bCs/>
        </w:rPr>
        <w:t xml:space="preserve">Instead, districts must demonstrate that the </w:t>
      </w:r>
      <w:r w:rsidRPr="00CB78F6">
        <w:rPr>
          <w:rFonts w:cstheme="minorHAnsi"/>
          <w:b/>
          <w:bCs/>
        </w:rPr>
        <w:t xml:space="preserve">methodology </w:t>
      </w:r>
      <w:r w:rsidRPr="002D5180">
        <w:rPr>
          <w:rFonts w:cstheme="minorHAnsi"/>
          <w:bCs/>
        </w:rPr>
        <w:t xml:space="preserve">they use to allocate state and local funds to schools provides each Title I school with all of the state and </w:t>
      </w:r>
      <w:r w:rsidRPr="00C772F6">
        <w:rPr>
          <w:rFonts w:cstheme="minorHAnsi"/>
          <w:bCs/>
        </w:rPr>
        <w:t>local money it would receive if it did not participate in the Title I program.</w:t>
      </w:r>
      <w:r w:rsidRPr="00C772F6">
        <w:rPr>
          <w:rFonts w:cstheme="minorHAnsi"/>
          <w:bCs/>
          <w:vertAlign w:val="superscript"/>
        </w:rPr>
        <w:footnoteReference w:id="1"/>
      </w:r>
      <w:r w:rsidRPr="002D5180">
        <w:rPr>
          <w:rFonts w:cstheme="minorHAnsi"/>
          <w:b/>
          <w:bCs/>
          <w:color w:val="000000"/>
        </w:rPr>
        <w:t xml:space="preserve"> </w:t>
      </w:r>
      <w:r w:rsidR="003F21EC" w:rsidRPr="00C772F6">
        <w:rPr>
          <w:rFonts w:cstheme="minorHAnsi"/>
          <w:color w:val="000000"/>
        </w:rPr>
        <w:t>In other words</w:t>
      </w:r>
      <w:r w:rsidR="005B638A">
        <w:rPr>
          <w:rFonts w:cstheme="minorHAnsi"/>
          <w:color w:val="000000"/>
        </w:rPr>
        <w:t xml:space="preserve">, a district cannot choose to allocate </w:t>
      </w:r>
      <w:r w:rsidR="00A95514">
        <w:rPr>
          <w:rFonts w:cstheme="minorHAnsi"/>
          <w:color w:val="000000"/>
        </w:rPr>
        <w:t>funds to other schools because another school receives federal funding</w:t>
      </w:r>
      <w:r w:rsidR="00414B36" w:rsidRPr="00C772F6">
        <w:rPr>
          <w:rFonts w:cstheme="minorHAnsi"/>
          <w:color w:val="000000"/>
        </w:rPr>
        <w:t>.</w:t>
      </w:r>
      <w:r w:rsidR="005F5D35" w:rsidRPr="00C772F6">
        <w:rPr>
          <w:rStyle w:val="FootnoteReference"/>
          <w:rFonts w:cstheme="minorHAnsi"/>
          <w:color w:val="000000"/>
        </w:rPr>
        <w:footnoteReference w:id="2"/>
      </w:r>
      <w:r>
        <w:rPr>
          <w:rFonts w:cstheme="minorHAnsi"/>
          <w:color w:val="000000"/>
        </w:rPr>
        <w:t xml:space="preserve"> </w:t>
      </w:r>
      <w:r w:rsidR="003F21EC" w:rsidRPr="000D6110">
        <w:rPr>
          <w:rFonts w:cstheme="minorHAnsi"/>
          <w:color w:val="000000"/>
        </w:rPr>
        <w:t xml:space="preserve">There are a variety of possible methodologies that districts may </w:t>
      </w:r>
      <w:r w:rsidR="00DE058A">
        <w:rPr>
          <w:rFonts w:cstheme="minorHAnsi"/>
          <w:color w:val="000000"/>
        </w:rPr>
        <w:t>use</w:t>
      </w:r>
      <w:r w:rsidR="003F21EC" w:rsidRPr="000D6110">
        <w:rPr>
          <w:rFonts w:cstheme="minorHAnsi"/>
          <w:color w:val="000000"/>
        </w:rPr>
        <w:t xml:space="preserve"> when distributing state and local funds</w:t>
      </w:r>
      <w:r w:rsidR="00173EA5">
        <w:rPr>
          <w:rFonts w:cstheme="minorHAnsi"/>
          <w:color w:val="000000"/>
        </w:rPr>
        <w:t xml:space="preserve"> – federal law does not require a cert</w:t>
      </w:r>
      <w:r w:rsidR="00DE02DC">
        <w:rPr>
          <w:rFonts w:cstheme="minorHAnsi"/>
          <w:color w:val="000000"/>
        </w:rPr>
        <w:t>ain type of methodology</w:t>
      </w:r>
      <w:r w:rsidR="003F21EC" w:rsidRPr="000D6110">
        <w:rPr>
          <w:rFonts w:cstheme="minorHAnsi"/>
          <w:color w:val="000000"/>
        </w:rPr>
        <w:t xml:space="preserve">. More detailed </w:t>
      </w:r>
      <w:r w:rsidR="000A56B8">
        <w:rPr>
          <w:rFonts w:cstheme="minorHAnsi"/>
          <w:color w:val="000000"/>
        </w:rPr>
        <w:t xml:space="preserve">information, including </w:t>
      </w:r>
      <w:r w:rsidR="003F21EC" w:rsidRPr="000D6110">
        <w:rPr>
          <w:rFonts w:cstheme="minorHAnsi"/>
          <w:color w:val="000000"/>
        </w:rPr>
        <w:t>examples</w:t>
      </w:r>
      <w:r w:rsidR="000A56B8">
        <w:rPr>
          <w:rFonts w:cstheme="minorHAnsi"/>
          <w:color w:val="000000"/>
        </w:rPr>
        <w:t>,</w:t>
      </w:r>
      <w:r w:rsidR="003F21EC" w:rsidRPr="000D6110">
        <w:rPr>
          <w:rFonts w:cstheme="minorHAnsi"/>
          <w:color w:val="000000"/>
        </w:rPr>
        <w:t xml:space="preserve"> can be found in the U.S. Department of Education’s </w:t>
      </w:r>
      <w:hyperlink r:id="rId11" w:history="1">
        <w:r w:rsidR="003F21EC" w:rsidRPr="000D6110">
          <w:rPr>
            <w:rStyle w:val="Hyperlink"/>
            <w:rFonts w:cstheme="minorHAnsi"/>
            <w:color w:val="1155CC"/>
          </w:rPr>
          <w:t>Title IA Supplement Not Supplant Guidance</w:t>
        </w:r>
      </w:hyperlink>
      <w:r w:rsidR="003F21EC" w:rsidRPr="000D6110">
        <w:rPr>
          <w:rFonts w:cstheme="minorHAnsi"/>
          <w:color w:val="000000"/>
        </w:rPr>
        <w:t>.</w:t>
      </w:r>
    </w:p>
    <w:p w14:paraId="75B579F6" w14:textId="0CC65154" w:rsidR="000823BB" w:rsidRPr="00827CAC" w:rsidRDefault="000823BB" w:rsidP="00827CAC">
      <w:pPr>
        <w:pStyle w:val="Heading4"/>
        <w:rPr>
          <w:rStyle w:val="Heading2Char"/>
        </w:rPr>
      </w:pPr>
      <w:r w:rsidRPr="00827CAC">
        <w:rPr>
          <w:rStyle w:val="Heading2Char"/>
        </w:rPr>
        <w:lastRenderedPageBreak/>
        <w:t>Title I, Part C</w:t>
      </w:r>
      <w:r w:rsidR="00827CAC" w:rsidRPr="00827CAC">
        <w:rPr>
          <w:rStyle w:val="Heading2Char"/>
        </w:rPr>
        <w:t xml:space="preserve"> (</w:t>
      </w:r>
      <w:r w:rsidR="002048DD" w:rsidRPr="00827CAC">
        <w:rPr>
          <w:rStyle w:val="Heading2Char"/>
        </w:rPr>
        <w:t>M</w:t>
      </w:r>
      <w:r w:rsidR="0072558A" w:rsidRPr="00827CAC">
        <w:rPr>
          <w:rStyle w:val="Heading2Char"/>
        </w:rPr>
        <w:t>ig</w:t>
      </w:r>
      <w:r w:rsidR="002048DD" w:rsidRPr="00827CAC">
        <w:rPr>
          <w:rStyle w:val="Heading2Char"/>
        </w:rPr>
        <w:t>rant Education Program)</w:t>
      </w:r>
    </w:p>
    <w:p w14:paraId="0F3E0408" w14:textId="173EE2FB" w:rsidR="000823BB" w:rsidRPr="00E16AE9" w:rsidRDefault="001B6D4A" w:rsidP="00E16AE9">
      <w:pPr>
        <w:pStyle w:val="NormalWeb"/>
        <w:spacing w:before="0" w:beforeAutospacing="0" w:after="0" w:afterAutospacing="0" w:line="276" w:lineRule="auto"/>
        <w:rPr>
          <w:rFonts w:asciiTheme="minorHAnsi" w:hAnsiTheme="minorHAnsi" w:cstheme="minorHAnsi"/>
          <w:sz w:val="22"/>
          <w:szCs w:val="22"/>
        </w:rPr>
      </w:pPr>
      <w:r w:rsidRPr="00827CAC">
        <w:rPr>
          <w:rFonts w:asciiTheme="minorHAnsi" w:hAnsiTheme="minorHAnsi" w:cstheme="minorHAnsi"/>
          <w:sz w:val="22"/>
          <w:szCs w:val="22"/>
        </w:rPr>
        <w:t>ESSA requires districts and ESDs operating a migrant education program (MEP) to: (1) use MEP funds to "</w:t>
      </w:r>
      <w:proofErr w:type="gramStart"/>
      <w:r w:rsidRPr="00827CAC">
        <w:rPr>
          <w:rFonts w:asciiTheme="minorHAnsi" w:hAnsiTheme="minorHAnsi" w:cstheme="minorHAnsi"/>
          <w:sz w:val="22"/>
          <w:szCs w:val="22"/>
        </w:rPr>
        <w:t>supplement</w:t>
      </w:r>
      <w:proofErr w:type="gramEnd"/>
      <w:r w:rsidRPr="00827CAC">
        <w:rPr>
          <w:rFonts w:asciiTheme="minorHAnsi" w:hAnsiTheme="minorHAnsi" w:cstheme="minorHAnsi"/>
          <w:sz w:val="22"/>
          <w:szCs w:val="22"/>
        </w:rPr>
        <w:t>, not supplant</w:t>
      </w:r>
      <w:r w:rsidRPr="00827CAC">
        <w:rPr>
          <w:rFonts w:asciiTheme="minorHAnsi" w:hAnsiTheme="minorHAnsi" w:cstheme="minorHAnsi"/>
          <w:sz w:val="22"/>
          <w:szCs w:val="22"/>
        </w:rPr>
        <w:fldChar w:fldCharType="begin"/>
      </w:r>
      <w:r w:rsidRPr="00827CAC">
        <w:rPr>
          <w:rFonts w:asciiTheme="minorHAnsi" w:hAnsiTheme="minorHAnsi" w:cstheme="minorHAnsi"/>
          <w:sz w:val="22"/>
          <w:szCs w:val="22"/>
        </w:rPr>
        <w:instrText xml:space="preserve"> XE "Supplement, Not Supplant" </w:instrText>
      </w:r>
      <w:r w:rsidRPr="00827CAC">
        <w:rPr>
          <w:rFonts w:asciiTheme="minorHAnsi" w:hAnsiTheme="minorHAnsi" w:cstheme="minorHAnsi"/>
          <w:sz w:val="22"/>
          <w:szCs w:val="22"/>
        </w:rPr>
        <w:fldChar w:fldCharType="end"/>
      </w:r>
      <w:r w:rsidRPr="00827CAC">
        <w:rPr>
          <w:rFonts w:asciiTheme="minorHAnsi" w:hAnsiTheme="minorHAnsi" w:cstheme="minorHAnsi"/>
          <w:sz w:val="22"/>
          <w:szCs w:val="22"/>
        </w:rPr>
        <w:t xml:space="preserve">" non-Federal funds; and (2) provide services to migratory children with State and local funds that are at least comparable to services provided non-migratory children. </w:t>
      </w:r>
      <w:r w:rsidR="000823BB" w:rsidRPr="00E16AE9">
        <w:rPr>
          <w:rFonts w:asciiTheme="minorHAnsi" w:hAnsiTheme="minorHAnsi" w:cstheme="minorHAnsi"/>
          <w:sz w:val="22"/>
          <w:szCs w:val="22"/>
        </w:rPr>
        <w:t>Supplanting is presumed if a district uses Title I, Part C funds</w:t>
      </w:r>
      <w:r w:rsidR="00020018" w:rsidRPr="00E16AE9">
        <w:rPr>
          <w:rFonts w:asciiTheme="minorHAnsi" w:hAnsiTheme="minorHAnsi" w:cstheme="minorHAnsi"/>
          <w:sz w:val="22"/>
          <w:szCs w:val="22"/>
        </w:rPr>
        <w:t xml:space="preserve"> for an activity</w:t>
      </w:r>
      <w:r w:rsidR="003E5432" w:rsidRPr="00E16AE9">
        <w:rPr>
          <w:rFonts w:asciiTheme="minorHAnsi" w:hAnsiTheme="minorHAnsi" w:cstheme="minorHAnsi"/>
          <w:sz w:val="22"/>
          <w:szCs w:val="22"/>
        </w:rPr>
        <w:t xml:space="preserve">, or services, </w:t>
      </w:r>
      <w:r w:rsidRPr="00E16AE9">
        <w:rPr>
          <w:rFonts w:asciiTheme="minorHAnsi" w:hAnsiTheme="minorHAnsi" w:cstheme="minorHAnsi"/>
          <w:sz w:val="22"/>
          <w:szCs w:val="22"/>
        </w:rPr>
        <w:t>which:</w:t>
      </w:r>
    </w:p>
    <w:p w14:paraId="72AB1D64" w14:textId="629667CF" w:rsidR="00020018" w:rsidRPr="003E5432" w:rsidRDefault="001B6D4A" w:rsidP="00501CA4">
      <w:pPr>
        <w:pStyle w:val="NormalWeb"/>
        <w:numPr>
          <w:ilvl w:val="0"/>
          <w:numId w:val="36"/>
        </w:numPr>
        <w:spacing w:before="120" w:beforeAutospacing="0" w:after="120" w:afterAutospacing="0" w:line="276" w:lineRule="auto"/>
        <w:rPr>
          <w:rFonts w:asciiTheme="minorHAnsi" w:hAnsiTheme="minorHAnsi" w:cstheme="minorHAnsi"/>
          <w:color w:val="000000"/>
          <w:sz w:val="22"/>
          <w:szCs w:val="22"/>
        </w:rPr>
      </w:pPr>
      <w:r w:rsidRPr="003E5432">
        <w:rPr>
          <w:rFonts w:asciiTheme="minorHAnsi" w:hAnsiTheme="minorHAnsi" w:cstheme="minorHAnsi"/>
          <w:color w:val="000000"/>
          <w:sz w:val="22"/>
          <w:szCs w:val="22"/>
        </w:rPr>
        <w:t>The district or ESD i</w:t>
      </w:r>
      <w:r w:rsidR="00020018" w:rsidRPr="003E5432">
        <w:rPr>
          <w:rFonts w:asciiTheme="minorHAnsi" w:hAnsiTheme="minorHAnsi" w:cstheme="minorHAnsi"/>
          <w:color w:val="000000"/>
          <w:sz w:val="22"/>
          <w:szCs w:val="22"/>
        </w:rPr>
        <w:t>s legally required to carry out</w:t>
      </w:r>
      <w:r w:rsidR="003E5432" w:rsidRPr="003E5432">
        <w:rPr>
          <w:rFonts w:asciiTheme="minorHAnsi" w:hAnsiTheme="minorHAnsi" w:cstheme="minorHAnsi"/>
          <w:color w:val="000000"/>
          <w:sz w:val="22"/>
          <w:szCs w:val="22"/>
        </w:rPr>
        <w:t xml:space="preserve"> by state law</w:t>
      </w:r>
      <w:r w:rsidR="00020018" w:rsidRPr="003E5432">
        <w:rPr>
          <w:rFonts w:asciiTheme="minorHAnsi" w:hAnsiTheme="minorHAnsi" w:cstheme="minorHAnsi"/>
          <w:color w:val="000000"/>
          <w:sz w:val="22"/>
          <w:szCs w:val="22"/>
        </w:rPr>
        <w:t>,</w:t>
      </w:r>
    </w:p>
    <w:p w14:paraId="0198B5C0" w14:textId="15B65601" w:rsidR="003E5432" w:rsidRPr="003E5432" w:rsidRDefault="003E5432" w:rsidP="00501CA4">
      <w:pPr>
        <w:pStyle w:val="NormalWeb"/>
        <w:numPr>
          <w:ilvl w:val="0"/>
          <w:numId w:val="36"/>
        </w:numPr>
        <w:spacing w:before="120" w:beforeAutospacing="0" w:after="120" w:afterAutospacing="0" w:line="276" w:lineRule="auto"/>
        <w:rPr>
          <w:rFonts w:asciiTheme="minorHAnsi" w:hAnsiTheme="minorHAnsi" w:cstheme="minorHAnsi"/>
          <w:color w:val="000000"/>
          <w:sz w:val="22"/>
          <w:szCs w:val="22"/>
        </w:rPr>
      </w:pPr>
      <w:r w:rsidRPr="003E5432">
        <w:rPr>
          <w:rFonts w:asciiTheme="minorHAnsi" w:hAnsiTheme="minorHAnsi" w:cstheme="minorHAnsi"/>
          <w:color w:val="000000"/>
          <w:sz w:val="22"/>
          <w:szCs w:val="22"/>
        </w:rPr>
        <w:t xml:space="preserve">Was funded with state or local money last year, </w:t>
      </w:r>
    </w:p>
    <w:p w14:paraId="71CF3F3C" w14:textId="2C683610" w:rsidR="00020018" w:rsidRPr="003E5432" w:rsidRDefault="00827CAC">
      <w:pPr>
        <w:pStyle w:val="NormalWeb"/>
        <w:numPr>
          <w:ilvl w:val="0"/>
          <w:numId w:val="36"/>
        </w:numPr>
        <w:spacing w:before="120" w:beforeAutospacing="0" w:after="120" w:afterAutospacing="0" w:line="276" w:lineRule="auto"/>
        <w:rPr>
          <w:rFonts w:asciiTheme="minorHAnsi" w:hAnsiTheme="minorHAnsi" w:cstheme="minorHAnsi"/>
          <w:color w:val="000000"/>
          <w:sz w:val="22"/>
          <w:szCs w:val="22"/>
        </w:rPr>
      </w:pPr>
      <w:r>
        <w:rPr>
          <w:rFonts w:asciiTheme="minorHAnsi" w:hAnsiTheme="minorHAnsi" w:cstheme="minorHAnsi"/>
          <w:sz w:val="22"/>
          <w:szCs w:val="22"/>
        </w:rPr>
        <w:t>A</w:t>
      </w:r>
      <w:r w:rsidR="003E5432" w:rsidRPr="00827CAC">
        <w:rPr>
          <w:rFonts w:asciiTheme="minorHAnsi" w:hAnsiTheme="minorHAnsi" w:cstheme="minorHAnsi"/>
          <w:sz w:val="22"/>
          <w:szCs w:val="22"/>
        </w:rPr>
        <w:t>re provided only to</w:t>
      </w:r>
      <w:r w:rsidR="005B4364" w:rsidRPr="003E5432">
        <w:rPr>
          <w:rFonts w:asciiTheme="minorHAnsi" w:hAnsiTheme="minorHAnsi" w:cstheme="minorHAnsi"/>
          <w:color w:val="000000"/>
          <w:sz w:val="22"/>
          <w:szCs w:val="22"/>
        </w:rPr>
        <w:t xml:space="preserve"> MEP participating children</w:t>
      </w:r>
      <w:r w:rsidR="00020018" w:rsidRPr="003E5432">
        <w:rPr>
          <w:rFonts w:asciiTheme="minorHAnsi" w:hAnsiTheme="minorHAnsi" w:cstheme="minorHAnsi"/>
          <w:color w:val="000000"/>
          <w:sz w:val="22"/>
          <w:szCs w:val="22"/>
        </w:rPr>
        <w:t xml:space="preserve"> </w:t>
      </w:r>
      <w:r w:rsidR="005B4364" w:rsidRPr="003E5432">
        <w:rPr>
          <w:rFonts w:asciiTheme="minorHAnsi" w:hAnsiTheme="minorHAnsi" w:cstheme="minorHAnsi"/>
          <w:color w:val="000000"/>
          <w:sz w:val="22"/>
          <w:szCs w:val="22"/>
        </w:rPr>
        <w:t xml:space="preserve">and </w:t>
      </w:r>
      <w:r w:rsidR="003E5432" w:rsidRPr="003E5432">
        <w:rPr>
          <w:rFonts w:asciiTheme="minorHAnsi" w:hAnsiTheme="minorHAnsi" w:cstheme="minorHAnsi"/>
          <w:color w:val="000000"/>
          <w:sz w:val="22"/>
          <w:szCs w:val="22"/>
        </w:rPr>
        <w:t>the same services are provided w</w:t>
      </w:r>
      <w:r w:rsidR="00A6563A" w:rsidRPr="003E5432">
        <w:rPr>
          <w:rFonts w:asciiTheme="minorHAnsi" w:hAnsiTheme="minorHAnsi" w:cstheme="minorHAnsi"/>
          <w:color w:val="000000"/>
          <w:sz w:val="22"/>
          <w:szCs w:val="22"/>
        </w:rPr>
        <w:t xml:space="preserve">ith state or local funds </w:t>
      </w:r>
      <w:r w:rsidR="00020018" w:rsidRPr="003E5432">
        <w:rPr>
          <w:rFonts w:asciiTheme="minorHAnsi" w:hAnsiTheme="minorHAnsi" w:cstheme="minorHAnsi"/>
          <w:color w:val="000000"/>
          <w:sz w:val="22"/>
          <w:szCs w:val="22"/>
        </w:rPr>
        <w:t>to non-participating</w:t>
      </w:r>
      <w:r w:rsidR="003E5432" w:rsidRPr="003E5432">
        <w:rPr>
          <w:rFonts w:asciiTheme="minorHAnsi" w:hAnsiTheme="minorHAnsi" w:cstheme="minorHAnsi"/>
          <w:color w:val="000000"/>
          <w:sz w:val="22"/>
          <w:szCs w:val="22"/>
        </w:rPr>
        <w:t xml:space="preserve"> MEP</w:t>
      </w:r>
      <w:r w:rsidR="00020018" w:rsidRPr="003E5432">
        <w:rPr>
          <w:rFonts w:asciiTheme="minorHAnsi" w:hAnsiTheme="minorHAnsi" w:cstheme="minorHAnsi"/>
          <w:color w:val="000000"/>
          <w:sz w:val="22"/>
          <w:szCs w:val="22"/>
        </w:rPr>
        <w:t xml:space="preserve"> </w:t>
      </w:r>
      <w:r w:rsidR="00E87837" w:rsidRPr="003E5432">
        <w:rPr>
          <w:rFonts w:asciiTheme="minorHAnsi" w:hAnsiTheme="minorHAnsi" w:cstheme="minorHAnsi"/>
          <w:color w:val="000000"/>
          <w:sz w:val="22"/>
          <w:szCs w:val="22"/>
        </w:rPr>
        <w:t>children</w:t>
      </w:r>
      <w:r w:rsidR="00020018" w:rsidRPr="003E5432">
        <w:rPr>
          <w:rFonts w:asciiTheme="minorHAnsi" w:hAnsiTheme="minorHAnsi" w:cstheme="minorHAnsi"/>
          <w:color w:val="000000"/>
          <w:sz w:val="22"/>
          <w:szCs w:val="22"/>
        </w:rPr>
        <w:t>.</w:t>
      </w:r>
    </w:p>
    <w:p w14:paraId="0F6EDD29" w14:textId="7D0201B0" w:rsidR="003E5432" w:rsidRPr="003E5432" w:rsidRDefault="003E5432" w:rsidP="00827CAC">
      <w:pPr>
        <w:pStyle w:val="NormalWeb"/>
        <w:spacing w:before="240" w:beforeAutospacing="0" w:after="240" w:afterAutospacing="0" w:line="276" w:lineRule="auto"/>
        <w:rPr>
          <w:rFonts w:asciiTheme="minorHAnsi" w:hAnsiTheme="minorHAnsi" w:cstheme="minorHAnsi"/>
          <w:color w:val="000000"/>
          <w:sz w:val="22"/>
          <w:szCs w:val="22"/>
        </w:rPr>
      </w:pPr>
      <w:r w:rsidRPr="003E5432">
        <w:rPr>
          <w:rFonts w:asciiTheme="minorHAnsi" w:hAnsiTheme="minorHAnsi" w:cstheme="minorHAnsi"/>
          <w:sz w:val="22"/>
          <w:szCs w:val="22"/>
        </w:rPr>
        <w:t xml:space="preserve">A district, or MEP region, may overcome the second presumption of supplanting if it can demonstrate it cannot continue to support an activity with state or local funds because of state or local funding reductions. A district, or MEP region, can also </w:t>
      </w:r>
      <w:r w:rsidRPr="00827CAC">
        <w:rPr>
          <w:rFonts w:asciiTheme="minorHAnsi" w:hAnsiTheme="minorHAnsi" w:cstheme="minorHAnsi"/>
          <w:sz w:val="22"/>
          <w:szCs w:val="22"/>
        </w:rPr>
        <w:t>exclude from the “supplement, not supplant</w:t>
      </w:r>
      <w:r w:rsidRPr="00827CAC">
        <w:rPr>
          <w:rFonts w:asciiTheme="minorHAnsi" w:hAnsiTheme="minorHAnsi" w:cstheme="minorHAnsi"/>
          <w:sz w:val="22"/>
          <w:szCs w:val="22"/>
        </w:rPr>
        <w:fldChar w:fldCharType="begin"/>
      </w:r>
      <w:r w:rsidRPr="00827CAC">
        <w:rPr>
          <w:rFonts w:asciiTheme="minorHAnsi" w:hAnsiTheme="minorHAnsi" w:cstheme="minorHAnsi"/>
          <w:sz w:val="22"/>
          <w:szCs w:val="22"/>
        </w:rPr>
        <w:instrText xml:space="preserve"> XE "Supplement, Not Supplant" </w:instrText>
      </w:r>
      <w:r w:rsidRPr="00827CAC">
        <w:rPr>
          <w:rFonts w:asciiTheme="minorHAnsi" w:hAnsiTheme="minorHAnsi" w:cstheme="minorHAnsi"/>
          <w:sz w:val="22"/>
          <w:szCs w:val="22"/>
        </w:rPr>
        <w:fldChar w:fldCharType="end"/>
      </w:r>
      <w:r w:rsidRPr="00827CAC">
        <w:rPr>
          <w:rFonts w:asciiTheme="minorHAnsi" w:hAnsiTheme="minorHAnsi" w:cstheme="minorHAnsi"/>
          <w:sz w:val="22"/>
          <w:szCs w:val="22"/>
        </w:rPr>
        <w:t>” and comparability</w:t>
      </w:r>
      <w:r w:rsidRPr="00827CAC">
        <w:rPr>
          <w:rFonts w:asciiTheme="minorHAnsi" w:hAnsiTheme="minorHAnsi" w:cstheme="minorHAnsi"/>
          <w:sz w:val="22"/>
          <w:szCs w:val="22"/>
        </w:rPr>
        <w:fldChar w:fldCharType="begin"/>
      </w:r>
      <w:r w:rsidRPr="00827CAC">
        <w:rPr>
          <w:rFonts w:asciiTheme="minorHAnsi" w:hAnsiTheme="minorHAnsi" w:cstheme="minorHAnsi"/>
          <w:sz w:val="22"/>
          <w:szCs w:val="22"/>
        </w:rPr>
        <w:instrText xml:space="preserve"> XE "Comparability" </w:instrText>
      </w:r>
      <w:r w:rsidRPr="00827CAC">
        <w:rPr>
          <w:rFonts w:asciiTheme="minorHAnsi" w:hAnsiTheme="minorHAnsi" w:cstheme="minorHAnsi"/>
          <w:sz w:val="22"/>
          <w:szCs w:val="22"/>
        </w:rPr>
        <w:fldChar w:fldCharType="end"/>
      </w:r>
      <w:r w:rsidRPr="00827CAC">
        <w:rPr>
          <w:rFonts w:asciiTheme="minorHAnsi" w:hAnsiTheme="minorHAnsi" w:cstheme="minorHAnsi"/>
          <w:sz w:val="22"/>
          <w:szCs w:val="22"/>
        </w:rPr>
        <w:t xml:space="preserve"> requirements State and local funds that are used to carry out special programs that meet the intent and purposes of the Migrant Education Program.  </w:t>
      </w:r>
    </w:p>
    <w:p w14:paraId="38358AB4" w14:textId="7042D0CD" w:rsidR="00D93856" w:rsidRPr="003E5432" w:rsidRDefault="00D93856" w:rsidP="00020018">
      <w:pPr>
        <w:pStyle w:val="NormalWeb"/>
        <w:spacing w:before="240" w:beforeAutospacing="0" w:after="240" w:afterAutospacing="0" w:line="276" w:lineRule="auto"/>
        <w:rPr>
          <w:rFonts w:asciiTheme="minorHAnsi" w:hAnsiTheme="minorHAnsi" w:cstheme="minorHAnsi"/>
          <w:sz w:val="22"/>
          <w:szCs w:val="22"/>
        </w:rPr>
      </w:pPr>
      <w:r w:rsidRPr="003E5432">
        <w:rPr>
          <w:rFonts w:asciiTheme="minorHAnsi" w:hAnsiTheme="minorHAnsi" w:cstheme="minorHAnsi"/>
          <w:sz w:val="22"/>
          <w:szCs w:val="22"/>
        </w:rPr>
        <w:t>It is</w:t>
      </w:r>
      <w:r w:rsidR="003E5432" w:rsidRPr="003E5432">
        <w:rPr>
          <w:rFonts w:asciiTheme="minorHAnsi" w:hAnsiTheme="minorHAnsi" w:cstheme="minorHAnsi"/>
          <w:sz w:val="22"/>
          <w:szCs w:val="22"/>
        </w:rPr>
        <w:t xml:space="preserve"> </w:t>
      </w:r>
      <w:r w:rsidRPr="003E5432">
        <w:rPr>
          <w:rFonts w:asciiTheme="minorHAnsi" w:hAnsiTheme="minorHAnsi" w:cstheme="minorHAnsi"/>
          <w:sz w:val="22"/>
          <w:szCs w:val="22"/>
        </w:rPr>
        <w:t xml:space="preserve">important to note that, districts and regions providing services to migrant students must use funds from other Federal programs before they use Title I-C funds to provide </w:t>
      </w:r>
      <w:r w:rsidR="003E5432" w:rsidRPr="003E5432">
        <w:rPr>
          <w:rFonts w:asciiTheme="minorHAnsi" w:hAnsiTheme="minorHAnsi" w:cstheme="minorHAnsi"/>
          <w:sz w:val="22"/>
          <w:szCs w:val="22"/>
        </w:rPr>
        <w:t xml:space="preserve">the same </w:t>
      </w:r>
      <w:r w:rsidRPr="003E5432">
        <w:rPr>
          <w:rFonts w:asciiTheme="minorHAnsi" w:hAnsiTheme="minorHAnsi" w:cstheme="minorHAnsi"/>
          <w:sz w:val="22"/>
          <w:szCs w:val="22"/>
        </w:rPr>
        <w:t xml:space="preserve">services. </w:t>
      </w:r>
      <w:r w:rsidR="003E5432" w:rsidRPr="00827CAC">
        <w:rPr>
          <w:rFonts w:asciiTheme="minorHAnsi" w:hAnsiTheme="minorHAnsi" w:cstheme="minorHAnsi"/>
          <w:sz w:val="22"/>
          <w:szCs w:val="22"/>
        </w:rPr>
        <w:t>A</w:t>
      </w:r>
      <w:r w:rsidRPr="00827CAC">
        <w:rPr>
          <w:rFonts w:asciiTheme="minorHAnsi" w:hAnsiTheme="minorHAnsi" w:cstheme="minorHAnsi"/>
          <w:sz w:val="22"/>
          <w:szCs w:val="22"/>
        </w:rPr>
        <w:t xml:space="preserve"> district or region may use Title I-C funds to increase the number of migrant students who participate in the project and/or enhance the services that participating migrant students otherwise receive.  </w:t>
      </w:r>
    </w:p>
    <w:p w14:paraId="0B82288C" w14:textId="4C2B2307" w:rsidR="00541FFA" w:rsidRPr="00FD17A3" w:rsidRDefault="006E6B9A" w:rsidP="00FD17A3">
      <w:pPr>
        <w:pStyle w:val="NormalWeb"/>
        <w:spacing w:before="240" w:beforeAutospacing="0" w:after="0" w:afterAutospacing="0" w:line="276" w:lineRule="auto"/>
        <w:ind w:right="255"/>
        <w:rPr>
          <w:rStyle w:val="Heading2Char"/>
          <w:i/>
          <w:iCs/>
          <w:sz w:val="28"/>
          <w:szCs w:val="28"/>
        </w:rPr>
      </w:pPr>
      <w:r w:rsidRPr="00827CAC">
        <w:rPr>
          <w:rStyle w:val="Heading2Char"/>
          <w:i/>
          <w:iCs/>
        </w:rPr>
        <w:t xml:space="preserve">Title II, Part A </w:t>
      </w:r>
      <w:r w:rsidR="00BF40E4" w:rsidRPr="00827CAC">
        <w:rPr>
          <w:rStyle w:val="Heading2Char"/>
          <w:i/>
          <w:iCs/>
        </w:rPr>
        <w:t>(Supporting Effective Instruction)</w:t>
      </w:r>
    </w:p>
    <w:p w14:paraId="40840044" w14:textId="6A865CEF" w:rsidR="002D5180" w:rsidRPr="00AE5E89" w:rsidRDefault="000B704E" w:rsidP="002D5180">
      <w:pPr>
        <w:rPr>
          <w:b/>
        </w:rPr>
      </w:pPr>
      <w:r w:rsidRPr="006E6B9A">
        <w:rPr>
          <w:rFonts w:cstheme="minorHAnsi"/>
          <w:bCs/>
          <w:color w:val="141412"/>
        </w:rPr>
        <w:t>Supplanting</w:t>
      </w:r>
      <w:r w:rsidR="001B70DB">
        <w:rPr>
          <w:rFonts w:cstheme="minorHAnsi"/>
          <w:bCs/>
          <w:color w:val="141412"/>
        </w:rPr>
        <w:t xml:space="preserve"> </w:t>
      </w:r>
      <w:r w:rsidRPr="006E6B9A">
        <w:rPr>
          <w:rFonts w:cstheme="minorHAnsi"/>
          <w:bCs/>
          <w:color w:val="141412"/>
        </w:rPr>
        <w:t>is presumed</w:t>
      </w:r>
      <w:r w:rsidRPr="006E6B9A">
        <w:rPr>
          <w:rFonts w:cstheme="minorHAnsi"/>
          <w:color w:val="141412"/>
        </w:rPr>
        <w:t xml:space="preserve"> if </w:t>
      </w:r>
      <w:r w:rsidR="002D5180" w:rsidRPr="00FD17A3">
        <w:rPr>
          <w:bCs/>
        </w:rPr>
        <w:t xml:space="preserve">a district uses </w:t>
      </w:r>
      <w:r w:rsidR="002D5180">
        <w:rPr>
          <w:rFonts w:cstheme="minorHAnsi"/>
          <w:bCs/>
          <w:color w:val="141412"/>
        </w:rPr>
        <w:t>Title II-A for an activity the district</w:t>
      </w:r>
      <w:r w:rsidR="002D5180" w:rsidRPr="00AE5E89">
        <w:rPr>
          <w:b/>
        </w:rPr>
        <w:t>:</w:t>
      </w:r>
    </w:p>
    <w:p w14:paraId="2AAF355D" w14:textId="77777777" w:rsidR="002D5180" w:rsidRDefault="002D5180" w:rsidP="00501CA4">
      <w:pPr>
        <w:numPr>
          <w:ilvl w:val="0"/>
          <w:numId w:val="35"/>
        </w:numPr>
        <w:spacing w:after="120"/>
      </w:pPr>
      <w:r>
        <w:t>I</w:t>
      </w:r>
      <w:r w:rsidRPr="00F2340E">
        <w:t>s legally required to carry out</w:t>
      </w:r>
      <w:r>
        <w:t>, or</w:t>
      </w:r>
    </w:p>
    <w:p w14:paraId="77EB5BD3" w14:textId="5F17AF5C" w:rsidR="002D5180" w:rsidRDefault="002D5180" w:rsidP="00501CA4">
      <w:pPr>
        <w:numPr>
          <w:ilvl w:val="0"/>
          <w:numId w:val="35"/>
        </w:numPr>
        <w:spacing w:after="120"/>
      </w:pPr>
      <w:r>
        <w:t>F</w:t>
      </w:r>
      <w:r w:rsidRPr="00F2340E">
        <w:t>unded with state or local money last year</w:t>
      </w:r>
      <w:r>
        <w:t>.</w:t>
      </w:r>
    </w:p>
    <w:p w14:paraId="1C91549A" w14:textId="384850D9" w:rsidR="006E6B9A" w:rsidRDefault="002D5180" w:rsidP="00FD17A3">
      <w:pPr>
        <w:pStyle w:val="NormalWeb"/>
        <w:spacing w:before="0" w:beforeAutospacing="0" w:after="120" w:afterAutospacing="0" w:line="276" w:lineRule="auto"/>
        <w:ind w:right="255"/>
      </w:pPr>
      <w:r w:rsidRPr="00FD17A3">
        <w:rPr>
          <w:rFonts w:asciiTheme="minorHAnsi" w:hAnsiTheme="minorHAnsi" w:cstheme="minorHAnsi"/>
          <w:sz w:val="22"/>
          <w:szCs w:val="22"/>
        </w:rPr>
        <w:t>A</w:t>
      </w:r>
      <w:r w:rsidR="00020018">
        <w:rPr>
          <w:rFonts w:asciiTheme="minorHAnsi" w:hAnsiTheme="minorHAnsi" w:cstheme="minorHAnsi"/>
          <w:sz w:val="22"/>
          <w:szCs w:val="22"/>
        </w:rPr>
        <w:t xml:space="preserve"> district</w:t>
      </w:r>
      <w:r w:rsidRPr="00FD17A3">
        <w:rPr>
          <w:rFonts w:asciiTheme="minorHAnsi" w:hAnsiTheme="minorHAnsi" w:cstheme="minorHAnsi"/>
          <w:sz w:val="22"/>
          <w:szCs w:val="22"/>
        </w:rPr>
        <w:t xml:space="preserve"> may overcome the second presumption of supplanting if it can demonstrate it cannot continue to support an activity with state or local funds because of state or local funding reductions.</w:t>
      </w:r>
    </w:p>
    <w:p w14:paraId="02310A31" w14:textId="1763E7A4" w:rsidR="00056955" w:rsidRDefault="006E6B9A" w:rsidP="002D5A4B">
      <w:pPr>
        <w:pStyle w:val="NormalWeb"/>
        <w:spacing w:before="240" w:beforeAutospacing="0" w:after="0" w:afterAutospacing="0" w:line="276" w:lineRule="auto"/>
        <w:ind w:right="259"/>
        <w:rPr>
          <w:rFonts w:asciiTheme="minorHAnsi" w:hAnsiTheme="minorHAnsi" w:cstheme="minorHAnsi"/>
          <w:color w:val="000000"/>
          <w:sz w:val="22"/>
          <w:szCs w:val="22"/>
        </w:rPr>
      </w:pPr>
      <w:r w:rsidRPr="00FD17A3">
        <w:rPr>
          <w:rStyle w:val="Heading2Char"/>
          <w:i/>
          <w:iCs/>
        </w:rPr>
        <w:t xml:space="preserve">Title III, </w:t>
      </w:r>
      <w:r w:rsidR="00056955" w:rsidRPr="00FD17A3">
        <w:rPr>
          <w:rStyle w:val="Heading2Char"/>
          <w:i/>
          <w:iCs/>
        </w:rPr>
        <w:t>Part A</w:t>
      </w:r>
      <w:r w:rsidR="00C540A7">
        <w:rPr>
          <w:rStyle w:val="Heading2Char"/>
          <w:i/>
          <w:iCs/>
        </w:rPr>
        <w:t xml:space="preserve"> </w:t>
      </w:r>
      <w:r w:rsidR="00051243">
        <w:rPr>
          <w:rStyle w:val="Heading2Char"/>
          <w:i/>
          <w:iCs/>
        </w:rPr>
        <w:t>(</w:t>
      </w:r>
      <w:r w:rsidR="00051243" w:rsidRPr="00051243">
        <w:rPr>
          <w:rStyle w:val="Heading2Char"/>
          <w:i/>
          <w:iCs/>
        </w:rPr>
        <w:t xml:space="preserve">Language Instruction </w:t>
      </w:r>
      <w:r w:rsidR="007332AD">
        <w:rPr>
          <w:rStyle w:val="Heading2Char"/>
          <w:i/>
          <w:iCs/>
        </w:rPr>
        <w:t>f</w:t>
      </w:r>
      <w:r w:rsidR="00051243" w:rsidRPr="00051243">
        <w:rPr>
          <w:rStyle w:val="Heading2Char"/>
          <w:i/>
          <w:iCs/>
        </w:rPr>
        <w:t xml:space="preserve">or English Learners </w:t>
      </w:r>
      <w:proofErr w:type="gramStart"/>
      <w:r w:rsidR="00051243" w:rsidRPr="00051243">
        <w:rPr>
          <w:rStyle w:val="Heading2Char"/>
          <w:i/>
          <w:iCs/>
        </w:rPr>
        <w:t>And</w:t>
      </w:r>
      <w:proofErr w:type="gramEnd"/>
      <w:r w:rsidR="00051243" w:rsidRPr="00051243">
        <w:rPr>
          <w:rStyle w:val="Heading2Char"/>
          <w:i/>
          <w:iCs/>
        </w:rPr>
        <w:t xml:space="preserve"> Immigrant Students</w:t>
      </w:r>
      <w:r w:rsidR="00051243">
        <w:rPr>
          <w:rStyle w:val="Heading2Char"/>
          <w:i/>
          <w:iCs/>
        </w:rPr>
        <w:t>)</w:t>
      </w:r>
    </w:p>
    <w:p w14:paraId="05E76894" w14:textId="4AFCC069" w:rsidR="00056955" w:rsidRPr="00FD17A3" w:rsidRDefault="00056955" w:rsidP="00501CA4">
      <w:pPr>
        <w:pStyle w:val="NormalWeb"/>
        <w:spacing w:before="0" w:beforeAutospacing="0" w:after="120" w:afterAutospacing="0" w:line="276" w:lineRule="auto"/>
        <w:ind w:right="259"/>
        <w:rPr>
          <w:rStyle w:val="Heading2Char"/>
          <w:i/>
          <w:iCs/>
        </w:rPr>
      </w:pPr>
      <w:r>
        <w:rPr>
          <w:rFonts w:asciiTheme="minorHAnsi" w:hAnsiTheme="minorHAnsi" w:cstheme="minorHAnsi"/>
          <w:color w:val="000000"/>
          <w:sz w:val="22"/>
          <w:szCs w:val="22"/>
        </w:rPr>
        <w:t>Supplanting is presumed if a district uses Title III, Part A funds for an activity:</w:t>
      </w:r>
    </w:p>
    <w:p w14:paraId="56DCC12D" w14:textId="6B4FC7E7" w:rsidR="00056955" w:rsidRPr="002D5A4B" w:rsidRDefault="00056955" w:rsidP="002D5A4B">
      <w:pPr>
        <w:numPr>
          <w:ilvl w:val="0"/>
          <w:numId w:val="43"/>
        </w:numPr>
        <w:spacing w:after="120"/>
      </w:pPr>
      <w:r w:rsidRPr="002D5A4B">
        <w:t>Is legally required to carry out, or</w:t>
      </w:r>
    </w:p>
    <w:p w14:paraId="45038109" w14:textId="26C30A05" w:rsidR="00056955" w:rsidRPr="002D5A4B" w:rsidRDefault="00056955" w:rsidP="002D5A4B">
      <w:pPr>
        <w:numPr>
          <w:ilvl w:val="0"/>
          <w:numId w:val="43"/>
        </w:numPr>
        <w:spacing w:after="120"/>
      </w:pPr>
      <w:r w:rsidRPr="002D5A4B">
        <w:t>Funded with state, local, or other federal money last year.</w:t>
      </w:r>
    </w:p>
    <w:p w14:paraId="4BD256BE" w14:textId="748300DF" w:rsidR="003F21EC" w:rsidRDefault="00056955" w:rsidP="00056955">
      <w:pPr>
        <w:pStyle w:val="NormalWeb"/>
        <w:spacing w:before="240" w:beforeAutospacing="0" w:after="240" w:afterAutospacing="0" w:line="276" w:lineRule="auto"/>
        <w:ind w:right="255"/>
        <w:rPr>
          <w:rFonts w:asciiTheme="minorHAnsi" w:hAnsiTheme="minorHAnsi" w:cstheme="minorHAnsi"/>
          <w:color w:val="000000"/>
          <w:sz w:val="22"/>
          <w:szCs w:val="22"/>
        </w:rPr>
      </w:pPr>
      <w:r>
        <w:rPr>
          <w:rFonts w:asciiTheme="minorHAnsi" w:hAnsiTheme="minorHAnsi" w:cstheme="minorHAnsi"/>
          <w:color w:val="000000"/>
          <w:sz w:val="22"/>
          <w:szCs w:val="22"/>
        </w:rPr>
        <w:t>For the first presumption</w:t>
      </w:r>
      <w:r w:rsidR="00BD4305">
        <w:rPr>
          <w:rFonts w:asciiTheme="minorHAnsi" w:hAnsiTheme="minorHAnsi" w:cstheme="minorHAnsi"/>
          <w:color w:val="000000"/>
          <w:sz w:val="22"/>
          <w:szCs w:val="22"/>
        </w:rPr>
        <w:t>,</w:t>
      </w:r>
      <w:r>
        <w:rPr>
          <w:rFonts w:asciiTheme="minorHAnsi" w:hAnsiTheme="minorHAnsi" w:cstheme="minorHAnsi"/>
          <w:color w:val="000000"/>
          <w:sz w:val="22"/>
          <w:szCs w:val="22"/>
        </w:rPr>
        <w:t xml:space="preserve"> it is important to keep in mind that districts may not use Title III-A </w:t>
      </w:r>
      <w:r w:rsidR="003F21EC" w:rsidRPr="005F5D35">
        <w:rPr>
          <w:rFonts w:asciiTheme="minorHAnsi" w:hAnsiTheme="minorHAnsi" w:cstheme="minorHAnsi"/>
          <w:bCs/>
          <w:color w:val="000000"/>
          <w:sz w:val="22"/>
          <w:szCs w:val="22"/>
        </w:rPr>
        <w:t xml:space="preserve">to meet </w:t>
      </w:r>
      <w:r>
        <w:rPr>
          <w:rFonts w:asciiTheme="minorHAnsi" w:hAnsiTheme="minorHAnsi" w:cstheme="minorHAnsi"/>
          <w:bCs/>
          <w:color w:val="000000"/>
          <w:sz w:val="22"/>
          <w:szCs w:val="22"/>
        </w:rPr>
        <w:t xml:space="preserve">the </w:t>
      </w:r>
      <w:r w:rsidR="003F21EC" w:rsidRPr="005F5D35">
        <w:rPr>
          <w:rFonts w:asciiTheme="minorHAnsi" w:hAnsiTheme="minorHAnsi" w:cstheme="minorHAnsi"/>
          <w:bCs/>
          <w:color w:val="000000"/>
          <w:sz w:val="22"/>
          <w:szCs w:val="22"/>
        </w:rPr>
        <w:t xml:space="preserve">requirements of federal </w:t>
      </w:r>
      <w:r>
        <w:rPr>
          <w:rFonts w:asciiTheme="minorHAnsi" w:hAnsiTheme="minorHAnsi" w:cstheme="minorHAnsi"/>
          <w:bCs/>
          <w:color w:val="000000"/>
          <w:sz w:val="22"/>
          <w:szCs w:val="22"/>
        </w:rPr>
        <w:t>civil rights laws</w:t>
      </w:r>
      <w:r w:rsidR="003F21EC" w:rsidRPr="005F5D35">
        <w:rPr>
          <w:rFonts w:asciiTheme="minorHAnsi" w:hAnsiTheme="minorHAnsi" w:cstheme="minorHAnsi"/>
          <w:bCs/>
          <w:color w:val="000000"/>
          <w:sz w:val="22"/>
          <w:szCs w:val="22"/>
        </w:rPr>
        <w:t xml:space="preserve"> </w:t>
      </w:r>
      <w:r w:rsidR="003F21EC" w:rsidRPr="000D6110">
        <w:rPr>
          <w:rFonts w:asciiTheme="minorHAnsi" w:hAnsiTheme="minorHAnsi" w:cstheme="minorHAnsi"/>
          <w:color w:val="000000"/>
          <w:sz w:val="22"/>
          <w:szCs w:val="22"/>
        </w:rPr>
        <w:t xml:space="preserve">(Title VI of the Civil Rights Act of 1964 and Equal Education Opportunities Act of 1974) or Oregon Revised Statutes (ORS) and Oregon Administrative Rules (OAR). A list of these laws and rules can be found in </w:t>
      </w:r>
      <w:hyperlink r:id="rId12" w:history="1">
        <w:r w:rsidR="003F21EC" w:rsidRPr="000D6110">
          <w:rPr>
            <w:rStyle w:val="Hyperlink"/>
            <w:rFonts w:asciiTheme="minorHAnsi" w:hAnsiTheme="minorHAnsi" w:cstheme="minorHAnsi"/>
            <w:color w:val="1155CC"/>
            <w:sz w:val="22"/>
            <w:szCs w:val="22"/>
          </w:rPr>
          <w:t>Oregon’s English Learner Program Guide</w:t>
        </w:r>
      </w:hyperlink>
      <w:r w:rsidR="003F21EC" w:rsidRPr="000D6110">
        <w:rPr>
          <w:rFonts w:asciiTheme="minorHAnsi" w:hAnsiTheme="minorHAnsi" w:cstheme="minorHAnsi"/>
          <w:color w:val="000000"/>
          <w:sz w:val="22"/>
          <w:szCs w:val="22"/>
        </w:rPr>
        <w:t>.</w:t>
      </w:r>
    </w:p>
    <w:p w14:paraId="24E6F8C4" w14:textId="34EECF6B" w:rsidR="00BD4305" w:rsidRDefault="00F94802" w:rsidP="00BD4305">
      <w:pPr>
        <w:contextualSpacing/>
        <w:rPr>
          <w:rFonts w:cstheme="minorHAnsi"/>
          <w:color w:val="000000"/>
        </w:rPr>
      </w:pPr>
      <w:proofErr w:type="gramStart"/>
      <w:r>
        <w:rPr>
          <w:rFonts w:cstheme="minorHAnsi"/>
          <w:color w:val="000000"/>
        </w:rPr>
        <w:t>Also</w:t>
      </w:r>
      <w:proofErr w:type="gramEnd"/>
      <w:r>
        <w:rPr>
          <w:rFonts w:cstheme="minorHAnsi"/>
          <w:color w:val="000000"/>
        </w:rPr>
        <w:t xml:space="preserve"> in the context of the first presumption, p</w:t>
      </w:r>
      <w:r w:rsidR="00BD4305">
        <w:rPr>
          <w:rFonts w:cstheme="minorHAnsi"/>
          <w:color w:val="000000"/>
        </w:rPr>
        <w:t>lease note</w:t>
      </w:r>
      <w:r>
        <w:rPr>
          <w:rFonts w:cstheme="minorHAnsi"/>
          <w:color w:val="000000"/>
        </w:rPr>
        <w:t xml:space="preserve"> that</w:t>
      </w:r>
      <w:r w:rsidR="00233231">
        <w:rPr>
          <w:rFonts w:cstheme="minorHAnsi"/>
          <w:color w:val="000000"/>
        </w:rPr>
        <w:t xml:space="preserve"> </w:t>
      </w:r>
      <w:r w:rsidR="0028577D">
        <w:rPr>
          <w:rFonts w:cstheme="minorHAnsi"/>
          <w:color w:val="000000"/>
        </w:rPr>
        <w:t xml:space="preserve">guidance from the U.S. Department of Education clarified that </w:t>
      </w:r>
      <w:r w:rsidR="006973B9" w:rsidRPr="00827CAC">
        <w:rPr>
          <w:rFonts w:cstheme="minorHAnsi"/>
          <w:color w:val="000000"/>
          <w:u w:val="single"/>
        </w:rPr>
        <w:t>in some circumstances</w:t>
      </w:r>
      <w:r w:rsidR="006973B9">
        <w:rPr>
          <w:rFonts w:cstheme="minorHAnsi"/>
          <w:color w:val="000000"/>
        </w:rPr>
        <w:t xml:space="preserve"> </w:t>
      </w:r>
      <w:r w:rsidR="00BD4305">
        <w:rPr>
          <w:rFonts w:cstheme="minorHAnsi"/>
          <w:color w:val="000000"/>
        </w:rPr>
        <w:t>districts can spend Title III-A funds for certain activities required by Title I-A</w:t>
      </w:r>
      <w:r w:rsidR="00C25886">
        <w:rPr>
          <w:rFonts w:cstheme="minorHAnsi"/>
          <w:color w:val="000000"/>
        </w:rPr>
        <w:t>.  Some of these activities may include:</w:t>
      </w:r>
    </w:p>
    <w:p w14:paraId="38011E3E" w14:textId="3613EEFD" w:rsidR="006973B9" w:rsidRDefault="00BD4305" w:rsidP="006973B9">
      <w:pPr>
        <w:pStyle w:val="ListParagraph"/>
        <w:numPr>
          <w:ilvl w:val="0"/>
          <w:numId w:val="37"/>
        </w:numPr>
      </w:pPr>
      <w:r w:rsidRPr="00F00195">
        <w:lastRenderedPageBreak/>
        <w:t xml:space="preserve">EL parental notification regarding language instruction educational programs (LIEPs) and related information </w:t>
      </w:r>
      <w:r w:rsidR="00841F0E" w:rsidRPr="00841F0E">
        <w:rPr>
          <w:i/>
        </w:rPr>
        <w:t>[</w:t>
      </w:r>
      <w:r w:rsidRPr="00841F0E">
        <w:rPr>
          <w:i/>
        </w:rPr>
        <w:t>ESEA</w:t>
      </w:r>
      <w:r w:rsidR="006973B9" w:rsidRPr="00841F0E">
        <w:rPr>
          <w:i/>
        </w:rPr>
        <w:t>,</w:t>
      </w:r>
      <w:r w:rsidR="00841F0E" w:rsidRPr="00841F0E">
        <w:rPr>
          <w:i/>
        </w:rPr>
        <w:t xml:space="preserve"> Section 1112(e)(3)]</w:t>
      </w:r>
      <w:r w:rsidRPr="00841F0E">
        <w:rPr>
          <w:i/>
        </w:rPr>
        <w:t>,</w:t>
      </w:r>
    </w:p>
    <w:p w14:paraId="69D8FE2D" w14:textId="194F0627" w:rsidR="006973B9" w:rsidRDefault="00BD4305" w:rsidP="006973B9">
      <w:pPr>
        <w:pStyle w:val="ListParagraph"/>
        <w:numPr>
          <w:ilvl w:val="0"/>
          <w:numId w:val="37"/>
        </w:numPr>
      </w:pPr>
      <w:r w:rsidRPr="00F00195">
        <w:t xml:space="preserve">Parental participation (e.g., regular EL parent meetings) </w:t>
      </w:r>
      <w:r w:rsidR="00841F0E">
        <w:rPr>
          <w:i/>
        </w:rPr>
        <w:t>[</w:t>
      </w:r>
      <w:r w:rsidRPr="00841F0E">
        <w:rPr>
          <w:i/>
        </w:rPr>
        <w:t>ESEA</w:t>
      </w:r>
      <w:r w:rsidR="006973B9" w:rsidRPr="00841F0E">
        <w:rPr>
          <w:i/>
        </w:rPr>
        <w:t>,</w:t>
      </w:r>
      <w:r w:rsidR="00841F0E">
        <w:rPr>
          <w:i/>
        </w:rPr>
        <w:t xml:space="preserve"> Section 1116(f)]</w:t>
      </w:r>
      <w:r w:rsidRPr="00841F0E">
        <w:rPr>
          <w:i/>
        </w:rPr>
        <w:t>,</w:t>
      </w:r>
      <w:r w:rsidRPr="00F00195">
        <w:t xml:space="preserve"> and</w:t>
      </w:r>
    </w:p>
    <w:p w14:paraId="08E17DA0" w14:textId="3BFC4AB5" w:rsidR="00BD4305" w:rsidRDefault="00BD4305" w:rsidP="006973B9">
      <w:pPr>
        <w:pStyle w:val="ListParagraph"/>
        <w:numPr>
          <w:ilvl w:val="0"/>
          <w:numId w:val="37"/>
        </w:numPr>
      </w:pPr>
      <w:r w:rsidRPr="00F00195">
        <w:t xml:space="preserve">Reporting to the State on the number and percentage of ELs achieving English language proficiency </w:t>
      </w:r>
      <w:r w:rsidR="00841F0E">
        <w:rPr>
          <w:i/>
        </w:rPr>
        <w:t>[</w:t>
      </w:r>
      <w:r w:rsidRPr="00841F0E">
        <w:rPr>
          <w:i/>
        </w:rPr>
        <w:t>ESEA</w:t>
      </w:r>
      <w:r w:rsidR="006973B9" w:rsidRPr="00841F0E">
        <w:rPr>
          <w:i/>
        </w:rPr>
        <w:t>,</w:t>
      </w:r>
      <w:r w:rsidR="00841F0E">
        <w:rPr>
          <w:i/>
        </w:rPr>
        <w:t xml:space="preserve"> Section 1111(h)(2)]</w:t>
      </w:r>
      <w:r w:rsidRPr="00F00195">
        <w:t>.</w:t>
      </w:r>
      <w:r w:rsidRPr="00F00195">
        <w:rPr>
          <w:vertAlign w:val="superscript"/>
        </w:rPr>
        <w:footnoteReference w:id="3"/>
      </w:r>
    </w:p>
    <w:p w14:paraId="1523C0BA" w14:textId="3C59F077" w:rsidR="006973B9" w:rsidRDefault="006973B9" w:rsidP="006973B9">
      <w:pPr>
        <w:contextualSpacing/>
      </w:pPr>
      <w:proofErr w:type="gramStart"/>
      <w:r>
        <w:t>In order to</w:t>
      </w:r>
      <w:proofErr w:type="gramEnd"/>
      <w:r>
        <w:t xml:space="preserve"> use Title III-A funds for the above listed Title I-A activities:</w:t>
      </w:r>
    </w:p>
    <w:p w14:paraId="1FA01D04" w14:textId="34947752" w:rsidR="006973B9" w:rsidRPr="00F00195" w:rsidRDefault="006973B9" w:rsidP="00FD17A3">
      <w:pPr>
        <w:pStyle w:val="ListParagraph"/>
        <w:numPr>
          <w:ilvl w:val="0"/>
          <w:numId w:val="40"/>
        </w:numPr>
      </w:pPr>
      <w:r w:rsidRPr="00F00195">
        <w:t xml:space="preserve">The activity being supported </w:t>
      </w:r>
      <w:r>
        <w:t xml:space="preserve">must be </w:t>
      </w:r>
      <w:r w:rsidRPr="00F00195">
        <w:t xml:space="preserve">consistent with Title III </w:t>
      </w:r>
      <w:r>
        <w:t xml:space="preserve">purposes </w:t>
      </w:r>
      <w:r w:rsidRPr="00F00195">
        <w:t>and meet federal guidelines for “reasonable and necessary costs,”</w:t>
      </w:r>
      <w:r w:rsidRPr="00F00195">
        <w:rPr>
          <w:vertAlign w:val="superscript"/>
        </w:rPr>
        <w:footnoteReference w:id="4"/>
      </w:r>
      <w:r w:rsidRPr="00F00195">
        <w:t xml:space="preserve"> </w:t>
      </w:r>
    </w:p>
    <w:p w14:paraId="5C85EDE8" w14:textId="27318AA9" w:rsidR="006973B9" w:rsidRPr="00F00195" w:rsidRDefault="006973B9" w:rsidP="00FD17A3">
      <w:pPr>
        <w:pStyle w:val="ListParagraph"/>
        <w:numPr>
          <w:ilvl w:val="0"/>
          <w:numId w:val="40"/>
        </w:numPr>
      </w:pPr>
      <w:r w:rsidRPr="00F00195">
        <w:t xml:space="preserve">The activity being supported </w:t>
      </w:r>
      <w:r>
        <w:t>must be</w:t>
      </w:r>
      <w:r w:rsidRPr="00F00195">
        <w:t xml:space="preserve"> supplemental to the </w:t>
      </w:r>
      <w:r>
        <w:t>district’s</w:t>
      </w:r>
      <w:r w:rsidRPr="00F00195">
        <w:t xml:space="preserve"> civil rights obligations to ELs under Title VI of the Civil Rights Act and the EEOA, and </w:t>
      </w:r>
    </w:p>
    <w:p w14:paraId="1904B3C0" w14:textId="5CA2763A" w:rsidR="006973B9" w:rsidRDefault="006973B9" w:rsidP="00FD17A3">
      <w:pPr>
        <w:pStyle w:val="ListParagraph"/>
        <w:numPr>
          <w:ilvl w:val="0"/>
          <w:numId w:val="40"/>
        </w:numPr>
      </w:pPr>
      <w:r w:rsidRPr="00F00195">
        <w:t xml:space="preserve">The </w:t>
      </w:r>
      <w:r>
        <w:t>district</w:t>
      </w:r>
      <w:r w:rsidRPr="00F00195">
        <w:t xml:space="preserve"> can demonstrate it is also using Title III funds to conduct activities required under Title III.</w:t>
      </w:r>
      <w:r w:rsidRPr="00F00195">
        <w:rPr>
          <w:vertAlign w:val="superscript"/>
        </w:rPr>
        <w:footnoteReference w:id="5"/>
      </w:r>
      <w:r w:rsidRPr="00F00195">
        <w:t xml:space="preserve">   </w:t>
      </w:r>
    </w:p>
    <w:p w14:paraId="4F3EC873" w14:textId="4897F9E9" w:rsidR="00056955" w:rsidRDefault="00056955" w:rsidP="00056955">
      <w:pPr>
        <w:pStyle w:val="NormalWeb"/>
        <w:spacing w:before="240" w:beforeAutospacing="0" w:after="240" w:afterAutospacing="0" w:line="276" w:lineRule="auto"/>
        <w:ind w:right="255"/>
        <w:rPr>
          <w:rFonts w:asciiTheme="minorHAnsi" w:hAnsiTheme="minorHAnsi" w:cstheme="minorHAnsi"/>
          <w:color w:val="000000"/>
          <w:sz w:val="22"/>
          <w:szCs w:val="22"/>
        </w:rPr>
      </w:pPr>
      <w:r>
        <w:rPr>
          <w:rFonts w:asciiTheme="minorHAnsi" w:hAnsiTheme="minorHAnsi" w:cstheme="minorHAnsi"/>
          <w:color w:val="000000"/>
          <w:sz w:val="22"/>
          <w:szCs w:val="22"/>
        </w:rPr>
        <w:t>For the second presumption, please note Title II</w:t>
      </w:r>
      <w:r w:rsidR="0006283E">
        <w:rPr>
          <w:rFonts w:asciiTheme="minorHAnsi" w:hAnsiTheme="minorHAnsi" w:cstheme="minorHAnsi"/>
          <w:color w:val="000000"/>
          <w:sz w:val="22"/>
          <w:szCs w:val="22"/>
        </w:rPr>
        <w:t>I</w:t>
      </w:r>
      <w:r>
        <w:rPr>
          <w:rFonts w:asciiTheme="minorHAnsi" w:hAnsiTheme="minorHAnsi" w:cstheme="minorHAnsi"/>
          <w:color w:val="000000"/>
          <w:sz w:val="22"/>
          <w:szCs w:val="22"/>
        </w:rPr>
        <w:t xml:space="preserve"> is more expansive </w:t>
      </w:r>
      <w:r w:rsidR="00BD4305">
        <w:rPr>
          <w:rFonts w:asciiTheme="minorHAnsi" w:hAnsiTheme="minorHAnsi" w:cstheme="minorHAnsi"/>
          <w:color w:val="000000"/>
          <w:sz w:val="22"/>
          <w:szCs w:val="22"/>
        </w:rPr>
        <w:t xml:space="preserve">than other programs </w:t>
      </w:r>
      <w:r>
        <w:rPr>
          <w:rFonts w:asciiTheme="minorHAnsi" w:hAnsiTheme="minorHAnsi" w:cstheme="minorHAnsi"/>
          <w:color w:val="000000"/>
          <w:sz w:val="22"/>
          <w:szCs w:val="22"/>
        </w:rPr>
        <w:t xml:space="preserve">and presumes supplanting when a district uses Title III-A funds to pay for an activity that was funded </w:t>
      </w:r>
      <w:r w:rsidR="00BD4305">
        <w:rPr>
          <w:rFonts w:asciiTheme="minorHAnsi" w:hAnsiTheme="minorHAnsi" w:cstheme="minorHAnsi"/>
          <w:color w:val="000000"/>
          <w:sz w:val="22"/>
          <w:szCs w:val="22"/>
        </w:rPr>
        <w:t>with other federal funds last year. For example, using Title II</w:t>
      </w:r>
      <w:r w:rsidR="00717FCD">
        <w:rPr>
          <w:rFonts w:asciiTheme="minorHAnsi" w:hAnsiTheme="minorHAnsi" w:cstheme="minorHAnsi"/>
          <w:color w:val="000000"/>
          <w:sz w:val="22"/>
          <w:szCs w:val="22"/>
        </w:rPr>
        <w:t>I</w:t>
      </w:r>
      <w:r w:rsidR="00BD4305">
        <w:rPr>
          <w:rFonts w:asciiTheme="minorHAnsi" w:hAnsiTheme="minorHAnsi" w:cstheme="minorHAnsi"/>
          <w:color w:val="000000"/>
          <w:sz w:val="22"/>
          <w:szCs w:val="22"/>
        </w:rPr>
        <w:t xml:space="preserve"> funds to pay for a professional development program the district funded with Title II-A last year would raise a presumption of supplanting.  </w:t>
      </w:r>
    </w:p>
    <w:p w14:paraId="6090FCB7" w14:textId="42BB14C2" w:rsidR="006973B9" w:rsidRDefault="006973B9" w:rsidP="006973B9">
      <w:pPr>
        <w:pStyle w:val="NormalWeb"/>
        <w:spacing w:before="240" w:beforeAutospacing="0" w:after="240" w:afterAutospacing="0" w:line="276" w:lineRule="auto"/>
        <w:ind w:right="255"/>
        <w:rPr>
          <w:rFonts w:asciiTheme="minorHAnsi" w:hAnsiTheme="minorHAnsi" w:cstheme="minorHAnsi"/>
          <w:color w:val="000000"/>
          <w:sz w:val="22"/>
          <w:szCs w:val="22"/>
        </w:rPr>
      </w:pPr>
      <w:r w:rsidRPr="00DC0106">
        <w:rPr>
          <w:rFonts w:asciiTheme="minorHAnsi" w:hAnsiTheme="minorHAnsi" w:cstheme="minorHAnsi"/>
          <w:sz w:val="22"/>
          <w:szCs w:val="22"/>
        </w:rPr>
        <w:t>A</w:t>
      </w:r>
      <w:r>
        <w:rPr>
          <w:rFonts w:asciiTheme="minorHAnsi" w:hAnsiTheme="minorHAnsi" w:cstheme="minorHAnsi"/>
          <w:sz w:val="22"/>
          <w:szCs w:val="22"/>
        </w:rPr>
        <w:t xml:space="preserve"> district</w:t>
      </w:r>
      <w:r w:rsidRPr="00DC0106">
        <w:rPr>
          <w:rFonts w:asciiTheme="minorHAnsi" w:hAnsiTheme="minorHAnsi" w:cstheme="minorHAnsi"/>
          <w:sz w:val="22"/>
          <w:szCs w:val="22"/>
        </w:rPr>
        <w:t xml:space="preserve"> may overcome the second presumption of supplanting if it can demonstrate it cannot continue to support an activity with state</w:t>
      </w:r>
      <w:r>
        <w:rPr>
          <w:rFonts w:asciiTheme="minorHAnsi" w:hAnsiTheme="minorHAnsi" w:cstheme="minorHAnsi"/>
          <w:sz w:val="22"/>
          <w:szCs w:val="22"/>
        </w:rPr>
        <w:t xml:space="preserve">, </w:t>
      </w:r>
      <w:r w:rsidRPr="00DC0106">
        <w:rPr>
          <w:rFonts w:asciiTheme="minorHAnsi" w:hAnsiTheme="minorHAnsi" w:cstheme="minorHAnsi"/>
          <w:sz w:val="22"/>
          <w:szCs w:val="22"/>
        </w:rPr>
        <w:t xml:space="preserve">local </w:t>
      </w:r>
      <w:r>
        <w:rPr>
          <w:rFonts w:asciiTheme="minorHAnsi" w:hAnsiTheme="minorHAnsi" w:cstheme="minorHAnsi"/>
          <w:sz w:val="22"/>
          <w:szCs w:val="22"/>
        </w:rPr>
        <w:t xml:space="preserve">or other federal </w:t>
      </w:r>
      <w:r w:rsidRPr="00DC0106">
        <w:rPr>
          <w:rFonts w:asciiTheme="minorHAnsi" w:hAnsiTheme="minorHAnsi" w:cstheme="minorHAnsi"/>
          <w:sz w:val="22"/>
          <w:szCs w:val="22"/>
        </w:rPr>
        <w:t>funds because of funding reductions.</w:t>
      </w:r>
    </w:p>
    <w:p w14:paraId="63AF0E5F" w14:textId="2C6298DE" w:rsidR="00444AB7" w:rsidRDefault="006973B9" w:rsidP="00CB78F6">
      <w:pPr>
        <w:pStyle w:val="NormalWeb"/>
        <w:spacing w:before="240" w:beforeAutospacing="0" w:after="0" w:afterAutospacing="0" w:line="276" w:lineRule="auto"/>
        <w:ind w:right="255"/>
      </w:pPr>
      <w:r w:rsidRPr="00FD17A3">
        <w:rPr>
          <w:rFonts w:asciiTheme="majorHAnsi" w:hAnsiTheme="majorHAnsi" w:cstheme="minorHAnsi"/>
          <w:i/>
          <w:iCs/>
          <w:color w:val="1F497D" w:themeColor="text2"/>
          <w:sz w:val="28"/>
          <w:szCs w:val="28"/>
        </w:rPr>
        <w:t>Title IV, Part A</w:t>
      </w:r>
      <w:r w:rsidR="00452814">
        <w:rPr>
          <w:rFonts w:asciiTheme="majorHAnsi" w:hAnsiTheme="majorHAnsi" w:cstheme="minorHAnsi"/>
          <w:i/>
          <w:iCs/>
          <w:color w:val="1F497D" w:themeColor="text2"/>
          <w:sz w:val="28"/>
          <w:szCs w:val="28"/>
        </w:rPr>
        <w:t xml:space="preserve"> </w:t>
      </w:r>
      <w:r w:rsidR="000E7094">
        <w:rPr>
          <w:rFonts w:asciiTheme="majorHAnsi" w:hAnsiTheme="majorHAnsi" w:cstheme="minorHAnsi"/>
          <w:i/>
          <w:iCs/>
          <w:color w:val="1F497D" w:themeColor="text2"/>
          <w:sz w:val="28"/>
          <w:szCs w:val="28"/>
        </w:rPr>
        <w:t>(</w:t>
      </w:r>
      <w:r w:rsidR="000E7094" w:rsidRPr="005B5A12">
        <w:rPr>
          <w:rFonts w:asciiTheme="majorHAnsi" w:hAnsiTheme="majorHAnsi" w:cstheme="minorHAnsi"/>
          <w:i/>
          <w:iCs/>
          <w:color w:val="1F497D" w:themeColor="text2"/>
          <w:sz w:val="28"/>
          <w:szCs w:val="28"/>
        </w:rPr>
        <w:t xml:space="preserve">Student Support </w:t>
      </w:r>
      <w:r w:rsidR="000E7094">
        <w:rPr>
          <w:rFonts w:asciiTheme="majorHAnsi" w:hAnsiTheme="majorHAnsi" w:cstheme="minorHAnsi"/>
          <w:i/>
          <w:iCs/>
          <w:color w:val="1F497D" w:themeColor="text2"/>
          <w:sz w:val="28"/>
          <w:szCs w:val="28"/>
        </w:rPr>
        <w:t>a</w:t>
      </w:r>
      <w:r w:rsidR="000E7094" w:rsidRPr="005B5A12">
        <w:rPr>
          <w:rFonts w:asciiTheme="majorHAnsi" w:hAnsiTheme="majorHAnsi" w:cstheme="minorHAnsi"/>
          <w:i/>
          <w:iCs/>
          <w:color w:val="1F497D" w:themeColor="text2"/>
          <w:sz w:val="28"/>
          <w:szCs w:val="28"/>
        </w:rPr>
        <w:t>nd Academic Enrichment Grants</w:t>
      </w:r>
      <w:r w:rsidR="000E7094">
        <w:rPr>
          <w:rFonts w:asciiTheme="majorHAnsi" w:hAnsiTheme="majorHAnsi" w:cstheme="minorHAnsi"/>
          <w:i/>
          <w:iCs/>
          <w:color w:val="1F497D" w:themeColor="text2"/>
          <w:sz w:val="28"/>
          <w:szCs w:val="28"/>
        </w:rPr>
        <w:t>)</w:t>
      </w:r>
    </w:p>
    <w:p w14:paraId="13DC67FC" w14:textId="1F8F9E0D" w:rsidR="006973B9" w:rsidRPr="00AE5E89" w:rsidRDefault="006973B9" w:rsidP="006973B9">
      <w:pPr>
        <w:rPr>
          <w:b/>
        </w:rPr>
      </w:pPr>
      <w:r w:rsidRPr="006E6B9A">
        <w:rPr>
          <w:rFonts w:cstheme="minorHAnsi"/>
          <w:bCs/>
          <w:color w:val="141412"/>
        </w:rPr>
        <w:t>Supplanting</w:t>
      </w:r>
      <w:r>
        <w:rPr>
          <w:rFonts w:cstheme="minorHAnsi"/>
          <w:bCs/>
          <w:color w:val="141412"/>
        </w:rPr>
        <w:t xml:space="preserve"> </w:t>
      </w:r>
      <w:r w:rsidRPr="006E6B9A">
        <w:rPr>
          <w:rFonts w:cstheme="minorHAnsi"/>
          <w:bCs/>
          <w:color w:val="141412"/>
        </w:rPr>
        <w:t>is presumed</w:t>
      </w:r>
      <w:r w:rsidRPr="006E6B9A">
        <w:rPr>
          <w:rFonts w:cstheme="minorHAnsi"/>
          <w:color w:val="141412"/>
        </w:rPr>
        <w:t xml:space="preserve"> if </w:t>
      </w:r>
      <w:r w:rsidRPr="00DC0106">
        <w:rPr>
          <w:bCs/>
        </w:rPr>
        <w:t xml:space="preserve">a district uses </w:t>
      </w:r>
      <w:r>
        <w:rPr>
          <w:rFonts w:cstheme="minorHAnsi"/>
          <w:bCs/>
          <w:color w:val="141412"/>
        </w:rPr>
        <w:t>Title IV-A for an activity the district</w:t>
      </w:r>
      <w:r w:rsidRPr="00AE5E89">
        <w:rPr>
          <w:b/>
        </w:rPr>
        <w:t>:</w:t>
      </w:r>
    </w:p>
    <w:p w14:paraId="098DDB95" w14:textId="77777777" w:rsidR="006973B9" w:rsidRDefault="006973B9" w:rsidP="00501CA4">
      <w:pPr>
        <w:numPr>
          <w:ilvl w:val="0"/>
          <w:numId w:val="41"/>
        </w:numPr>
        <w:spacing w:after="120"/>
      </w:pPr>
      <w:r>
        <w:t>I</w:t>
      </w:r>
      <w:r w:rsidRPr="00F2340E">
        <w:t>s legally required to carry out</w:t>
      </w:r>
      <w:r>
        <w:t>, or</w:t>
      </w:r>
    </w:p>
    <w:p w14:paraId="222D9CFA" w14:textId="7E6F7831" w:rsidR="006973B9" w:rsidRDefault="006973B9" w:rsidP="00501CA4">
      <w:pPr>
        <w:numPr>
          <w:ilvl w:val="0"/>
          <w:numId w:val="41"/>
        </w:numPr>
        <w:spacing w:after="120"/>
      </w:pPr>
      <w:r>
        <w:t>F</w:t>
      </w:r>
      <w:r w:rsidRPr="00F2340E">
        <w:t>unded with state</w:t>
      </w:r>
      <w:r>
        <w:t xml:space="preserve"> or </w:t>
      </w:r>
      <w:r w:rsidRPr="00F2340E">
        <w:t>local money last year</w:t>
      </w:r>
      <w:r>
        <w:t>.</w:t>
      </w:r>
    </w:p>
    <w:p w14:paraId="336CCF43" w14:textId="4AEBDEFD" w:rsidR="006973B9" w:rsidRDefault="006973B9" w:rsidP="006973B9">
      <w:pPr>
        <w:pStyle w:val="NormalWeb"/>
        <w:spacing w:before="240" w:beforeAutospacing="0" w:after="240" w:afterAutospacing="0" w:line="276" w:lineRule="auto"/>
        <w:ind w:right="255"/>
        <w:rPr>
          <w:rFonts w:asciiTheme="minorHAnsi" w:hAnsiTheme="minorHAnsi" w:cstheme="minorHAnsi"/>
          <w:color w:val="000000"/>
          <w:sz w:val="22"/>
          <w:szCs w:val="22"/>
        </w:rPr>
      </w:pPr>
      <w:r w:rsidRPr="00DC0106">
        <w:rPr>
          <w:rFonts w:asciiTheme="minorHAnsi" w:hAnsiTheme="minorHAnsi" w:cstheme="minorHAnsi"/>
          <w:sz w:val="22"/>
          <w:szCs w:val="22"/>
        </w:rPr>
        <w:t>A</w:t>
      </w:r>
      <w:r>
        <w:rPr>
          <w:rFonts w:asciiTheme="minorHAnsi" w:hAnsiTheme="minorHAnsi" w:cstheme="minorHAnsi"/>
          <w:sz w:val="22"/>
          <w:szCs w:val="22"/>
        </w:rPr>
        <w:t xml:space="preserve"> district</w:t>
      </w:r>
      <w:r w:rsidRPr="00DC0106">
        <w:rPr>
          <w:rFonts w:asciiTheme="minorHAnsi" w:hAnsiTheme="minorHAnsi" w:cstheme="minorHAnsi"/>
          <w:sz w:val="22"/>
          <w:szCs w:val="22"/>
        </w:rPr>
        <w:t xml:space="preserve"> may overcome the second presumption of supplanting if it can demonstrate it cannot continue to support an activity with state or local funds because of state or local funding reductions.</w:t>
      </w:r>
    </w:p>
    <w:p w14:paraId="24E5660F" w14:textId="49D40241" w:rsidR="009E7673" w:rsidRDefault="006973B9" w:rsidP="00CB78F6">
      <w:pPr>
        <w:pStyle w:val="NormalWeb"/>
        <w:spacing w:before="0" w:beforeAutospacing="0" w:after="0" w:afterAutospacing="0" w:line="276" w:lineRule="auto"/>
        <w:ind w:right="255"/>
      </w:pPr>
      <w:r w:rsidRPr="00FD17A3">
        <w:rPr>
          <w:rFonts w:asciiTheme="majorHAnsi" w:hAnsiTheme="majorHAnsi" w:cstheme="minorHAnsi"/>
          <w:i/>
          <w:iCs/>
          <w:color w:val="1F497D" w:themeColor="text2"/>
          <w:sz w:val="28"/>
          <w:szCs w:val="28"/>
        </w:rPr>
        <w:t>Title IV, Part B</w:t>
      </w:r>
      <w:r w:rsidR="003B31F6">
        <w:rPr>
          <w:rFonts w:asciiTheme="majorHAnsi" w:hAnsiTheme="majorHAnsi" w:cstheme="minorHAnsi"/>
          <w:i/>
          <w:iCs/>
          <w:color w:val="1F497D" w:themeColor="text2"/>
          <w:sz w:val="28"/>
          <w:szCs w:val="28"/>
        </w:rPr>
        <w:t xml:space="preserve"> (</w:t>
      </w:r>
      <w:r w:rsidR="002060C9" w:rsidRPr="003B31F6">
        <w:rPr>
          <w:rFonts w:asciiTheme="majorHAnsi" w:hAnsiTheme="majorHAnsi" w:cstheme="minorHAnsi"/>
          <w:i/>
          <w:iCs/>
          <w:color w:val="1F497D" w:themeColor="text2"/>
          <w:sz w:val="28"/>
          <w:szCs w:val="28"/>
        </w:rPr>
        <w:t>21st Century Community Learning Centers</w:t>
      </w:r>
      <w:r w:rsidR="003B31F6">
        <w:rPr>
          <w:rFonts w:asciiTheme="majorHAnsi" w:hAnsiTheme="majorHAnsi" w:cstheme="minorHAnsi"/>
          <w:i/>
          <w:iCs/>
          <w:color w:val="1F497D" w:themeColor="text2"/>
          <w:sz w:val="28"/>
          <w:szCs w:val="28"/>
        </w:rPr>
        <w:t>)</w:t>
      </w:r>
    </w:p>
    <w:p w14:paraId="7E12971B" w14:textId="31E12216" w:rsidR="006973B9" w:rsidRPr="00AE5E89" w:rsidRDefault="006973B9" w:rsidP="006973B9">
      <w:pPr>
        <w:rPr>
          <w:b/>
        </w:rPr>
      </w:pPr>
      <w:r w:rsidRPr="006E6B9A">
        <w:rPr>
          <w:rFonts w:cstheme="minorHAnsi"/>
          <w:bCs/>
          <w:color w:val="141412"/>
        </w:rPr>
        <w:t>Supplanting</w:t>
      </w:r>
      <w:r>
        <w:rPr>
          <w:rFonts w:cstheme="minorHAnsi"/>
          <w:bCs/>
          <w:color w:val="141412"/>
        </w:rPr>
        <w:t xml:space="preserve"> </w:t>
      </w:r>
      <w:r w:rsidRPr="006E6B9A">
        <w:rPr>
          <w:rFonts w:cstheme="minorHAnsi"/>
          <w:bCs/>
          <w:color w:val="141412"/>
        </w:rPr>
        <w:t>is presumed</w:t>
      </w:r>
      <w:r w:rsidRPr="006E6B9A">
        <w:rPr>
          <w:rFonts w:cstheme="minorHAnsi"/>
          <w:color w:val="141412"/>
        </w:rPr>
        <w:t xml:space="preserve"> if </w:t>
      </w:r>
      <w:r w:rsidRPr="00DC0106">
        <w:rPr>
          <w:bCs/>
        </w:rPr>
        <w:t xml:space="preserve">a district uses </w:t>
      </w:r>
      <w:r>
        <w:rPr>
          <w:rFonts w:cstheme="minorHAnsi"/>
          <w:bCs/>
          <w:color w:val="141412"/>
        </w:rPr>
        <w:t>Title IV-B for an activity the district</w:t>
      </w:r>
      <w:r w:rsidRPr="00AE5E89">
        <w:rPr>
          <w:b/>
        </w:rPr>
        <w:t>:</w:t>
      </w:r>
    </w:p>
    <w:p w14:paraId="3F059287" w14:textId="77777777" w:rsidR="006973B9" w:rsidRDefault="006973B9" w:rsidP="00501CA4">
      <w:pPr>
        <w:numPr>
          <w:ilvl w:val="0"/>
          <w:numId w:val="42"/>
        </w:numPr>
        <w:spacing w:after="120"/>
      </w:pPr>
      <w:r>
        <w:t>I</w:t>
      </w:r>
      <w:r w:rsidRPr="00F2340E">
        <w:t>s legally required to carry out</w:t>
      </w:r>
      <w:r>
        <w:t>, or</w:t>
      </w:r>
    </w:p>
    <w:p w14:paraId="52070347" w14:textId="095B48C6" w:rsidR="00C73A3D" w:rsidRDefault="006973B9" w:rsidP="00501CA4">
      <w:pPr>
        <w:numPr>
          <w:ilvl w:val="0"/>
          <w:numId w:val="42"/>
        </w:numPr>
        <w:spacing w:after="120"/>
      </w:pPr>
      <w:r>
        <w:t>F</w:t>
      </w:r>
      <w:r w:rsidRPr="00F2340E">
        <w:t>unded with state</w:t>
      </w:r>
      <w:r>
        <w:t xml:space="preserve">, </w:t>
      </w:r>
      <w:r w:rsidRPr="00F2340E">
        <w:t>local</w:t>
      </w:r>
      <w:r>
        <w:t>, or other federal</w:t>
      </w:r>
      <w:r w:rsidRPr="00F2340E">
        <w:t xml:space="preserve"> money last year</w:t>
      </w:r>
      <w:r>
        <w:t>.</w:t>
      </w:r>
    </w:p>
    <w:p w14:paraId="165F4DA3" w14:textId="4AF61ECF" w:rsidR="00D416DC" w:rsidRPr="00827CAC" w:rsidRDefault="00D416DC" w:rsidP="00827CAC">
      <w:pPr>
        <w:spacing w:after="120"/>
        <w:rPr>
          <w:rFonts w:cstheme="minorHAnsi"/>
        </w:rPr>
      </w:pPr>
      <w:r w:rsidRPr="00827CAC">
        <w:rPr>
          <w:rFonts w:cstheme="minorHAnsi"/>
          <w:color w:val="000000"/>
        </w:rPr>
        <w:lastRenderedPageBreak/>
        <w:t xml:space="preserve">For the second presumption, please note Title IV-B is more expansive than </w:t>
      </w:r>
      <w:r w:rsidR="00520C2C" w:rsidRPr="00827CAC">
        <w:rPr>
          <w:rFonts w:cstheme="minorHAnsi"/>
          <w:color w:val="000000"/>
        </w:rPr>
        <w:t xml:space="preserve">some </w:t>
      </w:r>
      <w:r w:rsidRPr="00827CAC">
        <w:rPr>
          <w:rFonts w:cstheme="minorHAnsi"/>
          <w:color w:val="000000"/>
        </w:rPr>
        <w:t>other programs and presumes supplanting when a district uses Title IV-B funds to pay for an activity that was funded with other federal funds last year.</w:t>
      </w:r>
    </w:p>
    <w:p w14:paraId="66D8A450" w14:textId="61C3854B" w:rsidR="006973B9" w:rsidRDefault="006973B9" w:rsidP="00501CA4">
      <w:pPr>
        <w:pStyle w:val="NormalWeb"/>
        <w:spacing w:before="120" w:beforeAutospacing="0" w:after="120" w:afterAutospacing="0" w:line="276" w:lineRule="auto"/>
        <w:ind w:right="259"/>
        <w:rPr>
          <w:rFonts w:asciiTheme="minorHAnsi" w:hAnsiTheme="minorHAnsi" w:cstheme="minorHAnsi"/>
          <w:sz w:val="22"/>
          <w:szCs w:val="22"/>
        </w:rPr>
      </w:pPr>
      <w:r w:rsidRPr="00DC0106">
        <w:rPr>
          <w:rFonts w:asciiTheme="minorHAnsi" w:hAnsiTheme="minorHAnsi" w:cstheme="minorHAnsi"/>
          <w:sz w:val="22"/>
          <w:szCs w:val="22"/>
        </w:rPr>
        <w:t>A</w:t>
      </w:r>
      <w:r>
        <w:rPr>
          <w:rFonts w:asciiTheme="minorHAnsi" w:hAnsiTheme="minorHAnsi" w:cstheme="minorHAnsi"/>
          <w:sz w:val="22"/>
          <w:szCs w:val="22"/>
        </w:rPr>
        <w:t xml:space="preserve"> district</w:t>
      </w:r>
      <w:r w:rsidRPr="00DC0106">
        <w:rPr>
          <w:rFonts w:asciiTheme="minorHAnsi" w:hAnsiTheme="minorHAnsi" w:cstheme="minorHAnsi"/>
          <w:sz w:val="22"/>
          <w:szCs w:val="22"/>
        </w:rPr>
        <w:t xml:space="preserve"> may overcome the second presumption of supplanting if it can demonstrate it cannot continue to support an activity with state</w:t>
      </w:r>
      <w:r>
        <w:rPr>
          <w:rFonts w:asciiTheme="minorHAnsi" w:hAnsiTheme="minorHAnsi" w:cstheme="minorHAnsi"/>
          <w:sz w:val="22"/>
          <w:szCs w:val="22"/>
        </w:rPr>
        <w:t xml:space="preserve">, </w:t>
      </w:r>
      <w:r w:rsidRPr="00DC0106">
        <w:rPr>
          <w:rFonts w:asciiTheme="minorHAnsi" w:hAnsiTheme="minorHAnsi" w:cstheme="minorHAnsi"/>
          <w:sz w:val="22"/>
          <w:szCs w:val="22"/>
        </w:rPr>
        <w:t>local</w:t>
      </w:r>
      <w:r>
        <w:rPr>
          <w:rFonts w:asciiTheme="minorHAnsi" w:hAnsiTheme="minorHAnsi" w:cstheme="minorHAnsi"/>
          <w:sz w:val="22"/>
          <w:szCs w:val="22"/>
        </w:rPr>
        <w:t>, or other federal</w:t>
      </w:r>
      <w:r w:rsidRPr="00DC0106">
        <w:rPr>
          <w:rFonts w:asciiTheme="minorHAnsi" w:hAnsiTheme="minorHAnsi" w:cstheme="minorHAnsi"/>
          <w:sz w:val="22"/>
          <w:szCs w:val="22"/>
        </w:rPr>
        <w:t xml:space="preserve"> funds because of funding reductions.</w:t>
      </w:r>
    </w:p>
    <w:p w14:paraId="3E89A938" w14:textId="066D4211" w:rsidR="0006283E" w:rsidRPr="00FD17A3" w:rsidRDefault="0006283E" w:rsidP="00FD17A3">
      <w:pPr>
        <w:pStyle w:val="Heading1"/>
        <w:ind w:right="255"/>
      </w:pPr>
      <w:r w:rsidRPr="00FD17A3">
        <w:t>Relationship of SNS to other ESSA Fiscal Tests</w:t>
      </w:r>
    </w:p>
    <w:p w14:paraId="6B9516D9" w14:textId="42C1ED52" w:rsidR="0006283E" w:rsidRPr="00FD17A3" w:rsidRDefault="0006283E" w:rsidP="0006283E">
      <w:pPr>
        <w:pStyle w:val="CommentText"/>
        <w:rPr>
          <w:rFonts w:eastAsia="Times New Roman" w:cstheme="minorHAnsi"/>
          <w:sz w:val="22"/>
          <w:szCs w:val="22"/>
        </w:rPr>
      </w:pPr>
      <w:r w:rsidRPr="00FD17A3">
        <w:rPr>
          <w:rFonts w:eastAsia="Times New Roman" w:cstheme="minorHAnsi"/>
          <w:sz w:val="22"/>
          <w:szCs w:val="22"/>
        </w:rPr>
        <w:t xml:space="preserve">ESSA includes other fiscal tests to ensure districts use </w:t>
      </w:r>
      <w:r w:rsidR="00827CAC">
        <w:rPr>
          <w:rFonts w:eastAsia="Times New Roman" w:cstheme="minorHAnsi"/>
          <w:sz w:val="22"/>
          <w:szCs w:val="22"/>
        </w:rPr>
        <w:t>F</w:t>
      </w:r>
      <w:r w:rsidRPr="00FD17A3">
        <w:rPr>
          <w:rFonts w:eastAsia="Times New Roman" w:cstheme="minorHAnsi"/>
          <w:sz w:val="22"/>
          <w:szCs w:val="22"/>
        </w:rPr>
        <w:t xml:space="preserve">ederal funds to increase educational spending.  </w:t>
      </w:r>
    </w:p>
    <w:p w14:paraId="2D239EBA" w14:textId="26B15BF2" w:rsidR="0006283E" w:rsidRPr="00FD17A3" w:rsidRDefault="0006283E" w:rsidP="00FD17A3">
      <w:pPr>
        <w:pStyle w:val="CommentText"/>
        <w:spacing w:line="276" w:lineRule="auto"/>
        <w:rPr>
          <w:rFonts w:eastAsia="Times New Roman" w:cstheme="minorHAnsi"/>
          <w:sz w:val="22"/>
          <w:szCs w:val="22"/>
        </w:rPr>
      </w:pPr>
      <w:r w:rsidRPr="00FD17A3">
        <w:rPr>
          <w:rFonts w:eastAsia="Times New Roman" w:cstheme="minorHAnsi"/>
          <w:sz w:val="22"/>
          <w:szCs w:val="22"/>
        </w:rPr>
        <w:t xml:space="preserve">For example, a </w:t>
      </w:r>
      <w:r w:rsidRPr="00501CA4">
        <w:rPr>
          <w:rFonts w:eastAsia="Times New Roman" w:cstheme="minorHAnsi"/>
          <w:b/>
          <w:sz w:val="22"/>
          <w:szCs w:val="22"/>
        </w:rPr>
        <w:t>maintenance of effort</w:t>
      </w:r>
      <w:r w:rsidRPr="00FD17A3">
        <w:rPr>
          <w:rFonts w:eastAsia="Times New Roman" w:cstheme="minorHAnsi"/>
          <w:sz w:val="22"/>
          <w:szCs w:val="22"/>
        </w:rPr>
        <w:t xml:space="preserve"> test compares how much state and local money districts spend on education from year to year.  In general, districts must spend at least 90% of the state and local money they spent the prior year on providing a free public education.</w:t>
      </w:r>
      <w:r>
        <w:rPr>
          <w:rStyle w:val="FootnoteReference"/>
          <w:rFonts w:eastAsia="Times New Roman" w:cstheme="minorHAnsi"/>
          <w:sz w:val="22"/>
          <w:szCs w:val="22"/>
        </w:rPr>
        <w:footnoteReference w:id="6"/>
      </w:r>
      <w:r>
        <w:rPr>
          <w:rFonts w:eastAsia="Times New Roman" w:cstheme="minorHAnsi"/>
          <w:sz w:val="22"/>
          <w:szCs w:val="22"/>
        </w:rPr>
        <w:t xml:space="preserve"> </w:t>
      </w:r>
      <w:r w:rsidRPr="00FD17A3">
        <w:rPr>
          <w:rFonts w:eastAsia="Times New Roman" w:cstheme="minorHAnsi"/>
          <w:sz w:val="22"/>
          <w:szCs w:val="22"/>
        </w:rPr>
        <w:t>The following programs are covered by ESSA’s maintenance of effort test: Title I-A, Title I-C, Title I-D, Title II-A, Title III-A, Title IV-A, Title IV-B, and Title V-B-2.</w:t>
      </w:r>
      <w:r>
        <w:rPr>
          <w:rStyle w:val="FootnoteReference"/>
          <w:rFonts w:eastAsia="Times New Roman" w:cstheme="minorHAnsi"/>
          <w:sz w:val="22"/>
          <w:szCs w:val="22"/>
        </w:rPr>
        <w:footnoteReference w:id="7"/>
      </w:r>
      <w:r w:rsidRPr="00FD17A3">
        <w:rPr>
          <w:rFonts w:eastAsia="Times New Roman" w:cstheme="minorHAnsi"/>
          <w:sz w:val="22"/>
          <w:szCs w:val="22"/>
        </w:rPr>
        <w:t xml:space="preserve">  </w:t>
      </w:r>
    </w:p>
    <w:p w14:paraId="457A52C5" w14:textId="2C7D2E2A" w:rsidR="007F0F2B" w:rsidRDefault="0006283E" w:rsidP="00CB78F6">
      <w:pPr>
        <w:pStyle w:val="CommentText"/>
        <w:spacing w:line="276" w:lineRule="auto"/>
        <w:rPr>
          <w:rFonts w:eastAsia="Times New Roman" w:cstheme="minorHAnsi"/>
          <w:sz w:val="22"/>
          <w:szCs w:val="22"/>
        </w:rPr>
      </w:pPr>
      <w:r w:rsidRPr="00FD17A3">
        <w:rPr>
          <w:rFonts w:eastAsia="Times New Roman" w:cstheme="minorHAnsi"/>
          <w:sz w:val="22"/>
          <w:szCs w:val="22"/>
        </w:rPr>
        <w:t xml:space="preserve">Also, as a condition of receiving Title I funds, districts must ensure that state and local funds are used to provide services that taken as a whole, are </w:t>
      </w:r>
      <w:r w:rsidRPr="00501CA4">
        <w:rPr>
          <w:rFonts w:eastAsia="Times New Roman" w:cstheme="minorHAnsi"/>
          <w:b/>
          <w:sz w:val="22"/>
          <w:szCs w:val="22"/>
        </w:rPr>
        <w:t xml:space="preserve">comparable </w:t>
      </w:r>
      <w:r w:rsidRPr="00FD17A3">
        <w:rPr>
          <w:rFonts w:eastAsia="Times New Roman" w:cstheme="minorHAnsi"/>
          <w:sz w:val="22"/>
          <w:szCs w:val="22"/>
        </w:rPr>
        <w:t>between Title I and non-Title I schools</w:t>
      </w:r>
      <w:r w:rsidR="002E65FC" w:rsidRPr="002E65FC">
        <w:rPr>
          <w:rFonts w:eastAsia="Times New Roman" w:cstheme="minorHAnsi"/>
          <w:sz w:val="22"/>
          <w:szCs w:val="22"/>
        </w:rPr>
        <w:t>.</w:t>
      </w:r>
      <w:r w:rsidR="002E65FC">
        <w:rPr>
          <w:rStyle w:val="FootnoteReference"/>
          <w:rFonts w:eastAsia="Times New Roman" w:cstheme="minorHAnsi"/>
          <w:sz w:val="22"/>
          <w:szCs w:val="22"/>
        </w:rPr>
        <w:footnoteReference w:id="8"/>
      </w:r>
      <w:r w:rsidR="002D5A4B">
        <w:rPr>
          <w:rFonts w:eastAsia="Times New Roman" w:cstheme="minorHAnsi"/>
          <w:sz w:val="22"/>
          <w:szCs w:val="22"/>
        </w:rPr>
        <w:t xml:space="preserve"> </w:t>
      </w:r>
      <w:r w:rsidRPr="00FD17A3">
        <w:rPr>
          <w:rFonts w:eastAsia="Times New Roman" w:cstheme="minorHAnsi"/>
          <w:sz w:val="22"/>
          <w:szCs w:val="22"/>
        </w:rPr>
        <w:t xml:space="preserve">In Oregon, this is done through submission of the </w:t>
      </w:r>
      <w:hyperlink r:id="rId13" w:history="1">
        <w:r w:rsidRPr="002D5A4B">
          <w:rPr>
            <w:rStyle w:val="Hyperlink"/>
            <w:rFonts w:eastAsia="Times New Roman" w:cstheme="minorHAnsi"/>
            <w:sz w:val="22"/>
            <w:szCs w:val="22"/>
          </w:rPr>
          <w:t>Comparability Report</w:t>
        </w:r>
      </w:hyperlink>
      <w:r w:rsidRPr="00FD17A3">
        <w:rPr>
          <w:rFonts w:eastAsia="Times New Roman" w:cstheme="minorHAnsi"/>
          <w:sz w:val="22"/>
          <w:szCs w:val="22"/>
        </w:rPr>
        <w:t xml:space="preserve">.   </w:t>
      </w:r>
    </w:p>
    <w:p w14:paraId="64E6D2AF" w14:textId="77777777" w:rsidR="002D5A4B" w:rsidRPr="00501CA4" w:rsidRDefault="002D5A4B" w:rsidP="002D5A4B">
      <w:pPr>
        <w:pStyle w:val="Heading1"/>
        <w:ind w:right="255"/>
        <w:rPr>
          <w:rFonts w:cstheme="minorHAnsi"/>
          <w:i/>
          <w:iCs/>
          <w:color w:val="1F497D" w:themeColor="text2"/>
          <w:sz w:val="28"/>
          <w:szCs w:val="28"/>
        </w:rPr>
      </w:pPr>
      <w:r w:rsidRPr="002D5A4B">
        <w:t>Elementary and Secondary School Emergency Relief (ESSER)</w:t>
      </w:r>
    </w:p>
    <w:p w14:paraId="7A0EB123" w14:textId="074F6DF9" w:rsidR="002D5A4B" w:rsidRPr="002D5A4B" w:rsidRDefault="002D5A4B" w:rsidP="002D5A4B">
      <w:pPr>
        <w:pStyle w:val="NormalWeb"/>
        <w:spacing w:before="0" w:beforeAutospacing="0" w:after="240" w:afterAutospacing="0" w:line="276" w:lineRule="auto"/>
        <w:ind w:right="259"/>
        <w:rPr>
          <w:rFonts w:asciiTheme="minorHAnsi" w:hAnsiTheme="minorHAnsi" w:cstheme="minorHAnsi"/>
          <w:sz w:val="22"/>
          <w:szCs w:val="22"/>
        </w:rPr>
      </w:pPr>
      <w:r w:rsidRPr="00501CA4">
        <w:rPr>
          <w:rFonts w:asciiTheme="minorHAnsi" w:hAnsiTheme="minorHAnsi" w:cstheme="minorHAnsi"/>
          <w:bCs/>
          <w:color w:val="000000"/>
          <w:sz w:val="22"/>
          <w:szCs w:val="22"/>
        </w:rPr>
        <w:t>Regarding Elementary and Secondary School Emergency Relief Funds (ESSER I, II, III),</w:t>
      </w:r>
      <w:r w:rsidRPr="00E123EB">
        <w:rPr>
          <w:rFonts w:asciiTheme="minorHAnsi" w:hAnsiTheme="minorHAnsi" w:cstheme="minorHAnsi"/>
          <w:b/>
          <w:bCs/>
          <w:color w:val="000000"/>
          <w:sz w:val="22"/>
          <w:szCs w:val="22"/>
        </w:rPr>
        <w:t xml:space="preserve"> </w:t>
      </w:r>
      <w:r w:rsidRPr="00E123EB">
        <w:rPr>
          <w:rFonts w:asciiTheme="minorHAnsi" w:hAnsiTheme="minorHAnsi" w:cstheme="minorHAnsi"/>
          <w:bCs/>
          <w:color w:val="000000"/>
          <w:sz w:val="22"/>
          <w:szCs w:val="22"/>
        </w:rPr>
        <w:t xml:space="preserve">these </w:t>
      </w:r>
      <w:r w:rsidRPr="00CA3E1E">
        <w:rPr>
          <w:rFonts w:asciiTheme="minorHAnsi" w:hAnsiTheme="minorHAnsi" w:cstheme="minorHAnsi"/>
          <w:bCs/>
          <w:color w:val="000000"/>
          <w:sz w:val="22"/>
          <w:szCs w:val="22"/>
        </w:rPr>
        <w:t>funds allocated through the CARES Act, the CRSSA Act, and the ARP</w:t>
      </w:r>
      <w:r w:rsidRPr="0056630B">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Act </w:t>
      </w:r>
      <w:r w:rsidRPr="0056630B">
        <w:rPr>
          <w:rFonts w:asciiTheme="minorHAnsi" w:hAnsiTheme="minorHAnsi" w:cstheme="minorHAnsi"/>
          <w:bCs/>
          <w:color w:val="000000"/>
          <w:sz w:val="22"/>
          <w:szCs w:val="22"/>
        </w:rPr>
        <w:t xml:space="preserve">are intended to serve as emergency relief monies to address the impact of the COVID-19 pandemic on students, educators, and schools. </w:t>
      </w:r>
      <w:r w:rsidRPr="00D70D9E">
        <w:rPr>
          <w:rFonts w:asciiTheme="minorHAnsi" w:hAnsiTheme="minorHAnsi" w:cstheme="minorHAnsi"/>
          <w:b/>
          <w:bCs/>
          <w:color w:val="000000"/>
          <w:sz w:val="22"/>
          <w:szCs w:val="22"/>
        </w:rPr>
        <w:t xml:space="preserve">These funds </w:t>
      </w:r>
      <w:r w:rsidR="00E16AE9">
        <w:rPr>
          <w:rFonts w:asciiTheme="minorHAnsi" w:hAnsiTheme="minorHAnsi" w:cstheme="minorHAnsi"/>
          <w:b/>
          <w:sz w:val="22"/>
          <w:szCs w:val="22"/>
        </w:rPr>
        <w:t>are not subject</w:t>
      </w:r>
      <w:r w:rsidRPr="00D70D9E">
        <w:rPr>
          <w:rFonts w:asciiTheme="minorHAnsi" w:hAnsiTheme="minorHAnsi" w:cstheme="minorHAnsi"/>
          <w:b/>
          <w:sz w:val="22"/>
          <w:szCs w:val="22"/>
        </w:rPr>
        <w:t xml:space="preserve"> to the SNS rules and considerations.</w:t>
      </w:r>
      <w:r>
        <w:rPr>
          <w:rFonts w:asciiTheme="minorHAnsi" w:hAnsiTheme="minorHAnsi" w:cstheme="minorHAnsi"/>
          <w:sz w:val="22"/>
          <w:szCs w:val="22"/>
        </w:rPr>
        <w:t xml:space="preserve"> A</w:t>
      </w:r>
      <w:r w:rsidRPr="0056630B">
        <w:rPr>
          <w:rFonts w:asciiTheme="minorHAnsi" w:hAnsiTheme="minorHAnsi" w:cstheme="minorHAnsi"/>
          <w:sz w:val="22"/>
          <w:szCs w:val="22"/>
        </w:rPr>
        <w:t>s a result, districts have flexibility to allocate those funds in a manner cons</w:t>
      </w:r>
      <w:r w:rsidRPr="006441E6">
        <w:rPr>
          <w:rFonts w:asciiTheme="minorHAnsi" w:hAnsiTheme="minorHAnsi" w:cstheme="minorHAnsi"/>
          <w:sz w:val="22"/>
          <w:szCs w:val="22"/>
        </w:rPr>
        <w:t>istent with district priorities</w:t>
      </w:r>
      <w:r>
        <w:rPr>
          <w:rFonts w:asciiTheme="minorHAnsi" w:hAnsiTheme="minorHAnsi" w:cstheme="minorHAnsi"/>
          <w:sz w:val="22"/>
          <w:szCs w:val="22"/>
        </w:rPr>
        <w:t xml:space="preserve">, </w:t>
      </w:r>
      <w:r w:rsidRPr="0056630B">
        <w:rPr>
          <w:rFonts w:asciiTheme="minorHAnsi" w:hAnsiTheme="minorHAnsi" w:cstheme="minorHAnsi"/>
          <w:sz w:val="22"/>
          <w:szCs w:val="22"/>
        </w:rPr>
        <w:t>students’ academic and social strengths and needs</w:t>
      </w:r>
      <w:r>
        <w:rPr>
          <w:rFonts w:asciiTheme="minorHAnsi" w:hAnsiTheme="minorHAnsi" w:cstheme="minorHAnsi"/>
          <w:sz w:val="22"/>
          <w:szCs w:val="22"/>
        </w:rPr>
        <w:t xml:space="preserve">, and the ESSER I, II, III spending parameters. </w:t>
      </w:r>
    </w:p>
    <w:p w14:paraId="6DDC0F09" w14:textId="77777777" w:rsidR="007F0F2B" w:rsidRPr="00E11AB1" w:rsidRDefault="007F0F2B" w:rsidP="00B16D9F">
      <w:pPr>
        <w:pStyle w:val="Heading1"/>
        <w:rPr>
          <w:rStyle w:val="Heading2Char"/>
          <w:rFonts w:ascii="Calibri" w:eastAsiaTheme="minorHAnsi" w:hAnsi="Calibri" w:cs="Calibri"/>
          <w:color w:val="0000FF" w:themeColor="hyperlink"/>
          <w:sz w:val="22"/>
          <w:szCs w:val="22"/>
          <w:u w:val="single"/>
        </w:rPr>
      </w:pPr>
      <w:r w:rsidRPr="00E11AB1">
        <w:rPr>
          <w:rStyle w:val="Heading2Char"/>
          <w:sz w:val="32"/>
          <w:szCs w:val="32"/>
        </w:rPr>
        <w:t xml:space="preserve">Resources </w:t>
      </w:r>
    </w:p>
    <w:p w14:paraId="2E39B206" w14:textId="77777777" w:rsidR="007F0F2B" w:rsidRDefault="007F0F2B" w:rsidP="007F0F2B">
      <w:pPr>
        <w:pStyle w:val="NormalWeb"/>
        <w:numPr>
          <w:ilvl w:val="0"/>
          <w:numId w:val="25"/>
        </w:numPr>
        <w:spacing w:before="120" w:beforeAutospacing="0" w:after="120" w:afterAutospacing="0"/>
        <w:ind w:right="259"/>
        <w:rPr>
          <w:rFonts w:asciiTheme="minorHAnsi" w:hAnsiTheme="minorHAnsi" w:cstheme="minorHAnsi"/>
          <w:color w:val="000000"/>
          <w:sz w:val="22"/>
          <w:szCs w:val="22"/>
        </w:rPr>
      </w:pPr>
      <w:hyperlink r:id="rId14" w:history="1">
        <w:r w:rsidRPr="00827CAC">
          <w:rPr>
            <w:rStyle w:val="Hyperlink"/>
            <w:rFonts w:asciiTheme="minorHAnsi" w:hAnsiTheme="minorHAnsi" w:cstheme="minorHAnsi"/>
            <w:color w:val="3333FF"/>
            <w:sz w:val="22"/>
            <w:szCs w:val="22"/>
          </w:rPr>
          <w:t>Supplement Not Supplant Guidance for Title I, Part A</w:t>
        </w:r>
      </w:hyperlink>
      <w:r w:rsidRPr="000D6110">
        <w:rPr>
          <w:rFonts w:asciiTheme="minorHAnsi" w:hAnsiTheme="minorHAnsi" w:cstheme="minorHAnsi"/>
          <w:color w:val="000000"/>
          <w:sz w:val="22"/>
          <w:szCs w:val="22"/>
        </w:rPr>
        <w:t xml:space="preserve"> (USED)</w:t>
      </w:r>
    </w:p>
    <w:p w14:paraId="766F5D6E" w14:textId="404CEF91" w:rsidR="007F0F2B" w:rsidRDefault="00773A70" w:rsidP="007F0F2B">
      <w:pPr>
        <w:pStyle w:val="NormalWeb"/>
        <w:numPr>
          <w:ilvl w:val="0"/>
          <w:numId w:val="25"/>
        </w:numPr>
        <w:spacing w:before="120" w:beforeAutospacing="0" w:after="120" w:afterAutospacing="0"/>
        <w:ind w:right="259"/>
        <w:rPr>
          <w:rFonts w:asciiTheme="minorHAnsi" w:hAnsiTheme="minorHAnsi" w:cstheme="minorHAnsi"/>
          <w:color w:val="000000"/>
          <w:sz w:val="22"/>
          <w:szCs w:val="22"/>
        </w:rPr>
      </w:pPr>
      <w:hyperlink r:id="rId15" w:history="1">
        <w:r w:rsidR="007F0F2B" w:rsidRPr="00773A70">
          <w:rPr>
            <w:rStyle w:val="Hyperlink"/>
            <w:rFonts w:asciiTheme="minorHAnsi" w:hAnsiTheme="minorHAnsi" w:cstheme="minorHAnsi"/>
            <w:sz w:val="22"/>
            <w:szCs w:val="22"/>
          </w:rPr>
          <w:t>Non-Regulatory Guidance Title I, Pa</w:t>
        </w:r>
        <w:r w:rsidR="007F0F2B" w:rsidRPr="00773A70">
          <w:rPr>
            <w:rStyle w:val="Hyperlink"/>
            <w:rFonts w:asciiTheme="minorHAnsi" w:hAnsiTheme="minorHAnsi" w:cstheme="minorHAnsi"/>
            <w:sz w:val="22"/>
            <w:szCs w:val="22"/>
          </w:rPr>
          <w:t>r</w:t>
        </w:r>
        <w:r w:rsidR="007F0F2B" w:rsidRPr="00773A70">
          <w:rPr>
            <w:rStyle w:val="Hyperlink"/>
            <w:rFonts w:asciiTheme="minorHAnsi" w:hAnsiTheme="minorHAnsi" w:cstheme="minorHAnsi"/>
            <w:sz w:val="22"/>
            <w:szCs w:val="22"/>
          </w:rPr>
          <w:t>t C</w:t>
        </w:r>
      </w:hyperlink>
      <w:r w:rsidR="007F0F2B">
        <w:rPr>
          <w:rFonts w:asciiTheme="minorHAnsi" w:hAnsiTheme="minorHAnsi" w:cstheme="minorHAnsi"/>
          <w:color w:val="000000"/>
          <w:sz w:val="22"/>
          <w:szCs w:val="22"/>
        </w:rPr>
        <w:t xml:space="preserve"> (USED)</w:t>
      </w:r>
    </w:p>
    <w:p w14:paraId="29602937" w14:textId="6AA808F7" w:rsidR="007F0F2B" w:rsidRDefault="007F0F2B" w:rsidP="007F0F2B">
      <w:pPr>
        <w:pStyle w:val="NormalWeb"/>
        <w:numPr>
          <w:ilvl w:val="0"/>
          <w:numId w:val="25"/>
        </w:numPr>
        <w:spacing w:before="120" w:beforeAutospacing="0" w:after="120" w:afterAutospacing="0"/>
        <w:ind w:right="259"/>
        <w:rPr>
          <w:rFonts w:asciiTheme="minorHAnsi" w:hAnsiTheme="minorHAnsi" w:cstheme="minorHAnsi"/>
          <w:color w:val="000000"/>
          <w:sz w:val="22"/>
          <w:szCs w:val="22"/>
        </w:rPr>
      </w:pPr>
      <w:hyperlink r:id="rId16" w:history="1">
        <w:r>
          <w:rPr>
            <w:rStyle w:val="Hyperlink"/>
            <w:rFonts w:asciiTheme="minorHAnsi" w:hAnsiTheme="minorHAnsi" w:cstheme="minorHAnsi"/>
            <w:sz w:val="22"/>
            <w:szCs w:val="22"/>
          </w:rPr>
          <w:t>Dear Colleague Letter Regarding English Learners</w:t>
        </w:r>
      </w:hyperlink>
      <w:r>
        <w:rPr>
          <w:rFonts w:asciiTheme="minorHAnsi" w:hAnsiTheme="minorHAnsi" w:cstheme="minorHAnsi"/>
          <w:color w:val="000000"/>
          <w:sz w:val="22"/>
          <w:szCs w:val="22"/>
        </w:rPr>
        <w:t xml:space="preserve"> (USED)</w:t>
      </w:r>
    </w:p>
    <w:p w14:paraId="4B6CE856" w14:textId="309D2B87" w:rsidR="00827CAC" w:rsidRDefault="00827CAC" w:rsidP="007F0F2B">
      <w:pPr>
        <w:pStyle w:val="NormalWeb"/>
        <w:numPr>
          <w:ilvl w:val="0"/>
          <w:numId w:val="25"/>
        </w:numPr>
        <w:spacing w:before="120" w:beforeAutospacing="0" w:after="120" w:afterAutospacing="0"/>
        <w:ind w:right="259"/>
        <w:rPr>
          <w:rFonts w:asciiTheme="minorHAnsi" w:hAnsiTheme="minorHAnsi" w:cstheme="minorHAnsi"/>
          <w:color w:val="000000"/>
          <w:sz w:val="22"/>
          <w:szCs w:val="22"/>
        </w:rPr>
      </w:pPr>
      <w:hyperlink r:id="rId17" w:history="1">
        <w:r w:rsidRPr="00827CAC">
          <w:rPr>
            <w:rStyle w:val="Hyperlink"/>
            <w:rFonts w:asciiTheme="minorHAnsi" w:hAnsiTheme="minorHAnsi" w:cstheme="minorHAnsi"/>
            <w:sz w:val="22"/>
            <w:szCs w:val="22"/>
          </w:rPr>
          <w:t>Title II, Part A Non-Regulatory Guidance</w:t>
        </w:r>
      </w:hyperlink>
      <w:r>
        <w:rPr>
          <w:rFonts w:asciiTheme="minorHAnsi" w:hAnsiTheme="minorHAnsi" w:cstheme="minorHAnsi"/>
          <w:color w:val="000000"/>
          <w:sz w:val="22"/>
          <w:szCs w:val="22"/>
        </w:rPr>
        <w:t xml:space="preserve"> (USED)</w:t>
      </w:r>
    </w:p>
    <w:p w14:paraId="6919FE51" w14:textId="522847C4" w:rsidR="007F0F2B" w:rsidRDefault="00827CAC" w:rsidP="007F0F2B">
      <w:pPr>
        <w:pStyle w:val="NormalWeb"/>
        <w:numPr>
          <w:ilvl w:val="0"/>
          <w:numId w:val="25"/>
        </w:numPr>
        <w:spacing w:before="120" w:beforeAutospacing="0" w:after="120" w:afterAutospacing="0"/>
        <w:ind w:right="259"/>
        <w:rPr>
          <w:rFonts w:asciiTheme="minorHAnsi" w:hAnsiTheme="minorHAnsi" w:cstheme="minorHAnsi"/>
          <w:color w:val="000000"/>
          <w:sz w:val="22"/>
          <w:szCs w:val="22"/>
        </w:rPr>
      </w:pPr>
      <w:hyperlink r:id="rId18" w:history="1">
        <w:r>
          <w:rPr>
            <w:rStyle w:val="Hyperlink"/>
            <w:rFonts w:asciiTheme="minorHAnsi" w:hAnsiTheme="minorHAnsi" w:cstheme="minorHAnsi"/>
            <w:sz w:val="22"/>
            <w:szCs w:val="22"/>
          </w:rPr>
          <w:t>Title III, Part A Non-Regulatory Guidance</w:t>
        </w:r>
      </w:hyperlink>
      <w:r w:rsidR="007F0F2B">
        <w:rPr>
          <w:rFonts w:asciiTheme="minorHAnsi" w:hAnsiTheme="minorHAnsi" w:cstheme="minorHAnsi"/>
          <w:color w:val="000000"/>
          <w:sz w:val="22"/>
          <w:szCs w:val="22"/>
        </w:rPr>
        <w:t xml:space="preserve"> (USED)</w:t>
      </w:r>
    </w:p>
    <w:p w14:paraId="253E5360" w14:textId="5D02C2F6" w:rsidR="007F0F2B" w:rsidRDefault="007F0F2B" w:rsidP="007F0F2B">
      <w:pPr>
        <w:pStyle w:val="NormalWeb"/>
        <w:numPr>
          <w:ilvl w:val="0"/>
          <w:numId w:val="25"/>
        </w:numPr>
        <w:spacing w:before="120" w:beforeAutospacing="0" w:after="120" w:afterAutospacing="0"/>
        <w:ind w:right="259"/>
        <w:rPr>
          <w:rFonts w:asciiTheme="minorHAnsi" w:hAnsiTheme="minorHAnsi" w:cstheme="minorHAnsi"/>
          <w:color w:val="000000"/>
          <w:sz w:val="22"/>
          <w:szCs w:val="22"/>
        </w:rPr>
      </w:pPr>
      <w:hyperlink r:id="rId19" w:history="1">
        <w:r w:rsidRPr="00CB5843">
          <w:rPr>
            <w:rStyle w:val="Hyperlink"/>
            <w:rFonts w:asciiTheme="minorHAnsi" w:hAnsiTheme="minorHAnsi" w:cstheme="minorHAnsi"/>
            <w:sz w:val="22"/>
            <w:szCs w:val="22"/>
          </w:rPr>
          <w:t>Addendum to Non-Regulatory Guidance: English Learners and Title III (</w:t>
        </w:r>
      </w:hyperlink>
      <w:r>
        <w:rPr>
          <w:rFonts w:asciiTheme="minorHAnsi" w:hAnsiTheme="minorHAnsi" w:cstheme="minorHAnsi"/>
          <w:color w:val="000000"/>
          <w:sz w:val="22"/>
          <w:szCs w:val="22"/>
        </w:rPr>
        <w:t>USED)</w:t>
      </w:r>
    </w:p>
    <w:p w14:paraId="4DFE40A4" w14:textId="2C627C21" w:rsidR="00EE7D47" w:rsidRDefault="00EE7D47" w:rsidP="007F0F2B">
      <w:pPr>
        <w:pStyle w:val="NormalWeb"/>
        <w:numPr>
          <w:ilvl w:val="0"/>
          <w:numId w:val="25"/>
        </w:numPr>
        <w:spacing w:before="120" w:beforeAutospacing="0" w:after="120" w:afterAutospacing="0"/>
        <w:ind w:right="259"/>
        <w:rPr>
          <w:rFonts w:asciiTheme="minorHAnsi" w:hAnsiTheme="minorHAnsi" w:cstheme="minorHAnsi"/>
          <w:color w:val="000000"/>
          <w:sz w:val="22"/>
          <w:szCs w:val="22"/>
        </w:rPr>
      </w:pPr>
      <w:hyperlink r:id="rId20" w:history="1">
        <w:r w:rsidRPr="00EE7D47">
          <w:rPr>
            <w:rStyle w:val="Hyperlink"/>
            <w:rFonts w:asciiTheme="minorHAnsi" w:hAnsiTheme="minorHAnsi" w:cstheme="minorHAnsi"/>
            <w:sz w:val="22"/>
            <w:szCs w:val="22"/>
          </w:rPr>
          <w:t>Title IV, Part A Guidance</w:t>
        </w:r>
      </w:hyperlink>
      <w:r>
        <w:rPr>
          <w:rFonts w:asciiTheme="minorHAnsi" w:hAnsiTheme="minorHAnsi" w:cstheme="minorHAnsi"/>
          <w:color w:val="000000"/>
          <w:sz w:val="22"/>
          <w:szCs w:val="22"/>
        </w:rPr>
        <w:t xml:space="preserve"> (USED)</w:t>
      </w:r>
    </w:p>
    <w:p w14:paraId="2C3F7FC2" w14:textId="77777777" w:rsidR="007F0F2B" w:rsidRDefault="007F0F2B" w:rsidP="007F0F2B">
      <w:pPr>
        <w:pStyle w:val="NormalWeb"/>
        <w:numPr>
          <w:ilvl w:val="0"/>
          <w:numId w:val="25"/>
        </w:numPr>
        <w:spacing w:before="120" w:beforeAutospacing="0" w:after="120" w:afterAutospacing="0"/>
        <w:ind w:right="259"/>
        <w:rPr>
          <w:rFonts w:asciiTheme="minorHAnsi" w:hAnsiTheme="minorHAnsi" w:cstheme="minorHAnsi"/>
          <w:sz w:val="22"/>
          <w:szCs w:val="22"/>
        </w:rPr>
      </w:pPr>
      <w:hyperlink r:id="rId21" w:history="1">
        <w:r w:rsidRPr="00827CAC">
          <w:rPr>
            <w:rStyle w:val="Hyperlink"/>
            <w:rFonts w:asciiTheme="minorHAnsi" w:hAnsiTheme="minorHAnsi" w:cstheme="minorHAnsi"/>
            <w:color w:val="3333FF"/>
            <w:sz w:val="22"/>
            <w:szCs w:val="22"/>
          </w:rPr>
          <w:t>Oregon Federal Funds Guide</w:t>
        </w:r>
      </w:hyperlink>
      <w:r>
        <w:rPr>
          <w:rFonts w:asciiTheme="minorHAnsi" w:hAnsiTheme="minorHAnsi" w:cstheme="minorHAnsi"/>
          <w:sz w:val="22"/>
          <w:szCs w:val="22"/>
        </w:rPr>
        <w:t xml:space="preserve"> (ODE)</w:t>
      </w:r>
    </w:p>
    <w:p w14:paraId="1B150787" w14:textId="77777777" w:rsidR="007F0F2B" w:rsidRPr="00C54B5D" w:rsidRDefault="007F0F2B" w:rsidP="007F0F2B">
      <w:pPr>
        <w:pStyle w:val="NormalWeb"/>
        <w:numPr>
          <w:ilvl w:val="0"/>
          <w:numId w:val="25"/>
        </w:numPr>
        <w:spacing w:before="120" w:beforeAutospacing="0" w:after="120" w:afterAutospacing="0"/>
        <w:ind w:right="259"/>
        <w:rPr>
          <w:rFonts w:asciiTheme="minorHAnsi" w:hAnsiTheme="minorHAnsi" w:cstheme="minorHAnsi"/>
          <w:sz w:val="22"/>
          <w:szCs w:val="22"/>
        </w:rPr>
      </w:pPr>
      <w:hyperlink r:id="rId22" w:history="1">
        <w:r w:rsidRPr="0066491A">
          <w:rPr>
            <w:rStyle w:val="Hyperlink"/>
            <w:rFonts w:asciiTheme="minorHAnsi" w:hAnsiTheme="minorHAnsi" w:cstheme="minorHAnsi"/>
            <w:sz w:val="22"/>
            <w:szCs w:val="22"/>
          </w:rPr>
          <w:t>Title I-A Methodology Statement</w:t>
        </w:r>
      </w:hyperlink>
      <w:r>
        <w:rPr>
          <w:rFonts w:asciiTheme="minorHAnsi" w:hAnsiTheme="minorHAnsi" w:cstheme="minorHAnsi"/>
          <w:sz w:val="22"/>
          <w:szCs w:val="22"/>
        </w:rPr>
        <w:t xml:space="preserve"> (ODE)</w:t>
      </w:r>
    </w:p>
    <w:p w14:paraId="76610068" w14:textId="77777777" w:rsidR="00987EEF" w:rsidRDefault="007F0F2B">
      <w:pPr>
        <w:pStyle w:val="NormalWeb"/>
        <w:numPr>
          <w:ilvl w:val="0"/>
          <w:numId w:val="25"/>
        </w:numPr>
        <w:spacing w:before="120" w:beforeAutospacing="0" w:after="120" w:afterAutospacing="0"/>
        <w:ind w:right="259"/>
        <w:rPr>
          <w:rFonts w:asciiTheme="minorHAnsi" w:hAnsiTheme="minorHAnsi" w:cstheme="minorHAnsi"/>
          <w:sz w:val="22"/>
          <w:szCs w:val="22"/>
        </w:rPr>
      </w:pPr>
      <w:hyperlink r:id="rId23" w:history="1">
        <w:r w:rsidRPr="00827CAC">
          <w:rPr>
            <w:rStyle w:val="Hyperlink"/>
            <w:rFonts w:asciiTheme="minorHAnsi" w:hAnsiTheme="minorHAnsi" w:cstheme="minorHAnsi"/>
            <w:color w:val="3333FF"/>
            <w:sz w:val="22"/>
            <w:szCs w:val="22"/>
          </w:rPr>
          <w:t>Comparability Report Frequently Asked Questions</w:t>
        </w:r>
      </w:hyperlink>
      <w:r w:rsidRPr="00827CAC">
        <w:rPr>
          <w:rFonts w:asciiTheme="minorHAnsi" w:hAnsiTheme="minorHAnsi" w:cstheme="minorHAnsi"/>
          <w:color w:val="3333FF"/>
          <w:sz w:val="22"/>
          <w:szCs w:val="22"/>
        </w:rPr>
        <w:t xml:space="preserve"> </w:t>
      </w:r>
      <w:r w:rsidRPr="000D6110">
        <w:rPr>
          <w:rFonts w:asciiTheme="minorHAnsi" w:hAnsiTheme="minorHAnsi" w:cstheme="minorHAnsi"/>
          <w:color w:val="000000"/>
          <w:sz w:val="22"/>
          <w:szCs w:val="22"/>
        </w:rPr>
        <w:t>(O</w:t>
      </w:r>
      <w:r>
        <w:rPr>
          <w:rFonts w:asciiTheme="minorHAnsi" w:hAnsiTheme="minorHAnsi" w:cstheme="minorHAnsi"/>
          <w:color w:val="000000"/>
          <w:sz w:val="22"/>
          <w:szCs w:val="22"/>
        </w:rPr>
        <w:t>DE</w:t>
      </w:r>
      <w:r w:rsidRPr="000D6110">
        <w:rPr>
          <w:rFonts w:asciiTheme="minorHAnsi" w:hAnsiTheme="minorHAnsi" w:cstheme="minorHAnsi"/>
          <w:color w:val="000000"/>
          <w:sz w:val="22"/>
          <w:szCs w:val="22"/>
        </w:rPr>
        <w:t>)</w:t>
      </w:r>
    </w:p>
    <w:p w14:paraId="771ED4E0" w14:textId="03D07169" w:rsidR="00987EEF" w:rsidRPr="00987EEF" w:rsidRDefault="00827CAC">
      <w:pPr>
        <w:pStyle w:val="NormalWeb"/>
        <w:numPr>
          <w:ilvl w:val="0"/>
          <w:numId w:val="25"/>
        </w:numPr>
        <w:spacing w:before="120" w:beforeAutospacing="0" w:after="120" w:afterAutospacing="0"/>
        <w:ind w:right="259"/>
        <w:rPr>
          <w:rFonts w:asciiTheme="minorHAnsi" w:hAnsiTheme="minorHAnsi" w:cstheme="minorHAnsi"/>
          <w:sz w:val="22"/>
          <w:szCs w:val="22"/>
        </w:rPr>
      </w:pPr>
      <w:hyperlink r:id="rId24" w:history="1">
        <w:r>
          <w:rPr>
            <w:rStyle w:val="Hyperlink"/>
            <w:rFonts w:asciiTheme="minorHAnsi" w:hAnsiTheme="minorHAnsi" w:cstheme="minorHAnsi"/>
            <w:sz w:val="22"/>
            <w:szCs w:val="22"/>
          </w:rPr>
          <w:t>Title IV, Part B (21st CCLC Companion Guidance to RSSL</w:t>
        </w:r>
      </w:hyperlink>
      <w:r w:rsidR="00987EEF" w:rsidRPr="00987EEF">
        <w:rPr>
          <w:rFonts w:cstheme="minorHAnsi"/>
        </w:rPr>
        <w:t xml:space="preserve"> </w:t>
      </w:r>
      <w:r w:rsidR="00987EEF" w:rsidRPr="00827CAC">
        <w:rPr>
          <w:rFonts w:asciiTheme="minorHAnsi" w:hAnsiTheme="minorHAnsi" w:cstheme="minorHAnsi"/>
          <w:sz w:val="22"/>
          <w:szCs w:val="22"/>
        </w:rPr>
        <w:t>(ODE)</w:t>
      </w:r>
    </w:p>
    <w:p w14:paraId="3668DDE2" w14:textId="6EC376B9" w:rsidR="00000C60" w:rsidRPr="002D5A4B" w:rsidRDefault="00321E91" w:rsidP="002D5A4B">
      <w:pPr>
        <w:pStyle w:val="Heading1"/>
        <w:ind w:right="255"/>
      </w:pPr>
      <w:r w:rsidRPr="00E11AB1">
        <w:rPr>
          <w:rStyle w:val="Heading2Char"/>
          <w:sz w:val="32"/>
          <w:szCs w:val="32"/>
        </w:rPr>
        <w:t>Sample Scenarios</w:t>
      </w:r>
    </w:p>
    <w:p w14:paraId="61A83509" w14:textId="77777777" w:rsidR="0096750A" w:rsidRPr="00841363" w:rsidRDefault="0096750A" w:rsidP="0096750A">
      <w:pPr>
        <w:pStyle w:val="ListParagraph"/>
        <w:numPr>
          <w:ilvl w:val="3"/>
          <w:numId w:val="21"/>
        </w:numPr>
        <w:spacing w:after="0"/>
        <w:ind w:left="360" w:right="255"/>
        <w:jc w:val="both"/>
        <w:rPr>
          <w:color w:val="365F91" w:themeColor="accent1" w:themeShade="BF"/>
        </w:rPr>
      </w:pPr>
      <w:r w:rsidRPr="00000C60">
        <w:rPr>
          <w:color w:val="000000" w:themeColor="text1"/>
        </w:rPr>
        <w:t xml:space="preserve">A district was paying for an elementary school’s digital </w:t>
      </w:r>
      <w:r>
        <w:rPr>
          <w:color w:val="000000" w:themeColor="text1"/>
        </w:rPr>
        <w:t>learning software with Title I-</w:t>
      </w:r>
      <w:r w:rsidRPr="00000C60">
        <w:rPr>
          <w:color w:val="000000" w:themeColor="text1"/>
        </w:rPr>
        <w:t xml:space="preserve">A </w:t>
      </w:r>
      <w:proofErr w:type="gramStart"/>
      <w:r w:rsidRPr="00000C60">
        <w:rPr>
          <w:color w:val="000000" w:themeColor="text1"/>
        </w:rPr>
        <w:t>funds, but</w:t>
      </w:r>
      <w:proofErr w:type="gramEnd"/>
      <w:r w:rsidRPr="00000C60">
        <w:rPr>
          <w:color w:val="000000" w:themeColor="text1"/>
        </w:rPr>
        <w:t xml:space="preserve"> wants to use those funds for math intervention this year.</w:t>
      </w:r>
      <w:r>
        <w:rPr>
          <w:color w:val="000000" w:themeColor="text1"/>
        </w:rPr>
        <w:t xml:space="preserve"> If the district uses Title IV-</w:t>
      </w:r>
      <w:r w:rsidRPr="00000C60">
        <w:rPr>
          <w:color w:val="000000" w:themeColor="text1"/>
        </w:rPr>
        <w:t>A funds to pay for the digital learni</w:t>
      </w:r>
      <w:r>
        <w:rPr>
          <w:color w:val="000000" w:themeColor="text1"/>
        </w:rPr>
        <w:t>ng software, is it supplanting?</w:t>
      </w:r>
      <w:r w:rsidRPr="00BF65DA">
        <w:rPr>
          <w:i/>
          <w:color w:val="1F497D" w:themeColor="text2"/>
        </w:rPr>
        <w:t xml:space="preserve"> No, this switch would not be supplanting and would be allowable assuming other Title IV, A requirements are met. For Title IV-A, supplanting applies only to replacing state and local funds</w:t>
      </w:r>
      <w:r w:rsidRPr="00BF65DA">
        <w:rPr>
          <w:color w:val="1F497D" w:themeColor="text2"/>
        </w:rPr>
        <w:t>.</w:t>
      </w:r>
    </w:p>
    <w:p w14:paraId="0D078220" w14:textId="77777777" w:rsidR="0096750A" w:rsidRPr="00841363" w:rsidRDefault="0096750A" w:rsidP="0096750A">
      <w:pPr>
        <w:pStyle w:val="ListParagraph"/>
        <w:spacing w:after="0"/>
        <w:ind w:left="360" w:right="255"/>
        <w:jc w:val="both"/>
        <w:rPr>
          <w:color w:val="365F91" w:themeColor="accent1" w:themeShade="BF"/>
        </w:rPr>
      </w:pPr>
    </w:p>
    <w:p w14:paraId="55DAF610" w14:textId="77777777" w:rsidR="0096750A" w:rsidRPr="00B033A3" w:rsidRDefault="0096750A" w:rsidP="0096750A">
      <w:pPr>
        <w:pStyle w:val="ListParagraph"/>
        <w:numPr>
          <w:ilvl w:val="3"/>
          <w:numId w:val="21"/>
        </w:numPr>
        <w:ind w:left="360" w:right="255"/>
        <w:rPr>
          <w:rFonts w:cstheme="minorHAnsi"/>
          <w:color w:val="548DD4" w:themeColor="text2" w:themeTint="99"/>
        </w:rPr>
      </w:pPr>
      <w:r w:rsidRPr="00841363">
        <w:rPr>
          <w:rFonts w:cstheme="minorHAnsi"/>
          <w:color w:val="000000"/>
        </w:rPr>
        <w:t>A district is purchasing computers for all students to engage in distance learning and wants to use its Title I-C funds to pay for computers that will be provided to migrant students. Is this supplanting?</w:t>
      </w:r>
      <w:r w:rsidRPr="00BF65DA">
        <w:rPr>
          <w:rFonts w:cstheme="minorHAnsi"/>
          <w:i/>
          <w:iCs/>
          <w:color w:val="005296"/>
        </w:rPr>
        <w:t xml:space="preserve"> Yes. Using Title I-C funds to purchase the same technology for migrant students that are purchased for non-migrant students from other state, local, or federal funds would be considered supplanting.</w:t>
      </w:r>
    </w:p>
    <w:p w14:paraId="4C1EAF8F" w14:textId="77777777" w:rsidR="0096750A" w:rsidRPr="00B033A3" w:rsidRDefault="0096750A" w:rsidP="0096750A">
      <w:pPr>
        <w:pStyle w:val="ListParagraph"/>
        <w:rPr>
          <w:rFonts w:cstheme="minorHAnsi"/>
          <w:color w:val="548DD4" w:themeColor="text2" w:themeTint="99"/>
        </w:rPr>
      </w:pPr>
    </w:p>
    <w:p w14:paraId="5041E26E" w14:textId="2124D3F8" w:rsidR="0096750A" w:rsidRPr="00965847" w:rsidRDefault="0096750A" w:rsidP="0096750A">
      <w:pPr>
        <w:pStyle w:val="ListParagraph"/>
        <w:numPr>
          <w:ilvl w:val="3"/>
          <w:numId w:val="21"/>
        </w:numPr>
        <w:ind w:left="360" w:right="255"/>
        <w:rPr>
          <w:rFonts w:cstheme="minorHAnsi"/>
          <w:color w:val="548DD4" w:themeColor="text2" w:themeTint="99"/>
        </w:rPr>
      </w:pPr>
      <w:r>
        <w:rPr>
          <w:rFonts w:cstheme="minorHAnsi"/>
          <w:color w:val="000000"/>
        </w:rPr>
        <w:t>A</w:t>
      </w:r>
      <w:r w:rsidRPr="000D6110">
        <w:rPr>
          <w:rFonts w:cstheme="minorHAnsi"/>
          <w:color w:val="000000"/>
        </w:rPr>
        <w:t xml:space="preserve"> district paid a stipend for a school’s family engagement coordinator </w:t>
      </w:r>
      <w:r>
        <w:rPr>
          <w:rFonts w:cstheme="minorHAnsi"/>
          <w:color w:val="000000"/>
        </w:rPr>
        <w:t>with local funds the prior year.</w:t>
      </w:r>
      <w:r w:rsidRPr="000D6110">
        <w:rPr>
          <w:rFonts w:cstheme="minorHAnsi"/>
          <w:color w:val="000000"/>
        </w:rPr>
        <w:t xml:space="preserve"> </w:t>
      </w:r>
      <w:r>
        <w:rPr>
          <w:rFonts w:cstheme="minorHAnsi"/>
          <w:color w:val="000000"/>
        </w:rPr>
        <w:t xml:space="preserve">Would it be supplanting to use Title I-A </w:t>
      </w:r>
      <w:r w:rsidRPr="000D6110">
        <w:rPr>
          <w:rFonts w:cstheme="minorHAnsi"/>
          <w:color w:val="000000"/>
        </w:rPr>
        <w:t>funds to pay the stipend this year</w:t>
      </w:r>
      <w:r>
        <w:rPr>
          <w:rFonts w:cstheme="minorHAnsi"/>
          <w:color w:val="000000"/>
        </w:rPr>
        <w:t xml:space="preserve">? </w:t>
      </w:r>
      <w:r w:rsidRPr="00BF65DA">
        <w:rPr>
          <w:rFonts w:cstheme="minorHAnsi"/>
          <w:i/>
          <w:iCs/>
          <w:color w:val="005296"/>
        </w:rPr>
        <w:t xml:space="preserve">No, it would not be supplanting </w:t>
      </w:r>
      <w:proofErr w:type="gramStart"/>
      <w:r w:rsidRPr="00BF65DA">
        <w:rPr>
          <w:rFonts w:cstheme="minorHAnsi"/>
          <w:i/>
          <w:iCs/>
          <w:color w:val="005296"/>
        </w:rPr>
        <w:t>as long as</w:t>
      </w:r>
      <w:proofErr w:type="gramEnd"/>
      <w:r w:rsidRPr="00BF65DA">
        <w:rPr>
          <w:rFonts w:cstheme="minorHAnsi"/>
          <w:i/>
          <w:iCs/>
          <w:color w:val="005296"/>
        </w:rPr>
        <w:t xml:space="preserve"> the school received its state and local funds without regard to its Title I</w:t>
      </w:r>
      <w:r w:rsidR="000A3357" w:rsidRPr="00BF65DA">
        <w:rPr>
          <w:rFonts w:cstheme="minorHAnsi"/>
          <w:i/>
          <w:iCs/>
          <w:color w:val="005296"/>
        </w:rPr>
        <w:t>-A</w:t>
      </w:r>
      <w:r w:rsidR="00857F4F" w:rsidRPr="00BF65DA">
        <w:rPr>
          <w:rFonts w:cstheme="minorHAnsi"/>
          <w:i/>
          <w:iCs/>
          <w:color w:val="005296"/>
        </w:rPr>
        <w:t xml:space="preserve"> status</w:t>
      </w:r>
      <w:r w:rsidRPr="00BF65DA">
        <w:rPr>
          <w:rFonts w:cstheme="minorHAnsi"/>
          <w:i/>
          <w:iCs/>
          <w:color w:val="005296"/>
        </w:rPr>
        <w:t>, and the expense is necessary, reasonable, and included in the needs assessment.</w:t>
      </w:r>
    </w:p>
    <w:p w14:paraId="0A987BDE" w14:textId="77777777" w:rsidR="0096750A" w:rsidRPr="00965847" w:rsidRDefault="0096750A" w:rsidP="0096750A">
      <w:pPr>
        <w:pStyle w:val="ListParagraph"/>
        <w:rPr>
          <w:rFonts w:ascii="Arial" w:hAnsi="Arial" w:cs="Arial"/>
          <w:color w:val="000000"/>
        </w:rPr>
      </w:pPr>
    </w:p>
    <w:p w14:paraId="16D4A853" w14:textId="62CA7CB9" w:rsidR="0096750A" w:rsidRPr="002D5A4B" w:rsidRDefault="0096750A" w:rsidP="0096750A">
      <w:pPr>
        <w:pStyle w:val="ListParagraph"/>
        <w:numPr>
          <w:ilvl w:val="3"/>
          <w:numId w:val="21"/>
        </w:numPr>
        <w:spacing w:after="0"/>
        <w:ind w:left="360" w:right="259"/>
        <w:rPr>
          <w:rFonts w:cstheme="minorHAnsi"/>
          <w:color w:val="548DD4" w:themeColor="text2" w:themeTint="99"/>
        </w:rPr>
      </w:pPr>
      <w:r w:rsidRPr="00965847">
        <w:rPr>
          <w:rFonts w:cs="Arial"/>
          <w:color w:val="000000"/>
        </w:rPr>
        <w:t xml:space="preserve">A district wants to use Title III funds to pay for an outreach coordinator for the district’s English Learner Parent Action Committee (PAC).  Is this supplanting? </w:t>
      </w:r>
      <w:r w:rsidRPr="00BF65DA">
        <w:rPr>
          <w:rFonts w:cs="Arial"/>
          <w:i/>
          <w:iCs/>
          <w:color w:val="005296"/>
        </w:rPr>
        <w:t> It depends. If the district combines the Title I-C (Migrant) and Title III PACs, the district could only pay the portion of costs related to the Title III PAC out of Title III funds because Title I-C requires a PAC</w:t>
      </w:r>
      <w:r w:rsidRPr="00965847">
        <w:rPr>
          <w:rFonts w:cs="Arial"/>
          <w:color w:val="000000"/>
        </w:rPr>
        <w:t>.</w:t>
      </w:r>
    </w:p>
    <w:p w14:paraId="2883A7DD" w14:textId="77777777" w:rsidR="002D5A4B" w:rsidRPr="002D5A4B" w:rsidRDefault="002D5A4B" w:rsidP="002D5A4B">
      <w:pPr>
        <w:pStyle w:val="ListParagraph"/>
        <w:ind w:left="360"/>
        <w:rPr>
          <w:rFonts w:cstheme="minorHAnsi"/>
          <w:color w:val="548DD4" w:themeColor="text2" w:themeTint="99"/>
        </w:rPr>
      </w:pPr>
    </w:p>
    <w:p w14:paraId="2E4E0C04" w14:textId="575BC1CF" w:rsidR="007C00E9" w:rsidRPr="00827CAC" w:rsidRDefault="00C93039" w:rsidP="00827CAC">
      <w:pPr>
        <w:pStyle w:val="ListParagraph"/>
        <w:numPr>
          <w:ilvl w:val="0"/>
          <w:numId w:val="21"/>
        </w:numPr>
        <w:spacing w:after="120"/>
        <w:ind w:left="360" w:right="255"/>
        <w:rPr>
          <w:color w:val="000000" w:themeColor="text1" w:themeShade="BF"/>
        </w:rPr>
      </w:pPr>
      <w:r>
        <w:t>A</w:t>
      </w:r>
      <w:r w:rsidR="002D5A4B" w:rsidRPr="00F349E5">
        <w:t xml:space="preserve"> district is </w:t>
      </w:r>
      <w:r w:rsidR="002D5A4B">
        <w:t>paying for summer school using state funds</w:t>
      </w:r>
      <w:r>
        <w:t>.</w:t>
      </w:r>
      <w:r w:rsidR="002D5A4B" w:rsidRPr="00F349E5">
        <w:t xml:space="preserve"> </w:t>
      </w:r>
      <w:r>
        <w:t>C</w:t>
      </w:r>
      <w:r w:rsidR="002D5A4B" w:rsidRPr="00F349E5">
        <w:t xml:space="preserve">an Title I-C </w:t>
      </w:r>
      <w:r w:rsidR="00695421">
        <w:t xml:space="preserve">funds </w:t>
      </w:r>
      <w:r w:rsidR="002D5A4B" w:rsidRPr="00F349E5">
        <w:t>be used to pay for</w:t>
      </w:r>
      <w:r w:rsidR="002D5A4B">
        <w:t xml:space="preserve"> migrant students to attend? </w:t>
      </w:r>
      <w:r w:rsidR="00E32699" w:rsidRPr="00BF65DA" w:rsidDel="00E32699">
        <w:rPr>
          <w:rFonts w:cs="Arial"/>
          <w:i/>
          <w:iCs/>
          <w:color w:val="005296"/>
        </w:rPr>
        <w:t xml:space="preserve"> </w:t>
      </w:r>
      <w:r w:rsidR="007C00E9" w:rsidRPr="00BF65DA">
        <w:rPr>
          <w:rFonts w:cs="Arial"/>
          <w:i/>
          <w:iCs/>
          <w:color w:val="005296"/>
        </w:rPr>
        <w:t xml:space="preserve">Yes, with some </w:t>
      </w:r>
      <w:r w:rsidRPr="00BF65DA">
        <w:rPr>
          <w:rFonts w:cs="Arial"/>
          <w:i/>
          <w:iCs/>
          <w:color w:val="005296"/>
        </w:rPr>
        <w:t>caveats</w:t>
      </w:r>
      <w:r w:rsidR="007C00E9" w:rsidRPr="00BF65DA">
        <w:rPr>
          <w:rFonts w:cs="Arial"/>
          <w:i/>
          <w:iCs/>
          <w:color w:val="005296"/>
        </w:rPr>
        <w:t xml:space="preserve">. In accordance with supplement </w:t>
      </w:r>
      <w:proofErr w:type="gramStart"/>
      <w:r w:rsidR="007C00E9" w:rsidRPr="00BF65DA">
        <w:rPr>
          <w:rFonts w:cs="Arial"/>
          <w:i/>
          <w:iCs/>
          <w:color w:val="005296"/>
        </w:rPr>
        <w:t>not supplant</w:t>
      </w:r>
      <w:proofErr w:type="gramEnd"/>
      <w:r w:rsidR="007C00E9" w:rsidRPr="00BF65DA">
        <w:rPr>
          <w:rFonts w:cs="Arial"/>
          <w:i/>
          <w:iCs/>
          <w:color w:val="005296"/>
        </w:rPr>
        <w:t xml:space="preserve"> requirements MEP funds may not be used to provide services to migratory children that are available from other funding source(s).  If the district is providing a summer school program using other Federal and non-Federal funds </w:t>
      </w:r>
      <w:r w:rsidR="007C00E9" w:rsidRPr="00BF65DA">
        <w:rPr>
          <w:rFonts w:cs="Arial"/>
          <w:b/>
          <w:i/>
          <w:iCs/>
          <w:color w:val="005296"/>
        </w:rPr>
        <w:t>and that program is available to migratory children</w:t>
      </w:r>
      <w:r w:rsidR="007C00E9" w:rsidRPr="00BF65DA">
        <w:rPr>
          <w:rFonts w:cs="Arial"/>
          <w:i/>
          <w:iCs/>
          <w:color w:val="005296"/>
        </w:rPr>
        <w:t>, the MEP may not offer a separate, equivalent program during the same hours and in the same format for migratory children using MEP funds. </w:t>
      </w:r>
    </w:p>
    <w:p w14:paraId="032FB7EB" w14:textId="77777777" w:rsidR="007C00E9" w:rsidRPr="00BF65DA" w:rsidRDefault="007C00E9" w:rsidP="00827CAC">
      <w:pPr>
        <w:pStyle w:val="xxmsonormal"/>
        <w:ind w:firstLine="360"/>
        <w:rPr>
          <w:rFonts w:asciiTheme="minorHAnsi" w:hAnsiTheme="minorHAnsi" w:cs="Arial"/>
          <w:i/>
          <w:iCs/>
          <w:color w:val="005296"/>
          <w:sz w:val="22"/>
          <w:szCs w:val="22"/>
        </w:rPr>
      </w:pPr>
      <w:r w:rsidRPr="00BF65DA">
        <w:rPr>
          <w:rFonts w:asciiTheme="minorHAnsi" w:hAnsiTheme="minorHAnsi" w:cs="Arial"/>
          <w:i/>
          <w:iCs/>
          <w:color w:val="005296"/>
          <w:sz w:val="22"/>
          <w:szCs w:val="22"/>
        </w:rPr>
        <w:t>However, MEP funds could be used to:</w:t>
      </w:r>
    </w:p>
    <w:p w14:paraId="58AF6A44" w14:textId="31055928" w:rsidR="007C00E9" w:rsidRPr="00BF65DA" w:rsidRDefault="007C00E9" w:rsidP="007C00E9">
      <w:pPr>
        <w:pStyle w:val="xxmsonormal"/>
        <w:numPr>
          <w:ilvl w:val="0"/>
          <w:numId w:val="44"/>
        </w:numPr>
        <w:rPr>
          <w:rFonts w:asciiTheme="minorHAnsi" w:hAnsiTheme="minorHAnsi" w:cs="Arial"/>
          <w:i/>
          <w:iCs/>
          <w:color w:val="005296"/>
          <w:sz w:val="22"/>
          <w:szCs w:val="22"/>
        </w:rPr>
      </w:pPr>
      <w:r w:rsidRPr="00BF65DA">
        <w:rPr>
          <w:rFonts w:asciiTheme="minorHAnsi" w:hAnsiTheme="minorHAnsi" w:cs="Arial"/>
          <w:i/>
          <w:iCs/>
          <w:color w:val="005296"/>
          <w:sz w:val="22"/>
          <w:szCs w:val="22"/>
        </w:rPr>
        <w:t>increase the capacity of the</w:t>
      </w:r>
      <w:r w:rsidR="008A60F8" w:rsidRPr="00BF65DA">
        <w:rPr>
          <w:rFonts w:asciiTheme="minorHAnsi" w:hAnsiTheme="minorHAnsi" w:cs="Arial"/>
          <w:i/>
          <w:iCs/>
          <w:color w:val="005296"/>
          <w:sz w:val="22"/>
          <w:szCs w:val="22"/>
        </w:rPr>
        <w:t xml:space="preserve"> district’s</w:t>
      </w:r>
      <w:r w:rsidRPr="00BF65DA">
        <w:rPr>
          <w:rFonts w:asciiTheme="minorHAnsi" w:hAnsiTheme="minorHAnsi" w:cs="Arial"/>
          <w:i/>
          <w:iCs/>
          <w:color w:val="005296"/>
          <w:sz w:val="22"/>
          <w:szCs w:val="22"/>
        </w:rPr>
        <w:t xml:space="preserve"> program to serve additional migratory children, </w:t>
      </w:r>
    </w:p>
    <w:p w14:paraId="5C8C9FE0" w14:textId="77777777" w:rsidR="007C00E9" w:rsidRPr="00BF65DA" w:rsidRDefault="007C00E9" w:rsidP="007C00E9">
      <w:pPr>
        <w:pStyle w:val="xxmsonormal"/>
        <w:numPr>
          <w:ilvl w:val="0"/>
          <w:numId w:val="44"/>
        </w:numPr>
        <w:rPr>
          <w:rFonts w:asciiTheme="minorHAnsi" w:hAnsiTheme="minorHAnsi" w:cs="Arial"/>
          <w:i/>
          <w:iCs/>
          <w:color w:val="005296"/>
          <w:sz w:val="22"/>
          <w:szCs w:val="22"/>
        </w:rPr>
      </w:pPr>
      <w:r w:rsidRPr="00BF65DA">
        <w:rPr>
          <w:rFonts w:asciiTheme="minorHAnsi" w:hAnsiTheme="minorHAnsi" w:cs="Arial"/>
          <w:i/>
          <w:iCs/>
          <w:color w:val="005296"/>
          <w:sz w:val="22"/>
          <w:szCs w:val="22"/>
        </w:rPr>
        <w:t xml:space="preserve">to provide services or activities that help migratory children access and/or benefit from the district’s summer school program that are not otherwise provided by the district, </w:t>
      </w:r>
    </w:p>
    <w:p w14:paraId="19DE37CF" w14:textId="77777777" w:rsidR="007C00E9" w:rsidRPr="00BF65DA" w:rsidRDefault="007C00E9" w:rsidP="007C00E9">
      <w:pPr>
        <w:pStyle w:val="xxmsonormal"/>
        <w:numPr>
          <w:ilvl w:val="0"/>
          <w:numId w:val="44"/>
        </w:numPr>
        <w:rPr>
          <w:rFonts w:asciiTheme="minorHAnsi" w:hAnsiTheme="minorHAnsi" w:cs="Arial"/>
          <w:i/>
          <w:iCs/>
          <w:color w:val="005296"/>
          <w:sz w:val="22"/>
          <w:szCs w:val="22"/>
        </w:rPr>
      </w:pPr>
      <w:r w:rsidRPr="00BF65DA">
        <w:rPr>
          <w:rFonts w:asciiTheme="minorHAnsi" w:hAnsiTheme="minorHAnsi" w:cs="Arial"/>
          <w:i/>
          <w:iCs/>
          <w:color w:val="005296"/>
          <w:sz w:val="22"/>
          <w:szCs w:val="22"/>
        </w:rPr>
        <w:t xml:space="preserve">to provide instructional services to migratory children during hours that differ from the district’s program, and </w:t>
      </w:r>
    </w:p>
    <w:p w14:paraId="7D0FB518" w14:textId="6D86E7D4" w:rsidR="007C00E9" w:rsidRPr="00BF65DA" w:rsidRDefault="007C00E9" w:rsidP="007C00E9">
      <w:pPr>
        <w:pStyle w:val="xxmsonormal"/>
        <w:numPr>
          <w:ilvl w:val="0"/>
          <w:numId w:val="44"/>
        </w:numPr>
        <w:rPr>
          <w:rFonts w:asciiTheme="minorHAnsi" w:hAnsiTheme="minorHAnsi" w:cs="Arial"/>
          <w:i/>
          <w:iCs/>
          <w:color w:val="005296"/>
          <w:sz w:val="22"/>
          <w:szCs w:val="22"/>
        </w:rPr>
      </w:pPr>
      <w:r w:rsidRPr="00BF65DA">
        <w:rPr>
          <w:rFonts w:asciiTheme="minorHAnsi" w:hAnsiTheme="minorHAnsi" w:cs="Arial"/>
          <w:i/>
          <w:iCs/>
          <w:color w:val="005296"/>
          <w:sz w:val="22"/>
          <w:szCs w:val="22"/>
        </w:rPr>
        <w:t>to provide services to migratory children that are not offered by other programs.</w:t>
      </w:r>
    </w:p>
    <w:p w14:paraId="6B789577" w14:textId="77777777" w:rsidR="00E32699" w:rsidRPr="00BF65DA" w:rsidRDefault="00E32699" w:rsidP="00827CAC">
      <w:pPr>
        <w:pStyle w:val="xxmsonormal"/>
        <w:ind w:left="360"/>
        <w:rPr>
          <w:rFonts w:asciiTheme="minorHAnsi" w:hAnsiTheme="minorHAnsi" w:cs="Arial"/>
          <w:i/>
          <w:iCs/>
          <w:color w:val="005296"/>
          <w:sz w:val="22"/>
          <w:szCs w:val="22"/>
        </w:rPr>
      </w:pPr>
    </w:p>
    <w:p w14:paraId="3D1C34B4" w14:textId="22B05D40" w:rsidR="007C00E9" w:rsidRPr="00BF65DA" w:rsidRDefault="007C00E9" w:rsidP="00827CAC">
      <w:pPr>
        <w:pStyle w:val="xxmsonormal"/>
        <w:ind w:left="360"/>
        <w:rPr>
          <w:rFonts w:cs="Arial"/>
          <w:i/>
          <w:iCs/>
          <w:color w:val="005296"/>
          <w:sz w:val="22"/>
          <w:szCs w:val="22"/>
        </w:rPr>
      </w:pPr>
      <w:r w:rsidRPr="00BF65DA">
        <w:rPr>
          <w:rFonts w:asciiTheme="minorHAnsi" w:hAnsiTheme="minorHAnsi" w:cs="Arial"/>
          <w:i/>
          <w:iCs/>
          <w:color w:val="005296"/>
          <w:sz w:val="22"/>
          <w:szCs w:val="22"/>
        </w:rPr>
        <w:t>As always, MEP funds must be used for services and activities that are consistent with the program purposes and Oregon’s comprehensive needs assessment and service delivery plan. </w:t>
      </w:r>
    </w:p>
    <w:p w14:paraId="0C44C7FF" w14:textId="77777777" w:rsidR="007C00E9" w:rsidRPr="00A440B9" w:rsidRDefault="007C00E9" w:rsidP="00A440B9">
      <w:pPr>
        <w:pStyle w:val="ListParagraph"/>
        <w:rPr>
          <w:color w:val="000000" w:themeColor="text1" w:themeShade="BF"/>
        </w:rPr>
      </w:pPr>
    </w:p>
    <w:p w14:paraId="5EC889A3" w14:textId="12642BB1" w:rsidR="00773A70" w:rsidRDefault="0096750A" w:rsidP="00773A70">
      <w:pPr>
        <w:pStyle w:val="ListParagraph"/>
        <w:numPr>
          <w:ilvl w:val="3"/>
          <w:numId w:val="21"/>
        </w:numPr>
        <w:spacing w:after="120"/>
        <w:ind w:left="360" w:right="255"/>
        <w:rPr>
          <w:i/>
          <w:color w:val="17365D" w:themeColor="text2" w:themeShade="BF"/>
        </w:rPr>
      </w:pPr>
      <w:r w:rsidRPr="00F349E5">
        <w:rPr>
          <w:color w:val="000000" w:themeColor="text1" w:themeShade="BF"/>
        </w:rPr>
        <w:t>A district uses Title I-A funds to provide academic support after school. It subseque</w:t>
      </w:r>
      <w:r w:rsidR="005F454B" w:rsidRPr="00F349E5">
        <w:rPr>
          <w:color w:val="000000" w:themeColor="text1" w:themeShade="BF"/>
        </w:rPr>
        <w:t>ntly receives a Title IV-B (21</w:t>
      </w:r>
      <w:r w:rsidR="005F454B" w:rsidRPr="00F349E5">
        <w:rPr>
          <w:color w:val="000000" w:themeColor="text1" w:themeShade="BF"/>
          <w:vertAlign w:val="superscript"/>
        </w:rPr>
        <w:t>st</w:t>
      </w:r>
      <w:r w:rsidR="005F454B" w:rsidRPr="00F349E5">
        <w:rPr>
          <w:color w:val="000000" w:themeColor="text1" w:themeShade="BF"/>
        </w:rPr>
        <w:t xml:space="preserve"> </w:t>
      </w:r>
      <w:r w:rsidRPr="00F349E5">
        <w:rPr>
          <w:color w:val="000000" w:themeColor="text1" w:themeShade="BF"/>
        </w:rPr>
        <w:t xml:space="preserve">CCLC) grant. </w:t>
      </w:r>
      <w:r w:rsidR="005F454B" w:rsidRPr="00F349E5">
        <w:rPr>
          <w:color w:val="000000" w:themeColor="text1" w:themeShade="BF"/>
        </w:rPr>
        <w:t>Would it be supplanting to use</w:t>
      </w:r>
      <w:r w:rsidRPr="00F349E5">
        <w:rPr>
          <w:color w:val="000000" w:themeColor="text1" w:themeShade="BF"/>
        </w:rPr>
        <w:t xml:space="preserve"> Title IV-B funds to provide the after school academic </w:t>
      </w:r>
      <w:r w:rsidRPr="00F349E5">
        <w:rPr>
          <w:color w:val="000000" w:themeColor="text1" w:themeShade="BF"/>
        </w:rPr>
        <w:lastRenderedPageBreak/>
        <w:t>support?</w:t>
      </w:r>
      <w:r w:rsidR="00F349E5">
        <w:rPr>
          <w:color w:val="000000" w:themeColor="text1" w:themeShade="BF"/>
        </w:rPr>
        <w:t xml:space="preserve"> </w:t>
      </w:r>
      <w:r w:rsidRPr="00BF65DA">
        <w:rPr>
          <w:i/>
          <w:color w:val="17365D" w:themeColor="text2" w:themeShade="BF"/>
        </w:rPr>
        <w:t>It depends. If the district was using Title I-A funds to support academic support in the previous year before the grant, the use of Title IV-B funds in this manner would be supplanting. While academic support during out of school time is an allowable use of both Title I-A and Title IV-B funds, Title IV-B funds must supplement state, local and other federal funds. Using Title IV-B funds to increase the number of students served or the scope of services offered through academic support would be allowable.</w:t>
      </w:r>
    </w:p>
    <w:p w14:paraId="5D86950D" w14:textId="77777777" w:rsidR="00773A70" w:rsidRPr="00773A70" w:rsidRDefault="00773A70" w:rsidP="00773A70">
      <w:pPr>
        <w:pStyle w:val="ListParagraph"/>
        <w:spacing w:after="120"/>
        <w:ind w:left="360" w:right="255"/>
        <w:rPr>
          <w:i/>
          <w:color w:val="17365D" w:themeColor="text2" w:themeShade="BF"/>
        </w:rPr>
      </w:pPr>
    </w:p>
    <w:sectPr w:rsidR="00773A70" w:rsidRPr="00773A70" w:rsidSect="00EC1A3E">
      <w:headerReference w:type="default" r:id="rId25"/>
      <w:footerReference w:type="default" r:id="rId26"/>
      <w:pgSz w:w="12240" w:h="16340"/>
      <w:pgMar w:top="1430" w:right="720" w:bottom="1010" w:left="11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55227" w14:textId="77777777" w:rsidR="00744A53" w:rsidRDefault="00744A53" w:rsidP="00965BDF">
      <w:pPr>
        <w:spacing w:after="0" w:line="240" w:lineRule="auto"/>
      </w:pPr>
      <w:r>
        <w:separator/>
      </w:r>
    </w:p>
  </w:endnote>
  <w:endnote w:type="continuationSeparator" w:id="0">
    <w:p w14:paraId="0650EE65" w14:textId="77777777" w:rsidR="00744A53" w:rsidRDefault="00744A53" w:rsidP="0096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4DFD9" w14:textId="63B465C9" w:rsidR="00EC1A3E" w:rsidRDefault="00EC1A3E">
    <w:pPr>
      <w:pStyle w:val="Footer"/>
      <w:jc w:val="right"/>
    </w:pPr>
    <w:r>
      <w:tab/>
    </w:r>
    <w:r>
      <w:tab/>
    </w:r>
    <w:r>
      <w:tab/>
    </w:r>
    <w:sdt>
      <w:sdtPr>
        <w:id w:val="-11014098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617F">
          <w:rPr>
            <w:noProof/>
          </w:rPr>
          <w:t>6</w:t>
        </w:r>
        <w:r>
          <w:rPr>
            <w:noProof/>
          </w:rPr>
          <w:fldChar w:fldCharType="end"/>
        </w:r>
      </w:sdtContent>
    </w:sdt>
  </w:p>
  <w:p w14:paraId="628C7F44" w14:textId="28DBA1AE" w:rsidR="00EC1A3E" w:rsidRPr="00526F87" w:rsidRDefault="00B66048" w:rsidP="00526F87">
    <w:pPr>
      <w:rPr>
        <w:rFonts w:ascii="Calibri" w:hAnsi="Calibri" w:cs="Calibri"/>
      </w:rPr>
    </w:pPr>
    <w:r>
      <w:t xml:space="preserve">August </w:t>
    </w:r>
    <w:r w:rsidR="00526F87">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CA21E" w14:textId="77777777" w:rsidR="00744A53" w:rsidRDefault="00744A53" w:rsidP="00965BDF">
      <w:pPr>
        <w:spacing w:after="0" w:line="240" w:lineRule="auto"/>
      </w:pPr>
      <w:r>
        <w:separator/>
      </w:r>
    </w:p>
  </w:footnote>
  <w:footnote w:type="continuationSeparator" w:id="0">
    <w:p w14:paraId="1EABD0DD" w14:textId="77777777" w:rsidR="00744A53" w:rsidRDefault="00744A53" w:rsidP="00965BDF">
      <w:pPr>
        <w:spacing w:after="0" w:line="240" w:lineRule="auto"/>
      </w:pPr>
      <w:r>
        <w:continuationSeparator/>
      </w:r>
    </w:p>
  </w:footnote>
  <w:footnote w:id="1">
    <w:p w14:paraId="562702F1" w14:textId="33AB760D" w:rsidR="00541FFA" w:rsidRPr="00827CAC" w:rsidRDefault="00541FFA" w:rsidP="00541FFA">
      <w:pPr>
        <w:pStyle w:val="FootnoteText"/>
        <w:rPr>
          <w:lang w:val="es-PE"/>
        </w:rPr>
      </w:pPr>
      <w:r>
        <w:rPr>
          <w:rStyle w:val="FootnoteReference"/>
        </w:rPr>
        <w:footnoteRef/>
      </w:r>
      <w:r w:rsidRPr="00827CAC">
        <w:rPr>
          <w:lang w:val="es-PE"/>
        </w:rPr>
        <w:t xml:space="preserve"> ES</w:t>
      </w:r>
      <w:r w:rsidR="0006283E" w:rsidRPr="00827CAC">
        <w:rPr>
          <w:lang w:val="es-PE"/>
        </w:rPr>
        <w:t>E</w:t>
      </w:r>
      <w:r w:rsidRPr="00827CAC">
        <w:rPr>
          <w:lang w:val="es-PE"/>
        </w:rPr>
        <w:t>A, Sec</w:t>
      </w:r>
      <w:r w:rsidR="0006283E" w:rsidRPr="00827CAC">
        <w:rPr>
          <w:lang w:val="es-PE"/>
        </w:rPr>
        <w:t>.</w:t>
      </w:r>
      <w:r w:rsidRPr="00827CAC">
        <w:rPr>
          <w:lang w:val="es-PE"/>
        </w:rPr>
        <w:t xml:space="preserve"> 1118(b)(2)</w:t>
      </w:r>
    </w:p>
  </w:footnote>
  <w:footnote w:id="2">
    <w:p w14:paraId="2431703D" w14:textId="6C46D410" w:rsidR="005F5D35" w:rsidRDefault="005F5D35">
      <w:pPr>
        <w:pStyle w:val="FootnoteText"/>
      </w:pPr>
      <w:r>
        <w:rPr>
          <w:rStyle w:val="FootnoteReference"/>
        </w:rPr>
        <w:footnoteRef/>
      </w:r>
      <w:r w:rsidRPr="00827CAC">
        <w:rPr>
          <w:lang w:val="es-PE"/>
        </w:rPr>
        <w:t xml:space="preserve"> </w:t>
      </w:r>
      <w:r w:rsidRPr="00827CAC">
        <w:rPr>
          <w:rFonts w:cstheme="minorHAnsi"/>
          <w:iCs/>
          <w:color w:val="000000"/>
          <w:lang w:val="es-PE"/>
        </w:rPr>
        <w:t>ES</w:t>
      </w:r>
      <w:r w:rsidR="0006283E" w:rsidRPr="00827CAC">
        <w:rPr>
          <w:rFonts w:cstheme="minorHAnsi"/>
          <w:iCs/>
          <w:color w:val="000000"/>
          <w:lang w:val="es-PE"/>
        </w:rPr>
        <w:t>E</w:t>
      </w:r>
      <w:r w:rsidRPr="00827CAC">
        <w:rPr>
          <w:rFonts w:cstheme="minorHAnsi"/>
          <w:iCs/>
          <w:color w:val="000000"/>
          <w:lang w:val="es-PE"/>
        </w:rPr>
        <w:t>A</w:t>
      </w:r>
      <w:r w:rsidR="00484EA7" w:rsidRPr="00827CAC">
        <w:rPr>
          <w:rFonts w:cstheme="minorHAnsi"/>
          <w:iCs/>
          <w:color w:val="000000"/>
          <w:lang w:val="es-PE"/>
        </w:rPr>
        <w:t>,</w:t>
      </w:r>
      <w:r w:rsidRPr="00827CAC">
        <w:rPr>
          <w:rFonts w:cstheme="minorHAnsi"/>
          <w:iCs/>
          <w:color w:val="000000"/>
          <w:lang w:val="es-PE"/>
        </w:rPr>
        <w:t xml:space="preserve"> Sec</w:t>
      </w:r>
      <w:r w:rsidR="0006283E" w:rsidRPr="00827CAC">
        <w:rPr>
          <w:rFonts w:cstheme="minorHAnsi"/>
          <w:iCs/>
          <w:color w:val="000000"/>
          <w:lang w:val="es-PE"/>
        </w:rPr>
        <w:t xml:space="preserve">. </w:t>
      </w:r>
      <w:r w:rsidRPr="00827CAC">
        <w:rPr>
          <w:rFonts w:cstheme="minorHAnsi"/>
          <w:iCs/>
          <w:color w:val="000000"/>
          <w:lang w:val="es-PE"/>
        </w:rPr>
        <w:t xml:space="preserve"> </w:t>
      </w:r>
      <w:r w:rsidRPr="00FD17A3">
        <w:rPr>
          <w:rFonts w:cstheme="minorHAnsi"/>
          <w:iCs/>
          <w:color w:val="000000"/>
        </w:rPr>
        <w:t>1118(b</w:t>
      </w:r>
      <w:r w:rsidRPr="00FD17A3">
        <w:rPr>
          <w:rFonts w:cstheme="minorHAnsi"/>
          <w:i/>
          <w:color w:val="000000"/>
        </w:rPr>
        <w:t>)</w:t>
      </w:r>
    </w:p>
  </w:footnote>
  <w:footnote w:id="3">
    <w:p w14:paraId="1FC094E0" w14:textId="4032D78B" w:rsidR="00BD4305" w:rsidRDefault="00BD4305" w:rsidP="00BD4305">
      <w:pPr>
        <w:pStyle w:val="FootnoteText"/>
      </w:pPr>
      <w:r>
        <w:rPr>
          <w:rStyle w:val="FootnoteReference"/>
        </w:rPr>
        <w:footnoteRef/>
      </w:r>
      <w:r>
        <w:t xml:space="preserve"> </w:t>
      </w:r>
      <w:r w:rsidR="00161EC6" w:rsidRPr="00161EC6">
        <w:t xml:space="preserve">U.S. Department of Education, </w:t>
      </w:r>
      <w:r w:rsidR="00161EC6" w:rsidRPr="00161EC6">
        <w:rPr>
          <w:i/>
        </w:rPr>
        <w:t>English Learners and Title III of the Elementary and Secondary Education Act (ESEA),</w:t>
      </w:r>
      <w:r w:rsidR="00161EC6" w:rsidRPr="00161EC6">
        <w:t xml:space="preserve"> as amended by the Every Student Succeeds Act (ESSA) (September 2016) available at </w:t>
      </w:r>
      <w:hyperlink r:id="rId1" w:history="1">
        <w:r w:rsidR="00161EC6" w:rsidRPr="00161EC6">
          <w:rPr>
            <w:rStyle w:val="Hyperlink"/>
          </w:rPr>
          <w:t>http://www2.ed.gov/policy/elsec/leg/essa/essatitleiiiguidenglishlearners92016.pdf</w:t>
        </w:r>
      </w:hyperlink>
      <w:r w:rsidR="00161EC6">
        <w:t>,</w:t>
      </w:r>
      <w:r w:rsidR="00161EC6" w:rsidRPr="00161EC6">
        <w:t xml:space="preserve"> </w:t>
      </w:r>
      <w:r w:rsidR="00161EC6">
        <w:t xml:space="preserve">Question A-4.  </w:t>
      </w:r>
      <w:r w:rsidR="00161EC6" w:rsidRPr="00161EC6">
        <w:t xml:space="preserve">This guidance will be referred to as </w:t>
      </w:r>
      <w:r w:rsidR="00161EC6" w:rsidRPr="00161EC6">
        <w:rPr>
          <w:i/>
        </w:rPr>
        <w:t>ED 2016 Title III, Part A Guidance</w:t>
      </w:r>
      <w:r w:rsidR="00161EC6" w:rsidRPr="00161EC6">
        <w:t xml:space="preserve"> for the rest of this document</w:t>
      </w:r>
      <w:r w:rsidR="00161EC6">
        <w:t xml:space="preserve">. </w:t>
      </w:r>
    </w:p>
  </w:footnote>
  <w:footnote w:id="4">
    <w:p w14:paraId="4E7A9A22" w14:textId="77777777" w:rsidR="006973B9" w:rsidRDefault="006973B9" w:rsidP="006973B9">
      <w:pPr>
        <w:pStyle w:val="FootnoteText"/>
      </w:pPr>
      <w:r>
        <w:rPr>
          <w:rStyle w:val="FootnoteReference"/>
        </w:rPr>
        <w:footnoteRef/>
      </w:r>
      <w:r>
        <w:t xml:space="preserve"> The concept of “reasonable and necessary” costs comes from federal regulations known as the Uniform Grant Guidance (UGG).  See, for example, the discussion in </w:t>
      </w:r>
      <w:r w:rsidRPr="002404EE">
        <w:rPr>
          <w:i/>
        </w:rPr>
        <w:t>Basic Considerations</w:t>
      </w:r>
      <w:r>
        <w:t xml:space="preserve"> of the UGG, available at </w:t>
      </w:r>
      <w:hyperlink r:id="rId2" w:anchor="sg2.1.200_1401.sg12" w:history="1">
        <w:r w:rsidRPr="00F23552">
          <w:rPr>
            <w:rStyle w:val="Hyperlink"/>
          </w:rPr>
          <w:t>https://www.ecfr.gov/cgi-bin/text-idx?SID=1ab34260fd33363573a554baedb4aa24&amp;mc=true&amp;node=pt2.1.200&amp;rgn=div5#sg2.1.200_1401.sg12</w:t>
        </w:r>
      </w:hyperlink>
      <w:r>
        <w:rPr>
          <w:rStyle w:val="Hyperlink"/>
        </w:rPr>
        <w:t>.</w:t>
      </w:r>
      <w:r>
        <w:t xml:space="preserve"> </w:t>
      </w:r>
    </w:p>
  </w:footnote>
  <w:footnote w:id="5">
    <w:p w14:paraId="5077EE15" w14:textId="77777777" w:rsidR="006973B9" w:rsidRDefault="006973B9" w:rsidP="006973B9">
      <w:pPr>
        <w:pStyle w:val="FootnoteText"/>
      </w:pPr>
      <w:r>
        <w:rPr>
          <w:rStyle w:val="FootnoteReference"/>
        </w:rPr>
        <w:footnoteRef/>
      </w:r>
      <w:r>
        <w:t xml:space="preserve"> </w:t>
      </w:r>
      <w:r w:rsidRPr="00DD7289">
        <w:rPr>
          <w:i/>
        </w:rPr>
        <w:t>ED 2016 Title III, Part A Guidance</w:t>
      </w:r>
      <w:r>
        <w:t xml:space="preserve">, Question A-4.  </w:t>
      </w:r>
    </w:p>
  </w:footnote>
  <w:footnote w:id="6">
    <w:p w14:paraId="19DD086E" w14:textId="69F054AF" w:rsidR="0006283E" w:rsidRPr="00827CAC" w:rsidRDefault="0006283E">
      <w:pPr>
        <w:pStyle w:val="FootnoteText"/>
        <w:rPr>
          <w:lang w:val="es-PE"/>
        </w:rPr>
      </w:pPr>
      <w:r>
        <w:rPr>
          <w:rStyle w:val="FootnoteReference"/>
        </w:rPr>
        <w:footnoteRef/>
      </w:r>
      <w:r w:rsidRPr="00827CAC">
        <w:rPr>
          <w:lang w:val="es-PE"/>
        </w:rPr>
        <w:t xml:space="preserve"> </w:t>
      </w:r>
      <w:r w:rsidRPr="00827CAC">
        <w:rPr>
          <w:rFonts w:eastAsia="Times New Roman" w:cstheme="minorHAnsi"/>
          <w:lang w:val="es-PE"/>
        </w:rPr>
        <w:t>ESEA, Sec. 8521</w:t>
      </w:r>
      <w:r w:rsidRPr="00827CAC">
        <w:rPr>
          <w:rFonts w:eastAsia="Times New Roman" w:cstheme="minorHAnsi"/>
          <w:sz w:val="22"/>
          <w:szCs w:val="22"/>
          <w:lang w:val="es-PE"/>
        </w:rPr>
        <w:t xml:space="preserve">  </w:t>
      </w:r>
    </w:p>
  </w:footnote>
  <w:footnote w:id="7">
    <w:p w14:paraId="1FC7AA15" w14:textId="04DB921F" w:rsidR="0006283E" w:rsidRPr="00827CAC" w:rsidRDefault="0006283E">
      <w:pPr>
        <w:pStyle w:val="FootnoteText"/>
        <w:rPr>
          <w:lang w:val="es-PE"/>
        </w:rPr>
      </w:pPr>
      <w:r>
        <w:rPr>
          <w:rStyle w:val="FootnoteReference"/>
        </w:rPr>
        <w:footnoteRef/>
      </w:r>
      <w:r w:rsidRPr="00827CAC">
        <w:rPr>
          <w:lang w:val="es-PE"/>
        </w:rPr>
        <w:t xml:space="preserve"> </w:t>
      </w:r>
      <w:r w:rsidRPr="00827CAC">
        <w:rPr>
          <w:rFonts w:eastAsia="Times New Roman" w:cstheme="minorHAnsi"/>
          <w:lang w:val="es-PE"/>
        </w:rPr>
        <w:t>ESEA, Sec. 8101(11)</w:t>
      </w:r>
    </w:p>
  </w:footnote>
  <w:footnote w:id="8">
    <w:p w14:paraId="27C20210" w14:textId="5B19B29F" w:rsidR="002E65FC" w:rsidRPr="00827CAC" w:rsidRDefault="002E65FC">
      <w:pPr>
        <w:pStyle w:val="FootnoteText"/>
        <w:rPr>
          <w:lang w:val="es-PE"/>
        </w:rPr>
      </w:pPr>
      <w:r>
        <w:rPr>
          <w:rStyle w:val="FootnoteReference"/>
        </w:rPr>
        <w:footnoteRef/>
      </w:r>
      <w:r w:rsidRPr="00827CAC">
        <w:rPr>
          <w:lang w:val="es-PE"/>
        </w:rPr>
        <w:t xml:space="preserve"> </w:t>
      </w:r>
      <w:r w:rsidRPr="00827CAC">
        <w:rPr>
          <w:rFonts w:eastAsia="Times New Roman" w:cstheme="minorHAnsi"/>
          <w:lang w:val="es-PE"/>
        </w:rPr>
        <w:t>ESEA, Sec. 1118(c)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38B34" w14:textId="6BCCAA5A" w:rsidR="00D6394C" w:rsidRPr="00D6394C" w:rsidRDefault="008135EF" w:rsidP="00D6394C">
    <w:pPr>
      <w:spacing w:after="0" w:line="216" w:lineRule="auto"/>
      <w:rPr>
        <w:b/>
        <w:color w:val="1F497D" w:themeColor="text2"/>
        <w:sz w:val="32"/>
        <w:szCs w:val="32"/>
      </w:rPr>
    </w:pPr>
    <w:r>
      <w:rPr>
        <w:noProof/>
      </w:rPr>
      <w:drawing>
        <wp:anchor distT="0" distB="0" distL="114300" distR="114300" simplePos="0" relativeHeight="251659264" behindDoc="0" locked="0" layoutInCell="1" allowOverlap="1" wp14:anchorId="45863921" wp14:editId="494A75F6">
          <wp:simplePos x="0" y="0"/>
          <wp:positionH relativeFrom="margin">
            <wp:align>right</wp:align>
          </wp:positionH>
          <wp:positionV relativeFrom="paragraph">
            <wp:posOffset>-249978</wp:posOffset>
          </wp:positionV>
          <wp:extent cx="1654810" cy="447675"/>
          <wp:effectExtent l="0" t="0" r="2540" b="9525"/>
          <wp:wrapSquare wrapText="bothSides"/>
          <wp:docPr id="209" name="Picture 209"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94C" w:rsidRPr="00D6394C">
      <w:rPr>
        <w:b/>
        <w:color w:val="1F497D" w:themeColor="text2"/>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2F9"/>
    <w:multiLevelType w:val="hybridMultilevel"/>
    <w:tmpl w:val="B136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80C"/>
    <w:multiLevelType w:val="hybridMultilevel"/>
    <w:tmpl w:val="DF1E2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B3368"/>
    <w:multiLevelType w:val="hybridMultilevel"/>
    <w:tmpl w:val="D242EB74"/>
    <w:lvl w:ilvl="0" w:tplc="04090001">
      <w:start w:val="1"/>
      <w:numFmt w:val="bullet"/>
      <w:lvlText w:val=""/>
      <w:lvlJc w:val="left"/>
      <w:pPr>
        <w:ind w:left="840" w:hanging="360"/>
      </w:pPr>
      <w:rPr>
        <w:rFonts w:ascii="Symbol" w:hAnsi="Symbol" w:hint="default"/>
        <w:spacing w:val="-2"/>
        <w:w w:val="99"/>
        <w:sz w:val="24"/>
        <w:szCs w:val="24"/>
      </w:rPr>
    </w:lvl>
    <w:lvl w:ilvl="1" w:tplc="0918519E">
      <w:numFmt w:val="bullet"/>
      <w:lvlText w:val="o"/>
      <w:lvlJc w:val="left"/>
      <w:pPr>
        <w:ind w:left="1560" w:hanging="361"/>
      </w:pPr>
      <w:rPr>
        <w:rFonts w:ascii="Courier New" w:eastAsia="Courier New" w:hAnsi="Courier New" w:cs="Courier New" w:hint="default"/>
        <w:w w:val="99"/>
        <w:sz w:val="24"/>
        <w:szCs w:val="24"/>
      </w:rPr>
    </w:lvl>
    <w:lvl w:ilvl="2" w:tplc="AD1A4D48">
      <w:numFmt w:val="bullet"/>
      <w:lvlText w:val="•"/>
      <w:lvlJc w:val="left"/>
      <w:pPr>
        <w:ind w:left="1560" w:hanging="361"/>
      </w:pPr>
      <w:rPr>
        <w:rFonts w:hint="default"/>
      </w:rPr>
    </w:lvl>
    <w:lvl w:ilvl="3" w:tplc="5AA00DC8">
      <w:numFmt w:val="bullet"/>
      <w:lvlText w:val="•"/>
      <w:lvlJc w:val="left"/>
      <w:pPr>
        <w:ind w:left="2557" w:hanging="361"/>
      </w:pPr>
      <w:rPr>
        <w:rFonts w:hint="default"/>
      </w:rPr>
    </w:lvl>
    <w:lvl w:ilvl="4" w:tplc="F5707CEC">
      <w:numFmt w:val="bullet"/>
      <w:lvlText w:val="•"/>
      <w:lvlJc w:val="left"/>
      <w:pPr>
        <w:ind w:left="3555" w:hanging="361"/>
      </w:pPr>
      <w:rPr>
        <w:rFonts w:hint="default"/>
      </w:rPr>
    </w:lvl>
    <w:lvl w:ilvl="5" w:tplc="E91A1C74">
      <w:numFmt w:val="bullet"/>
      <w:lvlText w:val="•"/>
      <w:lvlJc w:val="left"/>
      <w:pPr>
        <w:ind w:left="4552" w:hanging="361"/>
      </w:pPr>
      <w:rPr>
        <w:rFonts w:hint="default"/>
      </w:rPr>
    </w:lvl>
    <w:lvl w:ilvl="6" w:tplc="D09C8E6E">
      <w:numFmt w:val="bullet"/>
      <w:lvlText w:val="•"/>
      <w:lvlJc w:val="left"/>
      <w:pPr>
        <w:ind w:left="5550" w:hanging="361"/>
      </w:pPr>
      <w:rPr>
        <w:rFonts w:hint="default"/>
      </w:rPr>
    </w:lvl>
    <w:lvl w:ilvl="7" w:tplc="BD760806">
      <w:numFmt w:val="bullet"/>
      <w:lvlText w:val="•"/>
      <w:lvlJc w:val="left"/>
      <w:pPr>
        <w:ind w:left="6547" w:hanging="361"/>
      </w:pPr>
      <w:rPr>
        <w:rFonts w:hint="default"/>
      </w:rPr>
    </w:lvl>
    <w:lvl w:ilvl="8" w:tplc="3134E15A">
      <w:numFmt w:val="bullet"/>
      <w:lvlText w:val="•"/>
      <w:lvlJc w:val="left"/>
      <w:pPr>
        <w:ind w:left="7545" w:hanging="361"/>
      </w:pPr>
      <w:rPr>
        <w:rFonts w:hint="default"/>
      </w:rPr>
    </w:lvl>
  </w:abstractNum>
  <w:abstractNum w:abstractNumId="3" w15:restartNumberingAfterBreak="0">
    <w:nsid w:val="0F3F1A36"/>
    <w:multiLevelType w:val="hybridMultilevel"/>
    <w:tmpl w:val="674A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F5408"/>
    <w:multiLevelType w:val="hybridMultilevel"/>
    <w:tmpl w:val="DA8A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D4D9A"/>
    <w:multiLevelType w:val="hybridMultilevel"/>
    <w:tmpl w:val="A5B4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7313"/>
    <w:multiLevelType w:val="hybridMultilevel"/>
    <w:tmpl w:val="C74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C6289"/>
    <w:multiLevelType w:val="hybridMultilevel"/>
    <w:tmpl w:val="F1760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D4E44"/>
    <w:multiLevelType w:val="hybridMultilevel"/>
    <w:tmpl w:val="77D21E2E"/>
    <w:lvl w:ilvl="0" w:tplc="0D2473A4">
      <w:numFmt w:val="bullet"/>
      <w:lvlText w:val=""/>
      <w:lvlJc w:val="left"/>
      <w:pPr>
        <w:ind w:left="820" w:hanging="361"/>
      </w:pPr>
      <w:rPr>
        <w:rFonts w:ascii="Symbol" w:eastAsia="Symbol" w:hAnsi="Symbol" w:cs="Symbol" w:hint="default"/>
        <w:w w:val="99"/>
        <w:sz w:val="24"/>
        <w:szCs w:val="24"/>
      </w:rPr>
    </w:lvl>
    <w:lvl w:ilvl="1" w:tplc="E0084542">
      <w:numFmt w:val="bullet"/>
      <w:lvlText w:val="•"/>
      <w:lvlJc w:val="left"/>
      <w:pPr>
        <w:ind w:left="1692" w:hanging="361"/>
      </w:pPr>
      <w:rPr>
        <w:rFonts w:hint="default"/>
      </w:rPr>
    </w:lvl>
    <w:lvl w:ilvl="2" w:tplc="487C3428">
      <w:numFmt w:val="bullet"/>
      <w:lvlText w:val="•"/>
      <w:lvlJc w:val="left"/>
      <w:pPr>
        <w:ind w:left="2564" w:hanging="361"/>
      </w:pPr>
      <w:rPr>
        <w:rFonts w:hint="default"/>
      </w:rPr>
    </w:lvl>
    <w:lvl w:ilvl="3" w:tplc="3F4EE51E">
      <w:numFmt w:val="bullet"/>
      <w:lvlText w:val="•"/>
      <w:lvlJc w:val="left"/>
      <w:pPr>
        <w:ind w:left="3436" w:hanging="361"/>
      </w:pPr>
      <w:rPr>
        <w:rFonts w:hint="default"/>
      </w:rPr>
    </w:lvl>
    <w:lvl w:ilvl="4" w:tplc="37925B20">
      <w:numFmt w:val="bullet"/>
      <w:lvlText w:val="•"/>
      <w:lvlJc w:val="left"/>
      <w:pPr>
        <w:ind w:left="4308" w:hanging="361"/>
      </w:pPr>
      <w:rPr>
        <w:rFonts w:hint="default"/>
      </w:rPr>
    </w:lvl>
    <w:lvl w:ilvl="5" w:tplc="789C7D9C">
      <w:numFmt w:val="bullet"/>
      <w:lvlText w:val="•"/>
      <w:lvlJc w:val="left"/>
      <w:pPr>
        <w:ind w:left="5180" w:hanging="361"/>
      </w:pPr>
      <w:rPr>
        <w:rFonts w:hint="default"/>
      </w:rPr>
    </w:lvl>
    <w:lvl w:ilvl="6" w:tplc="452C1B26">
      <w:numFmt w:val="bullet"/>
      <w:lvlText w:val="•"/>
      <w:lvlJc w:val="left"/>
      <w:pPr>
        <w:ind w:left="6052" w:hanging="361"/>
      </w:pPr>
      <w:rPr>
        <w:rFonts w:hint="default"/>
      </w:rPr>
    </w:lvl>
    <w:lvl w:ilvl="7" w:tplc="E67CD328">
      <w:numFmt w:val="bullet"/>
      <w:lvlText w:val="•"/>
      <w:lvlJc w:val="left"/>
      <w:pPr>
        <w:ind w:left="6924" w:hanging="361"/>
      </w:pPr>
      <w:rPr>
        <w:rFonts w:hint="default"/>
      </w:rPr>
    </w:lvl>
    <w:lvl w:ilvl="8" w:tplc="5CA48976">
      <w:numFmt w:val="bullet"/>
      <w:lvlText w:val="•"/>
      <w:lvlJc w:val="left"/>
      <w:pPr>
        <w:ind w:left="7796" w:hanging="361"/>
      </w:pPr>
      <w:rPr>
        <w:rFonts w:hint="default"/>
      </w:rPr>
    </w:lvl>
  </w:abstractNum>
  <w:abstractNum w:abstractNumId="9" w15:restartNumberingAfterBreak="0">
    <w:nsid w:val="1D0A3D7E"/>
    <w:multiLevelType w:val="hybridMultilevel"/>
    <w:tmpl w:val="B5B2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432F1"/>
    <w:multiLevelType w:val="hybridMultilevel"/>
    <w:tmpl w:val="4990A5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1539F"/>
    <w:multiLevelType w:val="hybridMultilevel"/>
    <w:tmpl w:val="6AE4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F636D"/>
    <w:multiLevelType w:val="hybridMultilevel"/>
    <w:tmpl w:val="15A8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34F69"/>
    <w:multiLevelType w:val="hybridMultilevel"/>
    <w:tmpl w:val="9D1E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F06B2"/>
    <w:multiLevelType w:val="hybridMultilevel"/>
    <w:tmpl w:val="006C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64693"/>
    <w:multiLevelType w:val="hybridMultilevel"/>
    <w:tmpl w:val="B8D8C3E8"/>
    <w:lvl w:ilvl="0" w:tplc="48901A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82695"/>
    <w:multiLevelType w:val="hybridMultilevel"/>
    <w:tmpl w:val="94E8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61D88"/>
    <w:multiLevelType w:val="multilevel"/>
    <w:tmpl w:val="276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C2AF2"/>
    <w:multiLevelType w:val="hybridMultilevel"/>
    <w:tmpl w:val="7EA2A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851533"/>
    <w:multiLevelType w:val="multilevel"/>
    <w:tmpl w:val="D1FC40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82DC8"/>
    <w:multiLevelType w:val="hybridMultilevel"/>
    <w:tmpl w:val="3378E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E5368"/>
    <w:multiLevelType w:val="hybridMultilevel"/>
    <w:tmpl w:val="0D6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E2E81"/>
    <w:multiLevelType w:val="hybridMultilevel"/>
    <w:tmpl w:val="724E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7149A"/>
    <w:multiLevelType w:val="hybridMultilevel"/>
    <w:tmpl w:val="F854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B7B63"/>
    <w:multiLevelType w:val="hybridMultilevel"/>
    <w:tmpl w:val="76341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11119F"/>
    <w:multiLevelType w:val="hybridMultilevel"/>
    <w:tmpl w:val="4990A5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40688"/>
    <w:multiLevelType w:val="hybridMultilevel"/>
    <w:tmpl w:val="FC7CA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6F43EF"/>
    <w:multiLevelType w:val="hybridMultilevel"/>
    <w:tmpl w:val="D7AC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51CD1"/>
    <w:multiLevelType w:val="hybridMultilevel"/>
    <w:tmpl w:val="4990A5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84C0F"/>
    <w:multiLevelType w:val="hybridMultilevel"/>
    <w:tmpl w:val="99A8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C61CA2">
      <w:start w:val="1"/>
      <w:numFmt w:val="bullet"/>
      <w:lvlText w:val=""/>
      <w:lvlJc w:val="left"/>
      <w:pPr>
        <w:ind w:left="2880" w:hanging="360"/>
      </w:pPr>
      <w:rPr>
        <w:rFonts w:ascii="Symbol" w:hAnsi="Symbol" w:hint="default"/>
        <w:color w:val="000000" w:themeColor="text1"/>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A2B05"/>
    <w:multiLevelType w:val="hybridMultilevel"/>
    <w:tmpl w:val="455E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745EC"/>
    <w:multiLevelType w:val="hybridMultilevel"/>
    <w:tmpl w:val="864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01DB8"/>
    <w:multiLevelType w:val="hybridMultilevel"/>
    <w:tmpl w:val="685E3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A28BE"/>
    <w:multiLevelType w:val="hybridMultilevel"/>
    <w:tmpl w:val="7A601790"/>
    <w:lvl w:ilvl="0" w:tplc="401492BA">
      <w:start w:val="1"/>
      <w:numFmt w:val="bullet"/>
      <w:lvlText w:val="•"/>
      <w:lvlJc w:val="left"/>
      <w:pPr>
        <w:tabs>
          <w:tab w:val="num" w:pos="720"/>
        </w:tabs>
        <w:ind w:left="720" w:hanging="360"/>
      </w:pPr>
      <w:rPr>
        <w:rFonts w:ascii="Arial" w:hAnsi="Arial" w:hint="default"/>
      </w:rPr>
    </w:lvl>
    <w:lvl w:ilvl="1" w:tplc="63345262" w:tentative="1">
      <w:start w:val="1"/>
      <w:numFmt w:val="bullet"/>
      <w:lvlText w:val="•"/>
      <w:lvlJc w:val="left"/>
      <w:pPr>
        <w:tabs>
          <w:tab w:val="num" w:pos="1440"/>
        </w:tabs>
        <w:ind w:left="1440" w:hanging="360"/>
      </w:pPr>
      <w:rPr>
        <w:rFonts w:ascii="Arial" w:hAnsi="Arial" w:hint="default"/>
      </w:rPr>
    </w:lvl>
    <w:lvl w:ilvl="2" w:tplc="DBE2EE3C" w:tentative="1">
      <w:start w:val="1"/>
      <w:numFmt w:val="bullet"/>
      <w:lvlText w:val="•"/>
      <w:lvlJc w:val="left"/>
      <w:pPr>
        <w:tabs>
          <w:tab w:val="num" w:pos="2160"/>
        </w:tabs>
        <w:ind w:left="2160" w:hanging="360"/>
      </w:pPr>
      <w:rPr>
        <w:rFonts w:ascii="Arial" w:hAnsi="Arial" w:hint="default"/>
      </w:rPr>
    </w:lvl>
    <w:lvl w:ilvl="3" w:tplc="2A1E4ECC" w:tentative="1">
      <w:start w:val="1"/>
      <w:numFmt w:val="bullet"/>
      <w:lvlText w:val="•"/>
      <w:lvlJc w:val="left"/>
      <w:pPr>
        <w:tabs>
          <w:tab w:val="num" w:pos="2880"/>
        </w:tabs>
        <w:ind w:left="2880" w:hanging="360"/>
      </w:pPr>
      <w:rPr>
        <w:rFonts w:ascii="Arial" w:hAnsi="Arial" w:hint="default"/>
      </w:rPr>
    </w:lvl>
    <w:lvl w:ilvl="4" w:tplc="4C78E788" w:tentative="1">
      <w:start w:val="1"/>
      <w:numFmt w:val="bullet"/>
      <w:lvlText w:val="•"/>
      <w:lvlJc w:val="left"/>
      <w:pPr>
        <w:tabs>
          <w:tab w:val="num" w:pos="3600"/>
        </w:tabs>
        <w:ind w:left="3600" w:hanging="360"/>
      </w:pPr>
      <w:rPr>
        <w:rFonts w:ascii="Arial" w:hAnsi="Arial" w:hint="default"/>
      </w:rPr>
    </w:lvl>
    <w:lvl w:ilvl="5" w:tplc="F8847CFA" w:tentative="1">
      <w:start w:val="1"/>
      <w:numFmt w:val="bullet"/>
      <w:lvlText w:val="•"/>
      <w:lvlJc w:val="left"/>
      <w:pPr>
        <w:tabs>
          <w:tab w:val="num" w:pos="4320"/>
        </w:tabs>
        <w:ind w:left="4320" w:hanging="360"/>
      </w:pPr>
      <w:rPr>
        <w:rFonts w:ascii="Arial" w:hAnsi="Arial" w:hint="default"/>
      </w:rPr>
    </w:lvl>
    <w:lvl w:ilvl="6" w:tplc="06A8BF52" w:tentative="1">
      <w:start w:val="1"/>
      <w:numFmt w:val="bullet"/>
      <w:lvlText w:val="•"/>
      <w:lvlJc w:val="left"/>
      <w:pPr>
        <w:tabs>
          <w:tab w:val="num" w:pos="5040"/>
        </w:tabs>
        <w:ind w:left="5040" w:hanging="360"/>
      </w:pPr>
      <w:rPr>
        <w:rFonts w:ascii="Arial" w:hAnsi="Arial" w:hint="default"/>
      </w:rPr>
    </w:lvl>
    <w:lvl w:ilvl="7" w:tplc="4FDAF088" w:tentative="1">
      <w:start w:val="1"/>
      <w:numFmt w:val="bullet"/>
      <w:lvlText w:val="•"/>
      <w:lvlJc w:val="left"/>
      <w:pPr>
        <w:tabs>
          <w:tab w:val="num" w:pos="5760"/>
        </w:tabs>
        <w:ind w:left="5760" w:hanging="360"/>
      </w:pPr>
      <w:rPr>
        <w:rFonts w:ascii="Arial" w:hAnsi="Arial" w:hint="default"/>
      </w:rPr>
    </w:lvl>
    <w:lvl w:ilvl="8" w:tplc="3488A66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AC252E7"/>
    <w:multiLevelType w:val="multilevel"/>
    <w:tmpl w:val="57C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A0DEB"/>
    <w:multiLevelType w:val="hybridMultilevel"/>
    <w:tmpl w:val="5CF2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850E81"/>
    <w:multiLevelType w:val="hybridMultilevel"/>
    <w:tmpl w:val="50B6AC8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563EE"/>
    <w:multiLevelType w:val="hybridMultilevel"/>
    <w:tmpl w:val="E95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00CF7"/>
    <w:multiLevelType w:val="hybridMultilevel"/>
    <w:tmpl w:val="96CEE382"/>
    <w:lvl w:ilvl="0" w:tplc="D4AC82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F2936"/>
    <w:multiLevelType w:val="hybridMultilevel"/>
    <w:tmpl w:val="4990A5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838E7"/>
    <w:multiLevelType w:val="hybridMultilevel"/>
    <w:tmpl w:val="677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61A7A"/>
    <w:multiLevelType w:val="hybridMultilevel"/>
    <w:tmpl w:val="D92CF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A02141"/>
    <w:multiLevelType w:val="hybridMultilevel"/>
    <w:tmpl w:val="E3ACF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D85582"/>
    <w:multiLevelType w:val="hybridMultilevel"/>
    <w:tmpl w:val="35C403A2"/>
    <w:lvl w:ilvl="0" w:tplc="9F249894">
      <w:start w:val="1"/>
      <w:numFmt w:val="decimal"/>
      <w:lvlText w:val="%1."/>
      <w:lvlJc w:val="left"/>
      <w:pPr>
        <w:ind w:left="840" w:hanging="360"/>
      </w:pPr>
      <w:rPr>
        <w:rFonts w:ascii="Arial" w:eastAsia="Arial" w:hAnsi="Arial" w:cs="Arial" w:hint="default"/>
        <w:spacing w:val="-2"/>
        <w:w w:val="99"/>
        <w:sz w:val="24"/>
        <w:szCs w:val="24"/>
      </w:rPr>
    </w:lvl>
    <w:lvl w:ilvl="1" w:tplc="0918519E">
      <w:numFmt w:val="bullet"/>
      <w:lvlText w:val="o"/>
      <w:lvlJc w:val="left"/>
      <w:pPr>
        <w:ind w:left="1560" w:hanging="361"/>
      </w:pPr>
      <w:rPr>
        <w:rFonts w:ascii="Courier New" w:eastAsia="Courier New" w:hAnsi="Courier New" w:cs="Courier New" w:hint="default"/>
        <w:w w:val="99"/>
        <w:sz w:val="24"/>
        <w:szCs w:val="24"/>
      </w:rPr>
    </w:lvl>
    <w:lvl w:ilvl="2" w:tplc="AD1A4D48">
      <w:numFmt w:val="bullet"/>
      <w:lvlText w:val="•"/>
      <w:lvlJc w:val="left"/>
      <w:pPr>
        <w:ind w:left="1560" w:hanging="361"/>
      </w:pPr>
      <w:rPr>
        <w:rFonts w:hint="default"/>
      </w:rPr>
    </w:lvl>
    <w:lvl w:ilvl="3" w:tplc="5AA00DC8">
      <w:numFmt w:val="bullet"/>
      <w:lvlText w:val="•"/>
      <w:lvlJc w:val="left"/>
      <w:pPr>
        <w:ind w:left="2557" w:hanging="361"/>
      </w:pPr>
      <w:rPr>
        <w:rFonts w:hint="default"/>
      </w:rPr>
    </w:lvl>
    <w:lvl w:ilvl="4" w:tplc="F5707CEC">
      <w:numFmt w:val="bullet"/>
      <w:lvlText w:val="•"/>
      <w:lvlJc w:val="left"/>
      <w:pPr>
        <w:ind w:left="3555" w:hanging="361"/>
      </w:pPr>
      <w:rPr>
        <w:rFonts w:hint="default"/>
      </w:rPr>
    </w:lvl>
    <w:lvl w:ilvl="5" w:tplc="E91A1C74">
      <w:numFmt w:val="bullet"/>
      <w:lvlText w:val="•"/>
      <w:lvlJc w:val="left"/>
      <w:pPr>
        <w:ind w:left="4552" w:hanging="361"/>
      </w:pPr>
      <w:rPr>
        <w:rFonts w:hint="default"/>
      </w:rPr>
    </w:lvl>
    <w:lvl w:ilvl="6" w:tplc="D09C8E6E">
      <w:numFmt w:val="bullet"/>
      <w:lvlText w:val="•"/>
      <w:lvlJc w:val="left"/>
      <w:pPr>
        <w:ind w:left="5550" w:hanging="361"/>
      </w:pPr>
      <w:rPr>
        <w:rFonts w:hint="default"/>
      </w:rPr>
    </w:lvl>
    <w:lvl w:ilvl="7" w:tplc="BD760806">
      <w:numFmt w:val="bullet"/>
      <w:lvlText w:val="•"/>
      <w:lvlJc w:val="left"/>
      <w:pPr>
        <w:ind w:left="6547" w:hanging="361"/>
      </w:pPr>
      <w:rPr>
        <w:rFonts w:hint="default"/>
      </w:rPr>
    </w:lvl>
    <w:lvl w:ilvl="8" w:tplc="3134E15A">
      <w:numFmt w:val="bullet"/>
      <w:lvlText w:val="•"/>
      <w:lvlJc w:val="left"/>
      <w:pPr>
        <w:ind w:left="7545" w:hanging="361"/>
      </w:pPr>
      <w:rPr>
        <w:rFonts w:hint="default"/>
      </w:rPr>
    </w:lvl>
  </w:abstractNum>
  <w:num w:numId="1" w16cid:durableId="2019430442">
    <w:abstractNumId w:val="6"/>
  </w:num>
  <w:num w:numId="2" w16cid:durableId="903217689">
    <w:abstractNumId w:val="15"/>
  </w:num>
  <w:num w:numId="3" w16cid:durableId="720444026">
    <w:abstractNumId w:val="12"/>
  </w:num>
  <w:num w:numId="4" w16cid:durableId="509179148">
    <w:abstractNumId w:val="31"/>
  </w:num>
  <w:num w:numId="5" w16cid:durableId="1821114999">
    <w:abstractNumId w:val="30"/>
  </w:num>
  <w:num w:numId="6" w16cid:durableId="1782800458">
    <w:abstractNumId w:val="9"/>
  </w:num>
  <w:num w:numId="7" w16cid:durableId="1667706768">
    <w:abstractNumId w:val="35"/>
  </w:num>
  <w:num w:numId="8" w16cid:durableId="1537695732">
    <w:abstractNumId w:val="0"/>
  </w:num>
  <w:num w:numId="9" w16cid:durableId="838081858">
    <w:abstractNumId w:val="37"/>
  </w:num>
  <w:num w:numId="10" w16cid:durableId="1712269217">
    <w:abstractNumId w:val="21"/>
  </w:num>
  <w:num w:numId="11" w16cid:durableId="1822579936">
    <w:abstractNumId w:val="22"/>
  </w:num>
  <w:num w:numId="12" w16cid:durableId="1698703270">
    <w:abstractNumId w:val="17"/>
  </w:num>
  <w:num w:numId="13" w16cid:durableId="236407307">
    <w:abstractNumId w:val="43"/>
  </w:num>
  <w:num w:numId="14" w16cid:durableId="792479732">
    <w:abstractNumId w:val="8"/>
  </w:num>
  <w:num w:numId="15" w16cid:durableId="657076148">
    <w:abstractNumId w:val="34"/>
  </w:num>
  <w:num w:numId="16" w16cid:durableId="1783913374">
    <w:abstractNumId w:val="2"/>
  </w:num>
  <w:num w:numId="17" w16cid:durableId="2065787621">
    <w:abstractNumId w:val="40"/>
  </w:num>
  <w:num w:numId="18" w16cid:durableId="1338927802">
    <w:abstractNumId w:val="38"/>
  </w:num>
  <w:num w:numId="19" w16cid:durableId="25566346">
    <w:abstractNumId w:val="19"/>
  </w:num>
  <w:num w:numId="20" w16cid:durableId="1977372177">
    <w:abstractNumId w:val="16"/>
  </w:num>
  <w:num w:numId="21" w16cid:durableId="402407881">
    <w:abstractNumId w:val="29"/>
  </w:num>
  <w:num w:numId="22" w16cid:durableId="51781512">
    <w:abstractNumId w:val="3"/>
  </w:num>
  <w:num w:numId="23" w16cid:durableId="126702641">
    <w:abstractNumId w:val="27"/>
  </w:num>
  <w:num w:numId="24" w16cid:durableId="649097101">
    <w:abstractNumId w:val="1"/>
  </w:num>
  <w:num w:numId="25" w16cid:durableId="671686664">
    <w:abstractNumId w:val="14"/>
  </w:num>
  <w:num w:numId="26" w16cid:durableId="1417357623">
    <w:abstractNumId w:val="33"/>
  </w:num>
  <w:num w:numId="27" w16cid:durableId="1623658067">
    <w:abstractNumId w:val="32"/>
  </w:num>
  <w:num w:numId="28" w16cid:durableId="1369987357">
    <w:abstractNumId w:val="29"/>
  </w:num>
  <w:num w:numId="29" w16cid:durableId="2026898550">
    <w:abstractNumId w:val="24"/>
  </w:num>
  <w:num w:numId="30" w16cid:durableId="1684823295">
    <w:abstractNumId w:val="23"/>
  </w:num>
  <w:num w:numId="31" w16cid:durableId="1140077608">
    <w:abstractNumId w:val="41"/>
  </w:num>
  <w:num w:numId="32" w16cid:durableId="1018695196">
    <w:abstractNumId w:val="26"/>
  </w:num>
  <w:num w:numId="33" w16cid:durableId="1991785960">
    <w:abstractNumId w:val="7"/>
  </w:num>
  <w:num w:numId="34" w16cid:durableId="857040085">
    <w:abstractNumId w:val="36"/>
  </w:num>
  <w:num w:numId="35" w16cid:durableId="1168524893">
    <w:abstractNumId w:val="25"/>
  </w:num>
  <w:num w:numId="36" w16cid:durableId="1243878561">
    <w:abstractNumId w:val="20"/>
  </w:num>
  <w:num w:numId="37" w16cid:durableId="42681058">
    <w:abstractNumId w:val="5"/>
  </w:num>
  <w:num w:numId="38" w16cid:durableId="1609123885">
    <w:abstractNumId w:val="42"/>
  </w:num>
  <w:num w:numId="39" w16cid:durableId="24719450">
    <w:abstractNumId w:val="11"/>
  </w:num>
  <w:num w:numId="40" w16cid:durableId="912350070">
    <w:abstractNumId w:val="4"/>
  </w:num>
  <w:num w:numId="41" w16cid:durableId="1402679182">
    <w:abstractNumId w:val="28"/>
  </w:num>
  <w:num w:numId="42" w16cid:durableId="78069020">
    <w:abstractNumId w:val="10"/>
  </w:num>
  <w:num w:numId="43" w16cid:durableId="2076968910">
    <w:abstractNumId w:val="39"/>
  </w:num>
  <w:num w:numId="44" w16cid:durableId="256787268">
    <w:abstractNumId w:val="18"/>
  </w:num>
  <w:num w:numId="45" w16cid:durableId="1268345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PE" w:vendorID="64" w:dllVersion="6" w:nlCheck="1" w:checkStyle="0"/>
  <w:activeWritingStyle w:appName="MSWord" w:lang="en-US" w:vendorID="64" w:dllVersion="6" w:nlCheck="1" w:checkStyle="1"/>
  <w:activeWritingStyle w:appName="MSWord" w:lang="en-US" w:vendorID="64" w:dllVersion="0" w:nlCheck="1" w:checkStyle="0"/>
  <w:activeWritingStyle w:appName="MSWord" w:lang="es-P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DF"/>
    <w:rsid w:val="00000C60"/>
    <w:rsid w:val="00000FDC"/>
    <w:rsid w:val="00005F0C"/>
    <w:rsid w:val="00007298"/>
    <w:rsid w:val="00015802"/>
    <w:rsid w:val="00020018"/>
    <w:rsid w:val="00051243"/>
    <w:rsid w:val="00056955"/>
    <w:rsid w:val="0006067E"/>
    <w:rsid w:val="0006283E"/>
    <w:rsid w:val="00064D22"/>
    <w:rsid w:val="00074C8D"/>
    <w:rsid w:val="000823BB"/>
    <w:rsid w:val="0009345E"/>
    <w:rsid w:val="000A3357"/>
    <w:rsid w:val="000A56B8"/>
    <w:rsid w:val="000B5748"/>
    <w:rsid w:val="000B704E"/>
    <w:rsid w:val="000C14A2"/>
    <w:rsid w:val="000D36B7"/>
    <w:rsid w:val="000D3DE0"/>
    <w:rsid w:val="000D6110"/>
    <w:rsid w:val="000E7094"/>
    <w:rsid w:val="000F3D8D"/>
    <w:rsid w:val="000F5E56"/>
    <w:rsid w:val="0011220C"/>
    <w:rsid w:val="001316D6"/>
    <w:rsid w:val="00135DA3"/>
    <w:rsid w:val="00145422"/>
    <w:rsid w:val="00161EC6"/>
    <w:rsid w:val="00173EA5"/>
    <w:rsid w:val="001B6D4A"/>
    <w:rsid w:val="001B70DB"/>
    <w:rsid w:val="001D0ADC"/>
    <w:rsid w:val="001E0BDF"/>
    <w:rsid w:val="002048DD"/>
    <w:rsid w:val="002060C9"/>
    <w:rsid w:val="0021274F"/>
    <w:rsid w:val="0022037B"/>
    <w:rsid w:val="002224FE"/>
    <w:rsid w:val="00223DAF"/>
    <w:rsid w:val="00227293"/>
    <w:rsid w:val="002317AD"/>
    <w:rsid w:val="00233231"/>
    <w:rsid w:val="00245D3D"/>
    <w:rsid w:val="00276BCD"/>
    <w:rsid w:val="00277906"/>
    <w:rsid w:val="00285154"/>
    <w:rsid w:val="0028577D"/>
    <w:rsid w:val="00295954"/>
    <w:rsid w:val="002B5800"/>
    <w:rsid w:val="002D5180"/>
    <w:rsid w:val="002D5A4B"/>
    <w:rsid w:val="002E537C"/>
    <w:rsid w:val="002E65FC"/>
    <w:rsid w:val="002F1C91"/>
    <w:rsid w:val="002F5D88"/>
    <w:rsid w:val="002F7ADF"/>
    <w:rsid w:val="00313C35"/>
    <w:rsid w:val="00321E91"/>
    <w:rsid w:val="00331D5D"/>
    <w:rsid w:val="00335FE1"/>
    <w:rsid w:val="00346621"/>
    <w:rsid w:val="00346D02"/>
    <w:rsid w:val="00372B6B"/>
    <w:rsid w:val="003A54F6"/>
    <w:rsid w:val="003A5E26"/>
    <w:rsid w:val="003B31F6"/>
    <w:rsid w:val="003D72F6"/>
    <w:rsid w:val="003E5432"/>
    <w:rsid w:val="003F0559"/>
    <w:rsid w:val="003F21EC"/>
    <w:rsid w:val="003F6983"/>
    <w:rsid w:val="004024D8"/>
    <w:rsid w:val="00404A59"/>
    <w:rsid w:val="00414B36"/>
    <w:rsid w:val="004159AA"/>
    <w:rsid w:val="004248B0"/>
    <w:rsid w:val="00426C34"/>
    <w:rsid w:val="00444AB7"/>
    <w:rsid w:val="00450653"/>
    <w:rsid w:val="00452814"/>
    <w:rsid w:val="00456C5C"/>
    <w:rsid w:val="00465BAE"/>
    <w:rsid w:val="004814E1"/>
    <w:rsid w:val="00484EA7"/>
    <w:rsid w:val="004A617F"/>
    <w:rsid w:val="004B1077"/>
    <w:rsid w:val="004B17F5"/>
    <w:rsid w:val="004B3820"/>
    <w:rsid w:val="004B38C1"/>
    <w:rsid w:val="004C308D"/>
    <w:rsid w:val="004D05A4"/>
    <w:rsid w:val="004D081A"/>
    <w:rsid w:val="004E643D"/>
    <w:rsid w:val="004F0B81"/>
    <w:rsid w:val="00501CA4"/>
    <w:rsid w:val="005110C4"/>
    <w:rsid w:val="00520C2C"/>
    <w:rsid w:val="00526F87"/>
    <w:rsid w:val="00531EEF"/>
    <w:rsid w:val="00536F49"/>
    <w:rsid w:val="00541FFA"/>
    <w:rsid w:val="00556073"/>
    <w:rsid w:val="00561857"/>
    <w:rsid w:val="0056623A"/>
    <w:rsid w:val="00592AE4"/>
    <w:rsid w:val="005B4364"/>
    <w:rsid w:val="005B5A12"/>
    <w:rsid w:val="005B638A"/>
    <w:rsid w:val="005C3C06"/>
    <w:rsid w:val="005C40F1"/>
    <w:rsid w:val="005F454B"/>
    <w:rsid w:val="005F5D35"/>
    <w:rsid w:val="00610349"/>
    <w:rsid w:val="00611FCB"/>
    <w:rsid w:val="00614BF0"/>
    <w:rsid w:val="00621E1D"/>
    <w:rsid w:val="0066491A"/>
    <w:rsid w:val="00695421"/>
    <w:rsid w:val="006973B9"/>
    <w:rsid w:val="006A6899"/>
    <w:rsid w:val="006E633A"/>
    <w:rsid w:val="006E6B9A"/>
    <w:rsid w:val="00712E0C"/>
    <w:rsid w:val="00717FCD"/>
    <w:rsid w:val="00720DEF"/>
    <w:rsid w:val="0072558A"/>
    <w:rsid w:val="007332AD"/>
    <w:rsid w:val="00737F90"/>
    <w:rsid w:val="00744A53"/>
    <w:rsid w:val="00773A70"/>
    <w:rsid w:val="00777A2F"/>
    <w:rsid w:val="00782184"/>
    <w:rsid w:val="007C00E9"/>
    <w:rsid w:val="007C6682"/>
    <w:rsid w:val="007D4401"/>
    <w:rsid w:val="007D5266"/>
    <w:rsid w:val="007D7A0D"/>
    <w:rsid w:val="007E272C"/>
    <w:rsid w:val="007F0F2B"/>
    <w:rsid w:val="008009FA"/>
    <w:rsid w:val="008135EF"/>
    <w:rsid w:val="00815757"/>
    <w:rsid w:val="00827CAC"/>
    <w:rsid w:val="008403D3"/>
    <w:rsid w:val="00840B44"/>
    <w:rsid w:val="00841363"/>
    <w:rsid w:val="00841F0E"/>
    <w:rsid w:val="00850E29"/>
    <w:rsid w:val="00854C51"/>
    <w:rsid w:val="00857F4F"/>
    <w:rsid w:val="00877BD3"/>
    <w:rsid w:val="008A60F8"/>
    <w:rsid w:val="008A69D5"/>
    <w:rsid w:val="008A7640"/>
    <w:rsid w:val="008B0486"/>
    <w:rsid w:val="008C510E"/>
    <w:rsid w:val="00912B3D"/>
    <w:rsid w:val="00915C92"/>
    <w:rsid w:val="00917418"/>
    <w:rsid w:val="009463E5"/>
    <w:rsid w:val="00952749"/>
    <w:rsid w:val="00955726"/>
    <w:rsid w:val="00957C78"/>
    <w:rsid w:val="00965847"/>
    <w:rsid w:val="00965BDF"/>
    <w:rsid w:val="0096750A"/>
    <w:rsid w:val="00987EEF"/>
    <w:rsid w:val="009A49C7"/>
    <w:rsid w:val="009B31CD"/>
    <w:rsid w:val="009C6DF9"/>
    <w:rsid w:val="009E7673"/>
    <w:rsid w:val="009F377B"/>
    <w:rsid w:val="009F49B8"/>
    <w:rsid w:val="00A0546D"/>
    <w:rsid w:val="00A1287D"/>
    <w:rsid w:val="00A245CA"/>
    <w:rsid w:val="00A440B9"/>
    <w:rsid w:val="00A47960"/>
    <w:rsid w:val="00A607EF"/>
    <w:rsid w:val="00A6563A"/>
    <w:rsid w:val="00A80E9C"/>
    <w:rsid w:val="00A95514"/>
    <w:rsid w:val="00AB181C"/>
    <w:rsid w:val="00AB351A"/>
    <w:rsid w:val="00AD1307"/>
    <w:rsid w:val="00AE1F08"/>
    <w:rsid w:val="00B00F77"/>
    <w:rsid w:val="00B011DF"/>
    <w:rsid w:val="00B01343"/>
    <w:rsid w:val="00B033A3"/>
    <w:rsid w:val="00B16D9F"/>
    <w:rsid w:val="00B56B6A"/>
    <w:rsid w:val="00B62DDC"/>
    <w:rsid w:val="00B643A7"/>
    <w:rsid w:val="00B64C2B"/>
    <w:rsid w:val="00B66048"/>
    <w:rsid w:val="00B72EE9"/>
    <w:rsid w:val="00BA07E3"/>
    <w:rsid w:val="00BA58D8"/>
    <w:rsid w:val="00BB78FA"/>
    <w:rsid w:val="00BC43BC"/>
    <w:rsid w:val="00BD4305"/>
    <w:rsid w:val="00BD5910"/>
    <w:rsid w:val="00BE09A4"/>
    <w:rsid w:val="00BF1732"/>
    <w:rsid w:val="00BF40E4"/>
    <w:rsid w:val="00BF65DA"/>
    <w:rsid w:val="00C24675"/>
    <w:rsid w:val="00C25886"/>
    <w:rsid w:val="00C312DA"/>
    <w:rsid w:val="00C32F20"/>
    <w:rsid w:val="00C53829"/>
    <w:rsid w:val="00C540A7"/>
    <w:rsid w:val="00C54B5D"/>
    <w:rsid w:val="00C705FD"/>
    <w:rsid w:val="00C73A3D"/>
    <w:rsid w:val="00C772F6"/>
    <w:rsid w:val="00C77F1D"/>
    <w:rsid w:val="00C84E8E"/>
    <w:rsid w:val="00C93039"/>
    <w:rsid w:val="00CB56F4"/>
    <w:rsid w:val="00CB5843"/>
    <w:rsid w:val="00CB78F6"/>
    <w:rsid w:val="00CC5C05"/>
    <w:rsid w:val="00CF3C1B"/>
    <w:rsid w:val="00D11D86"/>
    <w:rsid w:val="00D12DBC"/>
    <w:rsid w:val="00D26379"/>
    <w:rsid w:val="00D324DA"/>
    <w:rsid w:val="00D37E33"/>
    <w:rsid w:val="00D416DC"/>
    <w:rsid w:val="00D60E9B"/>
    <w:rsid w:val="00D6394C"/>
    <w:rsid w:val="00D70D9E"/>
    <w:rsid w:val="00D9371E"/>
    <w:rsid w:val="00D93856"/>
    <w:rsid w:val="00D94816"/>
    <w:rsid w:val="00DD212E"/>
    <w:rsid w:val="00DE02DC"/>
    <w:rsid w:val="00DE058A"/>
    <w:rsid w:val="00DE3A0B"/>
    <w:rsid w:val="00E0169E"/>
    <w:rsid w:val="00E05085"/>
    <w:rsid w:val="00E10945"/>
    <w:rsid w:val="00E11AB1"/>
    <w:rsid w:val="00E16AE9"/>
    <w:rsid w:val="00E32699"/>
    <w:rsid w:val="00E707A3"/>
    <w:rsid w:val="00E70EDF"/>
    <w:rsid w:val="00E72278"/>
    <w:rsid w:val="00E73AC0"/>
    <w:rsid w:val="00E77CC2"/>
    <w:rsid w:val="00E87837"/>
    <w:rsid w:val="00E9049F"/>
    <w:rsid w:val="00E943AD"/>
    <w:rsid w:val="00EB50C1"/>
    <w:rsid w:val="00EC1A3E"/>
    <w:rsid w:val="00ED4A7B"/>
    <w:rsid w:val="00EE7D47"/>
    <w:rsid w:val="00F01E50"/>
    <w:rsid w:val="00F03749"/>
    <w:rsid w:val="00F071D6"/>
    <w:rsid w:val="00F23082"/>
    <w:rsid w:val="00F265AC"/>
    <w:rsid w:val="00F349E5"/>
    <w:rsid w:val="00F36D4C"/>
    <w:rsid w:val="00F425CD"/>
    <w:rsid w:val="00F5369C"/>
    <w:rsid w:val="00F63332"/>
    <w:rsid w:val="00F7513A"/>
    <w:rsid w:val="00F94802"/>
    <w:rsid w:val="00FD17A3"/>
    <w:rsid w:val="00FD365E"/>
    <w:rsid w:val="00FE45E1"/>
    <w:rsid w:val="00FE7FE9"/>
    <w:rsid w:val="00FF0BCA"/>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66B5C"/>
  <w15:chartTrackingRefBased/>
  <w15:docId w15:val="{16D6C2CF-1163-45AE-9138-E595D23C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5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35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662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D611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BD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DF"/>
  </w:style>
  <w:style w:type="paragraph" w:styleId="Footer">
    <w:name w:val="footer"/>
    <w:basedOn w:val="Normal"/>
    <w:link w:val="FooterChar"/>
    <w:uiPriority w:val="99"/>
    <w:unhideWhenUsed/>
    <w:rsid w:val="0096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DF"/>
  </w:style>
  <w:style w:type="character" w:styleId="Hyperlink">
    <w:name w:val="Hyperlink"/>
    <w:basedOn w:val="DefaultParagraphFont"/>
    <w:uiPriority w:val="99"/>
    <w:unhideWhenUsed/>
    <w:rsid w:val="008009FA"/>
    <w:rPr>
      <w:color w:val="0000FF" w:themeColor="hyperlink"/>
      <w:u w:val="single"/>
    </w:rPr>
  </w:style>
  <w:style w:type="paragraph" w:styleId="ListParagraph">
    <w:name w:val="List Paragraph"/>
    <w:basedOn w:val="Normal"/>
    <w:uiPriority w:val="34"/>
    <w:qFormat/>
    <w:rsid w:val="00C32F20"/>
    <w:pPr>
      <w:ind w:left="720"/>
      <w:contextualSpacing/>
    </w:pPr>
  </w:style>
  <w:style w:type="character" w:customStyle="1" w:styleId="Heading1Char">
    <w:name w:val="Heading 1 Char"/>
    <w:basedOn w:val="DefaultParagraphFont"/>
    <w:link w:val="Heading1"/>
    <w:uiPriority w:val="9"/>
    <w:rsid w:val="008135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35E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316D6"/>
    <w:rPr>
      <w:sz w:val="16"/>
      <w:szCs w:val="16"/>
    </w:rPr>
  </w:style>
  <w:style w:type="paragraph" w:styleId="CommentText">
    <w:name w:val="annotation text"/>
    <w:basedOn w:val="Normal"/>
    <w:link w:val="CommentTextChar"/>
    <w:uiPriority w:val="99"/>
    <w:unhideWhenUsed/>
    <w:rsid w:val="001316D6"/>
    <w:pPr>
      <w:spacing w:line="240" w:lineRule="auto"/>
    </w:pPr>
    <w:rPr>
      <w:sz w:val="20"/>
      <w:szCs w:val="20"/>
    </w:rPr>
  </w:style>
  <w:style w:type="character" w:customStyle="1" w:styleId="CommentTextChar">
    <w:name w:val="Comment Text Char"/>
    <w:basedOn w:val="DefaultParagraphFont"/>
    <w:link w:val="CommentText"/>
    <w:uiPriority w:val="99"/>
    <w:rsid w:val="001316D6"/>
    <w:rPr>
      <w:sz w:val="20"/>
      <w:szCs w:val="20"/>
    </w:rPr>
  </w:style>
  <w:style w:type="paragraph" w:styleId="CommentSubject">
    <w:name w:val="annotation subject"/>
    <w:basedOn w:val="CommentText"/>
    <w:next w:val="CommentText"/>
    <w:link w:val="CommentSubjectChar"/>
    <w:uiPriority w:val="99"/>
    <w:semiHidden/>
    <w:unhideWhenUsed/>
    <w:rsid w:val="001316D6"/>
    <w:rPr>
      <w:b/>
      <w:bCs/>
    </w:rPr>
  </w:style>
  <w:style w:type="character" w:customStyle="1" w:styleId="CommentSubjectChar">
    <w:name w:val="Comment Subject Char"/>
    <w:basedOn w:val="CommentTextChar"/>
    <w:link w:val="CommentSubject"/>
    <w:uiPriority w:val="99"/>
    <w:semiHidden/>
    <w:rsid w:val="001316D6"/>
    <w:rPr>
      <w:b/>
      <w:bCs/>
      <w:sz w:val="20"/>
      <w:szCs w:val="20"/>
    </w:rPr>
  </w:style>
  <w:style w:type="paragraph" w:styleId="BalloonText">
    <w:name w:val="Balloon Text"/>
    <w:basedOn w:val="Normal"/>
    <w:link w:val="BalloonTextChar"/>
    <w:uiPriority w:val="99"/>
    <w:semiHidden/>
    <w:unhideWhenUsed/>
    <w:rsid w:val="00131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6D6"/>
    <w:rPr>
      <w:rFonts w:ascii="Segoe UI" w:hAnsi="Segoe UI" w:cs="Segoe UI"/>
      <w:sz w:val="18"/>
      <w:szCs w:val="18"/>
    </w:rPr>
  </w:style>
  <w:style w:type="paragraph" w:styleId="BodyText">
    <w:name w:val="Body Text"/>
    <w:basedOn w:val="Normal"/>
    <w:link w:val="BodyTextChar"/>
    <w:uiPriority w:val="1"/>
    <w:qFormat/>
    <w:rsid w:val="00E77CC2"/>
    <w:pPr>
      <w:widowControl w:val="0"/>
      <w:autoSpaceDE w:val="0"/>
      <w:autoSpaceDN w:val="0"/>
      <w:spacing w:after="0" w:line="240" w:lineRule="auto"/>
      <w:ind w:left="154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E77CC2"/>
    <w:rPr>
      <w:rFonts w:ascii="Arial" w:eastAsia="Arial" w:hAnsi="Arial" w:cs="Arial"/>
      <w:sz w:val="24"/>
      <w:szCs w:val="24"/>
    </w:rPr>
  </w:style>
  <w:style w:type="table" w:styleId="GridTable4-Accent1">
    <w:name w:val="Grid Table 4 Accent 1"/>
    <w:basedOn w:val="TableNormal"/>
    <w:uiPriority w:val="49"/>
    <w:rsid w:val="00D639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56623A"/>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000C60"/>
    <w:rPr>
      <w:i/>
      <w:iCs/>
      <w:color w:val="4F81BD" w:themeColor="accent1"/>
    </w:rPr>
  </w:style>
  <w:style w:type="paragraph" w:styleId="NormalWeb">
    <w:name w:val="Normal (Web)"/>
    <w:basedOn w:val="Normal"/>
    <w:uiPriority w:val="99"/>
    <w:unhideWhenUsed/>
    <w:rsid w:val="003F2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D6110"/>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841363"/>
    <w:rPr>
      <w:color w:val="800080" w:themeColor="followedHyperlink"/>
      <w:u w:val="single"/>
    </w:rPr>
  </w:style>
  <w:style w:type="paragraph" w:styleId="FootnoteText">
    <w:name w:val="footnote text"/>
    <w:basedOn w:val="Normal"/>
    <w:link w:val="FootnoteTextChar"/>
    <w:uiPriority w:val="99"/>
    <w:unhideWhenUsed/>
    <w:rsid w:val="005F5D35"/>
    <w:pPr>
      <w:spacing w:after="0" w:line="240" w:lineRule="auto"/>
    </w:pPr>
    <w:rPr>
      <w:sz w:val="20"/>
      <w:szCs w:val="20"/>
    </w:rPr>
  </w:style>
  <w:style w:type="character" w:customStyle="1" w:styleId="FootnoteTextChar">
    <w:name w:val="Footnote Text Char"/>
    <w:basedOn w:val="DefaultParagraphFont"/>
    <w:link w:val="FootnoteText"/>
    <w:uiPriority w:val="99"/>
    <w:rsid w:val="005F5D35"/>
    <w:rPr>
      <w:sz w:val="20"/>
      <w:szCs w:val="20"/>
    </w:rPr>
  </w:style>
  <w:style w:type="character" w:styleId="FootnoteReference">
    <w:name w:val="footnote reference"/>
    <w:basedOn w:val="DefaultParagraphFont"/>
    <w:uiPriority w:val="99"/>
    <w:unhideWhenUsed/>
    <w:rsid w:val="005F5D35"/>
    <w:rPr>
      <w:vertAlign w:val="superscript"/>
    </w:rPr>
  </w:style>
  <w:style w:type="character" w:customStyle="1" w:styleId="markedcontent">
    <w:name w:val="markedcontent"/>
    <w:basedOn w:val="DefaultParagraphFont"/>
    <w:rsid w:val="008B0486"/>
  </w:style>
  <w:style w:type="paragraph" w:styleId="Revision">
    <w:name w:val="Revision"/>
    <w:hidden/>
    <w:uiPriority w:val="99"/>
    <w:semiHidden/>
    <w:rsid w:val="00C772F6"/>
    <w:pPr>
      <w:spacing w:after="0" w:line="240" w:lineRule="auto"/>
    </w:pPr>
  </w:style>
  <w:style w:type="character" w:customStyle="1" w:styleId="UnresolvedMention1">
    <w:name w:val="Unresolved Mention1"/>
    <w:basedOn w:val="DefaultParagraphFont"/>
    <w:uiPriority w:val="99"/>
    <w:semiHidden/>
    <w:unhideWhenUsed/>
    <w:rsid w:val="00C772F6"/>
    <w:rPr>
      <w:color w:val="605E5C"/>
      <w:shd w:val="clear" w:color="auto" w:fill="E1DFDD"/>
    </w:rPr>
  </w:style>
  <w:style w:type="paragraph" w:customStyle="1" w:styleId="xxmsonormal">
    <w:name w:val="x_xmsonormal"/>
    <w:basedOn w:val="Normal"/>
    <w:rsid w:val="007C00E9"/>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BE09A4"/>
    <w:pPr>
      <w:spacing w:after="0" w:line="216" w:lineRule="auto"/>
    </w:pPr>
    <w:rPr>
      <w:b/>
      <w:color w:val="1F497D" w:themeColor="text2"/>
      <w:sz w:val="32"/>
      <w:szCs w:val="32"/>
    </w:rPr>
  </w:style>
  <w:style w:type="character" w:customStyle="1" w:styleId="TitleChar">
    <w:name w:val="Title Char"/>
    <w:basedOn w:val="DefaultParagraphFont"/>
    <w:link w:val="Title"/>
    <w:uiPriority w:val="10"/>
    <w:rsid w:val="00BE09A4"/>
    <w:rPr>
      <w:b/>
      <w:color w:val="1F497D" w:themeColor="text2"/>
      <w:sz w:val="32"/>
      <w:szCs w:val="32"/>
    </w:rPr>
  </w:style>
  <w:style w:type="table" w:styleId="GridTable4">
    <w:name w:val="Grid Table 4"/>
    <w:basedOn w:val="TableNormal"/>
    <w:uiPriority w:val="49"/>
    <w:rsid w:val="00C312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73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4770">
      <w:bodyDiv w:val="1"/>
      <w:marLeft w:val="0"/>
      <w:marRight w:val="0"/>
      <w:marTop w:val="0"/>
      <w:marBottom w:val="0"/>
      <w:divBdr>
        <w:top w:val="none" w:sz="0" w:space="0" w:color="auto"/>
        <w:left w:val="none" w:sz="0" w:space="0" w:color="auto"/>
        <w:bottom w:val="none" w:sz="0" w:space="0" w:color="auto"/>
        <w:right w:val="none" w:sz="0" w:space="0" w:color="auto"/>
      </w:divBdr>
    </w:div>
    <w:div w:id="286589438">
      <w:bodyDiv w:val="1"/>
      <w:marLeft w:val="0"/>
      <w:marRight w:val="0"/>
      <w:marTop w:val="0"/>
      <w:marBottom w:val="0"/>
      <w:divBdr>
        <w:top w:val="none" w:sz="0" w:space="0" w:color="auto"/>
        <w:left w:val="none" w:sz="0" w:space="0" w:color="auto"/>
        <w:bottom w:val="none" w:sz="0" w:space="0" w:color="auto"/>
        <w:right w:val="none" w:sz="0" w:space="0" w:color="auto"/>
      </w:divBdr>
    </w:div>
    <w:div w:id="348147316">
      <w:bodyDiv w:val="1"/>
      <w:marLeft w:val="0"/>
      <w:marRight w:val="0"/>
      <w:marTop w:val="0"/>
      <w:marBottom w:val="0"/>
      <w:divBdr>
        <w:top w:val="none" w:sz="0" w:space="0" w:color="auto"/>
        <w:left w:val="none" w:sz="0" w:space="0" w:color="auto"/>
        <w:bottom w:val="none" w:sz="0" w:space="0" w:color="auto"/>
        <w:right w:val="none" w:sz="0" w:space="0" w:color="auto"/>
      </w:divBdr>
    </w:div>
    <w:div w:id="718407672">
      <w:bodyDiv w:val="1"/>
      <w:marLeft w:val="0"/>
      <w:marRight w:val="0"/>
      <w:marTop w:val="0"/>
      <w:marBottom w:val="0"/>
      <w:divBdr>
        <w:top w:val="none" w:sz="0" w:space="0" w:color="auto"/>
        <w:left w:val="none" w:sz="0" w:space="0" w:color="auto"/>
        <w:bottom w:val="none" w:sz="0" w:space="0" w:color="auto"/>
        <w:right w:val="none" w:sz="0" w:space="0" w:color="auto"/>
      </w:divBdr>
    </w:div>
    <w:div w:id="804085929">
      <w:bodyDiv w:val="1"/>
      <w:marLeft w:val="0"/>
      <w:marRight w:val="0"/>
      <w:marTop w:val="0"/>
      <w:marBottom w:val="0"/>
      <w:divBdr>
        <w:top w:val="none" w:sz="0" w:space="0" w:color="auto"/>
        <w:left w:val="none" w:sz="0" w:space="0" w:color="auto"/>
        <w:bottom w:val="none" w:sz="0" w:space="0" w:color="auto"/>
        <w:right w:val="none" w:sz="0" w:space="0" w:color="auto"/>
      </w:divBdr>
    </w:div>
    <w:div w:id="843203884">
      <w:bodyDiv w:val="1"/>
      <w:marLeft w:val="0"/>
      <w:marRight w:val="0"/>
      <w:marTop w:val="0"/>
      <w:marBottom w:val="0"/>
      <w:divBdr>
        <w:top w:val="none" w:sz="0" w:space="0" w:color="auto"/>
        <w:left w:val="none" w:sz="0" w:space="0" w:color="auto"/>
        <w:bottom w:val="none" w:sz="0" w:space="0" w:color="auto"/>
        <w:right w:val="none" w:sz="0" w:space="0" w:color="auto"/>
      </w:divBdr>
    </w:div>
    <w:div w:id="867571976">
      <w:bodyDiv w:val="1"/>
      <w:marLeft w:val="0"/>
      <w:marRight w:val="0"/>
      <w:marTop w:val="0"/>
      <w:marBottom w:val="0"/>
      <w:divBdr>
        <w:top w:val="none" w:sz="0" w:space="0" w:color="auto"/>
        <w:left w:val="none" w:sz="0" w:space="0" w:color="auto"/>
        <w:bottom w:val="none" w:sz="0" w:space="0" w:color="auto"/>
        <w:right w:val="none" w:sz="0" w:space="0" w:color="auto"/>
      </w:divBdr>
    </w:div>
    <w:div w:id="888491220">
      <w:bodyDiv w:val="1"/>
      <w:marLeft w:val="0"/>
      <w:marRight w:val="0"/>
      <w:marTop w:val="0"/>
      <w:marBottom w:val="0"/>
      <w:divBdr>
        <w:top w:val="none" w:sz="0" w:space="0" w:color="auto"/>
        <w:left w:val="none" w:sz="0" w:space="0" w:color="auto"/>
        <w:bottom w:val="none" w:sz="0" w:space="0" w:color="auto"/>
        <w:right w:val="none" w:sz="0" w:space="0" w:color="auto"/>
      </w:divBdr>
    </w:div>
    <w:div w:id="1107695474">
      <w:bodyDiv w:val="1"/>
      <w:marLeft w:val="0"/>
      <w:marRight w:val="0"/>
      <w:marTop w:val="0"/>
      <w:marBottom w:val="0"/>
      <w:divBdr>
        <w:top w:val="none" w:sz="0" w:space="0" w:color="auto"/>
        <w:left w:val="none" w:sz="0" w:space="0" w:color="auto"/>
        <w:bottom w:val="none" w:sz="0" w:space="0" w:color="auto"/>
        <w:right w:val="none" w:sz="0" w:space="0" w:color="auto"/>
      </w:divBdr>
      <w:divsChild>
        <w:div w:id="1397969020">
          <w:marLeft w:val="360"/>
          <w:marRight w:val="0"/>
          <w:marTop w:val="200"/>
          <w:marBottom w:val="0"/>
          <w:divBdr>
            <w:top w:val="none" w:sz="0" w:space="0" w:color="auto"/>
            <w:left w:val="none" w:sz="0" w:space="0" w:color="auto"/>
            <w:bottom w:val="none" w:sz="0" w:space="0" w:color="auto"/>
            <w:right w:val="none" w:sz="0" w:space="0" w:color="auto"/>
          </w:divBdr>
        </w:div>
      </w:divsChild>
    </w:div>
    <w:div w:id="1151604798">
      <w:bodyDiv w:val="1"/>
      <w:marLeft w:val="0"/>
      <w:marRight w:val="0"/>
      <w:marTop w:val="0"/>
      <w:marBottom w:val="0"/>
      <w:divBdr>
        <w:top w:val="none" w:sz="0" w:space="0" w:color="auto"/>
        <w:left w:val="none" w:sz="0" w:space="0" w:color="auto"/>
        <w:bottom w:val="none" w:sz="0" w:space="0" w:color="auto"/>
        <w:right w:val="none" w:sz="0" w:space="0" w:color="auto"/>
      </w:divBdr>
    </w:div>
    <w:div w:id="1241283085">
      <w:bodyDiv w:val="1"/>
      <w:marLeft w:val="0"/>
      <w:marRight w:val="0"/>
      <w:marTop w:val="0"/>
      <w:marBottom w:val="0"/>
      <w:divBdr>
        <w:top w:val="none" w:sz="0" w:space="0" w:color="auto"/>
        <w:left w:val="none" w:sz="0" w:space="0" w:color="auto"/>
        <w:bottom w:val="none" w:sz="0" w:space="0" w:color="auto"/>
        <w:right w:val="none" w:sz="0" w:space="0" w:color="auto"/>
      </w:divBdr>
    </w:div>
    <w:div w:id="1250655528">
      <w:bodyDiv w:val="1"/>
      <w:marLeft w:val="0"/>
      <w:marRight w:val="0"/>
      <w:marTop w:val="0"/>
      <w:marBottom w:val="0"/>
      <w:divBdr>
        <w:top w:val="none" w:sz="0" w:space="0" w:color="auto"/>
        <w:left w:val="none" w:sz="0" w:space="0" w:color="auto"/>
        <w:bottom w:val="none" w:sz="0" w:space="0" w:color="auto"/>
        <w:right w:val="none" w:sz="0" w:space="0" w:color="auto"/>
      </w:divBdr>
    </w:div>
    <w:div w:id="1478493601">
      <w:bodyDiv w:val="1"/>
      <w:marLeft w:val="0"/>
      <w:marRight w:val="0"/>
      <w:marTop w:val="0"/>
      <w:marBottom w:val="0"/>
      <w:divBdr>
        <w:top w:val="none" w:sz="0" w:space="0" w:color="auto"/>
        <w:left w:val="none" w:sz="0" w:space="0" w:color="auto"/>
        <w:bottom w:val="none" w:sz="0" w:space="0" w:color="auto"/>
        <w:right w:val="none" w:sz="0" w:space="0" w:color="auto"/>
      </w:divBdr>
    </w:div>
    <w:div w:id="1556811540">
      <w:bodyDiv w:val="1"/>
      <w:marLeft w:val="0"/>
      <w:marRight w:val="0"/>
      <w:marTop w:val="0"/>
      <w:marBottom w:val="0"/>
      <w:divBdr>
        <w:top w:val="none" w:sz="0" w:space="0" w:color="auto"/>
        <w:left w:val="none" w:sz="0" w:space="0" w:color="auto"/>
        <w:bottom w:val="none" w:sz="0" w:space="0" w:color="auto"/>
        <w:right w:val="none" w:sz="0" w:space="0" w:color="auto"/>
      </w:divBdr>
    </w:div>
    <w:div w:id="1595821100">
      <w:bodyDiv w:val="1"/>
      <w:marLeft w:val="0"/>
      <w:marRight w:val="0"/>
      <w:marTop w:val="0"/>
      <w:marBottom w:val="0"/>
      <w:divBdr>
        <w:top w:val="none" w:sz="0" w:space="0" w:color="auto"/>
        <w:left w:val="none" w:sz="0" w:space="0" w:color="auto"/>
        <w:bottom w:val="none" w:sz="0" w:space="0" w:color="auto"/>
        <w:right w:val="none" w:sz="0" w:space="0" w:color="auto"/>
      </w:divBdr>
    </w:div>
    <w:div w:id="1623883438">
      <w:bodyDiv w:val="1"/>
      <w:marLeft w:val="0"/>
      <w:marRight w:val="0"/>
      <w:marTop w:val="0"/>
      <w:marBottom w:val="0"/>
      <w:divBdr>
        <w:top w:val="none" w:sz="0" w:space="0" w:color="auto"/>
        <w:left w:val="none" w:sz="0" w:space="0" w:color="auto"/>
        <w:bottom w:val="none" w:sz="0" w:space="0" w:color="auto"/>
        <w:right w:val="none" w:sz="0" w:space="0" w:color="auto"/>
      </w:divBdr>
    </w:div>
    <w:div w:id="1857379470">
      <w:bodyDiv w:val="1"/>
      <w:marLeft w:val="0"/>
      <w:marRight w:val="0"/>
      <w:marTop w:val="0"/>
      <w:marBottom w:val="0"/>
      <w:divBdr>
        <w:top w:val="none" w:sz="0" w:space="0" w:color="auto"/>
        <w:left w:val="none" w:sz="0" w:space="0" w:color="auto"/>
        <w:bottom w:val="none" w:sz="0" w:space="0" w:color="auto"/>
        <w:right w:val="none" w:sz="0" w:space="0" w:color="auto"/>
      </w:divBdr>
    </w:div>
    <w:div w:id="2139176764">
      <w:bodyDiv w:val="1"/>
      <w:marLeft w:val="0"/>
      <w:marRight w:val="0"/>
      <w:marTop w:val="0"/>
      <w:marBottom w:val="0"/>
      <w:divBdr>
        <w:top w:val="none" w:sz="0" w:space="0" w:color="auto"/>
        <w:left w:val="none" w:sz="0" w:space="0" w:color="auto"/>
        <w:bottom w:val="none" w:sz="0" w:space="0" w:color="auto"/>
        <w:right w:val="none" w:sz="0" w:space="0" w:color="auto"/>
      </w:divBdr>
    </w:div>
    <w:div w:id="21427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chools-and-districts/grants/ESEA/Documents/FAQs%20for%20IA%20Comp%20Report.docx" TargetMode="External"/><Relationship Id="rId18" Type="http://schemas.openxmlformats.org/officeDocument/2006/relationships/hyperlink" Target="https://www2.ed.gov/policy/elsec/leg/essa/essatitleiiiguidenglishlearners10219.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regon.gov/ode/schools-and-districts/grants/ESEA/Documents/ESSA%20Oregon%20Guide.docx" TargetMode="External"/><Relationship Id="rId7" Type="http://schemas.openxmlformats.org/officeDocument/2006/relationships/settings" Target="settings.xml"/><Relationship Id="rId12" Type="http://schemas.openxmlformats.org/officeDocument/2006/relationships/hyperlink" Target="https://www.oregon.gov/ode/schools-and-districts/grants/ESEA/EL/Pages/Guidance-and-Research.aspx" TargetMode="External"/><Relationship Id="rId17" Type="http://schemas.openxmlformats.org/officeDocument/2006/relationships/hyperlink" Target="https://www.oregon.gov/ode/schools-and-districts/grants/ESEA/IIA/Documents/essatitleiipartaguidanc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gov/about/offices/list/ocr/letters/colleague-el-201501.pdf" TargetMode="External"/><Relationship Id="rId20" Type="http://schemas.openxmlformats.org/officeDocument/2006/relationships/hyperlink" Target="https://www2.ed.gov/policy/elsec/leg/essa/essassaegrantguid1021201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olicy/elsec/leg/essa/snsfinalguidance06192019.pdf" TargetMode="External"/><Relationship Id="rId24" Type="http://schemas.openxmlformats.org/officeDocument/2006/relationships/hyperlink" Target="https://www.oregon.gov/ode/schools-and-districts/grants/ESEA/Pages/FedProgCOVID19.aspx" TargetMode="External"/><Relationship Id="rId5" Type="http://schemas.openxmlformats.org/officeDocument/2006/relationships/numbering" Target="numbering.xml"/><Relationship Id="rId15" Type="http://schemas.openxmlformats.org/officeDocument/2006/relationships/hyperlink" Target="https://www.ed.gov/sites/ed/files/2021/11/MEP-Non-Regulatory-Guidance-March-2017-1.docx" TargetMode="External"/><Relationship Id="rId23" Type="http://schemas.openxmlformats.org/officeDocument/2006/relationships/hyperlink" Target="https://www.oregon.gov/ode/schools-and-districts/grants/ESEA/Documents/FAQs%20for%20IA%20Comp%20Report.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gov/policy/elsec/leg/essa/elandiitleiiiaddendum12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policy/elsec/leg/essa/snsfinalguidance06192019.pdf" TargetMode="External"/><Relationship Id="rId22" Type="http://schemas.openxmlformats.org/officeDocument/2006/relationships/hyperlink" Target="https://www.oregon.gov/ode/schools-and-districts/grants/ESEA/Documents/Title%20I-A%20Methodology%20Reference%20Sheet.doc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gi-bin/text-idx?SID=1ab34260fd33363573a554baedb4aa24&amp;mc=true&amp;node=pt2.1.200&amp;rgn=div5" TargetMode="External"/><Relationship Id="rId1" Type="http://schemas.openxmlformats.org/officeDocument/2006/relationships/hyperlink" Target="http://www2.ed.gov/policy/elsec/leg/essa/essatitleiiiguidenglishlearners920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2021-09-08T07:00:00+00:00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23D89-9930-45F7-B80D-2CE02E01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104F2-5B1A-4AF6-ACB7-4C7BBD4D5BDC}">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BD013522-4C92-4741-821A-117602404068}">
  <ds:schemaRefs>
    <ds:schemaRef ds:uri="http://schemas.microsoft.com/sharepoint/v3/contenttype/forms"/>
  </ds:schemaRefs>
</ds:datastoreItem>
</file>

<file path=customXml/itemProps4.xml><?xml version="1.0" encoding="utf-8"?>
<ds:datastoreItem xmlns:ds="http://schemas.openxmlformats.org/officeDocument/2006/customXml" ds:itemID="{5B189A66-A079-4BE7-881D-4322F84E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12947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MARTIN Sarah * ODE</cp:lastModifiedBy>
  <cp:revision>2</cp:revision>
  <dcterms:created xsi:type="dcterms:W3CDTF">2024-12-12T23:34:00Z</dcterms:created>
  <dcterms:modified xsi:type="dcterms:W3CDTF">2024-12-12T23:34:00Z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2024-11-26T00:11:14Z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d2931a5a-4792-4268-ae7d-5bfdd0eb33c4</vt:lpwstr>
  </property>
  <property fmtid="{D5CDD505-2E9C-101B-9397-08002B2CF9AE}" pid="9" name="MSIP_Label_7730ea53-6f5e-4160-81a5-992a9105450a_ContentBits">
    <vt:lpwstr>0</vt:lpwstr>
  </property>
  <property fmtid="{D5CDD505-2E9C-101B-9397-08002B2CF9AE}" pid="10" name="GrammarlyDocumentId">
    <vt:lpwstr>9b94a8e43321cebc734c4bcd587d2b188c31a698051094085d31b236387794e8</vt:lpwstr>
  </property>
</Properties>
</file>