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A69" w:rsidRPr="00A0305C" w:rsidRDefault="00997A69" w:rsidP="00F20003">
      <w:pPr>
        <w:spacing w:after="100" w:afterAutospacing="1" w:line="480" w:lineRule="auto"/>
        <w:contextualSpacing/>
        <w:jc w:val="center"/>
        <w:rPr>
          <w:b/>
          <w:smallCaps/>
          <w:sz w:val="24"/>
          <w:szCs w:val="24"/>
        </w:rPr>
      </w:pPr>
      <w:bookmarkStart w:id="0" w:name="_Toc225077161"/>
      <w:bookmarkStart w:id="1" w:name="_Toc255819930"/>
      <w:bookmarkStart w:id="2" w:name="_Toc358805906"/>
      <w:bookmarkStart w:id="3" w:name="_Toc359932758"/>
      <w:bookmarkStart w:id="4" w:name="_Toc359932875"/>
      <w:bookmarkStart w:id="5" w:name="_Toc359934707"/>
      <w:bookmarkStart w:id="6" w:name="_Toc359934722"/>
      <w:bookmarkStart w:id="7" w:name="_Toc360023305"/>
      <w:bookmarkStart w:id="8" w:name="_Toc360086314"/>
      <w:bookmarkStart w:id="9" w:name="_Toc360087533"/>
      <w:bookmarkStart w:id="10" w:name="_Toc360087679"/>
      <w:bookmarkStart w:id="11" w:name="_Toc360087701"/>
      <w:bookmarkStart w:id="12" w:name="_Toc360097514"/>
      <w:bookmarkStart w:id="13" w:name="_Toc360097533"/>
      <w:bookmarkStart w:id="14" w:name="_Toc360109828"/>
      <w:bookmarkStart w:id="15" w:name="_Toc360110231"/>
      <w:bookmarkStart w:id="16" w:name="_Toc360431754"/>
      <w:bookmarkStart w:id="17" w:name="_Toc360432082"/>
      <w:bookmarkStart w:id="18" w:name="_Toc360432376"/>
      <w:bookmarkStart w:id="19" w:name="_Toc360432836"/>
      <w:bookmarkStart w:id="20" w:name="_Toc360534132"/>
      <w:bookmarkStart w:id="21" w:name="_Toc361123658"/>
      <w:bookmarkStart w:id="22" w:name="_Toc361123766"/>
      <w:bookmarkStart w:id="23" w:name="_Toc361123925"/>
      <w:bookmarkStart w:id="24" w:name="_Toc361125989"/>
      <w:bookmarkStart w:id="25" w:name="_Toc361126015"/>
      <w:bookmarkStart w:id="26" w:name="_Toc361126937"/>
      <w:bookmarkStart w:id="27" w:name="_Toc361134718"/>
      <w:bookmarkStart w:id="28" w:name="_Toc361136199"/>
      <w:bookmarkStart w:id="29" w:name="_Toc361215221"/>
      <w:bookmarkStart w:id="30" w:name="_Toc361222196"/>
      <w:bookmarkStart w:id="31" w:name="_Toc361224485"/>
      <w:bookmarkStart w:id="32" w:name="_Toc361326890"/>
      <w:bookmarkStart w:id="33" w:name="_Toc361392556"/>
      <w:bookmarkStart w:id="34" w:name="_Toc361396232"/>
      <w:bookmarkStart w:id="35" w:name="_Toc361398630"/>
      <w:bookmarkStart w:id="36" w:name="_Toc361739600"/>
      <w:bookmarkStart w:id="37" w:name="_Toc361739636"/>
      <w:bookmarkStart w:id="38" w:name="_Toc361740529"/>
      <w:bookmarkStart w:id="39" w:name="_Toc365384729"/>
      <w:bookmarkStart w:id="40" w:name="_Toc365455872"/>
      <w:bookmarkStart w:id="41" w:name="_Toc365456281"/>
      <w:bookmarkStart w:id="42" w:name="_Toc365529980"/>
      <w:bookmarkStart w:id="43" w:name="_Toc365554698"/>
      <w:bookmarkStart w:id="44" w:name="_Toc365554802"/>
      <w:bookmarkStart w:id="45" w:name="_Toc365560463"/>
      <w:bookmarkStart w:id="46" w:name="_Toc365564006"/>
      <w:bookmarkStart w:id="47" w:name="_Toc368051951"/>
      <w:bookmarkStart w:id="48" w:name="_Toc368061718"/>
      <w:bookmarkStart w:id="49" w:name="_Toc368063155"/>
      <w:bookmarkStart w:id="50" w:name="_Toc368295704"/>
      <w:bookmarkStart w:id="51" w:name="_Toc368296027"/>
      <w:bookmarkStart w:id="52" w:name="_Toc368310734"/>
      <w:bookmarkStart w:id="53" w:name="_GoBack"/>
      <w:bookmarkEnd w:id="53"/>
      <w:r w:rsidRPr="00A0305C">
        <w:rPr>
          <w:b/>
          <w:smallCaps/>
          <w:sz w:val="24"/>
          <w:szCs w:val="24"/>
        </w:rPr>
        <w:t>GUIDANCE</w:t>
      </w:r>
    </w:p>
    <w:p w:rsidR="00997A69" w:rsidRPr="00A0305C" w:rsidRDefault="00997A69" w:rsidP="00F80502">
      <w:pPr>
        <w:spacing w:after="0" w:line="240" w:lineRule="auto"/>
        <w:jc w:val="center"/>
        <w:rPr>
          <w:b/>
          <w:smallCaps/>
          <w:sz w:val="24"/>
          <w:szCs w:val="24"/>
        </w:rPr>
      </w:pPr>
      <w:r>
        <w:rPr>
          <w:b/>
          <w:smallCaps/>
          <w:sz w:val="24"/>
          <w:szCs w:val="24"/>
        </w:rPr>
        <w:t>The</w:t>
      </w:r>
      <w:r w:rsidRPr="00A0305C">
        <w:rPr>
          <w:b/>
          <w:smallCaps/>
          <w:sz w:val="24"/>
          <w:szCs w:val="24"/>
        </w:rPr>
        <w:t xml:space="preserve"> Community Eligibility </w:t>
      </w:r>
      <w:r>
        <w:rPr>
          <w:b/>
          <w:smallCaps/>
          <w:sz w:val="24"/>
          <w:szCs w:val="24"/>
        </w:rPr>
        <w:t>Provision</w:t>
      </w:r>
      <w:r w:rsidRPr="00A0305C">
        <w:rPr>
          <w:b/>
          <w:smallCaps/>
          <w:sz w:val="24"/>
          <w:szCs w:val="24"/>
        </w:rPr>
        <w:t xml:space="preserve"> </w:t>
      </w:r>
      <w:r>
        <w:rPr>
          <w:b/>
          <w:smallCaps/>
          <w:sz w:val="24"/>
          <w:szCs w:val="24"/>
        </w:rPr>
        <w:t>and</w:t>
      </w:r>
      <w:r w:rsidRPr="00A0305C">
        <w:rPr>
          <w:b/>
          <w:smallCaps/>
          <w:sz w:val="24"/>
          <w:szCs w:val="24"/>
        </w:rPr>
        <w:t xml:space="preserve"> </w:t>
      </w:r>
      <w:r>
        <w:rPr>
          <w:b/>
          <w:smallCaps/>
          <w:sz w:val="24"/>
          <w:szCs w:val="24"/>
        </w:rPr>
        <w:t>Selected</w:t>
      </w:r>
      <w:r w:rsidRPr="00A0305C">
        <w:rPr>
          <w:b/>
          <w:smallCaps/>
          <w:sz w:val="24"/>
          <w:szCs w:val="24"/>
        </w:rPr>
        <w:t xml:space="preserve"> Requirements Under</w:t>
      </w:r>
    </w:p>
    <w:p w:rsidR="00997A69" w:rsidRPr="00A0305C" w:rsidRDefault="00997A69" w:rsidP="00F80502">
      <w:pPr>
        <w:spacing w:after="0" w:line="240" w:lineRule="auto"/>
        <w:jc w:val="center"/>
        <w:rPr>
          <w:sz w:val="24"/>
          <w:szCs w:val="24"/>
        </w:rPr>
      </w:pPr>
      <w:r w:rsidRPr="00A0305C">
        <w:rPr>
          <w:b/>
          <w:smallCaps/>
          <w:sz w:val="24"/>
          <w:szCs w:val="24"/>
        </w:rPr>
        <w:t>Title I, Part A of the Elementary and Secondary Education Act of 1965</w:t>
      </w:r>
      <w:r>
        <w:rPr>
          <w:b/>
          <w:smallCaps/>
          <w:sz w:val="24"/>
          <w:szCs w:val="24"/>
        </w:rPr>
        <w:t>, as Amended</w:t>
      </w:r>
    </w:p>
    <w:p w:rsidR="00997A69" w:rsidRPr="00A0305C" w:rsidRDefault="003E0976" w:rsidP="00F20003">
      <w:pPr>
        <w:pStyle w:val="Title"/>
        <w:spacing w:line="480" w:lineRule="auto"/>
        <w:outlineLvl w:val="0"/>
      </w:pPr>
      <w:bookmarkStart w:id="54" w:name="_Toc371575758"/>
      <w:bookmarkStart w:id="55" w:name="_Toc371575909"/>
      <w:bookmarkStart w:id="56" w:name="_Toc371577805"/>
      <w:bookmarkStart w:id="57" w:name="_Toc374705269"/>
      <w:bookmarkStart w:id="58" w:name="_Toc374705310"/>
      <w:bookmarkStart w:id="59" w:name="_Toc374705361"/>
      <w:bookmarkStart w:id="60" w:name="_Toc397511981"/>
      <w:bookmarkStart w:id="61" w:name="_Toc397512531"/>
      <w:bookmarkStart w:id="62" w:name="_Toc397513040"/>
      <w:bookmarkStart w:id="63" w:name="_Toc397513895"/>
      <w:bookmarkStart w:id="64" w:name="_Toc402170574"/>
      <w:bookmarkStart w:id="65" w:name="_Toc403047487"/>
      <w:bookmarkStart w:id="66" w:name="_Toc404074352"/>
      <w:bookmarkStart w:id="67" w:name="_Toc404164644"/>
      <w:bookmarkStart w:id="68" w:name="_Toc404174260"/>
      <w:bookmarkStart w:id="69" w:name="_Toc404588573"/>
      <w:bookmarkStart w:id="70" w:name="_Toc405469943"/>
      <w:bookmarkStart w:id="71" w:name="_Toc405541916"/>
      <w:bookmarkStart w:id="72" w:name="_Toc410108791"/>
      <w:bookmarkStart w:id="73" w:name="_Toc410121121"/>
      <w:bookmarkStart w:id="74" w:name="_Toc410121794"/>
      <w:bookmarkStart w:id="75" w:name="_Toc410127226"/>
      <w:bookmarkStart w:id="76" w:name="_Toc412104293"/>
      <w:bookmarkStart w:id="77" w:name="_Toc412107975"/>
      <w:bookmarkStart w:id="78" w:name="_Toc413054891"/>
      <w:bookmarkStart w:id="79" w:name="_Toc413056906"/>
      <w:bookmarkStart w:id="80" w:name="_Toc413243238"/>
      <w:bookmarkStart w:id="81" w:name="_Toc414355033"/>
      <w:r>
        <w:rPr>
          <w:noProof/>
          <w:lang w:eastAsia="en-US"/>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US department seal" style="position:absolute;left:0;text-align:left;margin-left:152.25pt;margin-top:35.85pt;width:213.6pt;height:170.7pt;z-index:251657728">
            <v:imagedata r:id="rId12" o:title=""/>
            <w10:wrap type="topAndBottom"/>
          </v:shape>
          <o:OLEObject Type="Embed" ProgID="MS_ClipArt_Gallery.5" ShapeID="_x0000_s1026" DrawAspect="Content" ObjectID="_1594809205" r:id="rId13"/>
        </w:objec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997A69" w:rsidRPr="00A0305C" w:rsidRDefault="007162C7" w:rsidP="003572DC">
      <w:pPr>
        <w:jc w:val="center"/>
        <w:rPr>
          <w:b/>
          <w:bCs/>
          <w:sz w:val="24"/>
          <w:szCs w:val="24"/>
        </w:rPr>
      </w:pPr>
      <w:r>
        <w:rPr>
          <w:sz w:val="24"/>
          <w:szCs w:val="24"/>
        </w:rPr>
        <w:t xml:space="preserve">Revised </w:t>
      </w:r>
      <w:r w:rsidR="00376636">
        <w:rPr>
          <w:sz w:val="24"/>
          <w:szCs w:val="24"/>
        </w:rPr>
        <w:t>March</w:t>
      </w:r>
      <w:r w:rsidR="005A695D">
        <w:rPr>
          <w:sz w:val="24"/>
          <w:szCs w:val="24"/>
        </w:rPr>
        <w:t xml:space="preserve"> 2015</w:t>
      </w:r>
    </w:p>
    <w:p w:rsidR="00997A69" w:rsidRPr="00A0305C" w:rsidRDefault="00997A69" w:rsidP="004405EC">
      <w:pPr>
        <w:jc w:val="center"/>
        <w:rPr>
          <w:sz w:val="24"/>
          <w:szCs w:val="24"/>
        </w:rPr>
      </w:pPr>
      <w:smartTag w:uri="urn:schemas-microsoft-com:office:smarttags" w:element="country-region">
        <w:smartTag w:uri="urn:schemas-microsoft-com:office:smarttags" w:element="place">
          <w:r w:rsidRPr="00A0305C">
            <w:rPr>
              <w:sz w:val="24"/>
              <w:szCs w:val="24"/>
            </w:rPr>
            <w:t>U.S.</w:t>
          </w:r>
        </w:smartTag>
      </w:smartTag>
      <w:r w:rsidRPr="00A0305C">
        <w:rPr>
          <w:sz w:val="24"/>
          <w:szCs w:val="24"/>
        </w:rPr>
        <w:t xml:space="preserve"> Department of Education</w:t>
      </w:r>
    </w:p>
    <w:p w:rsidR="00997A69" w:rsidRPr="00A0305C" w:rsidRDefault="00997A69" w:rsidP="00B715CC">
      <w:pPr>
        <w:jc w:val="center"/>
        <w:rPr>
          <w:sz w:val="24"/>
          <w:szCs w:val="24"/>
        </w:rPr>
        <w:sectPr w:rsidR="00997A69" w:rsidRPr="00A0305C" w:rsidSect="00877451">
          <w:footerReference w:type="default" r:id="rId14"/>
          <w:pgSz w:w="12240" w:h="15840"/>
          <w:pgMar w:top="1440" w:right="1080" w:bottom="1440" w:left="1080" w:header="720" w:footer="288" w:gutter="0"/>
          <w:cols w:space="720"/>
          <w:titlePg/>
          <w:docGrid w:linePitch="360"/>
        </w:sectPr>
      </w:pPr>
      <w:r w:rsidRPr="00A0305C">
        <w:rPr>
          <w:sz w:val="24"/>
          <w:szCs w:val="24"/>
        </w:rPr>
        <w:t>Office of Elementary and Secondary Education</w:t>
      </w:r>
    </w:p>
    <w:p w:rsidR="00997A69" w:rsidRPr="00A0305C" w:rsidRDefault="00997A69" w:rsidP="0019740B">
      <w:pPr>
        <w:rPr>
          <w:sz w:val="24"/>
          <w:szCs w:val="24"/>
        </w:rPr>
      </w:pPr>
    </w:p>
    <w:p w:rsidR="00997A69" w:rsidRPr="00A0305C" w:rsidRDefault="00997A69" w:rsidP="00105FCD">
      <w:pPr>
        <w:pStyle w:val="TOCHeading"/>
        <w:jc w:val="center"/>
        <w:rPr>
          <w:rFonts w:ascii="Times New Roman" w:hAnsi="Times New Roman"/>
          <w:sz w:val="24"/>
          <w:szCs w:val="24"/>
        </w:rPr>
      </w:pPr>
      <w:r w:rsidRPr="00A0305C">
        <w:rPr>
          <w:rFonts w:ascii="Times New Roman" w:hAnsi="Times New Roman"/>
          <w:color w:val="auto"/>
          <w:sz w:val="24"/>
          <w:szCs w:val="24"/>
        </w:rPr>
        <w:t>Table of Contents</w:t>
      </w:r>
    </w:p>
    <w:p w:rsidR="000C3F2B" w:rsidRPr="00C6585E" w:rsidRDefault="00997A69">
      <w:pPr>
        <w:pStyle w:val="TOC1"/>
        <w:tabs>
          <w:tab w:val="right" w:leader="dot" w:pos="9350"/>
        </w:tabs>
        <w:rPr>
          <w:rFonts w:ascii="Calibri" w:hAnsi="Calibri" w:cs="Times New Roman"/>
          <w:b w:val="0"/>
          <w:bCs w:val="0"/>
          <w:caps w:val="0"/>
          <w:noProof/>
          <w:sz w:val="22"/>
          <w:szCs w:val="22"/>
        </w:rPr>
      </w:pPr>
      <w:r w:rsidRPr="00A0305C">
        <w:rPr>
          <w:rFonts w:ascii="Times New Roman" w:hAnsi="Times New Roman" w:cs="Times New Roman"/>
        </w:rPr>
        <w:fldChar w:fldCharType="begin"/>
      </w:r>
      <w:r w:rsidRPr="00A0305C">
        <w:rPr>
          <w:rFonts w:ascii="Times New Roman" w:hAnsi="Times New Roman" w:cs="Times New Roman"/>
        </w:rPr>
        <w:instrText xml:space="preserve"> TOC \o "1-3" \h \z \u </w:instrText>
      </w:r>
      <w:r w:rsidRPr="00A0305C">
        <w:rPr>
          <w:rFonts w:ascii="Times New Roman" w:hAnsi="Times New Roman" w:cs="Times New Roman"/>
        </w:rPr>
        <w:fldChar w:fldCharType="separate"/>
      </w:r>
      <w:hyperlink w:anchor="_Toc414355034" w:history="1">
        <w:r w:rsidR="000C3F2B" w:rsidRPr="00BE1120">
          <w:rPr>
            <w:rStyle w:val="Hyperlink"/>
            <w:i/>
            <w:noProof/>
          </w:rPr>
          <w:t>Introduction</w:t>
        </w:r>
        <w:r w:rsidR="000C3F2B">
          <w:rPr>
            <w:noProof/>
            <w:webHidden/>
          </w:rPr>
          <w:tab/>
        </w:r>
        <w:r w:rsidR="000C3F2B">
          <w:rPr>
            <w:noProof/>
            <w:webHidden/>
          </w:rPr>
          <w:fldChar w:fldCharType="begin"/>
        </w:r>
        <w:r w:rsidR="000C3F2B">
          <w:rPr>
            <w:noProof/>
            <w:webHidden/>
          </w:rPr>
          <w:instrText xml:space="preserve"> PAGEREF _Toc414355034 \h </w:instrText>
        </w:r>
        <w:r w:rsidR="000C3F2B">
          <w:rPr>
            <w:noProof/>
            <w:webHidden/>
          </w:rPr>
        </w:r>
        <w:r w:rsidR="000C3F2B">
          <w:rPr>
            <w:noProof/>
            <w:webHidden/>
          </w:rPr>
          <w:fldChar w:fldCharType="separate"/>
        </w:r>
        <w:r w:rsidR="000C3F2B">
          <w:rPr>
            <w:noProof/>
            <w:webHidden/>
          </w:rPr>
          <w:t>1</w:t>
        </w:r>
        <w:r w:rsidR="000C3F2B">
          <w:rPr>
            <w:noProof/>
            <w:webHidden/>
          </w:rPr>
          <w:fldChar w:fldCharType="end"/>
        </w:r>
      </w:hyperlink>
    </w:p>
    <w:p w:rsidR="000C3F2B" w:rsidRPr="00C6585E" w:rsidRDefault="000C3F2B">
      <w:pPr>
        <w:pStyle w:val="TOC1"/>
        <w:tabs>
          <w:tab w:val="right" w:leader="dot" w:pos="9350"/>
        </w:tabs>
        <w:rPr>
          <w:rFonts w:ascii="Calibri" w:hAnsi="Calibri" w:cs="Times New Roman"/>
          <w:b w:val="0"/>
          <w:bCs w:val="0"/>
          <w:caps w:val="0"/>
          <w:noProof/>
          <w:sz w:val="22"/>
          <w:szCs w:val="22"/>
        </w:rPr>
      </w:pPr>
      <w:hyperlink w:anchor="_Toc414355035" w:history="1">
        <w:r w:rsidRPr="00BE1120">
          <w:rPr>
            <w:rStyle w:val="Hyperlink"/>
            <w:i/>
            <w:noProof/>
          </w:rPr>
          <w:t>Community Eligibility Provision Description</w:t>
        </w:r>
        <w:r>
          <w:rPr>
            <w:noProof/>
            <w:webHidden/>
          </w:rPr>
          <w:tab/>
        </w:r>
        <w:r>
          <w:rPr>
            <w:noProof/>
            <w:webHidden/>
          </w:rPr>
          <w:fldChar w:fldCharType="begin"/>
        </w:r>
        <w:r>
          <w:rPr>
            <w:noProof/>
            <w:webHidden/>
          </w:rPr>
          <w:instrText xml:space="preserve"> PAGEREF _Toc414355035 \h </w:instrText>
        </w:r>
        <w:r>
          <w:rPr>
            <w:noProof/>
            <w:webHidden/>
          </w:rPr>
        </w:r>
        <w:r>
          <w:rPr>
            <w:noProof/>
            <w:webHidden/>
          </w:rPr>
          <w:fldChar w:fldCharType="separate"/>
        </w:r>
        <w:r>
          <w:rPr>
            <w:noProof/>
            <w:webHidden/>
          </w:rPr>
          <w:t>3</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36" w:history="1">
        <w:r w:rsidRPr="00BE1120">
          <w:rPr>
            <w:rStyle w:val="Hyperlink"/>
            <w:noProof/>
          </w:rPr>
          <w:t>1.</w:t>
        </w:r>
        <w:r w:rsidRPr="00C6585E">
          <w:rPr>
            <w:rFonts w:ascii="Calibri" w:hAnsi="Calibri"/>
            <w:b w:val="0"/>
            <w:bCs w:val="0"/>
            <w:noProof/>
            <w:sz w:val="22"/>
            <w:szCs w:val="22"/>
          </w:rPr>
          <w:tab/>
        </w:r>
        <w:r w:rsidRPr="00BE1120">
          <w:rPr>
            <w:rStyle w:val="Hyperlink"/>
            <w:noProof/>
          </w:rPr>
          <w:t>What is the Community Eligibility Provision?</w:t>
        </w:r>
        <w:r>
          <w:rPr>
            <w:noProof/>
            <w:webHidden/>
          </w:rPr>
          <w:tab/>
        </w:r>
        <w:r>
          <w:rPr>
            <w:noProof/>
            <w:webHidden/>
          </w:rPr>
          <w:fldChar w:fldCharType="begin"/>
        </w:r>
        <w:r>
          <w:rPr>
            <w:noProof/>
            <w:webHidden/>
          </w:rPr>
          <w:instrText xml:space="preserve"> PAGEREF _Toc414355036 \h </w:instrText>
        </w:r>
        <w:r>
          <w:rPr>
            <w:noProof/>
            <w:webHidden/>
          </w:rPr>
        </w:r>
        <w:r>
          <w:rPr>
            <w:noProof/>
            <w:webHidden/>
          </w:rPr>
          <w:fldChar w:fldCharType="separate"/>
        </w:r>
        <w:r>
          <w:rPr>
            <w:noProof/>
            <w:webHidden/>
          </w:rPr>
          <w:t>3</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37" w:history="1">
        <w:r w:rsidRPr="00BE1120">
          <w:rPr>
            <w:rStyle w:val="Hyperlink"/>
            <w:noProof/>
          </w:rPr>
          <w:t>2.</w:t>
        </w:r>
        <w:r w:rsidRPr="00C6585E">
          <w:rPr>
            <w:rFonts w:ascii="Calibri" w:hAnsi="Calibri"/>
            <w:b w:val="0"/>
            <w:bCs w:val="0"/>
            <w:noProof/>
            <w:sz w:val="22"/>
            <w:szCs w:val="22"/>
          </w:rPr>
          <w:tab/>
        </w:r>
        <w:r w:rsidRPr="00BE1120">
          <w:rPr>
            <w:rStyle w:val="Hyperlink"/>
            <w:noProof/>
          </w:rPr>
          <w:t>What does the term “identified students” mean?</w:t>
        </w:r>
        <w:r>
          <w:rPr>
            <w:noProof/>
            <w:webHidden/>
          </w:rPr>
          <w:tab/>
        </w:r>
        <w:r>
          <w:rPr>
            <w:noProof/>
            <w:webHidden/>
          </w:rPr>
          <w:fldChar w:fldCharType="begin"/>
        </w:r>
        <w:r>
          <w:rPr>
            <w:noProof/>
            <w:webHidden/>
          </w:rPr>
          <w:instrText xml:space="preserve"> PAGEREF _Toc414355037 \h </w:instrText>
        </w:r>
        <w:r>
          <w:rPr>
            <w:noProof/>
            <w:webHidden/>
          </w:rPr>
        </w:r>
        <w:r>
          <w:rPr>
            <w:noProof/>
            <w:webHidden/>
          </w:rPr>
          <w:fldChar w:fldCharType="separate"/>
        </w:r>
        <w:r>
          <w:rPr>
            <w:noProof/>
            <w:webHidden/>
          </w:rPr>
          <w:t>3</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38" w:history="1">
        <w:r w:rsidRPr="00BE1120">
          <w:rPr>
            <w:rStyle w:val="Hyperlink"/>
            <w:noProof/>
          </w:rPr>
          <w:t>3.</w:t>
        </w:r>
        <w:r w:rsidRPr="00C6585E">
          <w:rPr>
            <w:rFonts w:ascii="Calibri" w:hAnsi="Calibri"/>
            <w:b w:val="0"/>
            <w:bCs w:val="0"/>
            <w:noProof/>
            <w:sz w:val="22"/>
            <w:szCs w:val="22"/>
          </w:rPr>
          <w:tab/>
        </w:r>
        <w:r w:rsidRPr="00BE1120">
          <w:rPr>
            <w:rStyle w:val="Hyperlink"/>
            <w:noProof/>
          </w:rPr>
          <w:t>What is the eligibility threshold for participation in CEP?</w:t>
        </w:r>
        <w:r>
          <w:rPr>
            <w:noProof/>
            <w:webHidden/>
          </w:rPr>
          <w:tab/>
        </w:r>
        <w:r>
          <w:rPr>
            <w:noProof/>
            <w:webHidden/>
          </w:rPr>
          <w:fldChar w:fldCharType="begin"/>
        </w:r>
        <w:r>
          <w:rPr>
            <w:noProof/>
            <w:webHidden/>
          </w:rPr>
          <w:instrText xml:space="preserve"> PAGEREF _Toc414355038 \h </w:instrText>
        </w:r>
        <w:r>
          <w:rPr>
            <w:noProof/>
            <w:webHidden/>
          </w:rPr>
        </w:r>
        <w:r>
          <w:rPr>
            <w:noProof/>
            <w:webHidden/>
          </w:rPr>
          <w:fldChar w:fldCharType="separate"/>
        </w:r>
        <w:r>
          <w:rPr>
            <w:noProof/>
            <w:webHidden/>
          </w:rPr>
          <w:t>4</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39" w:history="1">
        <w:r w:rsidRPr="00BE1120">
          <w:rPr>
            <w:rStyle w:val="Hyperlink"/>
            <w:noProof/>
          </w:rPr>
          <w:t>4.</w:t>
        </w:r>
        <w:r w:rsidRPr="00C6585E">
          <w:rPr>
            <w:rFonts w:ascii="Calibri" w:hAnsi="Calibri"/>
            <w:b w:val="0"/>
            <w:bCs w:val="0"/>
            <w:noProof/>
            <w:sz w:val="22"/>
            <w:szCs w:val="22"/>
          </w:rPr>
          <w:tab/>
        </w:r>
        <w:r w:rsidRPr="00BE1120">
          <w:rPr>
            <w:rStyle w:val="Hyperlink"/>
            <w:noProof/>
          </w:rPr>
          <w:t>How is the percentage of identified students calculated for CEP?</w:t>
        </w:r>
        <w:r>
          <w:rPr>
            <w:noProof/>
            <w:webHidden/>
          </w:rPr>
          <w:tab/>
        </w:r>
        <w:r>
          <w:rPr>
            <w:noProof/>
            <w:webHidden/>
          </w:rPr>
          <w:fldChar w:fldCharType="begin"/>
        </w:r>
        <w:r>
          <w:rPr>
            <w:noProof/>
            <w:webHidden/>
          </w:rPr>
          <w:instrText xml:space="preserve"> PAGEREF _Toc414355039 \h </w:instrText>
        </w:r>
        <w:r>
          <w:rPr>
            <w:noProof/>
            <w:webHidden/>
          </w:rPr>
        </w:r>
        <w:r>
          <w:rPr>
            <w:noProof/>
            <w:webHidden/>
          </w:rPr>
          <w:fldChar w:fldCharType="separate"/>
        </w:r>
        <w:r>
          <w:rPr>
            <w:noProof/>
            <w:webHidden/>
          </w:rPr>
          <w:t>4</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0" w:history="1">
        <w:r w:rsidRPr="00BE1120">
          <w:rPr>
            <w:rStyle w:val="Hyperlink"/>
            <w:noProof/>
          </w:rPr>
          <w:t>5.</w:t>
        </w:r>
        <w:r w:rsidRPr="00C6585E">
          <w:rPr>
            <w:rFonts w:ascii="Calibri" w:hAnsi="Calibri"/>
            <w:b w:val="0"/>
            <w:bCs w:val="0"/>
            <w:noProof/>
            <w:sz w:val="22"/>
            <w:szCs w:val="22"/>
          </w:rPr>
          <w:tab/>
        </w:r>
        <w:r w:rsidRPr="00BE1120">
          <w:rPr>
            <w:rStyle w:val="Hyperlink"/>
            <w:noProof/>
          </w:rPr>
          <w:t>How are school meals reimbursed through CEP?</w:t>
        </w:r>
        <w:r>
          <w:rPr>
            <w:noProof/>
            <w:webHidden/>
          </w:rPr>
          <w:tab/>
        </w:r>
        <w:r>
          <w:rPr>
            <w:noProof/>
            <w:webHidden/>
          </w:rPr>
          <w:fldChar w:fldCharType="begin"/>
        </w:r>
        <w:r>
          <w:rPr>
            <w:noProof/>
            <w:webHidden/>
          </w:rPr>
          <w:instrText xml:space="preserve"> PAGEREF _Toc414355040 \h </w:instrText>
        </w:r>
        <w:r>
          <w:rPr>
            <w:noProof/>
            <w:webHidden/>
          </w:rPr>
        </w:r>
        <w:r>
          <w:rPr>
            <w:noProof/>
            <w:webHidden/>
          </w:rPr>
          <w:fldChar w:fldCharType="separate"/>
        </w:r>
        <w:r>
          <w:rPr>
            <w:noProof/>
            <w:webHidden/>
          </w:rPr>
          <w:t>4</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1" w:history="1">
        <w:r w:rsidRPr="00BE1120">
          <w:rPr>
            <w:rStyle w:val="Hyperlink"/>
            <w:noProof/>
          </w:rPr>
          <w:t>6.</w:t>
        </w:r>
        <w:r w:rsidRPr="00C6585E">
          <w:rPr>
            <w:rFonts w:ascii="Calibri" w:hAnsi="Calibri"/>
            <w:b w:val="0"/>
            <w:bCs w:val="0"/>
            <w:noProof/>
            <w:sz w:val="22"/>
            <w:szCs w:val="22"/>
          </w:rPr>
          <w:tab/>
        </w:r>
        <w:r w:rsidRPr="00BE1120">
          <w:rPr>
            <w:rStyle w:val="Hyperlink"/>
            <w:noProof/>
          </w:rPr>
          <w:t>What is the function of the 1.6 multiplier?</w:t>
        </w:r>
        <w:r>
          <w:rPr>
            <w:noProof/>
            <w:webHidden/>
          </w:rPr>
          <w:tab/>
        </w:r>
        <w:r>
          <w:rPr>
            <w:noProof/>
            <w:webHidden/>
          </w:rPr>
          <w:fldChar w:fldCharType="begin"/>
        </w:r>
        <w:r>
          <w:rPr>
            <w:noProof/>
            <w:webHidden/>
          </w:rPr>
          <w:instrText xml:space="preserve"> PAGEREF _Toc414355041 \h </w:instrText>
        </w:r>
        <w:r>
          <w:rPr>
            <w:noProof/>
            <w:webHidden/>
          </w:rPr>
        </w:r>
        <w:r>
          <w:rPr>
            <w:noProof/>
            <w:webHidden/>
          </w:rPr>
          <w:fldChar w:fldCharType="separate"/>
        </w:r>
        <w:r>
          <w:rPr>
            <w:noProof/>
            <w:webHidden/>
          </w:rPr>
          <w:t>4</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2" w:history="1">
        <w:r w:rsidRPr="00BE1120">
          <w:rPr>
            <w:rStyle w:val="Hyperlink"/>
            <w:noProof/>
          </w:rPr>
          <w:t>7.</w:t>
        </w:r>
        <w:r w:rsidRPr="00C6585E">
          <w:rPr>
            <w:rFonts w:ascii="Calibri" w:hAnsi="Calibri"/>
            <w:b w:val="0"/>
            <w:bCs w:val="0"/>
            <w:noProof/>
            <w:sz w:val="22"/>
            <w:szCs w:val="22"/>
          </w:rPr>
          <w:tab/>
        </w:r>
        <w:r w:rsidRPr="00BE1120">
          <w:rPr>
            <w:rStyle w:val="Hyperlink"/>
            <w:noProof/>
          </w:rPr>
          <w:t>Will the 1.6 multiplier change?</w:t>
        </w:r>
        <w:r>
          <w:rPr>
            <w:noProof/>
            <w:webHidden/>
          </w:rPr>
          <w:tab/>
        </w:r>
        <w:r>
          <w:rPr>
            <w:noProof/>
            <w:webHidden/>
          </w:rPr>
          <w:fldChar w:fldCharType="begin"/>
        </w:r>
        <w:r>
          <w:rPr>
            <w:noProof/>
            <w:webHidden/>
          </w:rPr>
          <w:instrText xml:space="preserve"> PAGEREF _Toc414355042 \h </w:instrText>
        </w:r>
        <w:r>
          <w:rPr>
            <w:noProof/>
            <w:webHidden/>
          </w:rPr>
        </w:r>
        <w:r>
          <w:rPr>
            <w:noProof/>
            <w:webHidden/>
          </w:rPr>
          <w:fldChar w:fldCharType="separate"/>
        </w:r>
        <w:r>
          <w:rPr>
            <w:noProof/>
            <w:webHidden/>
          </w:rPr>
          <w:t>4</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3" w:history="1">
        <w:r w:rsidRPr="00BE1120">
          <w:rPr>
            <w:rStyle w:val="Hyperlink"/>
            <w:noProof/>
          </w:rPr>
          <w:t>8.</w:t>
        </w:r>
        <w:r w:rsidRPr="00C6585E">
          <w:rPr>
            <w:rFonts w:ascii="Calibri" w:hAnsi="Calibri"/>
            <w:b w:val="0"/>
            <w:bCs w:val="0"/>
            <w:noProof/>
            <w:sz w:val="22"/>
            <w:szCs w:val="22"/>
          </w:rPr>
          <w:tab/>
        </w:r>
        <w:r w:rsidRPr="00BE1120">
          <w:rPr>
            <w:rStyle w:val="Hyperlink"/>
            <w:noProof/>
          </w:rPr>
          <w:t>May a private school that participates in the NSLP or School Breakfast Program elect CEP?</w:t>
        </w:r>
        <w:r>
          <w:rPr>
            <w:noProof/>
            <w:webHidden/>
          </w:rPr>
          <w:tab/>
        </w:r>
        <w:r>
          <w:rPr>
            <w:noProof/>
            <w:webHidden/>
          </w:rPr>
          <w:fldChar w:fldCharType="begin"/>
        </w:r>
        <w:r>
          <w:rPr>
            <w:noProof/>
            <w:webHidden/>
          </w:rPr>
          <w:instrText xml:space="preserve"> PAGEREF _Toc414355043 \h </w:instrText>
        </w:r>
        <w:r>
          <w:rPr>
            <w:noProof/>
            <w:webHidden/>
          </w:rPr>
        </w:r>
        <w:r>
          <w:rPr>
            <w:noProof/>
            <w:webHidden/>
          </w:rPr>
          <w:fldChar w:fldCharType="separate"/>
        </w:r>
        <w:r>
          <w:rPr>
            <w:noProof/>
            <w:webHidden/>
          </w:rPr>
          <w:t>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4" w:history="1">
        <w:r w:rsidRPr="00BE1120">
          <w:rPr>
            <w:rStyle w:val="Hyperlink"/>
            <w:noProof/>
          </w:rPr>
          <w:t>9.</w:t>
        </w:r>
        <w:r w:rsidRPr="00C6585E">
          <w:rPr>
            <w:rFonts w:ascii="Calibri" w:hAnsi="Calibri"/>
            <w:b w:val="0"/>
            <w:bCs w:val="0"/>
            <w:noProof/>
            <w:sz w:val="22"/>
            <w:szCs w:val="22"/>
          </w:rPr>
          <w:tab/>
        </w:r>
        <w:r w:rsidRPr="00BE1120">
          <w:rPr>
            <w:rStyle w:val="Hyperlink"/>
            <w:noProof/>
          </w:rPr>
          <w:t>What are the areas of intersection between CEP and Title I?</w:t>
        </w:r>
        <w:r>
          <w:rPr>
            <w:noProof/>
            <w:webHidden/>
          </w:rPr>
          <w:tab/>
        </w:r>
        <w:r>
          <w:rPr>
            <w:noProof/>
            <w:webHidden/>
          </w:rPr>
          <w:fldChar w:fldCharType="begin"/>
        </w:r>
        <w:r>
          <w:rPr>
            <w:noProof/>
            <w:webHidden/>
          </w:rPr>
          <w:instrText xml:space="preserve"> PAGEREF _Toc414355044 \h </w:instrText>
        </w:r>
        <w:r>
          <w:rPr>
            <w:noProof/>
            <w:webHidden/>
          </w:rPr>
        </w:r>
        <w:r>
          <w:rPr>
            <w:noProof/>
            <w:webHidden/>
          </w:rPr>
          <w:fldChar w:fldCharType="separate"/>
        </w:r>
        <w:r>
          <w:rPr>
            <w:noProof/>
            <w:webHidden/>
          </w:rPr>
          <w:t>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5" w:history="1">
        <w:r w:rsidRPr="00BE1120">
          <w:rPr>
            <w:rStyle w:val="Hyperlink"/>
            <w:noProof/>
          </w:rPr>
          <w:t>10.</w:t>
        </w:r>
        <w:r w:rsidRPr="00C6585E">
          <w:rPr>
            <w:rFonts w:ascii="Calibri" w:hAnsi="Calibri"/>
            <w:b w:val="0"/>
            <w:bCs w:val="0"/>
            <w:noProof/>
            <w:sz w:val="22"/>
            <w:szCs w:val="22"/>
          </w:rPr>
          <w:tab/>
        </w:r>
        <w:r w:rsidRPr="00BE1120">
          <w:rPr>
            <w:rStyle w:val="Hyperlink"/>
            <w:noProof/>
          </w:rPr>
          <w:t>When using NSLP data as a poverty measure for Title I, which types of NSLP data may be included?</w:t>
        </w:r>
        <w:r>
          <w:rPr>
            <w:noProof/>
            <w:webHidden/>
          </w:rPr>
          <w:tab/>
        </w:r>
        <w:r>
          <w:rPr>
            <w:noProof/>
            <w:webHidden/>
          </w:rPr>
          <w:fldChar w:fldCharType="begin"/>
        </w:r>
        <w:r>
          <w:rPr>
            <w:noProof/>
            <w:webHidden/>
          </w:rPr>
          <w:instrText xml:space="preserve"> PAGEREF _Toc414355045 \h </w:instrText>
        </w:r>
        <w:r>
          <w:rPr>
            <w:noProof/>
            <w:webHidden/>
          </w:rPr>
        </w:r>
        <w:r>
          <w:rPr>
            <w:noProof/>
            <w:webHidden/>
          </w:rPr>
          <w:fldChar w:fldCharType="separate"/>
        </w:r>
        <w:r>
          <w:rPr>
            <w:noProof/>
            <w:webHidden/>
          </w:rPr>
          <w:t>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6" w:history="1">
        <w:r w:rsidRPr="00BE1120">
          <w:rPr>
            <w:rStyle w:val="Hyperlink"/>
            <w:noProof/>
          </w:rPr>
          <w:t>11.</w:t>
        </w:r>
        <w:r w:rsidRPr="00C6585E">
          <w:rPr>
            <w:rFonts w:ascii="Calibri" w:hAnsi="Calibri"/>
            <w:b w:val="0"/>
            <w:bCs w:val="0"/>
            <w:noProof/>
            <w:sz w:val="22"/>
            <w:szCs w:val="22"/>
          </w:rPr>
          <w:tab/>
        </w:r>
        <w:r w:rsidRPr="00BE1120">
          <w:rPr>
            <w:rStyle w:val="Hyperlink"/>
            <w:noProof/>
          </w:rPr>
          <w:t>If an LEA includes a CEP school for the purpose of NSLP, must the LEA use NSLP data (including CEP) for Title I purposes?</w:t>
        </w:r>
        <w:r>
          <w:rPr>
            <w:noProof/>
            <w:webHidden/>
          </w:rPr>
          <w:tab/>
        </w:r>
        <w:r>
          <w:rPr>
            <w:noProof/>
            <w:webHidden/>
          </w:rPr>
          <w:fldChar w:fldCharType="begin"/>
        </w:r>
        <w:r>
          <w:rPr>
            <w:noProof/>
            <w:webHidden/>
          </w:rPr>
          <w:instrText xml:space="preserve"> PAGEREF _Toc414355046 \h </w:instrText>
        </w:r>
        <w:r>
          <w:rPr>
            <w:noProof/>
            <w:webHidden/>
          </w:rPr>
        </w:r>
        <w:r>
          <w:rPr>
            <w:noProof/>
            <w:webHidden/>
          </w:rPr>
          <w:fldChar w:fldCharType="separate"/>
        </w:r>
        <w:r>
          <w:rPr>
            <w:noProof/>
            <w:webHidden/>
          </w:rPr>
          <w:t>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7" w:history="1">
        <w:r w:rsidRPr="00BE1120">
          <w:rPr>
            <w:rStyle w:val="Hyperlink"/>
            <w:noProof/>
          </w:rPr>
          <w:t>12.</w:t>
        </w:r>
        <w:r w:rsidRPr="00C6585E">
          <w:rPr>
            <w:rFonts w:ascii="Calibri" w:hAnsi="Calibri"/>
            <w:b w:val="0"/>
            <w:bCs w:val="0"/>
            <w:noProof/>
            <w:sz w:val="22"/>
            <w:szCs w:val="22"/>
          </w:rPr>
          <w:tab/>
        </w:r>
        <w:r w:rsidRPr="00BE1120">
          <w:rPr>
            <w:rStyle w:val="Hyperlink"/>
            <w:noProof/>
          </w:rPr>
          <w:t>Are updated direct certification data available to an LEA every year?</w:t>
        </w:r>
        <w:r>
          <w:rPr>
            <w:noProof/>
            <w:webHidden/>
          </w:rPr>
          <w:tab/>
        </w:r>
        <w:r>
          <w:rPr>
            <w:noProof/>
            <w:webHidden/>
          </w:rPr>
          <w:fldChar w:fldCharType="begin"/>
        </w:r>
        <w:r>
          <w:rPr>
            <w:noProof/>
            <w:webHidden/>
          </w:rPr>
          <w:instrText xml:space="preserve"> PAGEREF _Toc414355047 \h </w:instrText>
        </w:r>
        <w:r>
          <w:rPr>
            <w:noProof/>
            <w:webHidden/>
          </w:rPr>
        </w:r>
        <w:r>
          <w:rPr>
            <w:noProof/>
            <w:webHidden/>
          </w:rPr>
          <w:fldChar w:fldCharType="separate"/>
        </w:r>
        <w:r>
          <w:rPr>
            <w:noProof/>
            <w:webHidden/>
          </w:rPr>
          <w:t>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48" w:history="1">
        <w:r w:rsidRPr="00BE1120">
          <w:rPr>
            <w:rStyle w:val="Hyperlink"/>
            <w:noProof/>
          </w:rPr>
          <w:t>13.</w:t>
        </w:r>
        <w:r w:rsidRPr="00C6585E">
          <w:rPr>
            <w:rFonts w:ascii="Calibri" w:hAnsi="Calibri"/>
            <w:b w:val="0"/>
            <w:bCs w:val="0"/>
            <w:noProof/>
            <w:sz w:val="22"/>
            <w:szCs w:val="22"/>
          </w:rPr>
          <w:tab/>
        </w:r>
        <w:r w:rsidRPr="00BE1120">
          <w:rPr>
            <w:rStyle w:val="Hyperlink"/>
            <w:noProof/>
          </w:rPr>
          <w:t>How might the availability of updated direct certification data affect Title I implementation?</w:t>
        </w:r>
        <w:r>
          <w:rPr>
            <w:noProof/>
            <w:webHidden/>
          </w:rPr>
          <w:tab/>
        </w:r>
        <w:r>
          <w:rPr>
            <w:noProof/>
            <w:webHidden/>
          </w:rPr>
          <w:fldChar w:fldCharType="begin"/>
        </w:r>
        <w:r>
          <w:rPr>
            <w:noProof/>
            <w:webHidden/>
          </w:rPr>
          <w:instrText xml:space="preserve"> PAGEREF _Toc414355048 \h </w:instrText>
        </w:r>
        <w:r>
          <w:rPr>
            <w:noProof/>
            <w:webHidden/>
          </w:rPr>
        </w:r>
        <w:r>
          <w:rPr>
            <w:noProof/>
            <w:webHidden/>
          </w:rPr>
          <w:fldChar w:fldCharType="separate"/>
        </w:r>
        <w:r>
          <w:rPr>
            <w:noProof/>
            <w:webHidden/>
          </w:rPr>
          <w:t>6</w:t>
        </w:r>
        <w:r>
          <w:rPr>
            <w:noProof/>
            <w:webHidden/>
          </w:rPr>
          <w:fldChar w:fldCharType="end"/>
        </w:r>
      </w:hyperlink>
    </w:p>
    <w:p w:rsidR="000C3F2B" w:rsidRPr="00C6585E" w:rsidRDefault="000C3F2B">
      <w:pPr>
        <w:pStyle w:val="TOC1"/>
        <w:tabs>
          <w:tab w:val="right" w:leader="dot" w:pos="9350"/>
        </w:tabs>
        <w:rPr>
          <w:rFonts w:ascii="Calibri" w:hAnsi="Calibri" w:cs="Times New Roman"/>
          <w:b w:val="0"/>
          <w:bCs w:val="0"/>
          <w:caps w:val="0"/>
          <w:noProof/>
          <w:sz w:val="22"/>
          <w:szCs w:val="22"/>
        </w:rPr>
      </w:pPr>
      <w:hyperlink w:anchor="_Toc414355049" w:history="1">
        <w:r w:rsidRPr="00BE1120">
          <w:rPr>
            <w:rStyle w:val="Hyperlink"/>
            <w:i/>
            <w:noProof/>
          </w:rPr>
          <w:t>Within-district Allocations</w:t>
        </w:r>
        <w:r>
          <w:rPr>
            <w:noProof/>
            <w:webHidden/>
          </w:rPr>
          <w:tab/>
        </w:r>
        <w:r>
          <w:rPr>
            <w:noProof/>
            <w:webHidden/>
          </w:rPr>
          <w:fldChar w:fldCharType="begin"/>
        </w:r>
        <w:r>
          <w:rPr>
            <w:noProof/>
            <w:webHidden/>
          </w:rPr>
          <w:instrText xml:space="preserve"> PAGEREF _Toc414355049 \h </w:instrText>
        </w:r>
        <w:r>
          <w:rPr>
            <w:noProof/>
            <w:webHidden/>
          </w:rPr>
        </w:r>
        <w:r>
          <w:rPr>
            <w:noProof/>
            <w:webHidden/>
          </w:rPr>
          <w:fldChar w:fldCharType="separate"/>
        </w:r>
        <w:r>
          <w:rPr>
            <w:noProof/>
            <w:webHidden/>
          </w:rPr>
          <w:t>6</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0" w:history="1">
        <w:r w:rsidRPr="00BE1120">
          <w:rPr>
            <w:rStyle w:val="Hyperlink"/>
            <w:noProof/>
          </w:rPr>
          <w:t>14.</w:t>
        </w:r>
        <w:r w:rsidRPr="00C6585E">
          <w:rPr>
            <w:rFonts w:ascii="Calibri" w:hAnsi="Calibri"/>
            <w:b w:val="0"/>
            <w:bCs w:val="0"/>
            <w:noProof/>
            <w:sz w:val="22"/>
            <w:szCs w:val="22"/>
          </w:rPr>
          <w:tab/>
        </w:r>
        <w:r w:rsidRPr="00BE1120">
          <w:rPr>
            <w:rStyle w:val="Hyperlink"/>
            <w:noProof/>
          </w:rPr>
          <w:t>May an LEA use CEP data to allocate Title I funds to school attendance areas and schools?</w:t>
        </w:r>
        <w:r>
          <w:rPr>
            <w:noProof/>
            <w:webHidden/>
          </w:rPr>
          <w:tab/>
        </w:r>
        <w:r>
          <w:rPr>
            <w:noProof/>
            <w:webHidden/>
          </w:rPr>
          <w:fldChar w:fldCharType="begin"/>
        </w:r>
        <w:r>
          <w:rPr>
            <w:noProof/>
            <w:webHidden/>
          </w:rPr>
          <w:instrText xml:space="preserve"> PAGEREF _Toc414355050 \h </w:instrText>
        </w:r>
        <w:r>
          <w:rPr>
            <w:noProof/>
            <w:webHidden/>
          </w:rPr>
        </w:r>
        <w:r>
          <w:rPr>
            <w:noProof/>
            <w:webHidden/>
          </w:rPr>
          <w:fldChar w:fldCharType="separate"/>
        </w:r>
        <w:r>
          <w:rPr>
            <w:noProof/>
            <w:webHidden/>
          </w:rPr>
          <w:t>6</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1" w:history="1">
        <w:r w:rsidRPr="00BE1120">
          <w:rPr>
            <w:rStyle w:val="Hyperlink"/>
            <w:noProof/>
          </w:rPr>
          <w:t>15.</w:t>
        </w:r>
        <w:r w:rsidRPr="00C6585E">
          <w:rPr>
            <w:rFonts w:ascii="Calibri" w:hAnsi="Calibri"/>
            <w:b w:val="0"/>
            <w:bCs w:val="0"/>
            <w:noProof/>
            <w:sz w:val="22"/>
            <w:szCs w:val="22"/>
          </w:rPr>
          <w:tab/>
        </w:r>
        <w:r w:rsidRPr="00BE1120">
          <w:rPr>
            <w:rStyle w:val="Hyperlink"/>
            <w:noProof/>
          </w:rPr>
          <w:t>Has ED previously provided information on within-district Title I allocations?</w:t>
        </w:r>
        <w:r>
          <w:rPr>
            <w:noProof/>
            <w:webHidden/>
          </w:rPr>
          <w:tab/>
        </w:r>
        <w:r>
          <w:rPr>
            <w:noProof/>
            <w:webHidden/>
          </w:rPr>
          <w:fldChar w:fldCharType="begin"/>
        </w:r>
        <w:r>
          <w:rPr>
            <w:noProof/>
            <w:webHidden/>
          </w:rPr>
          <w:instrText xml:space="preserve"> PAGEREF _Toc414355051 \h </w:instrText>
        </w:r>
        <w:r>
          <w:rPr>
            <w:noProof/>
            <w:webHidden/>
          </w:rPr>
        </w:r>
        <w:r>
          <w:rPr>
            <w:noProof/>
            <w:webHidden/>
          </w:rPr>
          <w:fldChar w:fldCharType="separate"/>
        </w:r>
        <w:r>
          <w:rPr>
            <w:noProof/>
            <w:webHidden/>
          </w:rPr>
          <w:t>6</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2" w:history="1">
        <w:r w:rsidRPr="00BE1120">
          <w:rPr>
            <w:rStyle w:val="Hyperlink"/>
            <w:noProof/>
          </w:rPr>
          <w:t>16.</w:t>
        </w:r>
        <w:r w:rsidRPr="00C6585E">
          <w:rPr>
            <w:rFonts w:ascii="Calibri" w:hAnsi="Calibri"/>
            <w:b w:val="0"/>
            <w:bCs w:val="0"/>
            <w:noProof/>
            <w:sz w:val="22"/>
            <w:szCs w:val="22"/>
          </w:rPr>
          <w:tab/>
        </w:r>
        <w:r w:rsidRPr="00BE1120">
          <w:rPr>
            <w:rStyle w:val="Hyperlink"/>
            <w:noProof/>
          </w:rPr>
          <w:t>Does CEP change that guidance?</w:t>
        </w:r>
        <w:r>
          <w:rPr>
            <w:noProof/>
            <w:webHidden/>
          </w:rPr>
          <w:tab/>
        </w:r>
        <w:r>
          <w:rPr>
            <w:noProof/>
            <w:webHidden/>
          </w:rPr>
          <w:fldChar w:fldCharType="begin"/>
        </w:r>
        <w:r>
          <w:rPr>
            <w:noProof/>
            <w:webHidden/>
          </w:rPr>
          <w:instrText xml:space="preserve"> PAGEREF _Toc414355052 \h </w:instrText>
        </w:r>
        <w:r>
          <w:rPr>
            <w:noProof/>
            <w:webHidden/>
          </w:rPr>
        </w:r>
        <w:r>
          <w:rPr>
            <w:noProof/>
            <w:webHidden/>
          </w:rPr>
          <w:fldChar w:fldCharType="separate"/>
        </w:r>
        <w:r>
          <w:rPr>
            <w:noProof/>
            <w:webHidden/>
          </w:rPr>
          <w:t>7</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3" w:history="1">
        <w:r w:rsidRPr="00BE1120">
          <w:rPr>
            <w:rStyle w:val="Hyperlink"/>
            <w:noProof/>
          </w:rPr>
          <w:t>17.</w:t>
        </w:r>
        <w:r w:rsidRPr="00C6585E">
          <w:rPr>
            <w:rFonts w:ascii="Calibri" w:hAnsi="Calibri"/>
            <w:b w:val="0"/>
            <w:bCs w:val="0"/>
            <w:noProof/>
            <w:sz w:val="22"/>
            <w:szCs w:val="22"/>
          </w:rPr>
          <w:tab/>
        </w:r>
        <w:r w:rsidRPr="00BE1120">
          <w:rPr>
            <w:rStyle w:val="Hyperlink"/>
            <w:noProof/>
          </w:rPr>
          <w:t>If an LEA wishes to use CEP data to allocate Title I funds to schools, when would CEP data first be used to determine a school’s eligibility and allocation?</w:t>
        </w:r>
        <w:r>
          <w:rPr>
            <w:noProof/>
            <w:webHidden/>
          </w:rPr>
          <w:tab/>
        </w:r>
        <w:r>
          <w:rPr>
            <w:noProof/>
            <w:webHidden/>
          </w:rPr>
          <w:fldChar w:fldCharType="begin"/>
        </w:r>
        <w:r>
          <w:rPr>
            <w:noProof/>
            <w:webHidden/>
          </w:rPr>
          <w:instrText xml:space="preserve"> PAGEREF _Toc414355053 \h </w:instrText>
        </w:r>
        <w:r>
          <w:rPr>
            <w:noProof/>
            <w:webHidden/>
          </w:rPr>
        </w:r>
        <w:r>
          <w:rPr>
            <w:noProof/>
            <w:webHidden/>
          </w:rPr>
          <w:fldChar w:fldCharType="separate"/>
        </w:r>
        <w:r>
          <w:rPr>
            <w:noProof/>
            <w:webHidden/>
          </w:rPr>
          <w:t>7</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4" w:history="1">
        <w:r w:rsidRPr="00BE1120">
          <w:rPr>
            <w:rStyle w:val="Hyperlink"/>
            <w:noProof/>
          </w:rPr>
          <w:t>18.</w:t>
        </w:r>
        <w:r w:rsidRPr="00C6585E">
          <w:rPr>
            <w:rFonts w:ascii="Calibri" w:hAnsi="Calibri"/>
            <w:b w:val="0"/>
            <w:bCs w:val="0"/>
            <w:noProof/>
            <w:sz w:val="22"/>
            <w:szCs w:val="22"/>
          </w:rPr>
          <w:tab/>
        </w:r>
        <w:r w:rsidRPr="00BE1120">
          <w:rPr>
            <w:rStyle w:val="Hyperlink"/>
            <w:noProof/>
          </w:rPr>
          <w:t xml:space="preserve">How does an LEA allocate Title I funds to schools when it has CEP and non-CEP schools? </w:t>
        </w:r>
        <w:r w:rsidRPr="00BE1120">
          <w:rPr>
            <w:rStyle w:val="Hyperlink"/>
            <w:i/>
            <w:noProof/>
          </w:rPr>
          <w:t>(Modified March 2015)</w:t>
        </w:r>
        <w:r>
          <w:rPr>
            <w:noProof/>
            <w:webHidden/>
          </w:rPr>
          <w:tab/>
        </w:r>
        <w:r>
          <w:rPr>
            <w:noProof/>
            <w:webHidden/>
          </w:rPr>
          <w:fldChar w:fldCharType="begin"/>
        </w:r>
        <w:r>
          <w:rPr>
            <w:noProof/>
            <w:webHidden/>
          </w:rPr>
          <w:instrText xml:space="preserve"> PAGEREF _Toc414355054 \h </w:instrText>
        </w:r>
        <w:r>
          <w:rPr>
            <w:noProof/>
            <w:webHidden/>
          </w:rPr>
        </w:r>
        <w:r>
          <w:rPr>
            <w:noProof/>
            <w:webHidden/>
          </w:rPr>
          <w:fldChar w:fldCharType="separate"/>
        </w:r>
        <w:r>
          <w:rPr>
            <w:noProof/>
            <w:webHidden/>
          </w:rPr>
          <w:t>7</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5" w:history="1">
        <w:r w:rsidRPr="00BE1120">
          <w:rPr>
            <w:rStyle w:val="Hyperlink"/>
            <w:noProof/>
          </w:rPr>
          <w:t>19.</w:t>
        </w:r>
        <w:r w:rsidRPr="00C6585E">
          <w:rPr>
            <w:rFonts w:ascii="Calibri" w:hAnsi="Calibri"/>
            <w:b w:val="0"/>
            <w:bCs w:val="0"/>
            <w:noProof/>
            <w:sz w:val="22"/>
            <w:szCs w:val="22"/>
          </w:rPr>
          <w:tab/>
        </w:r>
        <w:r w:rsidRPr="00BE1120">
          <w:rPr>
            <w:rStyle w:val="Hyperlink"/>
            <w:noProof/>
          </w:rPr>
          <w:t>If an LEA has all CEP schools, does it need to apply the 1.6 multiplier for Title I ranking and allocation purposes?</w:t>
        </w:r>
        <w:r>
          <w:rPr>
            <w:noProof/>
            <w:webHidden/>
          </w:rPr>
          <w:tab/>
        </w:r>
        <w:r>
          <w:rPr>
            <w:noProof/>
            <w:webHidden/>
          </w:rPr>
          <w:fldChar w:fldCharType="begin"/>
        </w:r>
        <w:r>
          <w:rPr>
            <w:noProof/>
            <w:webHidden/>
          </w:rPr>
          <w:instrText xml:space="preserve"> PAGEREF _Toc414355055 \h </w:instrText>
        </w:r>
        <w:r>
          <w:rPr>
            <w:noProof/>
            <w:webHidden/>
          </w:rPr>
        </w:r>
        <w:r>
          <w:rPr>
            <w:noProof/>
            <w:webHidden/>
          </w:rPr>
          <w:fldChar w:fldCharType="separate"/>
        </w:r>
        <w:r>
          <w:rPr>
            <w:noProof/>
            <w:webHidden/>
          </w:rPr>
          <w:t>12</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6" w:history="1">
        <w:r w:rsidRPr="00BE1120">
          <w:rPr>
            <w:rStyle w:val="Hyperlink"/>
            <w:noProof/>
          </w:rPr>
          <w:t>20.</w:t>
        </w:r>
        <w:r w:rsidRPr="00C6585E">
          <w:rPr>
            <w:rFonts w:ascii="Calibri" w:hAnsi="Calibri"/>
            <w:b w:val="0"/>
            <w:bCs w:val="0"/>
            <w:noProof/>
            <w:sz w:val="22"/>
            <w:szCs w:val="22"/>
          </w:rPr>
          <w:tab/>
        </w:r>
        <w:r w:rsidRPr="00BE1120">
          <w:rPr>
            <w:rStyle w:val="Hyperlink"/>
            <w:noProof/>
          </w:rPr>
          <w:t>If the application of the 1.6 multiplier results in more than one school at 100 percent poverty, must an LEA allocate the same per-pupil amount to each of these schools?</w:t>
        </w:r>
        <w:r>
          <w:rPr>
            <w:noProof/>
            <w:webHidden/>
          </w:rPr>
          <w:tab/>
        </w:r>
        <w:r>
          <w:rPr>
            <w:noProof/>
            <w:webHidden/>
          </w:rPr>
          <w:fldChar w:fldCharType="begin"/>
        </w:r>
        <w:r>
          <w:rPr>
            <w:noProof/>
            <w:webHidden/>
          </w:rPr>
          <w:instrText xml:space="preserve"> PAGEREF _Toc414355056 \h </w:instrText>
        </w:r>
        <w:r>
          <w:rPr>
            <w:noProof/>
            <w:webHidden/>
          </w:rPr>
        </w:r>
        <w:r>
          <w:rPr>
            <w:noProof/>
            <w:webHidden/>
          </w:rPr>
          <w:fldChar w:fldCharType="separate"/>
        </w:r>
        <w:r>
          <w:rPr>
            <w:noProof/>
            <w:webHidden/>
          </w:rPr>
          <w:t>12</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7" w:history="1">
        <w:r w:rsidRPr="00BE1120">
          <w:rPr>
            <w:rStyle w:val="Hyperlink"/>
            <w:noProof/>
          </w:rPr>
          <w:t>21.</w:t>
        </w:r>
        <w:r w:rsidRPr="00C6585E">
          <w:rPr>
            <w:rFonts w:ascii="Calibri" w:hAnsi="Calibri"/>
            <w:b w:val="0"/>
            <w:bCs w:val="0"/>
            <w:noProof/>
            <w:sz w:val="22"/>
            <w:szCs w:val="22"/>
          </w:rPr>
          <w:tab/>
        </w:r>
        <w:r w:rsidRPr="00BE1120">
          <w:rPr>
            <w:rStyle w:val="Hyperlink"/>
            <w:noProof/>
          </w:rPr>
          <w:t>If an LEA chooses to group CEP schools to determine the reimbursement rate from USDA, does each school in a group then have the same poverty percentage for Title I ranking and allocation purposes?</w:t>
        </w:r>
        <w:r>
          <w:rPr>
            <w:noProof/>
            <w:webHidden/>
          </w:rPr>
          <w:tab/>
        </w:r>
        <w:r>
          <w:rPr>
            <w:noProof/>
            <w:webHidden/>
          </w:rPr>
          <w:fldChar w:fldCharType="begin"/>
        </w:r>
        <w:r>
          <w:rPr>
            <w:noProof/>
            <w:webHidden/>
          </w:rPr>
          <w:instrText xml:space="preserve"> PAGEREF _Toc414355057 \h </w:instrText>
        </w:r>
        <w:r>
          <w:rPr>
            <w:noProof/>
            <w:webHidden/>
          </w:rPr>
        </w:r>
        <w:r>
          <w:rPr>
            <w:noProof/>
            <w:webHidden/>
          </w:rPr>
          <w:fldChar w:fldCharType="separate"/>
        </w:r>
        <w:r>
          <w:rPr>
            <w:noProof/>
            <w:webHidden/>
          </w:rPr>
          <w:t>14</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8" w:history="1">
        <w:r w:rsidRPr="00BE1120">
          <w:rPr>
            <w:rStyle w:val="Hyperlink"/>
            <w:noProof/>
          </w:rPr>
          <w:t>22.</w:t>
        </w:r>
        <w:r w:rsidRPr="00C6585E">
          <w:rPr>
            <w:rFonts w:ascii="Calibri" w:hAnsi="Calibri"/>
            <w:b w:val="0"/>
            <w:bCs w:val="0"/>
            <w:noProof/>
            <w:sz w:val="22"/>
            <w:szCs w:val="22"/>
          </w:rPr>
          <w:tab/>
        </w:r>
        <w:r w:rsidRPr="00BE1120">
          <w:rPr>
            <w:rStyle w:val="Hyperlink"/>
            <w:noProof/>
          </w:rPr>
          <w:t>If an LEA has traditionally established a cutoff above which Title I-eligible schools are served, does the LEA have any options if the use of CEP data increases the number of schools above the cutoff?</w:t>
        </w:r>
        <w:r>
          <w:rPr>
            <w:noProof/>
            <w:webHidden/>
          </w:rPr>
          <w:tab/>
        </w:r>
        <w:r>
          <w:rPr>
            <w:noProof/>
            <w:webHidden/>
          </w:rPr>
          <w:fldChar w:fldCharType="begin"/>
        </w:r>
        <w:r>
          <w:rPr>
            <w:noProof/>
            <w:webHidden/>
          </w:rPr>
          <w:instrText xml:space="preserve"> PAGEREF _Toc414355058 \h </w:instrText>
        </w:r>
        <w:r>
          <w:rPr>
            <w:noProof/>
            <w:webHidden/>
          </w:rPr>
        </w:r>
        <w:r>
          <w:rPr>
            <w:noProof/>
            <w:webHidden/>
          </w:rPr>
          <w:fldChar w:fldCharType="separate"/>
        </w:r>
        <w:r>
          <w:rPr>
            <w:noProof/>
            <w:webHidden/>
          </w:rPr>
          <w:t>14</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59" w:history="1">
        <w:r w:rsidRPr="00BE1120">
          <w:rPr>
            <w:rStyle w:val="Hyperlink"/>
            <w:noProof/>
          </w:rPr>
          <w:t>23.</w:t>
        </w:r>
        <w:r w:rsidRPr="00C6585E">
          <w:rPr>
            <w:rFonts w:ascii="Calibri" w:hAnsi="Calibri"/>
            <w:b w:val="0"/>
            <w:bCs w:val="0"/>
            <w:noProof/>
            <w:sz w:val="22"/>
            <w:szCs w:val="22"/>
          </w:rPr>
          <w:tab/>
        </w:r>
        <w:r w:rsidRPr="00BE1120">
          <w:rPr>
            <w:rStyle w:val="Hyperlink"/>
            <w:noProof/>
          </w:rPr>
          <w:t xml:space="preserve">May an LEA with one or more CEP schools conduct its own survey to collect the equivalent of NSLP data from the CEP schools for Title I within-district allocations? </w:t>
        </w:r>
        <w:r w:rsidRPr="00BE1120">
          <w:rPr>
            <w:rStyle w:val="Hyperlink"/>
            <w:i/>
            <w:noProof/>
          </w:rPr>
          <w:t>(Modified March 2015)</w:t>
        </w:r>
        <w:r>
          <w:rPr>
            <w:noProof/>
            <w:webHidden/>
          </w:rPr>
          <w:tab/>
        </w:r>
        <w:r>
          <w:rPr>
            <w:noProof/>
            <w:webHidden/>
          </w:rPr>
          <w:fldChar w:fldCharType="begin"/>
        </w:r>
        <w:r>
          <w:rPr>
            <w:noProof/>
            <w:webHidden/>
          </w:rPr>
          <w:instrText xml:space="preserve"> PAGEREF _Toc414355059 \h </w:instrText>
        </w:r>
        <w:r>
          <w:rPr>
            <w:noProof/>
            <w:webHidden/>
          </w:rPr>
        </w:r>
        <w:r>
          <w:rPr>
            <w:noProof/>
            <w:webHidden/>
          </w:rPr>
          <w:fldChar w:fldCharType="separate"/>
        </w:r>
        <w:r>
          <w:rPr>
            <w:noProof/>
            <w:webHidden/>
          </w:rPr>
          <w:t>15</w:t>
        </w:r>
        <w:r>
          <w:rPr>
            <w:noProof/>
            <w:webHidden/>
          </w:rPr>
          <w:fldChar w:fldCharType="end"/>
        </w:r>
      </w:hyperlink>
    </w:p>
    <w:p w:rsidR="000C3F2B" w:rsidRPr="00C6585E" w:rsidRDefault="000C3F2B" w:rsidP="00423E9B">
      <w:pPr>
        <w:pStyle w:val="TOC2"/>
        <w:rPr>
          <w:rFonts w:ascii="Calibri" w:hAnsi="Calibri"/>
          <w:b w:val="0"/>
          <w:bCs w:val="0"/>
          <w:noProof/>
          <w:sz w:val="22"/>
          <w:szCs w:val="22"/>
        </w:rPr>
      </w:pPr>
      <w:hyperlink w:anchor="_Toc414355060" w:history="1">
        <w:r w:rsidRPr="00BE1120">
          <w:rPr>
            <w:rStyle w:val="Hyperlink"/>
            <w:noProof/>
          </w:rPr>
          <w:t xml:space="preserve">23a. </w:t>
        </w:r>
        <w:r w:rsidR="00423E9B">
          <w:rPr>
            <w:rStyle w:val="Hyperlink"/>
            <w:noProof/>
          </w:rPr>
          <w:tab/>
        </w:r>
        <w:r w:rsidRPr="00BE1120">
          <w:rPr>
            <w:rStyle w:val="Hyperlink"/>
            <w:noProof/>
          </w:rPr>
          <w:t xml:space="preserve">Under what circumstances may an LEA use Title I, Part A funds to conduct a local survey to identify students from low-income families?  </w:t>
        </w:r>
        <w:r w:rsidRPr="00BE1120">
          <w:rPr>
            <w:rStyle w:val="Hyperlink"/>
            <w:i/>
            <w:noProof/>
          </w:rPr>
          <w:t>(Added March 2015)</w:t>
        </w:r>
        <w:r>
          <w:rPr>
            <w:noProof/>
            <w:webHidden/>
          </w:rPr>
          <w:tab/>
        </w:r>
        <w:r>
          <w:rPr>
            <w:noProof/>
            <w:webHidden/>
          </w:rPr>
          <w:fldChar w:fldCharType="begin"/>
        </w:r>
        <w:r>
          <w:rPr>
            <w:noProof/>
            <w:webHidden/>
          </w:rPr>
          <w:instrText xml:space="preserve"> PAGEREF _Toc414355060 \h </w:instrText>
        </w:r>
        <w:r>
          <w:rPr>
            <w:noProof/>
            <w:webHidden/>
          </w:rPr>
        </w:r>
        <w:r>
          <w:rPr>
            <w:noProof/>
            <w:webHidden/>
          </w:rPr>
          <w:fldChar w:fldCharType="separate"/>
        </w:r>
        <w:r>
          <w:rPr>
            <w:noProof/>
            <w:webHidden/>
          </w:rPr>
          <w:t>15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61" w:history="1">
        <w:r w:rsidRPr="00BE1120">
          <w:rPr>
            <w:rStyle w:val="Hyperlink"/>
            <w:noProof/>
          </w:rPr>
          <w:t>24.</w:t>
        </w:r>
        <w:r w:rsidRPr="00C6585E">
          <w:rPr>
            <w:rFonts w:ascii="Calibri" w:hAnsi="Calibri"/>
            <w:b w:val="0"/>
            <w:bCs w:val="0"/>
            <w:noProof/>
            <w:sz w:val="22"/>
            <w:szCs w:val="22"/>
          </w:rPr>
          <w:tab/>
        </w:r>
        <w:r w:rsidRPr="00BE1120">
          <w:rPr>
            <w:rStyle w:val="Hyperlink"/>
            <w:noProof/>
          </w:rPr>
          <w:t xml:space="preserve">USDA guidance indicates that the identified students’ count and reimbursement rate for CEP purposes should be determined based on data from April 1 of the previous school year, unless an LEA chooses to use the identified students’ count from an earlier year within the permitted four-year period.  How should an LEA with CEP and non-CEP schools that collects NSLP household applications for non-CEP schools at a different point during the year take into account this difference in timing?  </w:t>
        </w:r>
        <w:r w:rsidRPr="00BE1120">
          <w:rPr>
            <w:rStyle w:val="Hyperlink"/>
            <w:i/>
            <w:noProof/>
          </w:rPr>
          <w:t>(Modified March 2015)</w:t>
        </w:r>
        <w:r>
          <w:rPr>
            <w:noProof/>
            <w:webHidden/>
          </w:rPr>
          <w:tab/>
        </w:r>
        <w:r>
          <w:rPr>
            <w:noProof/>
            <w:webHidden/>
          </w:rPr>
          <w:fldChar w:fldCharType="begin"/>
        </w:r>
        <w:r>
          <w:rPr>
            <w:noProof/>
            <w:webHidden/>
          </w:rPr>
          <w:instrText xml:space="preserve"> PAGEREF _Toc414355061 \h </w:instrText>
        </w:r>
        <w:r>
          <w:rPr>
            <w:noProof/>
            <w:webHidden/>
          </w:rPr>
        </w:r>
        <w:r>
          <w:rPr>
            <w:noProof/>
            <w:webHidden/>
          </w:rPr>
          <w:fldChar w:fldCharType="separate"/>
        </w:r>
        <w:r>
          <w:rPr>
            <w:noProof/>
            <w:webHidden/>
          </w:rPr>
          <w:t>16</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62" w:history="1">
        <w:r w:rsidRPr="00BE1120">
          <w:rPr>
            <w:rStyle w:val="Hyperlink"/>
            <w:noProof/>
          </w:rPr>
          <w:t>25.</w:t>
        </w:r>
        <w:r w:rsidRPr="00C6585E">
          <w:rPr>
            <w:rFonts w:ascii="Calibri" w:hAnsi="Calibri"/>
            <w:b w:val="0"/>
            <w:bCs w:val="0"/>
            <w:noProof/>
            <w:sz w:val="22"/>
            <w:szCs w:val="22"/>
          </w:rPr>
          <w:tab/>
        </w:r>
        <w:r w:rsidRPr="00BE1120">
          <w:rPr>
            <w:rStyle w:val="Hyperlink"/>
            <w:noProof/>
          </w:rPr>
          <w:t>If an LEA uses NSLP data to allocate Title I funds to schools and is concerned about CEP’s effect on these data, may the LEA use older data (i.e., data collected prior to CEP) to allocate Title I funds to schools?</w:t>
        </w:r>
        <w:r>
          <w:rPr>
            <w:noProof/>
            <w:webHidden/>
          </w:rPr>
          <w:tab/>
        </w:r>
        <w:r>
          <w:rPr>
            <w:noProof/>
            <w:webHidden/>
          </w:rPr>
          <w:fldChar w:fldCharType="begin"/>
        </w:r>
        <w:r>
          <w:rPr>
            <w:noProof/>
            <w:webHidden/>
          </w:rPr>
          <w:instrText xml:space="preserve"> PAGEREF _Toc414355062 \h </w:instrText>
        </w:r>
        <w:r>
          <w:rPr>
            <w:noProof/>
            <w:webHidden/>
          </w:rPr>
        </w:r>
        <w:r>
          <w:rPr>
            <w:noProof/>
            <w:webHidden/>
          </w:rPr>
          <w:fldChar w:fldCharType="separate"/>
        </w:r>
        <w:r>
          <w:rPr>
            <w:noProof/>
            <w:webHidden/>
          </w:rPr>
          <w:t>17</w:t>
        </w:r>
        <w:r>
          <w:rPr>
            <w:noProof/>
            <w:webHidden/>
          </w:rPr>
          <w:fldChar w:fldCharType="end"/>
        </w:r>
      </w:hyperlink>
    </w:p>
    <w:p w:rsidR="000C3F2B" w:rsidRPr="00C6585E" w:rsidRDefault="000C3F2B">
      <w:pPr>
        <w:pStyle w:val="TOC1"/>
        <w:tabs>
          <w:tab w:val="right" w:leader="dot" w:pos="9350"/>
        </w:tabs>
        <w:rPr>
          <w:rFonts w:ascii="Calibri" w:hAnsi="Calibri" w:cs="Times New Roman"/>
          <w:b w:val="0"/>
          <w:bCs w:val="0"/>
          <w:caps w:val="0"/>
          <w:noProof/>
          <w:sz w:val="22"/>
          <w:szCs w:val="22"/>
        </w:rPr>
      </w:pPr>
      <w:hyperlink w:anchor="_Toc414355063" w:history="1">
        <w:r w:rsidRPr="00BE1120">
          <w:rPr>
            <w:rStyle w:val="Hyperlink"/>
            <w:i/>
            <w:noProof/>
          </w:rPr>
          <w:t>Equitable Services</w:t>
        </w:r>
        <w:r>
          <w:rPr>
            <w:noProof/>
            <w:webHidden/>
          </w:rPr>
          <w:tab/>
        </w:r>
        <w:r>
          <w:rPr>
            <w:noProof/>
            <w:webHidden/>
          </w:rPr>
          <w:fldChar w:fldCharType="begin"/>
        </w:r>
        <w:r>
          <w:rPr>
            <w:noProof/>
            <w:webHidden/>
          </w:rPr>
          <w:instrText xml:space="preserve"> PAGEREF _Toc414355063 \h </w:instrText>
        </w:r>
        <w:r>
          <w:rPr>
            <w:noProof/>
            <w:webHidden/>
          </w:rPr>
        </w:r>
        <w:r>
          <w:rPr>
            <w:noProof/>
            <w:webHidden/>
          </w:rPr>
          <w:fldChar w:fldCharType="separate"/>
        </w:r>
        <w:r>
          <w:rPr>
            <w:noProof/>
            <w:webHidden/>
          </w:rPr>
          <w:t>17</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64" w:history="1">
        <w:r w:rsidRPr="00BE1120">
          <w:rPr>
            <w:rStyle w:val="Hyperlink"/>
            <w:noProof/>
          </w:rPr>
          <w:t>26.</w:t>
        </w:r>
        <w:r w:rsidRPr="00C6585E">
          <w:rPr>
            <w:rFonts w:ascii="Calibri" w:hAnsi="Calibri"/>
            <w:b w:val="0"/>
            <w:bCs w:val="0"/>
            <w:noProof/>
            <w:sz w:val="22"/>
            <w:szCs w:val="22"/>
          </w:rPr>
          <w:tab/>
        </w:r>
        <w:r w:rsidRPr="00BE1120">
          <w:rPr>
            <w:rStyle w:val="Hyperlink"/>
            <w:noProof/>
          </w:rPr>
          <w:t>Has ED previously provided guidance on how an LEA allocates Title I funds to provide equitable services to eligible private school students?</w:t>
        </w:r>
        <w:r>
          <w:rPr>
            <w:noProof/>
            <w:webHidden/>
          </w:rPr>
          <w:tab/>
        </w:r>
        <w:r>
          <w:rPr>
            <w:noProof/>
            <w:webHidden/>
          </w:rPr>
          <w:fldChar w:fldCharType="begin"/>
        </w:r>
        <w:r>
          <w:rPr>
            <w:noProof/>
            <w:webHidden/>
          </w:rPr>
          <w:instrText xml:space="preserve"> PAGEREF _Toc414355064 \h </w:instrText>
        </w:r>
        <w:r>
          <w:rPr>
            <w:noProof/>
            <w:webHidden/>
          </w:rPr>
        </w:r>
        <w:r>
          <w:rPr>
            <w:noProof/>
            <w:webHidden/>
          </w:rPr>
          <w:fldChar w:fldCharType="separate"/>
        </w:r>
        <w:r>
          <w:rPr>
            <w:noProof/>
            <w:webHidden/>
          </w:rPr>
          <w:t>17</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65" w:history="1">
        <w:r w:rsidRPr="00BE1120">
          <w:rPr>
            <w:rStyle w:val="Hyperlink"/>
            <w:noProof/>
          </w:rPr>
          <w:t>27.</w:t>
        </w:r>
        <w:r w:rsidRPr="00C6585E">
          <w:rPr>
            <w:rFonts w:ascii="Calibri" w:hAnsi="Calibri"/>
            <w:b w:val="0"/>
            <w:bCs w:val="0"/>
            <w:noProof/>
            <w:sz w:val="22"/>
            <w:szCs w:val="22"/>
          </w:rPr>
          <w:tab/>
        </w:r>
        <w:r w:rsidRPr="00BE1120">
          <w:rPr>
            <w:rStyle w:val="Hyperlink"/>
            <w:noProof/>
          </w:rPr>
          <w:t>Does CEP change that guidance?</w:t>
        </w:r>
        <w:r>
          <w:rPr>
            <w:noProof/>
            <w:webHidden/>
          </w:rPr>
          <w:tab/>
        </w:r>
        <w:r>
          <w:rPr>
            <w:noProof/>
            <w:webHidden/>
          </w:rPr>
          <w:fldChar w:fldCharType="begin"/>
        </w:r>
        <w:r>
          <w:rPr>
            <w:noProof/>
            <w:webHidden/>
          </w:rPr>
          <w:instrText xml:space="preserve"> PAGEREF _Toc414355065 \h </w:instrText>
        </w:r>
        <w:r>
          <w:rPr>
            <w:noProof/>
            <w:webHidden/>
          </w:rPr>
        </w:r>
        <w:r>
          <w:rPr>
            <w:noProof/>
            <w:webHidden/>
          </w:rPr>
          <w:fldChar w:fldCharType="separate"/>
        </w:r>
        <w:r>
          <w:rPr>
            <w:noProof/>
            <w:webHidden/>
          </w:rPr>
          <w:t>17</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66" w:history="1">
        <w:r w:rsidRPr="00BE1120">
          <w:rPr>
            <w:rStyle w:val="Hyperlink"/>
            <w:noProof/>
          </w:rPr>
          <w:t>28.</w:t>
        </w:r>
        <w:r w:rsidRPr="00C6585E">
          <w:rPr>
            <w:rFonts w:ascii="Calibri" w:hAnsi="Calibri"/>
            <w:b w:val="0"/>
            <w:bCs w:val="0"/>
            <w:noProof/>
            <w:sz w:val="22"/>
            <w:szCs w:val="22"/>
          </w:rPr>
          <w:tab/>
        </w:r>
        <w:r w:rsidRPr="00BE1120">
          <w:rPr>
            <w:rStyle w:val="Hyperlink"/>
            <w:noProof/>
          </w:rPr>
          <w:t xml:space="preserve">Is an LEA’s collection of poverty data on private school students affected by CEP data?  </w:t>
        </w:r>
        <w:r w:rsidRPr="00BE1120">
          <w:rPr>
            <w:rStyle w:val="Hyperlink"/>
            <w:i/>
            <w:noProof/>
          </w:rPr>
          <w:t>(Modified March 2015)</w:t>
        </w:r>
        <w:r>
          <w:rPr>
            <w:noProof/>
            <w:webHidden/>
          </w:rPr>
          <w:tab/>
        </w:r>
        <w:r>
          <w:rPr>
            <w:noProof/>
            <w:webHidden/>
          </w:rPr>
          <w:fldChar w:fldCharType="begin"/>
        </w:r>
        <w:r>
          <w:rPr>
            <w:noProof/>
            <w:webHidden/>
          </w:rPr>
          <w:instrText xml:space="preserve"> PAGEREF _Toc414355066 \h </w:instrText>
        </w:r>
        <w:r>
          <w:rPr>
            <w:noProof/>
            <w:webHidden/>
          </w:rPr>
        </w:r>
        <w:r>
          <w:rPr>
            <w:noProof/>
            <w:webHidden/>
          </w:rPr>
          <w:fldChar w:fldCharType="separate"/>
        </w:r>
        <w:r>
          <w:rPr>
            <w:noProof/>
            <w:webHidden/>
          </w:rPr>
          <w:t>17</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67" w:history="1">
        <w:r w:rsidRPr="00BE1120">
          <w:rPr>
            <w:rStyle w:val="Hyperlink"/>
            <w:noProof/>
          </w:rPr>
          <w:t>29.</w:t>
        </w:r>
        <w:r w:rsidRPr="00C6585E">
          <w:rPr>
            <w:rFonts w:ascii="Calibri" w:hAnsi="Calibri"/>
            <w:b w:val="0"/>
            <w:bCs w:val="0"/>
            <w:noProof/>
            <w:sz w:val="22"/>
            <w:szCs w:val="22"/>
          </w:rPr>
          <w:tab/>
        </w:r>
        <w:r w:rsidRPr="00BE1120">
          <w:rPr>
            <w:rStyle w:val="Hyperlink"/>
            <w:noProof/>
          </w:rPr>
          <w:t xml:space="preserve">If a private school is a CEP school, does every child in the private school automatically generate Title I funds for equitable services?  </w:t>
        </w:r>
        <w:r w:rsidRPr="00BE1120">
          <w:rPr>
            <w:rStyle w:val="Hyperlink"/>
            <w:i/>
            <w:noProof/>
          </w:rPr>
          <w:t>(Modified March 2015)</w:t>
        </w:r>
        <w:r>
          <w:rPr>
            <w:noProof/>
            <w:webHidden/>
          </w:rPr>
          <w:tab/>
        </w:r>
        <w:r>
          <w:rPr>
            <w:noProof/>
            <w:webHidden/>
          </w:rPr>
          <w:fldChar w:fldCharType="begin"/>
        </w:r>
        <w:r>
          <w:rPr>
            <w:noProof/>
            <w:webHidden/>
          </w:rPr>
          <w:instrText xml:space="preserve"> PAGEREF _Toc414355067 \h </w:instrText>
        </w:r>
        <w:r>
          <w:rPr>
            <w:noProof/>
            <w:webHidden/>
          </w:rPr>
        </w:r>
        <w:r>
          <w:rPr>
            <w:noProof/>
            <w:webHidden/>
          </w:rPr>
          <w:fldChar w:fldCharType="separate"/>
        </w:r>
        <w:r>
          <w:rPr>
            <w:noProof/>
            <w:webHidden/>
          </w:rPr>
          <w:t>20</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68" w:history="1">
        <w:r w:rsidRPr="00BE1120">
          <w:rPr>
            <w:rStyle w:val="Hyperlink"/>
            <w:noProof/>
          </w:rPr>
          <w:t xml:space="preserve">29a. </w:t>
        </w:r>
        <w:r>
          <w:rPr>
            <w:rStyle w:val="Hyperlink"/>
            <w:noProof/>
          </w:rPr>
          <w:t xml:space="preserve">     </w:t>
        </w:r>
        <w:r w:rsidRPr="00BE1120">
          <w:rPr>
            <w:rStyle w:val="Hyperlink"/>
            <w:noProof/>
          </w:rPr>
          <w:t>How does an LEA determine the amount of Title I funds generated to provide equitable services for eligible priv</w:t>
        </w:r>
        <w:r w:rsidRPr="00BE1120">
          <w:rPr>
            <w:rStyle w:val="Hyperlink"/>
            <w:noProof/>
          </w:rPr>
          <w:t>a</w:t>
        </w:r>
        <w:r w:rsidRPr="00BE1120">
          <w:rPr>
            <w:rStyle w:val="Hyperlink"/>
            <w:noProof/>
          </w:rPr>
          <w:t xml:space="preserve">te school students if a private school participates in CEP?  </w:t>
        </w:r>
        <w:r w:rsidRPr="00BE1120">
          <w:rPr>
            <w:rStyle w:val="Hyperlink"/>
            <w:i/>
            <w:noProof/>
          </w:rPr>
          <w:t>(Added March 2015)</w:t>
        </w:r>
        <w:r>
          <w:rPr>
            <w:noProof/>
            <w:webHidden/>
          </w:rPr>
          <w:tab/>
        </w:r>
        <w:r>
          <w:rPr>
            <w:noProof/>
            <w:webHidden/>
          </w:rPr>
          <w:fldChar w:fldCharType="begin"/>
        </w:r>
        <w:r>
          <w:rPr>
            <w:noProof/>
            <w:webHidden/>
          </w:rPr>
          <w:instrText xml:space="preserve"> PAGEREF _Toc414355068 \h </w:instrText>
        </w:r>
        <w:r>
          <w:rPr>
            <w:noProof/>
            <w:webHidden/>
          </w:rPr>
        </w:r>
        <w:r>
          <w:rPr>
            <w:noProof/>
            <w:webHidden/>
          </w:rPr>
          <w:fldChar w:fldCharType="separate"/>
        </w:r>
        <w:r>
          <w:rPr>
            <w:noProof/>
            <w:webHidden/>
          </w:rPr>
          <w:t>20</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69" w:history="1">
        <w:r w:rsidRPr="00BE1120">
          <w:rPr>
            <w:rStyle w:val="Hyperlink"/>
            <w:noProof/>
          </w:rPr>
          <w:t>30.</w:t>
        </w:r>
        <w:r w:rsidRPr="00C6585E">
          <w:rPr>
            <w:rFonts w:ascii="Calibri" w:hAnsi="Calibri"/>
            <w:b w:val="0"/>
            <w:bCs w:val="0"/>
            <w:noProof/>
            <w:sz w:val="22"/>
            <w:szCs w:val="22"/>
          </w:rPr>
          <w:tab/>
        </w:r>
        <w:r w:rsidRPr="00BE1120">
          <w:rPr>
            <w:rStyle w:val="Hyperlink"/>
            <w:noProof/>
          </w:rPr>
          <w:t>After consultation with private school officials, if an LEA chooses to use proportionality to calculate the amount generated for equitable services and a CEP public school’s poverty percentage for within-</w:t>
        </w:r>
        <w:r w:rsidRPr="00BE1120">
          <w:rPr>
            <w:rStyle w:val="Hyperlink"/>
            <w:noProof/>
          </w:rPr>
          <w:lastRenderedPageBreak/>
          <w:t>district Title I allocations is 100 percent, will every student in the private school that resides within the school’s attendance area generate funds for equitable services?</w:t>
        </w:r>
        <w:r>
          <w:rPr>
            <w:noProof/>
            <w:webHidden/>
          </w:rPr>
          <w:tab/>
        </w:r>
        <w:r>
          <w:rPr>
            <w:noProof/>
            <w:webHidden/>
          </w:rPr>
          <w:fldChar w:fldCharType="begin"/>
        </w:r>
        <w:r>
          <w:rPr>
            <w:noProof/>
            <w:webHidden/>
          </w:rPr>
          <w:instrText xml:space="preserve"> PAGEREF _Toc414355069 \h </w:instrText>
        </w:r>
        <w:r>
          <w:rPr>
            <w:noProof/>
            <w:webHidden/>
          </w:rPr>
        </w:r>
        <w:r>
          <w:rPr>
            <w:noProof/>
            <w:webHidden/>
          </w:rPr>
          <w:fldChar w:fldCharType="separate"/>
        </w:r>
        <w:r>
          <w:rPr>
            <w:noProof/>
            <w:webHidden/>
          </w:rPr>
          <w:t>23</w:t>
        </w:r>
        <w:r>
          <w:rPr>
            <w:noProof/>
            <w:webHidden/>
          </w:rPr>
          <w:fldChar w:fldCharType="end"/>
        </w:r>
      </w:hyperlink>
    </w:p>
    <w:p w:rsidR="000C3F2B" w:rsidRPr="00C6585E" w:rsidRDefault="000C3F2B">
      <w:pPr>
        <w:pStyle w:val="TOC1"/>
        <w:tabs>
          <w:tab w:val="right" w:leader="dot" w:pos="9350"/>
        </w:tabs>
        <w:rPr>
          <w:rFonts w:ascii="Calibri" w:hAnsi="Calibri" w:cs="Times New Roman"/>
          <w:b w:val="0"/>
          <w:bCs w:val="0"/>
          <w:caps w:val="0"/>
          <w:noProof/>
          <w:sz w:val="22"/>
          <w:szCs w:val="22"/>
        </w:rPr>
      </w:pPr>
      <w:hyperlink w:anchor="_Toc414355070" w:history="1">
        <w:r w:rsidRPr="00BE1120">
          <w:rPr>
            <w:rStyle w:val="Hyperlink"/>
            <w:i/>
            <w:noProof/>
          </w:rPr>
          <w:t>Within-State Allocations</w:t>
        </w:r>
        <w:r>
          <w:rPr>
            <w:noProof/>
            <w:webHidden/>
          </w:rPr>
          <w:tab/>
        </w:r>
        <w:r>
          <w:rPr>
            <w:noProof/>
            <w:webHidden/>
          </w:rPr>
          <w:fldChar w:fldCharType="begin"/>
        </w:r>
        <w:r>
          <w:rPr>
            <w:noProof/>
            <w:webHidden/>
          </w:rPr>
          <w:instrText xml:space="preserve"> PAGEREF _Toc414355070 \h </w:instrText>
        </w:r>
        <w:r>
          <w:rPr>
            <w:noProof/>
            <w:webHidden/>
          </w:rPr>
        </w:r>
        <w:r>
          <w:rPr>
            <w:noProof/>
            <w:webHidden/>
          </w:rPr>
          <w:fldChar w:fldCharType="separate"/>
        </w:r>
        <w:r>
          <w:rPr>
            <w:noProof/>
            <w:webHidden/>
          </w:rPr>
          <w:t>23</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71" w:history="1">
        <w:r w:rsidRPr="00BE1120">
          <w:rPr>
            <w:rStyle w:val="Hyperlink"/>
            <w:noProof/>
          </w:rPr>
          <w:t>31.</w:t>
        </w:r>
        <w:r w:rsidRPr="00C6585E">
          <w:rPr>
            <w:rFonts w:ascii="Calibri" w:hAnsi="Calibri"/>
            <w:b w:val="0"/>
            <w:bCs w:val="0"/>
            <w:noProof/>
            <w:sz w:val="22"/>
            <w:szCs w:val="22"/>
          </w:rPr>
          <w:tab/>
        </w:r>
        <w:r w:rsidRPr="00BE1120">
          <w:rPr>
            <w:rStyle w:val="Hyperlink"/>
            <w:noProof/>
          </w:rPr>
          <w:t>When might an SEA need to use CEP data to help calculate final LEA Title I allocations? (</w:t>
        </w:r>
        <w:r w:rsidRPr="00BE1120">
          <w:rPr>
            <w:rStyle w:val="Hyperlink"/>
            <w:i/>
            <w:noProof/>
          </w:rPr>
          <w:t>Modified March 2015)</w:t>
        </w:r>
        <w:r>
          <w:rPr>
            <w:noProof/>
            <w:webHidden/>
          </w:rPr>
          <w:tab/>
        </w:r>
        <w:r>
          <w:rPr>
            <w:noProof/>
            <w:webHidden/>
          </w:rPr>
          <w:fldChar w:fldCharType="begin"/>
        </w:r>
        <w:r>
          <w:rPr>
            <w:noProof/>
            <w:webHidden/>
          </w:rPr>
          <w:instrText xml:space="preserve"> PAGEREF _Toc414355071 \h </w:instrText>
        </w:r>
        <w:r>
          <w:rPr>
            <w:noProof/>
            <w:webHidden/>
          </w:rPr>
        </w:r>
        <w:r>
          <w:rPr>
            <w:noProof/>
            <w:webHidden/>
          </w:rPr>
          <w:fldChar w:fldCharType="separate"/>
        </w:r>
        <w:r>
          <w:rPr>
            <w:noProof/>
            <w:webHidden/>
          </w:rPr>
          <w:t>23</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72" w:history="1">
        <w:r w:rsidRPr="00BE1120">
          <w:rPr>
            <w:rStyle w:val="Hyperlink"/>
            <w:noProof/>
          </w:rPr>
          <w:t>32.</w:t>
        </w:r>
        <w:r w:rsidRPr="00C6585E">
          <w:rPr>
            <w:rFonts w:ascii="Calibri" w:hAnsi="Calibri"/>
            <w:b w:val="0"/>
            <w:bCs w:val="0"/>
            <w:noProof/>
            <w:sz w:val="22"/>
            <w:szCs w:val="22"/>
          </w:rPr>
          <w:tab/>
        </w:r>
        <w:r w:rsidRPr="00BE1120">
          <w:rPr>
            <w:rStyle w:val="Hyperlink"/>
            <w:noProof/>
          </w:rPr>
          <w:t>In using NSLP data that incorporate CEP data to derive a Census poverty count, does an SEA need to apply the 1.6 multiplier to the number of identified students through SNAP?</w:t>
        </w:r>
        <w:r>
          <w:rPr>
            <w:noProof/>
            <w:webHidden/>
          </w:rPr>
          <w:tab/>
        </w:r>
        <w:r>
          <w:rPr>
            <w:noProof/>
            <w:webHidden/>
          </w:rPr>
          <w:fldChar w:fldCharType="begin"/>
        </w:r>
        <w:r>
          <w:rPr>
            <w:noProof/>
            <w:webHidden/>
          </w:rPr>
          <w:instrText xml:space="preserve"> PAGEREF _Toc414355072 \h </w:instrText>
        </w:r>
        <w:r>
          <w:rPr>
            <w:noProof/>
            <w:webHidden/>
          </w:rPr>
        </w:r>
        <w:r>
          <w:rPr>
            <w:noProof/>
            <w:webHidden/>
          </w:rPr>
          <w:fldChar w:fldCharType="separate"/>
        </w:r>
        <w:r>
          <w:rPr>
            <w:noProof/>
            <w:webHidden/>
          </w:rPr>
          <w:t>24</w:t>
        </w:r>
        <w:r>
          <w:rPr>
            <w:noProof/>
            <w:webHidden/>
          </w:rPr>
          <w:fldChar w:fldCharType="end"/>
        </w:r>
      </w:hyperlink>
    </w:p>
    <w:p w:rsidR="000C3F2B" w:rsidRPr="00C6585E" w:rsidRDefault="000C3F2B">
      <w:pPr>
        <w:pStyle w:val="TOC1"/>
        <w:tabs>
          <w:tab w:val="right" w:leader="dot" w:pos="9350"/>
        </w:tabs>
        <w:rPr>
          <w:rFonts w:ascii="Calibri" w:hAnsi="Calibri" w:cs="Times New Roman"/>
          <w:b w:val="0"/>
          <w:bCs w:val="0"/>
          <w:caps w:val="0"/>
          <w:noProof/>
          <w:sz w:val="22"/>
          <w:szCs w:val="22"/>
        </w:rPr>
      </w:pPr>
      <w:hyperlink w:anchor="_Toc414355073" w:history="1">
        <w:r w:rsidRPr="00BE1120">
          <w:rPr>
            <w:rStyle w:val="Hyperlink"/>
            <w:i/>
            <w:noProof/>
          </w:rPr>
          <w:t>Title I Accountability</w:t>
        </w:r>
        <w:r>
          <w:rPr>
            <w:noProof/>
            <w:webHidden/>
          </w:rPr>
          <w:tab/>
        </w:r>
        <w:r>
          <w:rPr>
            <w:noProof/>
            <w:webHidden/>
          </w:rPr>
          <w:fldChar w:fldCharType="begin"/>
        </w:r>
        <w:r>
          <w:rPr>
            <w:noProof/>
            <w:webHidden/>
          </w:rPr>
          <w:instrText xml:space="preserve"> PAGEREF _Toc414355073 \h </w:instrText>
        </w:r>
        <w:r>
          <w:rPr>
            <w:noProof/>
            <w:webHidden/>
          </w:rPr>
        </w:r>
        <w:r>
          <w:rPr>
            <w:noProof/>
            <w:webHidden/>
          </w:rPr>
          <w:fldChar w:fldCharType="separate"/>
        </w:r>
        <w:r>
          <w:rPr>
            <w:noProof/>
            <w:webHidden/>
          </w:rPr>
          <w:t>25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74" w:history="1">
        <w:r w:rsidRPr="00BE1120">
          <w:rPr>
            <w:rStyle w:val="Hyperlink"/>
            <w:noProof/>
          </w:rPr>
          <w:t>33.</w:t>
        </w:r>
        <w:r w:rsidRPr="00C6585E">
          <w:rPr>
            <w:rFonts w:ascii="Calibri" w:hAnsi="Calibri"/>
            <w:b w:val="0"/>
            <w:bCs w:val="0"/>
            <w:noProof/>
            <w:sz w:val="22"/>
            <w:szCs w:val="22"/>
          </w:rPr>
          <w:tab/>
        </w:r>
        <w:r w:rsidRPr="00BE1120">
          <w:rPr>
            <w:rStyle w:val="Hyperlink"/>
            <w:noProof/>
          </w:rPr>
          <w:t>How does CEP affect Title I accountability?</w:t>
        </w:r>
        <w:r>
          <w:rPr>
            <w:noProof/>
            <w:webHidden/>
          </w:rPr>
          <w:tab/>
        </w:r>
        <w:r>
          <w:rPr>
            <w:noProof/>
            <w:webHidden/>
          </w:rPr>
          <w:fldChar w:fldCharType="begin"/>
        </w:r>
        <w:r>
          <w:rPr>
            <w:noProof/>
            <w:webHidden/>
          </w:rPr>
          <w:instrText xml:space="preserve"> PAGEREF _Toc414355074 \h </w:instrText>
        </w:r>
        <w:r>
          <w:rPr>
            <w:noProof/>
            <w:webHidden/>
          </w:rPr>
        </w:r>
        <w:r>
          <w:rPr>
            <w:noProof/>
            <w:webHidden/>
          </w:rPr>
          <w:fldChar w:fldCharType="separate"/>
        </w:r>
        <w:r>
          <w:rPr>
            <w:noProof/>
            <w:webHidden/>
          </w:rPr>
          <w:t>25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75" w:history="1">
        <w:r w:rsidRPr="00BE1120">
          <w:rPr>
            <w:rStyle w:val="Hyperlink"/>
            <w:noProof/>
          </w:rPr>
          <w:t>34.</w:t>
        </w:r>
        <w:r w:rsidRPr="00C6585E">
          <w:rPr>
            <w:rFonts w:ascii="Calibri" w:hAnsi="Calibri"/>
            <w:b w:val="0"/>
            <w:bCs w:val="0"/>
            <w:noProof/>
            <w:sz w:val="22"/>
            <w:szCs w:val="22"/>
          </w:rPr>
          <w:tab/>
        </w:r>
        <w:r w:rsidRPr="00BE1120">
          <w:rPr>
            <w:rStyle w:val="Hyperlink"/>
            <w:noProof/>
          </w:rPr>
          <w:t>How may economically disadvantaged students in a CEP school be identified for accountability? (</w:t>
        </w:r>
        <w:r w:rsidRPr="00BE1120">
          <w:rPr>
            <w:rStyle w:val="Hyperlink"/>
            <w:i/>
            <w:noProof/>
          </w:rPr>
          <w:t>Modified March 2015)</w:t>
        </w:r>
        <w:r>
          <w:rPr>
            <w:noProof/>
            <w:webHidden/>
          </w:rPr>
          <w:tab/>
        </w:r>
        <w:r>
          <w:rPr>
            <w:noProof/>
            <w:webHidden/>
          </w:rPr>
          <w:fldChar w:fldCharType="begin"/>
        </w:r>
        <w:r>
          <w:rPr>
            <w:noProof/>
            <w:webHidden/>
          </w:rPr>
          <w:instrText xml:space="preserve"> PAGEREF _Toc414355075 \h </w:instrText>
        </w:r>
        <w:r>
          <w:rPr>
            <w:noProof/>
            <w:webHidden/>
          </w:rPr>
        </w:r>
        <w:r>
          <w:rPr>
            <w:noProof/>
            <w:webHidden/>
          </w:rPr>
          <w:fldChar w:fldCharType="separate"/>
        </w:r>
        <w:r>
          <w:rPr>
            <w:noProof/>
            <w:webHidden/>
          </w:rPr>
          <w:t>25</w:t>
        </w:r>
        <w:r>
          <w:rPr>
            <w:noProof/>
            <w:webHidden/>
          </w:rPr>
          <w:fldChar w:fldCharType="end"/>
        </w:r>
      </w:hyperlink>
    </w:p>
    <w:p w:rsidR="000C3F2B" w:rsidRPr="00C6585E" w:rsidRDefault="000C3F2B">
      <w:pPr>
        <w:pStyle w:val="TOC2"/>
        <w:rPr>
          <w:rFonts w:ascii="Calibri" w:hAnsi="Calibri"/>
          <w:b w:val="0"/>
          <w:bCs w:val="0"/>
          <w:noProof/>
          <w:sz w:val="22"/>
          <w:szCs w:val="22"/>
        </w:rPr>
      </w:pPr>
      <w:hyperlink w:anchor="_Toc414355076" w:history="1">
        <w:r w:rsidRPr="00BE1120">
          <w:rPr>
            <w:rStyle w:val="Hyperlink"/>
            <w:noProof/>
          </w:rPr>
          <w:t>35.</w:t>
        </w:r>
        <w:r w:rsidRPr="00C6585E">
          <w:rPr>
            <w:rFonts w:ascii="Calibri" w:hAnsi="Calibri"/>
            <w:b w:val="0"/>
            <w:bCs w:val="0"/>
            <w:noProof/>
            <w:sz w:val="22"/>
            <w:szCs w:val="22"/>
          </w:rPr>
          <w:tab/>
        </w:r>
        <w:r w:rsidRPr="00BE1120">
          <w:rPr>
            <w:rStyle w:val="Hyperlink"/>
            <w:noProof/>
          </w:rPr>
          <w:t xml:space="preserve">How may an SEA that uses NSLP data to meet the reporting requirements in section 1116(h)(1)(C)(viii) of ESEA regarding the professional qualifications of teachers in schools in the top and bottom quartiles of poverty calculate poverty in a CEP school?  </w:t>
        </w:r>
        <w:r w:rsidRPr="00BE1120">
          <w:rPr>
            <w:rStyle w:val="Hyperlink"/>
            <w:i/>
            <w:noProof/>
          </w:rPr>
          <w:t>(Added March 2015)</w:t>
        </w:r>
        <w:r>
          <w:rPr>
            <w:noProof/>
            <w:webHidden/>
          </w:rPr>
          <w:tab/>
        </w:r>
        <w:r>
          <w:rPr>
            <w:noProof/>
            <w:webHidden/>
          </w:rPr>
          <w:fldChar w:fldCharType="begin"/>
        </w:r>
        <w:r>
          <w:rPr>
            <w:noProof/>
            <w:webHidden/>
          </w:rPr>
          <w:instrText xml:space="preserve"> PAGEREF _Toc414355076 \h </w:instrText>
        </w:r>
        <w:r>
          <w:rPr>
            <w:noProof/>
            <w:webHidden/>
          </w:rPr>
        </w:r>
        <w:r>
          <w:rPr>
            <w:noProof/>
            <w:webHidden/>
          </w:rPr>
          <w:fldChar w:fldCharType="separate"/>
        </w:r>
        <w:r>
          <w:rPr>
            <w:noProof/>
            <w:webHidden/>
          </w:rPr>
          <w:t>26</w:t>
        </w:r>
        <w:r>
          <w:rPr>
            <w:noProof/>
            <w:webHidden/>
          </w:rPr>
          <w:fldChar w:fldCharType="end"/>
        </w:r>
      </w:hyperlink>
    </w:p>
    <w:p w:rsidR="00997A69" w:rsidRPr="00A0305C" w:rsidRDefault="00997A69">
      <w:pPr>
        <w:rPr>
          <w:sz w:val="24"/>
          <w:szCs w:val="24"/>
        </w:rPr>
      </w:pPr>
      <w:r w:rsidRPr="00A0305C">
        <w:fldChar w:fldCharType="end"/>
      </w:r>
    </w:p>
    <w:p w:rsidR="00997A69" w:rsidRPr="00A0305C" w:rsidRDefault="00997A69" w:rsidP="0019740B">
      <w:pPr>
        <w:jc w:val="both"/>
        <w:rPr>
          <w:sz w:val="24"/>
          <w:szCs w:val="24"/>
        </w:rPr>
        <w:sectPr w:rsidR="00997A69" w:rsidRPr="00A0305C" w:rsidSect="00877451">
          <w:pgSz w:w="12240" w:h="15840"/>
          <w:pgMar w:top="1440" w:right="1440" w:bottom="1440" w:left="1440" w:header="720" w:footer="288" w:gutter="0"/>
          <w:cols w:space="720"/>
          <w:titlePg/>
          <w:docGrid w:linePitch="360"/>
        </w:sectPr>
      </w:pPr>
    </w:p>
    <w:p w:rsidR="00997A69" w:rsidRPr="00A0305C" w:rsidRDefault="00997A69" w:rsidP="004405EC">
      <w:pPr>
        <w:jc w:val="center"/>
        <w:rPr>
          <w:sz w:val="24"/>
          <w:szCs w:val="24"/>
        </w:rPr>
      </w:pPr>
    </w:p>
    <w:p w:rsidR="00997A69" w:rsidRPr="00A0305C" w:rsidRDefault="00997A69" w:rsidP="00AB0BCF">
      <w:pPr>
        <w:pStyle w:val="Heading1"/>
        <w:numPr>
          <w:ilvl w:val="0"/>
          <w:numId w:val="0"/>
        </w:numPr>
        <w:rPr>
          <w:i/>
          <w:u w:val="single"/>
        </w:rPr>
      </w:pPr>
      <w:bookmarkStart w:id="82" w:name="_Toc414355034"/>
      <w:r w:rsidRPr="00A0305C">
        <w:rPr>
          <w:i/>
          <w:u w:val="single"/>
        </w:rPr>
        <w:t>Introduction</w:t>
      </w:r>
      <w:bookmarkEnd w:id="82"/>
    </w:p>
    <w:p w:rsidR="00997A69" w:rsidRPr="00A0305C" w:rsidRDefault="00997A69" w:rsidP="00AB0BCF">
      <w:pPr>
        <w:spacing w:after="0" w:line="240" w:lineRule="auto"/>
        <w:rPr>
          <w:sz w:val="24"/>
          <w:szCs w:val="24"/>
        </w:rPr>
      </w:pPr>
    </w:p>
    <w:p w:rsidR="00997A69" w:rsidRPr="00A0305C" w:rsidRDefault="00997A69" w:rsidP="00AB0BCF">
      <w:pPr>
        <w:spacing w:after="0" w:line="240" w:lineRule="auto"/>
        <w:rPr>
          <w:sz w:val="24"/>
          <w:szCs w:val="24"/>
        </w:rPr>
      </w:pPr>
      <w:r w:rsidRPr="00A0305C">
        <w:rPr>
          <w:sz w:val="24"/>
          <w:szCs w:val="24"/>
        </w:rPr>
        <w:t>With the passage of the Healthy, Hu</w:t>
      </w:r>
      <w:r>
        <w:rPr>
          <w:sz w:val="24"/>
          <w:szCs w:val="24"/>
        </w:rPr>
        <w:t>nger-Free Kids Act of 2010 (Act)</w:t>
      </w:r>
      <w:r w:rsidR="003735C4">
        <w:rPr>
          <w:sz w:val="24"/>
          <w:szCs w:val="24"/>
        </w:rPr>
        <w:t>,</w:t>
      </w:r>
      <w:r w:rsidR="003735C4" w:rsidRPr="003735C4">
        <w:rPr>
          <w:sz w:val="24"/>
          <w:szCs w:val="24"/>
          <w:vertAlign w:val="superscript"/>
        </w:rPr>
        <w:footnoteReference w:id="2"/>
      </w:r>
      <w:r w:rsidRPr="00A0305C">
        <w:rPr>
          <w:sz w:val="24"/>
          <w:szCs w:val="24"/>
        </w:rPr>
        <w:t xml:space="preserve"> </w:t>
      </w:r>
      <w:r w:rsidR="001072EA">
        <w:rPr>
          <w:sz w:val="24"/>
          <w:szCs w:val="24"/>
        </w:rPr>
        <w:t xml:space="preserve">operators of </w:t>
      </w:r>
      <w:r w:rsidRPr="00A0305C">
        <w:rPr>
          <w:sz w:val="24"/>
          <w:szCs w:val="24"/>
        </w:rPr>
        <w:t xml:space="preserve">the National School Lunch </w:t>
      </w:r>
      <w:r>
        <w:rPr>
          <w:sz w:val="24"/>
          <w:szCs w:val="24"/>
        </w:rPr>
        <w:t>P</w:t>
      </w:r>
      <w:r w:rsidRPr="00A0305C">
        <w:rPr>
          <w:sz w:val="24"/>
          <w:szCs w:val="24"/>
        </w:rPr>
        <w:t>rogram (</w:t>
      </w:r>
      <w:r>
        <w:rPr>
          <w:sz w:val="24"/>
          <w:szCs w:val="24"/>
        </w:rPr>
        <w:t>NSLP</w:t>
      </w:r>
      <w:r w:rsidRPr="00A0305C">
        <w:rPr>
          <w:sz w:val="24"/>
          <w:szCs w:val="24"/>
        </w:rPr>
        <w:t xml:space="preserve">) </w:t>
      </w:r>
      <w:r w:rsidR="001072EA">
        <w:rPr>
          <w:sz w:val="24"/>
          <w:szCs w:val="24"/>
        </w:rPr>
        <w:t>and School Breakfast Program (SBP) are able to take advantage of</w:t>
      </w:r>
      <w:r w:rsidRPr="00A0305C">
        <w:rPr>
          <w:sz w:val="24"/>
          <w:szCs w:val="24"/>
        </w:rPr>
        <w:t xml:space="preserve"> a new universal meal </w:t>
      </w:r>
      <w:r w:rsidR="001072EA">
        <w:rPr>
          <w:sz w:val="24"/>
          <w:szCs w:val="24"/>
        </w:rPr>
        <w:t>service option</w:t>
      </w:r>
      <w:r w:rsidRPr="00A0305C">
        <w:rPr>
          <w:sz w:val="24"/>
          <w:szCs w:val="24"/>
        </w:rPr>
        <w:t xml:space="preserve">, the “Community Eligibility </w:t>
      </w:r>
      <w:r>
        <w:rPr>
          <w:sz w:val="24"/>
          <w:szCs w:val="24"/>
        </w:rPr>
        <w:t>Provision</w:t>
      </w:r>
      <w:r w:rsidRPr="00A0305C">
        <w:rPr>
          <w:sz w:val="24"/>
          <w:szCs w:val="24"/>
        </w:rPr>
        <w:t>” (</w:t>
      </w:r>
      <w:r w:rsidR="003D7973">
        <w:rPr>
          <w:sz w:val="24"/>
          <w:szCs w:val="24"/>
        </w:rPr>
        <w:t>CEP</w:t>
      </w:r>
      <w:r w:rsidRPr="00A0305C">
        <w:rPr>
          <w:sz w:val="24"/>
          <w:szCs w:val="24"/>
        </w:rPr>
        <w:t xml:space="preserve">), which </w:t>
      </w:r>
      <w:r w:rsidR="007162C7">
        <w:rPr>
          <w:sz w:val="24"/>
          <w:szCs w:val="24"/>
        </w:rPr>
        <w:t>was</w:t>
      </w:r>
      <w:r w:rsidRPr="00A0305C">
        <w:rPr>
          <w:sz w:val="24"/>
          <w:szCs w:val="24"/>
        </w:rPr>
        <w:t xml:space="preserve"> phased in over several years by the U.S. Department of Agriculture (USDA)</w:t>
      </w:r>
      <w:r w:rsidR="001072EA">
        <w:rPr>
          <w:sz w:val="24"/>
          <w:szCs w:val="24"/>
        </w:rPr>
        <w:t xml:space="preserve"> and is now available nationwide</w:t>
      </w:r>
      <w:r w:rsidRPr="00A0305C">
        <w:rPr>
          <w:sz w:val="24"/>
          <w:szCs w:val="24"/>
        </w:rPr>
        <w:t xml:space="preserve">.  </w:t>
      </w:r>
      <w:r w:rsidR="003D7973">
        <w:rPr>
          <w:sz w:val="24"/>
          <w:szCs w:val="24"/>
        </w:rPr>
        <w:t>CEP</w:t>
      </w:r>
      <w:r w:rsidRPr="00A0305C">
        <w:rPr>
          <w:sz w:val="24"/>
          <w:szCs w:val="24"/>
        </w:rPr>
        <w:t xml:space="preserve"> permits eligible schools to provide meal service to all students at no charge, regardless of economic status, while reducing burden at the </w:t>
      </w:r>
      <w:r>
        <w:rPr>
          <w:sz w:val="24"/>
          <w:szCs w:val="24"/>
        </w:rPr>
        <w:t>household and</w:t>
      </w:r>
      <w:r w:rsidRPr="00A0305C">
        <w:rPr>
          <w:sz w:val="24"/>
          <w:szCs w:val="24"/>
        </w:rPr>
        <w:t xml:space="preserve"> local level</w:t>
      </w:r>
      <w:r>
        <w:rPr>
          <w:sz w:val="24"/>
          <w:szCs w:val="24"/>
        </w:rPr>
        <w:t>s</w:t>
      </w:r>
      <w:r w:rsidRPr="00A0305C">
        <w:rPr>
          <w:sz w:val="24"/>
          <w:szCs w:val="24"/>
        </w:rPr>
        <w:t xml:space="preserve"> by </w:t>
      </w:r>
      <w:r>
        <w:rPr>
          <w:sz w:val="24"/>
          <w:szCs w:val="24"/>
        </w:rPr>
        <w:t>eliminating</w:t>
      </w:r>
      <w:r w:rsidRPr="00A0305C">
        <w:rPr>
          <w:sz w:val="24"/>
          <w:szCs w:val="24"/>
        </w:rPr>
        <w:t xml:space="preserve"> the need to obtain </w:t>
      </w:r>
      <w:r>
        <w:rPr>
          <w:sz w:val="24"/>
          <w:szCs w:val="24"/>
        </w:rPr>
        <w:t>eligibility</w:t>
      </w:r>
      <w:r w:rsidRPr="00A0305C">
        <w:rPr>
          <w:sz w:val="24"/>
          <w:szCs w:val="24"/>
        </w:rPr>
        <w:t xml:space="preserve"> data from families through a separate collection.  </w:t>
      </w:r>
    </w:p>
    <w:p w:rsidR="00997A69" w:rsidRPr="00A0305C" w:rsidRDefault="00997A69" w:rsidP="00AB0BCF">
      <w:pPr>
        <w:spacing w:after="0" w:line="240" w:lineRule="auto"/>
        <w:rPr>
          <w:sz w:val="24"/>
          <w:szCs w:val="24"/>
        </w:rPr>
      </w:pPr>
    </w:p>
    <w:p w:rsidR="00845141" w:rsidRDefault="00845141" w:rsidP="00AB0BCF">
      <w:pPr>
        <w:spacing w:after="0" w:line="240" w:lineRule="auto"/>
        <w:rPr>
          <w:sz w:val="24"/>
          <w:szCs w:val="24"/>
        </w:rPr>
      </w:pPr>
      <w:r w:rsidRPr="00845141">
        <w:rPr>
          <w:sz w:val="24"/>
          <w:szCs w:val="24"/>
        </w:rPr>
        <w:t xml:space="preserve">Although the USDA, and not the U.S. Department of Education (ED), administers the Federal school meal programs, including the NSLP, there is a connection between CEP and programs operated under Title I, Part A (Title I) of the Elementary and Secondary Education Act of 1965, as amended (ESEA), because State educational agencies (SEAs) and </w:t>
      </w:r>
      <w:r>
        <w:rPr>
          <w:sz w:val="24"/>
          <w:szCs w:val="24"/>
        </w:rPr>
        <w:t>local educational agencies (</w:t>
      </w:r>
      <w:r w:rsidRPr="00845141">
        <w:rPr>
          <w:sz w:val="24"/>
          <w:szCs w:val="24"/>
        </w:rPr>
        <w:t>LEAs</w:t>
      </w:r>
      <w:r>
        <w:rPr>
          <w:sz w:val="24"/>
          <w:szCs w:val="24"/>
        </w:rPr>
        <w:t>)</w:t>
      </w:r>
      <w:r w:rsidRPr="00845141">
        <w:rPr>
          <w:sz w:val="24"/>
          <w:szCs w:val="24"/>
        </w:rPr>
        <w:t xml:space="preserve"> often use NSLP data to carry out certain Title I requirements.</w:t>
      </w:r>
      <w:r>
        <w:rPr>
          <w:sz w:val="24"/>
          <w:szCs w:val="24"/>
        </w:rPr>
        <w:t xml:space="preserve">  ED’s most recent guidance on the connection between Title I and CEP was published in January 2014.  Since that time, ED has received some additional questions about C</w:t>
      </w:r>
      <w:r w:rsidR="0000047D">
        <w:rPr>
          <w:sz w:val="24"/>
          <w:szCs w:val="24"/>
        </w:rPr>
        <w:t xml:space="preserve">EP.  </w:t>
      </w:r>
      <w:r>
        <w:rPr>
          <w:sz w:val="24"/>
          <w:szCs w:val="24"/>
        </w:rPr>
        <w:t xml:space="preserve">This updated guidance addresses those questions.  </w:t>
      </w:r>
      <w:r w:rsidRPr="00845141">
        <w:rPr>
          <w:sz w:val="24"/>
          <w:szCs w:val="24"/>
        </w:rPr>
        <w:t xml:space="preserve">Questions 18, 23, 23a, </w:t>
      </w:r>
      <w:r w:rsidR="00CD709E">
        <w:rPr>
          <w:sz w:val="24"/>
          <w:szCs w:val="24"/>
        </w:rPr>
        <w:t xml:space="preserve">24, </w:t>
      </w:r>
      <w:r w:rsidRPr="00845141">
        <w:rPr>
          <w:sz w:val="24"/>
          <w:szCs w:val="24"/>
        </w:rPr>
        <w:t>28, 29, 29a, 31, 34, and 35 have been added or substantively modified since ED i</w:t>
      </w:r>
      <w:r>
        <w:rPr>
          <w:sz w:val="24"/>
          <w:szCs w:val="24"/>
        </w:rPr>
        <w:t>ssued the January 2014 guidance.</w:t>
      </w:r>
      <w:r w:rsidRPr="00DF7C63">
        <w:rPr>
          <w:sz w:val="24"/>
          <w:szCs w:val="24"/>
        </w:rPr>
        <w:t xml:space="preserve">  </w:t>
      </w:r>
      <w:r w:rsidRPr="00A0305C">
        <w:rPr>
          <w:sz w:val="24"/>
          <w:szCs w:val="24"/>
        </w:rPr>
        <w:t>This guidance</w:t>
      </w:r>
      <w:r>
        <w:rPr>
          <w:sz w:val="24"/>
          <w:szCs w:val="24"/>
        </w:rPr>
        <w:t xml:space="preserve">, which replaces the January 2014 guidance, </w:t>
      </w:r>
      <w:r w:rsidRPr="00A0305C">
        <w:rPr>
          <w:sz w:val="24"/>
          <w:szCs w:val="24"/>
        </w:rPr>
        <w:t>provides ED’s interpretation of various statutory provisions</w:t>
      </w:r>
      <w:r>
        <w:rPr>
          <w:sz w:val="24"/>
          <w:szCs w:val="24"/>
        </w:rPr>
        <w:t xml:space="preserve">, </w:t>
      </w:r>
      <w:r w:rsidRPr="00A0305C">
        <w:rPr>
          <w:sz w:val="24"/>
          <w:szCs w:val="24"/>
        </w:rPr>
        <w:t>does not impose any requirements beyond those included in the ESEA and other applicable laws and regulations</w:t>
      </w:r>
      <w:r>
        <w:rPr>
          <w:sz w:val="24"/>
          <w:szCs w:val="24"/>
        </w:rPr>
        <w:t>, and d</w:t>
      </w:r>
      <w:r w:rsidRPr="00DF7C63">
        <w:rPr>
          <w:sz w:val="24"/>
          <w:szCs w:val="24"/>
        </w:rPr>
        <w:t>oes not create or confer any rights for or on any person.</w:t>
      </w:r>
    </w:p>
    <w:p w:rsidR="00845141" w:rsidRDefault="00845141" w:rsidP="00AB0BCF">
      <w:pPr>
        <w:spacing w:after="0" w:line="240" w:lineRule="auto"/>
        <w:rPr>
          <w:sz w:val="24"/>
          <w:szCs w:val="24"/>
        </w:rPr>
      </w:pPr>
    </w:p>
    <w:p w:rsidR="00997A69" w:rsidRPr="00A0305C" w:rsidRDefault="0000047D" w:rsidP="00AB0BCF">
      <w:pPr>
        <w:spacing w:after="0" w:line="240" w:lineRule="auto"/>
        <w:rPr>
          <w:sz w:val="24"/>
          <w:szCs w:val="24"/>
        </w:rPr>
      </w:pPr>
      <w:r>
        <w:rPr>
          <w:sz w:val="24"/>
          <w:szCs w:val="24"/>
        </w:rPr>
        <w:t xml:space="preserve">Regarding </w:t>
      </w:r>
      <w:r w:rsidR="003D7973">
        <w:rPr>
          <w:sz w:val="24"/>
          <w:szCs w:val="24"/>
        </w:rPr>
        <w:t>CEP</w:t>
      </w:r>
      <w:r>
        <w:rPr>
          <w:sz w:val="24"/>
          <w:szCs w:val="24"/>
        </w:rPr>
        <w:t>’s operation, CEP</w:t>
      </w:r>
      <w:r w:rsidR="00997A69" w:rsidRPr="00A0305C">
        <w:rPr>
          <w:sz w:val="24"/>
          <w:szCs w:val="24"/>
        </w:rPr>
        <w:t xml:space="preserve"> schools </w:t>
      </w:r>
      <w:r w:rsidR="00B164F3">
        <w:rPr>
          <w:sz w:val="24"/>
          <w:szCs w:val="24"/>
        </w:rPr>
        <w:t>only use eligibility data that are not obtained through the use of an application</w:t>
      </w:r>
      <w:r w:rsidR="00997A69" w:rsidRPr="00A0305C">
        <w:rPr>
          <w:sz w:val="24"/>
          <w:szCs w:val="24"/>
        </w:rPr>
        <w:t>, such as data from the Supplemental Nutrition Assistance Program (SNAP) or Temporary Assistance for Needy Families (TANF) program</w:t>
      </w:r>
      <w:r w:rsidR="00DB0459">
        <w:rPr>
          <w:sz w:val="24"/>
          <w:szCs w:val="24"/>
        </w:rPr>
        <w:t>,</w:t>
      </w:r>
      <w:r w:rsidR="00997A69" w:rsidRPr="00A0305C">
        <w:rPr>
          <w:sz w:val="24"/>
          <w:szCs w:val="24"/>
        </w:rPr>
        <w:t xml:space="preserve"> to determine the Federal cash reimbursement </w:t>
      </w:r>
      <w:r w:rsidR="00997A69">
        <w:rPr>
          <w:sz w:val="24"/>
          <w:szCs w:val="24"/>
        </w:rPr>
        <w:t xml:space="preserve">for school </w:t>
      </w:r>
      <w:r w:rsidR="00B164F3">
        <w:rPr>
          <w:sz w:val="24"/>
          <w:szCs w:val="24"/>
        </w:rPr>
        <w:t>meals</w:t>
      </w:r>
      <w:r w:rsidR="00B164F3" w:rsidRPr="00A0305C">
        <w:rPr>
          <w:sz w:val="24"/>
          <w:szCs w:val="24"/>
        </w:rPr>
        <w:t xml:space="preserve"> </w:t>
      </w:r>
      <w:r w:rsidR="00997A69" w:rsidRPr="00A0305C">
        <w:rPr>
          <w:sz w:val="24"/>
          <w:szCs w:val="24"/>
        </w:rPr>
        <w:t xml:space="preserve">provided by USDA.  </w:t>
      </w:r>
      <w:r w:rsidR="00997A69">
        <w:rPr>
          <w:sz w:val="24"/>
          <w:szCs w:val="24"/>
        </w:rPr>
        <w:t>They</w:t>
      </w:r>
      <w:r w:rsidR="00997A69" w:rsidRPr="00A0305C">
        <w:rPr>
          <w:sz w:val="24"/>
          <w:szCs w:val="24"/>
        </w:rPr>
        <w:t xml:space="preserve"> </w:t>
      </w:r>
      <w:r w:rsidR="00997A69">
        <w:rPr>
          <w:sz w:val="24"/>
          <w:szCs w:val="24"/>
        </w:rPr>
        <w:t>do</w:t>
      </w:r>
      <w:r w:rsidR="00997A69" w:rsidRPr="00A0305C">
        <w:rPr>
          <w:sz w:val="24"/>
          <w:szCs w:val="24"/>
        </w:rPr>
        <w:t xml:space="preserve"> not rely on annual household applications that are generally used to determine eligibility for free and reduced</w:t>
      </w:r>
      <w:r w:rsidR="00997A69">
        <w:rPr>
          <w:sz w:val="24"/>
          <w:szCs w:val="24"/>
        </w:rPr>
        <w:t>-</w:t>
      </w:r>
      <w:r w:rsidR="00997A69" w:rsidRPr="00A0305C">
        <w:rPr>
          <w:sz w:val="24"/>
          <w:szCs w:val="24"/>
        </w:rPr>
        <w:t xml:space="preserve">price </w:t>
      </w:r>
      <w:r w:rsidR="00997A69">
        <w:rPr>
          <w:sz w:val="24"/>
          <w:szCs w:val="24"/>
        </w:rPr>
        <w:t>meals</w:t>
      </w:r>
      <w:r w:rsidR="00997A69" w:rsidRPr="00A0305C">
        <w:rPr>
          <w:sz w:val="24"/>
          <w:szCs w:val="24"/>
        </w:rPr>
        <w:t xml:space="preserve">.  </w:t>
      </w:r>
      <w:r w:rsidR="00997A69">
        <w:rPr>
          <w:sz w:val="24"/>
          <w:szCs w:val="24"/>
        </w:rPr>
        <w:t>A</w:t>
      </w:r>
      <w:r w:rsidR="00997A69" w:rsidRPr="00A0305C">
        <w:rPr>
          <w:sz w:val="24"/>
          <w:szCs w:val="24"/>
        </w:rPr>
        <w:t xml:space="preserve"> school </w:t>
      </w:r>
      <w:r w:rsidR="00B164F3">
        <w:rPr>
          <w:sz w:val="24"/>
          <w:szCs w:val="24"/>
        </w:rPr>
        <w:t>may elect</w:t>
      </w:r>
      <w:r w:rsidR="00997A69" w:rsidRPr="00A0305C">
        <w:rPr>
          <w:sz w:val="24"/>
          <w:szCs w:val="24"/>
        </w:rPr>
        <w:t xml:space="preserve"> for </w:t>
      </w:r>
      <w:r w:rsidR="003D7973">
        <w:rPr>
          <w:sz w:val="24"/>
          <w:szCs w:val="24"/>
        </w:rPr>
        <w:t>CEP</w:t>
      </w:r>
      <w:r w:rsidR="00997A69" w:rsidRPr="00A0305C">
        <w:rPr>
          <w:sz w:val="24"/>
          <w:szCs w:val="24"/>
        </w:rPr>
        <w:t xml:space="preserve"> if at least 40 percent of its students are </w:t>
      </w:r>
      <w:r w:rsidR="00997A69">
        <w:rPr>
          <w:sz w:val="24"/>
          <w:szCs w:val="24"/>
        </w:rPr>
        <w:t xml:space="preserve">“directly </w:t>
      </w:r>
      <w:r w:rsidR="00997A69" w:rsidRPr="00A0305C">
        <w:rPr>
          <w:sz w:val="24"/>
          <w:szCs w:val="24"/>
        </w:rPr>
        <w:t>certified</w:t>
      </w:r>
      <w:r w:rsidR="00997A69">
        <w:rPr>
          <w:sz w:val="24"/>
          <w:szCs w:val="24"/>
        </w:rPr>
        <w:t xml:space="preserve">,” </w:t>
      </w:r>
      <w:r w:rsidR="00B164F3">
        <w:rPr>
          <w:sz w:val="24"/>
          <w:szCs w:val="24"/>
        </w:rPr>
        <w:t>or otherwise</w:t>
      </w:r>
      <w:r w:rsidR="00997A69">
        <w:rPr>
          <w:sz w:val="24"/>
          <w:szCs w:val="24"/>
        </w:rPr>
        <w:t xml:space="preserve"> identified</w:t>
      </w:r>
      <w:r w:rsidR="00997A69" w:rsidRPr="00A0305C">
        <w:rPr>
          <w:sz w:val="24"/>
          <w:szCs w:val="24"/>
        </w:rPr>
        <w:t xml:space="preserve"> for free meals through means other than household applications (for example, students directly certified through SNAP).  To account for low-income families not reflected in the direct certification data, USDA set</w:t>
      </w:r>
      <w:r w:rsidR="00997A69">
        <w:rPr>
          <w:sz w:val="24"/>
          <w:szCs w:val="24"/>
        </w:rPr>
        <w:t>s</w:t>
      </w:r>
      <w:r w:rsidR="00997A69" w:rsidRPr="00A0305C">
        <w:rPr>
          <w:sz w:val="24"/>
          <w:szCs w:val="24"/>
        </w:rPr>
        <w:t xml:space="preserve"> meal reimbursement levels for </w:t>
      </w:r>
      <w:r w:rsidR="003D7973">
        <w:rPr>
          <w:sz w:val="24"/>
          <w:szCs w:val="24"/>
        </w:rPr>
        <w:t>CEP</w:t>
      </w:r>
      <w:r w:rsidR="00997A69" w:rsidRPr="00A0305C">
        <w:rPr>
          <w:sz w:val="24"/>
          <w:szCs w:val="24"/>
        </w:rPr>
        <w:t xml:space="preserve"> schools by multiplying the percentage of students identified through the direct certification data by a multiplier established in the Act</w:t>
      </w:r>
      <w:r w:rsidR="00997A69">
        <w:rPr>
          <w:sz w:val="24"/>
          <w:szCs w:val="24"/>
        </w:rPr>
        <w:t>.</w:t>
      </w:r>
      <w:r w:rsidR="00997A69" w:rsidRPr="00A0305C">
        <w:rPr>
          <w:sz w:val="24"/>
          <w:szCs w:val="24"/>
        </w:rPr>
        <w:t xml:space="preserve"> </w:t>
      </w:r>
      <w:r w:rsidR="00997A69">
        <w:rPr>
          <w:sz w:val="24"/>
          <w:szCs w:val="24"/>
        </w:rPr>
        <w:t xml:space="preserve"> </w:t>
      </w:r>
      <w:r w:rsidR="00997A69" w:rsidRPr="00A0305C">
        <w:rPr>
          <w:sz w:val="24"/>
          <w:szCs w:val="24"/>
        </w:rPr>
        <w:t>(</w:t>
      </w:r>
      <w:r w:rsidR="00997A69">
        <w:rPr>
          <w:sz w:val="24"/>
          <w:szCs w:val="24"/>
        </w:rPr>
        <w:t>I</w:t>
      </w:r>
      <w:r w:rsidR="00997A69" w:rsidRPr="00A0305C">
        <w:rPr>
          <w:sz w:val="24"/>
          <w:szCs w:val="24"/>
        </w:rPr>
        <w:t>nitially, the multiplier is 1.6</w:t>
      </w:r>
      <w:r w:rsidR="00997A69">
        <w:rPr>
          <w:sz w:val="24"/>
          <w:szCs w:val="24"/>
        </w:rPr>
        <w:t>.</w:t>
      </w:r>
      <w:r w:rsidR="00997A69">
        <w:rPr>
          <w:rStyle w:val="FootnoteReference"/>
          <w:rFonts w:cs="Calibri"/>
          <w:color w:val="000000"/>
          <w:sz w:val="24"/>
          <w:szCs w:val="24"/>
        </w:rPr>
        <w:footnoteReference w:id="3"/>
      </w:r>
      <w:r w:rsidR="00997A69" w:rsidRPr="00A0305C">
        <w:rPr>
          <w:sz w:val="24"/>
          <w:szCs w:val="24"/>
        </w:rPr>
        <w:t xml:space="preserve">)  Under </w:t>
      </w:r>
      <w:r w:rsidR="003D7973">
        <w:rPr>
          <w:sz w:val="24"/>
          <w:szCs w:val="24"/>
        </w:rPr>
        <w:t>CEP</w:t>
      </w:r>
      <w:r w:rsidR="00997A69" w:rsidRPr="00A0305C">
        <w:rPr>
          <w:sz w:val="24"/>
          <w:szCs w:val="24"/>
        </w:rPr>
        <w:t xml:space="preserve">, schools must </w:t>
      </w:r>
      <w:r w:rsidR="00997A69">
        <w:rPr>
          <w:sz w:val="24"/>
          <w:szCs w:val="24"/>
        </w:rPr>
        <w:t>renew their direct certification numbers</w:t>
      </w:r>
      <w:r w:rsidR="00997A69" w:rsidRPr="00A0305C">
        <w:rPr>
          <w:sz w:val="24"/>
          <w:szCs w:val="24"/>
        </w:rPr>
        <w:t xml:space="preserve"> once every four years</w:t>
      </w:r>
      <w:r w:rsidR="00997A69">
        <w:rPr>
          <w:sz w:val="24"/>
          <w:szCs w:val="24"/>
        </w:rPr>
        <w:t xml:space="preserve"> to maintain eligibility</w:t>
      </w:r>
      <w:r w:rsidR="00997A69" w:rsidRPr="00A0305C">
        <w:rPr>
          <w:sz w:val="24"/>
          <w:szCs w:val="24"/>
        </w:rPr>
        <w:t>.  However</w:t>
      </w:r>
      <w:r w:rsidR="00997A69">
        <w:rPr>
          <w:sz w:val="24"/>
          <w:szCs w:val="24"/>
        </w:rPr>
        <w:t>,</w:t>
      </w:r>
      <w:r w:rsidR="00997A69" w:rsidRPr="00A0305C" w:rsidDel="00C76CFC">
        <w:rPr>
          <w:sz w:val="24"/>
          <w:szCs w:val="24"/>
        </w:rPr>
        <w:t xml:space="preserve"> </w:t>
      </w:r>
      <w:r w:rsidR="00997A69">
        <w:rPr>
          <w:sz w:val="24"/>
          <w:szCs w:val="24"/>
        </w:rPr>
        <w:t>s</w:t>
      </w:r>
      <w:r w:rsidR="00997A69" w:rsidRPr="00A0305C">
        <w:rPr>
          <w:sz w:val="24"/>
          <w:szCs w:val="24"/>
        </w:rPr>
        <w:t xml:space="preserve">chools </w:t>
      </w:r>
      <w:r w:rsidR="00B164F3">
        <w:rPr>
          <w:sz w:val="24"/>
          <w:szCs w:val="24"/>
        </w:rPr>
        <w:t>may</w:t>
      </w:r>
      <w:r w:rsidR="00997A69" w:rsidRPr="00A0305C">
        <w:rPr>
          <w:sz w:val="24"/>
          <w:szCs w:val="24"/>
        </w:rPr>
        <w:t xml:space="preserve"> </w:t>
      </w:r>
      <w:r w:rsidR="00997A69">
        <w:rPr>
          <w:sz w:val="24"/>
          <w:szCs w:val="24"/>
        </w:rPr>
        <w:t xml:space="preserve">update their </w:t>
      </w:r>
      <w:r w:rsidR="00997A69" w:rsidRPr="00A0305C">
        <w:rPr>
          <w:sz w:val="24"/>
          <w:szCs w:val="24"/>
        </w:rPr>
        <w:t xml:space="preserve">direct certification </w:t>
      </w:r>
      <w:r w:rsidR="00997A69">
        <w:rPr>
          <w:sz w:val="24"/>
          <w:szCs w:val="24"/>
        </w:rPr>
        <w:t>numbers annually to capture more current information</w:t>
      </w:r>
      <w:r w:rsidR="00997A69" w:rsidRPr="00A0305C">
        <w:rPr>
          <w:sz w:val="24"/>
          <w:szCs w:val="24"/>
        </w:rPr>
        <w:t>.</w:t>
      </w:r>
      <w:r w:rsidR="00997A69">
        <w:rPr>
          <w:sz w:val="24"/>
          <w:szCs w:val="24"/>
        </w:rPr>
        <w:t xml:space="preserve"> </w:t>
      </w:r>
      <w:r w:rsidR="00997A69" w:rsidRPr="00A0305C">
        <w:rPr>
          <w:sz w:val="24"/>
          <w:szCs w:val="24"/>
        </w:rPr>
        <w:t xml:space="preserve"> If the most current data show an increase in the percentage of enrolled students who are directly certified, the school may use that percentage for determining USDA </w:t>
      </w:r>
      <w:r w:rsidR="00997A69" w:rsidRPr="00A0305C">
        <w:rPr>
          <w:sz w:val="24"/>
          <w:szCs w:val="24"/>
        </w:rPr>
        <w:lastRenderedPageBreak/>
        <w:t>reimbursement; if the data show a decrease, the school may continue to use the original percentage</w:t>
      </w:r>
      <w:r w:rsidR="00997A69">
        <w:rPr>
          <w:sz w:val="24"/>
          <w:szCs w:val="24"/>
        </w:rPr>
        <w:t xml:space="preserve"> for the remainder of the four-year eligibility period</w:t>
      </w:r>
      <w:r w:rsidR="00997A69" w:rsidRPr="00A0305C">
        <w:rPr>
          <w:sz w:val="24"/>
          <w:szCs w:val="24"/>
        </w:rPr>
        <w:t>.</w:t>
      </w:r>
    </w:p>
    <w:p w:rsidR="00997A69" w:rsidRPr="00A0305C" w:rsidRDefault="00997A69" w:rsidP="00AB0BCF">
      <w:pPr>
        <w:spacing w:after="0" w:line="240" w:lineRule="auto"/>
        <w:rPr>
          <w:sz w:val="24"/>
          <w:szCs w:val="24"/>
        </w:rPr>
      </w:pPr>
    </w:p>
    <w:p w:rsidR="00997A69" w:rsidRPr="00A0305C" w:rsidRDefault="00997A69" w:rsidP="00AB0BCF">
      <w:pPr>
        <w:spacing w:after="0" w:line="240" w:lineRule="auto"/>
        <w:rPr>
          <w:sz w:val="24"/>
          <w:szCs w:val="24"/>
        </w:rPr>
      </w:pPr>
      <w:r w:rsidRPr="00A0305C">
        <w:rPr>
          <w:sz w:val="24"/>
          <w:szCs w:val="24"/>
        </w:rPr>
        <w:t xml:space="preserve">Implementation of </w:t>
      </w:r>
      <w:r w:rsidR="003D7973">
        <w:rPr>
          <w:sz w:val="24"/>
          <w:szCs w:val="24"/>
        </w:rPr>
        <w:t>CEP</w:t>
      </w:r>
      <w:r w:rsidRPr="00A0305C">
        <w:rPr>
          <w:sz w:val="24"/>
          <w:szCs w:val="24"/>
        </w:rPr>
        <w:t xml:space="preserve"> began in the 2011–2012 school year in </w:t>
      </w:r>
      <w:r>
        <w:rPr>
          <w:sz w:val="24"/>
          <w:szCs w:val="24"/>
        </w:rPr>
        <w:t xml:space="preserve">eligible </w:t>
      </w:r>
      <w:r w:rsidRPr="00A0305C">
        <w:rPr>
          <w:sz w:val="24"/>
          <w:szCs w:val="24"/>
        </w:rPr>
        <w:t>LEAs</w:t>
      </w:r>
      <w:r>
        <w:rPr>
          <w:sz w:val="24"/>
          <w:szCs w:val="24"/>
        </w:rPr>
        <w:t xml:space="preserve"> and schools</w:t>
      </w:r>
      <w:r w:rsidRPr="00A0305C">
        <w:rPr>
          <w:sz w:val="24"/>
          <w:szCs w:val="24"/>
        </w:rPr>
        <w:t xml:space="preserve"> in </w:t>
      </w:r>
      <w:smartTag w:uri="urn:schemas-microsoft-com:office:smarttags" w:element="State">
        <w:r w:rsidRPr="00A0305C">
          <w:rPr>
            <w:sz w:val="24"/>
            <w:szCs w:val="24"/>
          </w:rPr>
          <w:t>Illinois</w:t>
        </w:r>
      </w:smartTag>
      <w:r w:rsidRPr="00A0305C">
        <w:rPr>
          <w:sz w:val="24"/>
          <w:szCs w:val="24"/>
        </w:rPr>
        <w:t xml:space="preserve">, </w:t>
      </w:r>
      <w:smartTag w:uri="urn:schemas-microsoft-com:office:smarttags" w:element="State">
        <w:r w:rsidRPr="00A0305C">
          <w:rPr>
            <w:sz w:val="24"/>
            <w:szCs w:val="24"/>
          </w:rPr>
          <w:t>Kentucky</w:t>
        </w:r>
      </w:smartTag>
      <w:r w:rsidRPr="00A0305C">
        <w:rPr>
          <w:sz w:val="24"/>
          <w:szCs w:val="24"/>
        </w:rPr>
        <w:t xml:space="preserve">, and </w:t>
      </w:r>
      <w:smartTag w:uri="urn:schemas-microsoft-com:office:smarttags" w:element="State">
        <w:smartTag w:uri="urn:schemas-microsoft-com:office:smarttags" w:element="place">
          <w:r w:rsidRPr="00A0305C">
            <w:rPr>
              <w:sz w:val="24"/>
              <w:szCs w:val="24"/>
            </w:rPr>
            <w:t>Michigan</w:t>
          </w:r>
        </w:smartTag>
      </w:smartTag>
      <w:r w:rsidRPr="00A0305C">
        <w:rPr>
          <w:sz w:val="24"/>
          <w:szCs w:val="24"/>
        </w:rPr>
        <w:t xml:space="preserve">.  </w:t>
      </w:r>
      <w:r>
        <w:rPr>
          <w:sz w:val="24"/>
          <w:szCs w:val="24"/>
        </w:rPr>
        <w:t>In</w:t>
      </w:r>
      <w:r w:rsidRPr="00A0305C">
        <w:rPr>
          <w:sz w:val="24"/>
          <w:szCs w:val="24"/>
        </w:rPr>
        <w:t xml:space="preserve"> the 2012–2013 school year, USDA </w:t>
      </w:r>
      <w:r>
        <w:rPr>
          <w:sz w:val="24"/>
          <w:szCs w:val="24"/>
        </w:rPr>
        <w:t>added</w:t>
      </w:r>
      <w:r w:rsidRPr="00A0305C">
        <w:rPr>
          <w:sz w:val="24"/>
          <w:szCs w:val="24"/>
        </w:rPr>
        <w:t xml:space="preserve"> the </w:t>
      </w:r>
      <w:smartTag w:uri="urn:schemas-microsoft-com:office:smarttags" w:element="State">
        <w:r w:rsidRPr="00A0305C">
          <w:rPr>
            <w:sz w:val="24"/>
            <w:szCs w:val="24"/>
          </w:rPr>
          <w:t>District of Columbia</w:t>
        </w:r>
      </w:smartTag>
      <w:r w:rsidRPr="00A0305C">
        <w:rPr>
          <w:sz w:val="24"/>
          <w:szCs w:val="24"/>
        </w:rPr>
        <w:t xml:space="preserve">, </w:t>
      </w:r>
      <w:smartTag w:uri="urn:schemas-microsoft-com:office:smarttags" w:element="City">
        <w:r w:rsidRPr="00A0305C">
          <w:rPr>
            <w:sz w:val="24"/>
            <w:szCs w:val="24"/>
          </w:rPr>
          <w:t>New Yor</w:t>
        </w:r>
        <w:r>
          <w:rPr>
            <w:sz w:val="24"/>
            <w:szCs w:val="24"/>
          </w:rPr>
          <w:t>k</w:t>
        </w:r>
      </w:smartTag>
      <w:r>
        <w:rPr>
          <w:sz w:val="24"/>
          <w:szCs w:val="24"/>
        </w:rPr>
        <w:t xml:space="preserve">, </w:t>
      </w:r>
      <w:smartTag w:uri="urn:schemas-microsoft-com:office:smarttags" w:element="State">
        <w:r>
          <w:rPr>
            <w:sz w:val="24"/>
            <w:szCs w:val="24"/>
          </w:rPr>
          <w:t>Ohio</w:t>
        </w:r>
      </w:smartTag>
      <w:r>
        <w:rPr>
          <w:sz w:val="24"/>
          <w:szCs w:val="24"/>
        </w:rPr>
        <w:t xml:space="preserve">, and </w:t>
      </w:r>
      <w:smartTag w:uri="urn:schemas-microsoft-com:office:smarttags" w:element="State">
        <w:smartTag w:uri="urn:schemas-microsoft-com:office:smarttags" w:element="place">
          <w:r>
            <w:rPr>
              <w:sz w:val="24"/>
              <w:szCs w:val="24"/>
            </w:rPr>
            <w:t>West Virginia</w:t>
          </w:r>
        </w:smartTag>
      </w:smartTag>
      <w:r>
        <w:rPr>
          <w:sz w:val="24"/>
          <w:szCs w:val="24"/>
        </w:rPr>
        <w:t xml:space="preserve"> to implement </w:t>
      </w:r>
      <w:r w:rsidR="003D7973">
        <w:rPr>
          <w:sz w:val="24"/>
          <w:szCs w:val="24"/>
        </w:rPr>
        <w:t>CEP</w:t>
      </w:r>
      <w:r>
        <w:rPr>
          <w:sz w:val="24"/>
          <w:szCs w:val="24"/>
        </w:rPr>
        <w:t xml:space="preserve">.  </w:t>
      </w:r>
      <w:r w:rsidR="003D7973">
        <w:rPr>
          <w:sz w:val="24"/>
          <w:szCs w:val="24"/>
        </w:rPr>
        <w:t>CEP</w:t>
      </w:r>
      <w:r>
        <w:rPr>
          <w:sz w:val="24"/>
          <w:szCs w:val="24"/>
        </w:rPr>
        <w:t xml:space="preserve"> became available in </w:t>
      </w:r>
      <w:smartTag w:uri="urn:schemas-microsoft-com:office:smarttags" w:element="State">
        <w:r w:rsidRPr="00A0305C">
          <w:rPr>
            <w:sz w:val="24"/>
            <w:szCs w:val="24"/>
          </w:rPr>
          <w:t>Maryland</w:t>
        </w:r>
      </w:smartTag>
      <w:r w:rsidRPr="00A0305C">
        <w:rPr>
          <w:sz w:val="24"/>
          <w:szCs w:val="24"/>
        </w:rPr>
        <w:t xml:space="preserve">, </w:t>
      </w:r>
      <w:smartTag w:uri="urn:schemas-microsoft-com:office:smarttags" w:element="State">
        <w:r w:rsidRPr="00A0305C">
          <w:rPr>
            <w:sz w:val="24"/>
            <w:szCs w:val="24"/>
          </w:rPr>
          <w:t>Massachusetts</w:t>
        </w:r>
      </w:smartTag>
      <w:r w:rsidRPr="00A0305C">
        <w:rPr>
          <w:sz w:val="24"/>
          <w:szCs w:val="24"/>
        </w:rPr>
        <w:t xml:space="preserve">, </w:t>
      </w:r>
      <w:smartTag w:uri="urn:schemas-microsoft-com:office:smarttags" w:element="State">
        <w:r w:rsidRPr="00A0305C">
          <w:rPr>
            <w:sz w:val="24"/>
            <w:szCs w:val="24"/>
          </w:rPr>
          <w:t>Florida</w:t>
        </w:r>
      </w:smartTag>
      <w:r w:rsidRPr="00A0305C">
        <w:rPr>
          <w:sz w:val="24"/>
          <w:szCs w:val="24"/>
        </w:rPr>
        <w:t xml:space="preserve">, and </w:t>
      </w:r>
      <w:smartTag w:uri="urn:schemas-microsoft-com:office:smarttags" w:element="country-region">
        <w:smartTag w:uri="urn:schemas-microsoft-com:office:smarttags" w:element="place">
          <w:r w:rsidRPr="00A0305C">
            <w:rPr>
              <w:sz w:val="24"/>
              <w:szCs w:val="24"/>
            </w:rPr>
            <w:t>Georgia</w:t>
          </w:r>
        </w:smartTag>
      </w:smartTag>
      <w:r w:rsidRPr="00A0305C">
        <w:rPr>
          <w:sz w:val="24"/>
          <w:szCs w:val="24"/>
        </w:rPr>
        <w:t xml:space="preserve"> </w:t>
      </w:r>
      <w:r>
        <w:rPr>
          <w:sz w:val="24"/>
          <w:szCs w:val="24"/>
        </w:rPr>
        <w:t xml:space="preserve">in the 2013–2014 school year and </w:t>
      </w:r>
      <w:r w:rsidR="007162C7">
        <w:rPr>
          <w:sz w:val="24"/>
          <w:szCs w:val="24"/>
        </w:rPr>
        <w:t>is</w:t>
      </w:r>
      <w:r>
        <w:rPr>
          <w:sz w:val="24"/>
          <w:szCs w:val="24"/>
        </w:rPr>
        <w:t xml:space="preserve"> available in </w:t>
      </w:r>
      <w:r w:rsidRPr="00A0305C">
        <w:rPr>
          <w:sz w:val="24"/>
          <w:szCs w:val="24"/>
        </w:rPr>
        <w:t>all</w:t>
      </w:r>
      <w:r>
        <w:rPr>
          <w:sz w:val="24"/>
          <w:szCs w:val="24"/>
        </w:rPr>
        <w:t xml:space="preserve"> States </w:t>
      </w:r>
      <w:r w:rsidRPr="00A0305C">
        <w:rPr>
          <w:sz w:val="24"/>
          <w:szCs w:val="24"/>
        </w:rPr>
        <w:t xml:space="preserve">in the </w:t>
      </w:r>
      <w:r>
        <w:rPr>
          <w:sz w:val="24"/>
          <w:szCs w:val="24"/>
        </w:rPr>
        <w:t>2014</w:t>
      </w:r>
      <w:r>
        <w:rPr>
          <w:rFonts w:ascii="Calibri" w:hAnsi="Calibri" w:cs="Calibri"/>
          <w:sz w:val="24"/>
          <w:szCs w:val="24"/>
        </w:rPr>
        <w:t>–</w:t>
      </w:r>
      <w:r>
        <w:rPr>
          <w:sz w:val="24"/>
          <w:szCs w:val="24"/>
        </w:rPr>
        <w:t>2015</w:t>
      </w:r>
      <w:r w:rsidRPr="00A0305C">
        <w:rPr>
          <w:sz w:val="24"/>
          <w:szCs w:val="24"/>
        </w:rPr>
        <w:t xml:space="preserve"> school year.</w:t>
      </w:r>
    </w:p>
    <w:p w:rsidR="00997A69" w:rsidRPr="00A0305C" w:rsidRDefault="00997A69" w:rsidP="00AB0BCF">
      <w:pPr>
        <w:spacing w:after="0" w:line="240" w:lineRule="auto"/>
        <w:rPr>
          <w:sz w:val="24"/>
          <w:szCs w:val="24"/>
        </w:rPr>
      </w:pPr>
    </w:p>
    <w:p w:rsidR="00997A69" w:rsidRPr="00A0305C" w:rsidRDefault="00845141" w:rsidP="00AB0BCF">
      <w:pPr>
        <w:spacing w:after="0" w:line="240" w:lineRule="auto"/>
        <w:rPr>
          <w:sz w:val="24"/>
          <w:szCs w:val="24"/>
        </w:rPr>
      </w:pPr>
      <w:r>
        <w:rPr>
          <w:sz w:val="24"/>
          <w:szCs w:val="24"/>
        </w:rPr>
        <w:t>As noted above, there is an intersection between CEP and Title I</w:t>
      </w:r>
      <w:r w:rsidR="00997A69" w:rsidRPr="00A0305C">
        <w:rPr>
          <w:sz w:val="24"/>
          <w:szCs w:val="24"/>
        </w:rPr>
        <w:t xml:space="preserve">.  </w:t>
      </w:r>
      <w:r w:rsidR="00997A69">
        <w:rPr>
          <w:sz w:val="24"/>
          <w:szCs w:val="24"/>
        </w:rPr>
        <w:t>U</w:t>
      </w:r>
      <w:r w:rsidR="00997A69" w:rsidRPr="00A0305C">
        <w:rPr>
          <w:sz w:val="24"/>
          <w:szCs w:val="24"/>
        </w:rPr>
        <w:t>nder section 1113 of the ESEA, an LEA must rank its school attendance areas or schools based on the percentage of economically</w:t>
      </w:r>
      <w:r w:rsidR="00997A69">
        <w:rPr>
          <w:sz w:val="24"/>
          <w:szCs w:val="24"/>
        </w:rPr>
        <w:t xml:space="preserve"> </w:t>
      </w:r>
      <w:r w:rsidR="00997A69" w:rsidRPr="00A0305C">
        <w:rPr>
          <w:sz w:val="24"/>
          <w:szCs w:val="24"/>
        </w:rPr>
        <w:t xml:space="preserve">disadvantaged students to determine a school’s eligibility to receive Title I funds, to allocate funds to selected schools, and to calculate the amount generated for Title I services to eligible private school students.  In terms of accountability, each SEA and LEA that receives funding under Title I must assess and report annually on the extent to which </w:t>
      </w:r>
      <w:r w:rsidR="00997A69">
        <w:rPr>
          <w:sz w:val="24"/>
          <w:szCs w:val="24"/>
        </w:rPr>
        <w:t xml:space="preserve">economically disadvantaged </w:t>
      </w:r>
      <w:r w:rsidR="00997A69" w:rsidRPr="00A0305C">
        <w:rPr>
          <w:sz w:val="24"/>
          <w:szCs w:val="24"/>
        </w:rPr>
        <w:t xml:space="preserve">students are making progress toward meeting State academic achievement standards in reading or language arts and mathematics.  Moreover, an LEA must hold schools accountable for the achievement of </w:t>
      </w:r>
      <w:r w:rsidR="00997A69">
        <w:rPr>
          <w:sz w:val="24"/>
          <w:szCs w:val="24"/>
        </w:rPr>
        <w:t xml:space="preserve">student </w:t>
      </w:r>
      <w:r w:rsidR="00997A69" w:rsidRPr="00A0305C">
        <w:rPr>
          <w:sz w:val="24"/>
          <w:szCs w:val="24"/>
        </w:rPr>
        <w:t>subgroups, whether under section 1116 of the ESEA or under ESEA flexibility for those States with an approved ESEA flexibility request.  To meet these requirements, an LEA must have school-level data on individual economically</w:t>
      </w:r>
      <w:r w:rsidR="00997A69">
        <w:rPr>
          <w:sz w:val="24"/>
          <w:szCs w:val="24"/>
        </w:rPr>
        <w:t xml:space="preserve"> </w:t>
      </w:r>
      <w:r w:rsidR="00997A69" w:rsidRPr="00A0305C">
        <w:rPr>
          <w:sz w:val="24"/>
          <w:szCs w:val="24"/>
        </w:rPr>
        <w:t xml:space="preserve">disadvantaged students.  For many LEAs, </w:t>
      </w:r>
      <w:r w:rsidR="00997A69">
        <w:rPr>
          <w:sz w:val="24"/>
          <w:szCs w:val="24"/>
        </w:rPr>
        <w:t>NSLP</w:t>
      </w:r>
      <w:r w:rsidR="00997A69" w:rsidRPr="00A0305C">
        <w:rPr>
          <w:sz w:val="24"/>
          <w:szCs w:val="24"/>
        </w:rPr>
        <w:t xml:space="preserve"> data are likely to be the best source to identify those students.             </w:t>
      </w:r>
    </w:p>
    <w:p w:rsidR="00997A69" w:rsidRPr="00A0305C" w:rsidRDefault="00997A69" w:rsidP="00AB0BCF">
      <w:pPr>
        <w:spacing w:after="0" w:line="240" w:lineRule="auto"/>
        <w:rPr>
          <w:sz w:val="24"/>
          <w:szCs w:val="24"/>
        </w:rPr>
      </w:pPr>
    </w:p>
    <w:p w:rsidR="00997A69" w:rsidRPr="00A0305C" w:rsidRDefault="00997A69" w:rsidP="00AB0BCF">
      <w:pPr>
        <w:spacing w:after="0" w:line="240" w:lineRule="auto"/>
        <w:rPr>
          <w:sz w:val="24"/>
          <w:szCs w:val="24"/>
        </w:rPr>
      </w:pPr>
      <w:r>
        <w:rPr>
          <w:sz w:val="24"/>
          <w:szCs w:val="24"/>
        </w:rPr>
        <w:t>Given these connections between NSLP data and Title I, t</w:t>
      </w:r>
      <w:r w:rsidRPr="00A0305C">
        <w:rPr>
          <w:sz w:val="24"/>
          <w:szCs w:val="24"/>
        </w:rPr>
        <w:t xml:space="preserve">he purpose of this guidance is to show how SEAs and LEAs can </w:t>
      </w:r>
      <w:r>
        <w:rPr>
          <w:sz w:val="24"/>
          <w:szCs w:val="24"/>
        </w:rPr>
        <w:t xml:space="preserve">successfully </w:t>
      </w:r>
      <w:r w:rsidRPr="00A0305C">
        <w:rPr>
          <w:sz w:val="24"/>
          <w:szCs w:val="24"/>
        </w:rPr>
        <w:t xml:space="preserve">implement Title I requirements </w:t>
      </w:r>
      <w:r>
        <w:rPr>
          <w:sz w:val="24"/>
          <w:szCs w:val="24"/>
        </w:rPr>
        <w:t>using</w:t>
      </w:r>
      <w:r w:rsidRPr="00A0305C">
        <w:rPr>
          <w:sz w:val="24"/>
          <w:szCs w:val="24"/>
        </w:rPr>
        <w:t xml:space="preserve"> </w:t>
      </w:r>
      <w:r>
        <w:rPr>
          <w:sz w:val="24"/>
          <w:szCs w:val="24"/>
        </w:rPr>
        <w:t>NSLP</w:t>
      </w:r>
      <w:r w:rsidRPr="00A0305C">
        <w:rPr>
          <w:sz w:val="24"/>
          <w:szCs w:val="24"/>
        </w:rPr>
        <w:t xml:space="preserve"> data that incorporate </w:t>
      </w:r>
      <w:r w:rsidR="003D7973">
        <w:rPr>
          <w:sz w:val="24"/>
          <w:szCs w:val="24"/>
        </w:rPr>
        <w:t>CEP</w:t>
      </w:r>
      <w:r>
        <w:rPr>
          <w:sz w:val="24"/>
          <w:szCs w:val="24"/>
        </w:rPr>
        <w:t xml:space="preserve">, just as they have prior to </w:t>
      </w:r>
      <w:r w:rsidR="003D7973">
        <w:rPr>
          <w:sz w:val="24"/>
          <w:szCs w:val="24"/>
        </w:rPr>
        <w:t>CEP</w:t>
      </w:r>
      <w:r>
        <w:rPr>
          <w:sz w:val="24"/>
          <w:szCs w:val="24"/>
        </w:rPr>
        <w:t>’s becoming part of the NSLP</w:t>
      </w:r>
      <w:r w:rsidRPr="00A0305C">
        <w:rPr>
          <w:sz w:val="24"/>
          <w:szCs w:val="24"/>
        </w:rPr>
        <w:t xml:space="preserve">.  </w:t>
      </w:r>
      <w:r w:rsidR="003D7973">
        <w:rPr>
          <w:sz w:val="24"/>
          <w:szCs w:val="24"/>
        </w:rPr>
        <w:t>CEP</w:t>
      </w:r>
      <w:r w:rsidRPr="00A0305C">
        <w:rPr>
          <w:sz w:val="24"/>
          <w:szCs w:val="24"/>
        </w:rPr>
        <w:t xml:space="preserve"> represents a means to both increase </w:t>
      </w:r>
      <w:r w:rsidR="00E42149">
        <w:rPr>
          <w:sz w:val="24"/>
          <w:szCs w:val="24"/>
        </w:rPr>
        <w:t>access to healthy meals</w:t>
      </w:r>
      <w:r w:rsidRPr="00A0305C">
        <w:rPr>
          <w:sz w:val="24"/>
          <w:szCs w:val="24"/>
        </w:rPr>
        <w:t xml:space="preserve"> and reduce burden</w:t>
      </w:r>
      <w:r>
        <w:rPr>
          <w:sz w:val="24"/>
          <w:szCs w:val="24"/>
        </w:rPr>
        <w:t xml:space="preserve"> at the LEA, school, and household levels.  This guidance ensures that SEAs and LEAs can take advantage of these twin purposes while still operating Title I programs effectively and efficiently</w:t>
      </w:r>
      <w:r w:rsidRPr="00A0305C">
        <w:rPr>
          <w:sz w:val="24"/>
          <w:szCs w:val="24"/>
        </w:rPr>
        <w:t xml:space="preserve">.  </w:t>
      </w:r>
      <w:r>
        <w:rPr>
          <w:sz w:val="24"/>
          <w:szCs w:val="24"/>
        </w:rPr>
        <w:t>To these ends, t</w:t>
      </w:r>
      <w:r w:rsidRPr="00A0305C">
        <w:rPr>
          <w:sz w:val="24"/>
          <w:szCs w:val="24"/>
        </w:rPr>
        <w:t xml:space="preserve">he </w:t>
      </w:r>
      <w:r>
        <w:rPr>
          <w:sz w:val="24"/>
          <w:szCs w:val="24"/>
        </w:rPr>
        <w:t>guidance</w:t>
      </w:r>
      <w:r w:rsidRPr="00A0305C">
        <w:rPr>
          <w:sz w:val="24"/>
          <w:szCs w:val="24"/>
        </w:rPr>
        <w:t xml:space="preserve"> cover</w:t>
      </w:r>
      <w:r>
        <w:rPr>
          <w:sz w:val="24"/>
          <w:szCs w:val="24"/>
        </w:rPr>
        <w:t>s w</w:t>
      </w:r>
      <w:r w:rsidRPr="00A0305C">
        <w:rPr>
          <w:sz w:val="24"/>
          <w:szCs w:val="24"/>
        </w:rPr>
        <w:t>ithin-district allocations</w:t>
      </w:r>
      <w:r>
        <w:rPr>
          <w:sz w:val="24"/>
          <w:szCs w:val="24"/>
        </w:rPr>
        <w:t>, e</w:t>
      </w:r>
      <w:r w:rsidRPr="00A0305C">
        <w:rPr>
          <w:sz w:val="24"/>
          <w:szCs w:val="24"/>
        </w:rPr>
        <w:t xml:space="preserve">quitable </w:t>
      </w:r>
      <w:r>
        <w:rPr>
          <w:sz w:val="24"/>
          <w:szCs w:val="24"/>
        </w:rPr>
        <w:t>s</w:t>
      </w:r>
      <w:r w:rsidRPr="00A0305C">
        <w:rPr>
          <w:sz w:val="24"/>
          <w:szCs w:val="24"/>
        </w:rPr>
        <w:t>ervices</w:t>
      </w:r>
      <w:r>
        <w:rPr>
          <w:sz w:val="24"/>
          <w:szCs w:val="24"/>
        </w:rPr>
        <w:t xml:space="preserve"> to eligible private school students, within-State allocations, and accountability</w:t>
      </w:r>
      <w:r w:rsidRPr="00A0305C">
        <w:rPr>
          <w:sz w:val="24"/>
          <w:szCs w:val="24"/>
        </w:rPr>
        <w:t>.</w:t>
      </w:r>
      <w:r>
        <w:rPr>
          <w:sz w:val="24"/>
          <w:szCs w:val="24"/>
        </w:rPr>
        <w:t xml:space="preserve">  This guidance on </w:t>
      </w:r>
      <w:r w:rsidR="003D7973">
        <w:rPr>
          <w:sz w:val="24"/>
          <w:szCs w:val="24"/>
        </w:rPr>
        <w:t>CEP</w:t>
      </w:r>
      <w:r>
        <w:rPr>
          <w:sz w:val="24"/>
          <w:szCs w:val="24"/>
        </w:rPr>
        <w:t xml:space="preserve"> and Title I is intended to be used in conjunction with existing ED guidance </w:t>
      </w:r>
      <w:r w:rsidR="00344B4C">
        <w:rPr>
          <w:sz w:val="24"/>
          <w:szCs w:val="24"/>
        </w:rPr>
        <w:t xml:space="preserve">documents </w:t>
      </w:r>
      <w:r>
        <w:rPr>
          <w:sz w:val="24"/>
          <w:szCs w:val="24"/>
        </w:rPr>
        <w:t>on within-district allocations, equitable services, and within-State allocations that are referenced in this document, and users are advised to refer to them as needed.</w:t>
      </w:r>
    </w:p>
    <w:p w:rsidR="00CD709E" w:rsidRDefault="00CD709E" w:rsidP="00AB0BCF">
      <w:pPr>
        <w:spacing w:after="0" w:line="240" w:lineRule="auto"/>
        <w:rPr>
          <w:sz w:val="24"/>
          <w:szCs w:val="24"/>
        </w:rPr>
      </w:pPr>
    </w:p>
    <w:p w:rsidR="00997A69" w:rsidRPr="00DF7C63" w:rsidRDefault="00997A69" w:rsidP="00AB0BCF">
      <w:pPr>
        <w:spacing w:after="0" w:line="240" w:lineRule="auto"/>
        <w:rPr>
          <w:sz w:val="24"/>
          <w:szCs w:val="24"/>
        </w:rPr>
      </w:pPr>
      <w:r w:rsidRPr="00DF7C63">
        <w:rPr>
          <w:sz w:val="24"/>
          <w:szCs w:val="24"/>
        </w:rPr>
        <w:t xml:space="preserve">ED will provide additional guidance as necessary.  If you are interested in commenting on this guidance, please send your comments to: </w:t>
      </w:r>
      <w:r>
        <w:rPr>
          <w:sz w:val="24"/>
          <w:szCs w:val="24"/>
        </w:rPr>
        <w:t xml:space="preserve"> </w:t>
      </w:r>
      <w:r w:rsidRPr="005057AF">
        <w:rPr>
          <w:sz w:val="24"/>
          <w:szCs w:val="24"/>
          <w:u w:val="single"/>
        </w:rPr>
        <w:t>OESEguidancedocument@ed.gov</w:t>
      </w:r>
      <w:r w:rsidRPr="00DF7C63">
        <w:rPr>
          <w:sz w:val="24"/>
          <w:szCs w:val="24"/>
        </w:rPr>
        <w:t>.</w:t>
      </w:r>
    </w:p>
    <w:p w:rsidR="00997A69" w:rsidRPr="00A0305C" w:rsidRDefault="00997A69" w:rsidP="00AB0BCF">
      <w:pPr>
        <w:spacing w:after="0" w:line="240" w:lineRule="auto"/>
        <w:rPr>
          <w:sz w:val="24"/>
          <w:szCs w:val="24"/>
        </w:rPr>
      </w:pPr>
    </w:p>
    <w:p w:rsidR="00997A69" w:rsidRPr="00A0305C" w:rsidRDefault="00997A69" w:rsidP="00AB0BCF">
      <w:pPr>
        <w:spacing w:after="0" w:line="240" w:lineRule="auto"/>
        <w:rPr>
          <w:iCs/>
          <w:sz w:val="24"/>
          <w:szCs w:val="24"/>
        </w:rPr>
      </w:pPr>
    </w:p>
    <w:p w:rsidR="00997A69" w:rsidRPr="00A0305C" w:rsidRDefault="00997A69" w:rsidP="00AB0BCF">
      <w:pPr>
        <w:spacing w:after="0" w:line="240" w:lineRule="auto"/>
        <w:rPr>
          <w:iCs/>
          <w:sz w:val="24"/>
          <w:szCs w:val="24"/>
        </w:rPr>
      </w:pPr>
      <w:r w:rsidRPr="00A0305C">
        <w:rPr>
          <w:iCs/>
          <w:sz w:val="24"/>
          <w:szCs w:val="24"/>
        </w:rPr>
        <w:br w:type="page"/>
      </w:r>
    </w:p>
    <w:p w:rsidR="00997A69" w:rsidRPr="00A0305C" w:rsidRDefault="00997A69" w:rsidP="00AF1377">
      <w:pPr>
        <w:pStyle w:val="Heading1"/>
        <w:numPr>
          <w:ilvl w:val="0"/>
          <w:numId w:val="0"/>
        </w:numPr>
        <w:rPr>
          <w:i/>
          <w:u w:val="single"/>
        </w:rPr>
      </w:pPr>
      <w:bookmarkStart w:id="83" w:name="_Toc414355035"/>
      <w:r>
        <w:rPr>
          <w:i/>
          <w:u w:val="single"/>
        </w:rPr>
        <w:t>Community Eligibility Provision Description</w:t>
      </w:r>
      <w:bookmarkEnd w:id="83"/>
    </w:p>
    <w:p w:rsidR="00997A69" w:rsidRPr="00A0305C" w:rsidRDefault="00997A69" w:rsidP="00AF1377">
      <w:pPr>
        <w:spacing w:after="0" w:line="240" w:lineRule="auto"/>
        <w:rPr>
          <w:iCs/>
          <w:sz w:val="24"/>
          <w:szCs w:val="24"/>
        </w:rPr>
      </w:pPr>
    </w:p>
    <w:p w:rsidR="00997A69" w:rsidRDefault="00997A69" w:rsidP="00AF1377">
      <w:pPr>
        <w:pStyle w:val="Heading2"/>
        <w:numPr>
          <w:ilvl w:val="0"/>
          <w:numId w:val="8"/>
        </w:numPr>
        <w:ind w:left="360"/>
      </w:pPr>
      <w:bookmarkStart w:id="84" w:name="_Toc414355036"/>
      <w:r>
        <w:t>What is the Community Eligibility Provision?</w:t>
      </w:r>
      <w:bookmarkEnd w:id="84"/>
    </w:p>
    <w:p w:rsidR="00997A69" w:rsidRDefault="00997A69" w:rsidP="00AF1377">
      <w:pPr>
        <w:spacing w:after="0" w:line="240" w:lineRule="auto"/>
        <w:rPr>
          <w:sz w:val="24"/>
          <w:szCs w:val="24"/>
        </w:rPr>
      </w:pPr>
    </w:p>
    <w:p w:rsidR="00997A69" w:rsidRPr="00724313" w:rsidRDefault="00997A69" w:rsidP="00183253">
      <w:pPr>
        <w:spacing w:after="0" w:line="240" w:lineRule="auto"/>
        <w:rPr>
          <w:sz w:val="24"/>
          <w:szCs w:val="24"/>
        </w:rPr>
      </w:pPr>
      <w:r w:rsidRPr="00724313">
        <w:rPr>
          <w:sz w:val="24"/>
          <w:szCs w:val="24"/>
        </w:rPr>
        <w:t>Section 104(a) of the Healthy, Hunger</w:t>
      </w:r>
      <w:r>
        <w:rPr>
          <w:sz w:val="24"/>
          <w:szCs w:val="24"/>
        </w:rPr>
        <w:t>-</w:t>
      </w:r>
      <w:r w:rsidRPr="00724313">
        <w:rPr>
          <w:sz w:val="24"/>
          <w:szCs w:val="24"/>
        </w:rPr>
        <w:t>Free Kids Act of 2010 (Act</w:t>
      </w:r>
      <w:r>
        <w:rPr>
          <w:sz w:val="24"/>
          <w:szCs w:val="24"/>
        </w:rPr>
        <w:t>)</w:t>
      </w:r>
      <w:r w:rsidRPr="00724313">
        <w:rPr>
          <w:sz w:val="24"/>
          <w:szCs w:val="24"/>
        </w:rPr>
        <w:t xml:space="preserve"> amended section 11(a)(1) of the Richard B. Russell National School Lunch Act to provide an alternative </w:t>
      </w:r>
      <w:r>
        <w:rPr>
          <w:sz w:val="24"/>
          <w:szCs w:val="24"/>
        </w:rPr>
        <w:t>that eliminates the need for</w:t>
      </w:r>
      <w:r w:rsidRPr="00724313">
        <w:rPr>
          <w:sz w:val="24"/>
          <w:szCs w:val="24"/>
        </w:rPr>
        <w:t xml:space="preserve"> household applications for free and </w:t>
      </w:r>
      <w:r>
        <w:rPr>
          <w:sz w:val="24"/>
          <w:szCs w:val="24"/>
        </w:rPr>
        <w:t>reduced-price meals</w:t>
      </w:r>
      <w:r w:rsidRPr="00724313">
        <w:rPr>
          <w:sz w:val="24"/>
          <w:szCs w:val="24"/>
        </w:rPr>
        <w:t xml:space="preserve"> in high</w:t>
      </w:r>
      <w:r>
        <w:rPr>
          <w:sz w:val="24"/>
          <w:szCs w:val="24"/>
        </w:rPr>
        <w:t>-</w:t>
      </w:r>
      <w:r w:rsidRPr="00724313">
        <w:rPr>
          <w:sz w:val="24"/>
          <w:szCs w:val="24"/>
        </w:rPr>
        <w:t xml:space="preserve">poverty LEAs and schools.  This alternative, which is now part of the </w:t>
      </w:r>
      <w:r>
        <w:rPr>
          <w:sz w:val="24"/>
          <w:szCs w:val="24"/>
        </w:rPr>
        <w:t>NSLP</w:t>
      </w:r>
      <w:r w:rsidR="00E42149">
        <w:rPr>
          <w:sz w:val="24"/>
          <w:szCs w:val="24"/>
        </w:rPr>
        <w:t xml:space="preserve"> and SBP</w:t>
      </w:r>
      <w:r w:rsidRPr="00724313">
        <w:rPr>
          <w:sz w:val="24"/>
          <w:szCs w:val="24"/>
        </w:rPr>
        <w:t xml:space="preserve">, is referred to as the Community Eligibility </w:t>
      </w:r>
      <w:r>
        <w:rPr>
          <w:sz w:val="24"/>
          <w:szCs w:val="24"/>
        </w:rPr>
        <w:t>Provision</w:t>
      </w:r>
      <w:r w:rsidRPr="00724313">
        <w:rPr>
          <w:sz w:val="24"/>
          <w:szCs w:val="24"/>
        </w:rPr>
        <w:t xml:space="preserve"> (</w:t>
      </w:r>
      <w:r w:rsidR="003D7973">
        <w:rPr>
          <w:sz w:val="24"/>
          <w:szCs w:val="24"/>
        </w:rPr>
        <w:t>CEP</w:t>
      </w:r>
      <w:r w:rsidRPr="00724313">
        <w:rPr>
          <w:sz w:val="24"/>
          <w:szCs w:val="24"/>
        </w:rPr>
        <w:t>).</w:t>
      </w:r>
    </w:p>
    <w:p w:rsidR="00997A69" w:rsidRPr="00724313" w:rsidRDefault="00997A69" w:rsidP="00183253">
      <w:pPr>
        <w:spacing w:after="0" w:line="240" w:lineRule="auto"/>
        <w:rPr>
          <w:sz w:val="24"/>
          <w:szCs w:val="24"/>
        </w:rPr>
      </w:pPr>
    </w:p>
    <w:p w:rsidR="00997A69" w:rsidRPr="00724313" w:rsidRDefault="00997A69" w:rsidP="00183253">
      <w:pPr>
        <w:spacing w:after="0" w:line="240" w:lineRule="auto"/>
        <w:rPr>
          <w:sz w:val="24"/>
          <w:szCs w:val="24"/>
        </w:rPr>
      </w:pPr>
      <w:r w:rsidRPr="00724313">
        <w:rPr>
          <w:sz w:val="24"/>
          <w:szCs w:val="24"/>
        </w:rPr>
        <w:t xml:space="preserve">To be eligible, LEAs and/or schools must meet a minimum level of “identified students” for free meals in the year prior to implementing </w:t>
      </w:r>
      <w:r w:rsidR="003D7973">
        <w:rPr>
          <w:sz w:val="24"/>
          <w:szCs w:val="24"/>
        </w:rPr>
        <w:t>CEP</w:t>
      </w:r>
      <w:r w:rsidRPr="00724313">
        <w:rPr>
          <w:sz w:val="24"/>
          <w:szCs w:val="24"/>
        </w:rPr>
        <w:t>; agree to serve free</w:t>
      </w:r>
      <w:r>
        <w:rPr>
          <w:sz w:val="24"/>
          <w:szCs w:val="24"/>
        </w:rPr>
        <w:t xml:space="preserve"> </w:t>
      </w:r>
      <w:r w:rsidRPr="00724313">
        <w:rPr>
          <w:sz w:val="24"/>
          <w:szCs w:val="24"/>
        </w:rPr>
        <w:t>breakfasts</w:t>
      </w:r>
      <w:r>
        <w:rPr>
          <w:sz w:val="24"/>
          <w:szCs w:val="24"/>
        </w:rPr>
        <w:t xml:space="preserve"> and</w:t>
      </w:r>
      <w:r w:rsidRPr="00724313">
        <w:rPr>
          <w:sz w:val="24"/>
          <w:szCs w:val="24"/>
        </w:rPr>
        <w:t xml:space="preserve"> lunches</w:t>
      </w:r>
      <w:r>
        <w:rPr>
          <w:sz w:val="24"/>
          <w:szCs w:val="24"/>
        </w:rPr>
        <w:t xml:space="preserve"> </w:t>
      </w:r>
      <w:r w:rsidRPr="00724313">
        <w:rPr>
          <w:sz w:val="24"/>
          <w:szCs w:val="24"/>
        </w:rPr>
        <w:t xml:space="preserve">to all students; and agree to cover with non-Federal funds any costs of providing free meals to students above </w:t>
      </w:r>
      <w:r>
        <w:rPr>
          <w:sz w:val="24"/>
          <w:szCs w:val="24"/>
        </w:rPr>
        <w:t xml:space="preserve">the </w:t>
      </w:r>
      <w:r w:rsidRPr="00724313">
        <w:rPr>
          <w:sz w:val="24"/>
          <w:szCs w:val="24"/>
        </w:rPr>
        <w:t xml:space="preserve">amounts provided by Federal assistance.  Reimbursement </w:t>
      </w:r>
      <w:r>
        <w:rPr>
          <w:sz w:val="24"/>
          <w:szCs w:val="24"/>
        </w:rPr>
        <w:t xml:space="preserve">for each LEA or school </w:t>
      </w:r>
      <w:r w:rsidRPr="00724313">
        <w:rPr>
          <w:sz w:val="24"/>
          <w:szCs w:val="24"/>
        </w:rPr>
        <w:t>is based on claiming percentages derived from the</w:t>
      </w:r>
      <w:r>
        <w:rPr>
          <w:sz w:val="24"/>
          <w:szCs w:val="24"/>
        </w:rPr>
        <w:t xml:space="preserve"> percentage of</w:t>
      </w:r>
      <w:r w:rsidRPr="00724313">
        <w:rPr>
          <w:sz w:val="24"/>
          <w:szCs w:val="24"/>
        </w:rPr>
        <w:t xml:space="preserve"> identi</w:t>
      </w:r>
      <w:r>
        <w:rPr>
          <w:sz w:val="24"/>
          <w:szCs w:val="24"/>
        </w:rPr>
        <w:t>fied student</w:t>
      </w:r>
      <w:r w:rsidRPr="00724313">
        <w:rPr>
          <w:sz w:val="24"/>
          <w:szCs w:val="24"/>
        </w:rPr>
        <w:t xml:space="preserve">s, </w:t>
      </w:r>
      <w:r>
        <w:rPr>
          <w:sz w:val="24"/>
          <w:szCs w:val="24"/>
        </w:rPr>
        <w:t>i.e.,</w:t>
      </w:r>
      <w:r w:rsidRPr="00724313">
        <w:rPr>
          <w:sz w:val="24"/>
          <w:szCs w:val="24"/>
        </w:rPr>
        <w:t xml:space="preserve"> students certified for free meals through means other than individual household applications.  The claiming percentages established in the first year for an LEA or school may be used for four school years and may be increased if the </w:t>
      </w:r>
      <w:r>
        <w:rPr>
          <w:sz w:val="24"/>
          <w:szCs w:val="24"/>
        </w:rPr>
        <w:t>percentage of identified student</w:t>
      </w:r>
      <w:r w:rsidRPr="00724313">
        <w:rPr>
          <w:sz w:val="24"/>
          <w:szCs w:val="24"/>
        </w:rPr>
        <w:t>s rise</w:t>
      </w:r>
      <w:r>
        <w:rPr>
          <w:sz w:val="24"/>
          <w:szCs w:val="24"/>
        </w:rPr>
        <w:t>s</w:t>
      </w:r>
      <w:r w:rsidRPr="00724313">
        <w:rPr>
          <w:sz w:val="24"/>
          <w:szCs w:val="24"/>
        </w:rPr>
        <w:t xml:space="preserve"> for the LEA or school. </w:t>
      </w:r>
    </w:p>
    <w:p w:rsidR="00997A69" w:rsidRPr="00374E71" w:rsidRDefault="00997A69" w:rsidP="00183253">
      <w:pPr>
        <w:spacing w:after="0" w:line="240" w:lineRule="auto"/>
        <w:rPr>
          <w:sz w:val="24"/>
          <w:szCs w:val="24"/>
        </w:rPr>
      </w:pPr>
      <w:r w:rsidRPr="00724313">
        <w:rPr>
          <w:sz w:val="24"/>
          <w:szCs w:val="24"/>
        </w:rPr>
        <w:t xml:space="preserve">   </w:t>
      </w:r>
    </w:p>
    <w:p w:rsidR="00997A69" w:rsidRDefault="00997A69" w:rsidP="00183253">
      <w:pPr>
        <w:pStyle w:val="Heading2"/>
        <w:numPr>
          <w:ilvl w:val="0"/>
          <w:numId w:val="8"/>
        </w:numPr>
        <w:ind w:left="360"/>
      </w:pPr>
      <w:bookmarkStart w:id="85" w:name="_Toc414355037"/>
      <w:r>
        <w:t>What does the term “identified students” mean?</w:t>
      </w:r>
      <w:bookmarkEnd w:id="85"/>
    </w:p>
    <w:p w:rsidR="00997A69" w:rsidRDefault="00997A69" w:rsidP="00183253">
      <w:pPr>
        <w:spacing w:after="0" w:line="240" w:lineRule="auto"/>
        <w:rPr>
          <w:sz w:val="24"/>
          <w:szCs w:val="24"/>
        </w:rPr>
      </w:pPr>
    </w:p>
    <w:p w:rsidR="00997A69" w:rsidRDefault="00997A69" w:rsidP="00D46302">
      <w:pPr>
        <w:spacing w:after="0" w:line="240" w:lineRule="auto"/>
        <w:rPr>
          <w:sz w:val="24"/>
          <w:szCs w:val="24"/>
        </w:rPr>
      </w:pPr>
      <w:r>
        <w:rPr>
          <w:sz w:val="24"/>
          <w:szCs w:val="24"/>
        </w:rPr>
        <w:t xml:space="preserve">“Identified students” are students approved as eligible for free meals who are not subject to verification (i.e., in </w:t>
      </w:r>
      <w:r w:rsidR="003D7973">
        <w:rPr>
          <w:sz w:val="24"/>
          <w:szCs w:val="24"/>
        </w:rPr>
        <w:t>CEP</w:t>
      </w:r>
      <w:r>
        <w:rPr>
          <w:sz w:val="24"/>
          <w:szCs w:val="24"/>
        </w:rPr>
        <w:t xml:space="preserve"> schools, “directly certified” children).  This definition includes students directly certified through SNAP, TANF, the Food Distribution Program on Indian Reservations</w:t>
      </w:r>
      <w:r w:rsidR="001F0E67">
        <w:rPr>
          <w:sz w:val="24"/>
          <w:szCs w:val="24"/>
        </w:rPr>
        <w:t xml:space="preserve"> or Medicaid (in States selected for a USDA pilot program)</w:t>
      </w:r>
      <w:r>
        <w:rPr>
          <w:sz w:val="24"/>
          <w:szCs w:val="24"/>
        </w:rPr>
        <w:t xml:space="preserve">; children experiencing homelessness </w:t>
      </w:r>
      <w:r w:rsidR="00E90335">
        <w:rPr>
          <w:sz w:val="24"/>
          <w:szCs w:val="24"/>
        </w:rPr>
        <w:t xml:space="preserve">and </w:t>
      </w:r>
      <w:r>
        <w:rPr>
          <w:sz w:val="24"/>
          <w:szCs w:val="24"/>
        </w:rPr>
        <w:t>on the local liaison’s list;</w:t>
      </w:r>
      <w:r>
        <w:rPr>
          <w:rStyle w:val="FootnoteReference"/>
          <w:sz w:val="24"/>
          <w:szCs w:val="24"/>
        </w:rPr>
        <w:footnoteReference w:id="4"/>
      </w:r>
      <w:r>
        <w:rPr>
          <w:sz w:val="24"/>
          <w:szCs w:val="24"/>
        </w:rPr>
        <w:t xml:space="preserve"> Head Start children; migrant youth; runaways; and non-applicants approved by local officials.  Foster children who are certified through means other than a household application and </w:t>
      </w:r>
      <w:r w:rsidR="007D5882" w:rsidRPr="007D5882">
        <w:rPr>
          <w:sz w:val="24"/>
          <w:szCs w:val="24"/>
        </w:rPr>
        <w:t>students who are certified for free meals based on a letter provided by SNAP to the household</w:t>
      </w:r>
      <w:r w:rsidR="001C1BB4">
        <w:rPr>
          <w:sz w:val="24"/>
          <w:szCs w:val="24"/>
        </w:rPr>
        <w:t xml:space="preserve"> are also included</w:t>
      </w:r>
      <w:r>
        <w:rPr>
          <w:sz w:val="24"/>
          <w:szCs w:val="24"/>
        </w:rPr>
        <w:t xml:space="preserve">. </w:t>
      </w:r>
    </w:p>
    <w:p w:rsidR="00997A69" w:rsidRDefault="00997A69" w:rsidP="00D46302">
      <w:pPr>
        <w:spacing w:after="0" w:line="240" w:lineRule="auto"/>
        <w:rPr>
          <w:sz w:val="24"/>
          <w:szCs w:val="24"/>
        </w:rPr>
      </w:pPr>
    </w:p>
    <w:p w:rsidR="00997A69" w:rsidRDefault="00997A69" w:rsidP="00D46302">
      <w:pPr>
        <w:spacing w:after="0" w:line="240" w:lineRule="auto"/>
        <w:rPr>
          <w:sz w:val="24"/>
          <w:szCs w:val="24"/>
        </w:rPr>
      </w:pPr>
      <w:r>
        <w:rPr>
          <w:sz w:val="24"/>
          <w:szCs w:val="24"/>
        </w:rPr>
        <w:t xml:space="preserve">The </w:t>
      </w:r>
      <w:r w:rsidRPr="003B15F0">
        <w:rPr>
          <w:sz w:val="24"/>
          <w:szCs w:val="24"/>
        </w:rPr>
        <w:t>practice of directly certifying students is not new to the</w:t>
      </w:r>
      <w:r w:rsidR="002E7DFD">
        <w:rPr>
          <w:sz w:val="24"/>
          <w:szCs w:val="24"/>
        </w:rPr>
        <w:t xml:space="preserve"> school meal programs</w:t>
      </w:r>
      <w:r>
        <w:rPr>
          <w:sz w:val="24"/>
          <w:szCs w:val="24"/>
        </w:rPr>
        <w:t xml:space="preserve">, as direct certification data previously have been used in conjunction with household applications to </w:t>
      </w:r>
      <w:r w:rsidR="001C1BB4">
        <w:rPr>
          <w:sz w:val="24"/>
          <w:szCs w:val="24"/>
        </w:rPr>
        <w:t xml:space="preserve">determine </w:t>
      </w:r>
      <w:r w:rsidR="00404F79">
        <w:rPr>
          <w:sz w:val="24"/>
          <w:szCs w:val="24"/>
        </w:rPr>
        <w:t>the amount of Federal reimbursement a school receives</w:t>
      </w:r>
      <w:r>
        <w:rPr>
          <w:sz w:val="24"/>
          <w:szCs w:val="24"/>
        </w:rPr>
        <w:t xml:space="preserve">.  Under </w:t>
      </w:r>
      <w:r w:rsidR="003D7973">
        <w:rPr>
          <w:sz w:val="24"/>
          <w:szCs w:val="24"/>
        </w:rPr>
        <w:t>CEP</w:t>
      </w:r>
      <w:r>
        <w:rPr>
          <w:sz w:val="24"/>
          <w:szCs w:val="24"/>
        </w:rPr>
        <w:t>, however, a</w:t>
      </w:r>
      <w:r w:rsidRPr="003B15F0">
        <w:rPr>
          <w:sz w:val="24"/>
          <w:szCs w:val="24"/>
        </w:rPr>
        <w:t xml:space="preserve"> primary difference is that a </w:t>
      </w:r>
      <w:r w:rsidR="003D7973">
        <w:rPr>
          <w:sz w:val="24"/>
          <w:szCs w:val="24"/>
        </w:rPr>
        <w:t>CEP</w:t>
      </w:r>
      <w:r w:rsidRPr="003B15F0">
        <w:rPr>
          <w:sz w:val="24"/>
          <w:szCs w:val="24"/>
        </w:rPr>
        <w:t xml:space="preserve"> school uses </w:t>
      </w:r>
      <w:r>
        <w:rPr>
          <w:sz w:val="24"/>
          <w:szCs w:val="24"/>
        </w:rPr>
        <w:t xml:space="preserve">only </w:t>
      </w:r>
      <w:r w:rsidR="001C1BB4">
        <w:rPr>
          <w:sz w:val="24"/>
          <w:szCs w:val="24"/>
        </w:rPr>
        <w:t xml:space="preserve">direct certification </w:t>
      </w:r>
      <w:r w:rsidR="00347A77">
        <w:rPr>
          <w:sz w:val="24"/>
          <w:szCs w:val="24"/>
        </w:rPr>
        <w:t xml:space="preserve">data on </w:t>
      </w:r>
      <w:r w:rsidRPr="003B15F0">
        <w:rPr>
          <w:sz w:val="24"/>
          <w:szCs w:val="24"/>
        </w:rPr>
        <w:t>identified students and no longer collects any household</w:t>
      </w:r>
      <w:r>
        <w:rPr>
          <w:sz w:val="24"/>
          <w:szCs w:val="24"/>
        </w:rPr>
        <w:t xml:space="preserve"> applications to determine </w:t>
      </w:r>
      <w:r w:rsidR="00347A77">
        <w:rPr>
          <w:sz w:val="24"/>
          <w:szCs w:val="24"/>
        </w:rPr>
        <w:t>the amount of Federal reimbursement</w:t>
      </w:r>
      <w:r w:rsidRPr="003B15F0">
        <w:rPr>
          <w:sz w:val="24"/>
          <w:szCs w:val="24"/>
        </w:rPr>
        <w:t>.</w:t>
      </w:r>
    </w:p>
    <w:p w:rsidR="00997A69" w:rsidRDefault="00997A69" w:rsidP="00D46302">
      <w:pPr>
        <w:spacing w:after="0" w:line="240" w:lineRule="auto"/>
        <w:rPr>
          <w:sz w:val="24"/>
          <w:szCs w:val="24"/>
        </w:rPr>
      </w:pPr>
    </w:p>
    <w:p w:rsidR="00997A69" w:rsidRDefault="00997A69" w:rsidP="00D46302">
      <w:pPr>
        <w:spacing w:after="0" w:line="240" w:lineRule="auto"/>
        <w:rPr>
          <w:sz w:val="24"/>
          <w:szCs w:val="24"/>
        </w:rPr>
      </w:pPr>
      <w:r>
        <w:rPr>
          <w:sz w:val="24"/>
          <w:szCs w:val="24"/>
        </w:rPr>
        <w:t xml:space="preserve">For Title I purposes, the relevant </w:t>
      </w:r>
      <w:r w:rsidR="003D7973">
        <w:rPr>
          <w:sz w:val="24"/>
          <w:szCs w:val="24"/>
        </w:rPr>
        <w:t>CEP</w:t>
      </w:r>
      <w:r>
        <w:rPr>
          <w:sz w:val="24"/>
          <w:szCs w:val="24"/>
        </w:rPr>
        <w:t xml:space="preserve"> </w:t>
      </w:r>
      <w:r w:rsidR="001C1BB4">
        <w:rPr>
          <w:sz w:val="24"/>
          <w:szCs w:val="24"/>
        </w:rPr>
        <w:t xml:space="preserve">percentage of </w:t>
      </w:r>
      <w:r w:rsidR="001B54BA">
        <w:rPr>
          <w:sz w:val="24"/>
          <w:szCs w:val="24"/>
        </w:rPr>
        <w:t>identified student</w:t>
      </w:r>
      <w:r w:rsidR="001C1BB4">
        <w:rPr>
          <w:sz w:val="24"/>
          <w:szCs w:val="24"/>
        </w:rPr>
        <w:t>s</w:t>
      </w:r>
      <w:r w:rsidR="001B54BA">
        <w:rPr>
          <w:sz w:val="24"/>
          <w:szCs w:val="24"/>
        </w:rPr>
        <w:t xml:space="preserve"> </w:t>
      </w:r>
      <w:r>
        <w:rPr>
          <w:sz w:val="24"/>
          <w:szCs w:val="24"/>
        </w:rPr>
        <w:t>and direct certification data combined with household applications in non-</w:t>
      </w:r>
      <w:r w:rsidR="003D7973">
        <w:rPr>
          <w:sz w:val="24"/>
          <w:szCs w:val="24"/>
        </w:rPr>
        <w:t>CEP</w:t>
      </w:r>
      <w:r>
        <w:rPr>
          <w:sz w:val="24"/>
          <w:szCs w:val="24"/>
        </w:rPr>
        <w:t xml:space="preserve"> schools are all considered NSLP data under the </w:t>
      </w:r>
      <w:r w:rsidRPr="00724313">
        <w:rPr>
          <w:sz w:val="24"/>
          <w:szCs w:val="24"/>
        </w:rPr>
        <w:t>Richard B. Russell National School Lunch Act</w:t>
      </w:r>
      <w:r>
        <w:rPr>
          <w:sz w:val="24"/>
          <w:szCs w:val="24"/>
        </w:rPr>
        <w:t xml:space="preserve">.  That is, these forms of NSLP data </w:t>
      </w:r>
      <w:r>
        <w:rPr>
          <w:sz w:val="24"/>
          <w:szCs w:val="24"/>
        </w:rPr>
        <w:lastRenderedPageBreak/>
        <w:t xml:space="preserve">qualify as eligible poverty data for Title I purposes under </w:t>
      </w:r>
      <w:r w:rsidRPr="003C35D8">
        <w:rPr>
          <w:sz w:val="24"/>
          <w:szCs w:val="24"/>
        </w:rPr>
        <w:t>section 1113(a)(5) of the ESEA</w:t>
      </w:r>
      <w:r>
        <w:rPr>
          <w:sz w:val="24"/>
          <w:szCs w:val="24"/>
        </w:rPr>
        <w:t>, which</w:t>
      </w:r>
      <w:r w:rsidRPr="003C35D8">
        <w:rPr>
          <w:sz w:val="24"/>
          <w:szCs w:val="24"/>
        </w:rPr>
        <w:t xml:space="preserve"> </w:t>
      </w:r>
      <w:r>
        <w:rPr>
          <w:sz w:val="24"/>
          <w:szCs w:val="24"/>
        </w:rPr>
        <w:t xml:space="preserve">lists the poverty measures that an LEA may use for Title I within-district allocations. </w:t>
      </w:r>
    </w:p>
    <w:p w:rsidR="00997A69" w:rsidRPr="00D402FD" w:rsidRDefault="00997A69" w:rsidP="00D402FD">
      <w:pPr>
        <w:spacing w:after="0" w:line="240" w:lineRule="auto"/>
      </w:pPr>
    </w:p>
    <w:p w:rsidR="00997A69" w:rsidRDefault="00997A69" w:rsidP="00EC7CE0">
      <w:pPr>
        <w:pStyle w:val="Heading2"/>
        <w:numPr>
          <w:ilvl w:val="0"/>
          <w:numId w:val="8"/>
        </w:numPr>
        <w:ind w:left="360"/>
      </w:pPr>
      <w:bookmarkStart w:id="86" w:name="_Toc414355038"/>
      <w:r>
        <w:t xml:space="preserve">What is the eligibility threshold for participation in </w:t>
      </w:r>
      <w:r w:rsidR="003D7973">
        <w:t>CEP</w:t>
      </w:r>
      <w:r>
        <w:t>?</w:t>
      </w:r>
      <w:bookmarkEnd w:id="86"/>
    </w:p>
    <w:p w:rsidR="00997A69" w:rsidRDefault="00997A69" w:rsidP="00EC7CE0">
      <w:pPr>
        <w:spacing w:after="0" w:line="240" w:lineRule="auto"/>
        <w:rPr>
          <w:sz w:val="24"/>
          <w:szCs w:val="24"/>
        </w:rPr>
      </w:pPr>
    </w:p>
    <w:p w:rsidR="00997A69" w:rsidRDefault="00997A69" w:rsidP="00EC7CE0">
      <w:pPr>
        <w:spacing w:after="0" w:line="240" w:lineRule="auto"/>
        <w:rPr>
          <w:sz w:val="24"/>
          <w:szCs w:val="24"/>
        </w:rPr>
      </w:pPr>
      <w:r>
        <w:rPr>
          <w:sz w:val="24"/>
          <w:szCs w:val="24"/>
        </w:rPr>
        <w:t>Eligibility is determined for an entire LEA, a group of schools within an LEA, or a single school within an LEA</w:t>
      </w:r>
      <w:r w:rsidR="004A01B3">
        <w:rPr>
          <w:sz w:val="24"/>
          <w:szCs w:val="24"/>
        </w:rPr>
        <w:t>,</w:t>
      </w:r>
      <w:r w:rsidR="004A01B3" w:rsidRPr="004A01B3">
        <w:rPr>
          <w:sz w:val="24"/>
          <w:szCs w:val="24"/>
        </w:rPr>
        <w:t xml:space="preserve"> </w:t>
      </w:r>
      <w:r w:rsidR="004A01B3">
        <w:rPr>
          <w:sz w:val="24"/>
          <w:szCs w:val="24"/>
        </w:rPr>
        <w:t>whichever is electing Community Eligibility</w:t>
      </w:r>
      <w:r>
        <w:rPr>
          <w:sz w:val="24"/>
          <w:szCs w:val="24"/>
        </w:rPr>
        <w:t xml:space="preserve">.  To be eligible to participate in </w:t>
      </w:r>
      <w:r w:rsidR="003D7973">
        <w:rPr>
          <w:sz w:val="24"/>
          <w:szCs w:val="24"/>
        </w:rPr>
        <w:t>CEP</w:t>
      </w:r>
      <w:r>
        <w:rPr>
          <w:sz w:val="24"/>
          <w:szCs w:val="24"/>
        </w:rPr>
        <w:t xml:space="preserve">, the percentage of identified students must be at least 40 percent of enrollment.  An LEA may have some schools that participate in </w:t>
      </w:r>
      <w:r w:rsidR="003D7973">
        <w:rPr>
          <w:sz w:val="24"/>
          <w:szCs w:val="24"/>
        </w:rPr>
        <w:t>CEP</w:t>
      </w:r>
      <w:r>
        <w:rPr>
          <w:sz w:val="24"/>
          <w:szCs w:val="24"/>
        </w:rPr>
        <w:t xml:space="preserve"> and others that do not.</w:t>
      </w:r>
    </w:p>
    <w:p w:rsidR="00997A69" w:rsidRPr="00EC7CE0" w:rsidRDefault="00997A69" w:rsidP="00EC7CE0">
      <w:pPr>
        <w:spacing w:after="0" w:line="240" w:lineRule="auto"/>
        <w:rPr>
          <w:sz w:val="24"/>
          <w:szCs w:val="24"/>
        </w:rPr>
      </w:pPr>
    </w:p>
    <w:p w:rsidR="00997A69" w:rsidRDefault="00997A69" w:rsidP="0094542D">
      <w:pPr>
        <w:pStyle w:val="Heading2"/>
        <w:numPr>
          <w:ilvl w:val="0"/>
          <w:numId w:val="8"/>
        </w:numPr>
        <w:ind w:left="360"/>
      </w:pPr>
      <w:bookmarkStart w:id="87" w:name="_Toc414355039"/>
      <w:r>
        <w:t xml:space="preserve">How is the percentage of identified students calculated for </w:t>
      </w:r>
      <w:r w:rsidR="003D7973">
        <w:t>CEP</w:t>
      </w:r>
      <w:r>
        <w:t>?</w:t>
      </w:r>
      <w:bookmarkEnd w:id="87"/>
    </w:p>
    <w:p w:rsidR="00997A69" w:rsidRDefault="00997A69" w:rsidP="0094542D">
      <w:pPr>
        <w:spacing w:after="0" w:line="240" w:lineRule="auto"/>
        <w:rPr>
          <w:sz w:val="24"/>
          <w:szCs w:val="24"/>
        </w:rPr>
      </w:pPr>
    </w:p>
    <w:p w:rsidR="00997A69" w:rsidRDefault="00997A69" w:rsidP="0094542D">
      <w:pPr>
        <w:spacing w:after="0" w:line="240" w:lineRule="auto"/>
        <w:rPr>
          <w:sz w:val="24"/>
          <w:szCs w:val="24"/>
        </w:rPr>
      </w:pPr>
      <w:r>
        <w:rPr>
          <w:sz w:val="24"/>
          <w:szCs w:val="24"/>
        </w:rPr>
        <w:t xml:space="preserve">The percentage of identified students is calculated by dividing the number of identified students by the student enrollment as of April 1 of the previous school year.    </w:t>
      </w:r>
    </w:p>
    <w:p w:rsidR="00997A69" w:rsidRDefault="00997A69" w:rsidP="0094542D">
      <w:pPr>
        <w:spacing w:after="0" w:line="240" w:lineRule="auto"/>
        <w:rPr>
          <w:sz w:val="24"/>
          <w:szCs w:val="24"/>
        </w:rPr>
      </w:pPr>
    </w:p>
    <w:p w:rsidR="00997A69" w:rsidRDefault="00997A69" w:rsidP="00EC0361">
      <w:pPr>
        <w:pStyle w:val="Heading2"/>
        <w:numPr>
          <w:ilvl w:val="0"/>
          <w:numId w:val="8"/>
        </w:numPr>
        <w:ind w:left="360"/>
      </w:pPr>
      <w:bookmarkStart w:id="88" w:name="_Toc414355040"/>
      <w:r>
        <w:t xml:space="preserve">How are school meals reimbursed through </w:t>
      </w:r>
      <w:r w:rsidR="003D7973">
        <w:t>CEP</w:t>
      </w:r>
      <w:r>
        <w:t>?</w:t>
      </w:r>
      <w:bookmarkEnd w:id="88"/>
    </w:p>
    <w:p w:rsidR="00997A69" w:rsidRDefault="00997A69" w:rsidP="00EC0361">
      <w:pPr>
        <w:spacing w:after="0" w:line="240" w:lineRule="auto"/>
        <w:rPr>
          <w:sz w:val="24"/>
          <w:szCs w:val="24"/>
        </w:rPr>
      </w:pPr>
    </w:p>
    <w:p w:rsidR="00997A69" w:rsidRPr="003F6C4D" w:rsidRDefault="00997A69" w:rsidP="00467E0F">
      <w:pPr>
        <w:spacing w:after="0" w:line="240" w:lineRule="auto"/>
        <w:rPr>
          <w:sz w:val="24"/>
          <w:szCs w:val="24"/>
        </w:rPr>
      </w:pPr>
      <w:r>
        <w:rPr>
          <w:sz w:val="24"/>
          <w:szCs w:val="24"/>
        </w:rPr>
        <w:t>The percentage of identified students is multiplied by the 1.6 multiplier.  This percentage is then applied to the total school breakfast and lunch counts to determine USDA reimbursement rates.</w:t>
      </w:r>
      <w:r w:rsidR="008B650E">
        <w:rPr>
          <w:sz w:val="24"/>
          <w:szCs w:val="24"/>
        </w:rPr>
        <w:t xml:space="preserve">  The product of the identified student percentage and the 1.6 multiplier is the percentage of meals served that will be reimbursed at the Federal “free” rate; any remaining percentage will be reimbursed at the Federal “paid” rate.</w:t>
      </w:r>
      <w:r>
        <w:rPr>
          <w:sz w:val="24"/>
          <w:szCs w:val="24"/>
        </w:rPr>
        <w:t xml:space="preserve">  For example, if the percentage of identified students in a school is 62.5 percent (or more), the school’s reimbursement rate would be 100 percent (62.5 percent x 1.6 multiplier = 100 percent), and it would be reimbursed at the Federal “free” rate for each breakfast and lunch served.  Similarly, a school with 56.3 percent identified students would be reimbursed for 90 percent (56.3 percent x 1.6 multiplier = 90 percent) of the breakfasts and lunches served at the Federal “free” reimbursement rate; the remaining 10 percent would be reimbursed at the Federal “paid” reimbursement rate.</w:t>
      </w:r>
      <w:r>
        <w:rPr>
          <w:rStyle w:val="FootnoteReference"/>
          <w:sz w:val="24"/>
          <w:szCs w:val="24"/>
        </w:rPr>
        <w:footnoteReference w:id="5"/>
      </w:r>
    </w:p>
    <w:p w:rsidR="00997A69" w:rsidRDefault="00997A69" w:rsidP="00EC0361">
      <w:pPr>
        <w:spacing w:after="0" w:line="240" w:lineRule="auto"/>
        <w:rPr>
          <w:sz w:val="24"/>
          <w:szCs w:val="24"/>
        </w:rPr>
      </w:pPr>
      <w:r>
        <w:rPr>
          <w:sz w:val="24"/>
          <w:szCs w:val="24"/>
        </w:rPr>
        <w:t xml:space="preserve">        </w:t>
      </w:r>
    </w:p>
    <w:p w:rsidR="00997A69" w:rsidRDefault="00997A69" w:rsidP="00791A29">
      <w:pPr>
        <w:pStyle w:val="Heading2"/>
        <w:numPr>
          <w:ilvl w:val="0"/>
          <w:numId w:val="8"/>
        </w:numPr>
        <w:ind w:left="360"/>
      </w:pPr>
      <w:bookmarkStart w:id="89" w:name="_Toc414355041"/>
      <w:r>
        <w:t>What is the function of the 1.6 multiplier?</w:t>
      </w:r>
      <w:bookmarkEnd w:id="89"/>
    </w:p>
    <w:p w:rsidR="00997A69" w:rsidRDefault="00997A69" w:rsidP="00791A29">
      <w:pPr>
        <w:spacing w:after="0" w:line="240" w:lineRule="auto"/>
        <w:rPr>
          <w:sz w:val="24"/>
          <w:szCs w:val="24"/>
        </w:rPr>
      </w:pPr>
    </w:p>
    <w:p w:rsidR="00997A69" w:rsidRDefault="00DB0459" w:rsidP="00791A29">
      <w:pPr>
        <w:spacing w:after="0" w:line="240" w:lineRule="auto"/>
        <w:rPr>
          <w:rFonts w:cs="Calibri"/>
          <w:color w:val="000000"/>
          <w:sz w:val="24"/>
          <w:szCs w:val="24"/>
        </w:rPr>
      </w:pPr>
      <w:r w:rsidRPr="00825C14">
        <w:rPr>
          <w:rFonts w:cs="Calibri"/>
          <w:color w:val="000000"/>
          <w:sz w:val="24"/>
          <w:szCs w:val="24"/>
        </w:rPr>
        <w:t xml:space="preserve">The function of the 1.6 multiplier is to provide an estimate of the percentage of students eligible for free and reduced-price meals in participating </w:t>
      </w:r>
      <w:r>
        <w:rPr>
          <w:sz w:val="24"/>
          <w:szCs w:val="24"/>
        </w:rPr>
        <w:t>CEP</w:t>
      </w:r>
      <w:r w:rsidRPr="00825C14">
        <w:rPr>
          <w:rFonts w:cs="Calibri"/>
          <w:color w:val="000000"/>
          <w:sz w:val="24"/>
          <w:szCs w:val="24"/>
        </w:rPr>
        <w:t xml:space="preserve"> schools, groups of schools, or LEAs that is comparable to the poverty percentage that would be obtained in a non-</w:t>
      </w:r>
      <w:r>
        <w:rPr>
          <w:sz w:val="24"/>
          <w:szCs w:val="24"/>
        </w:rPr>
        <w:t>CEP</w:t>
      </w:r>
      <w:r w:rsidRPr="00825C14">
        <w:rPr>
          <w:rFonts w:cs="Calibri"/>
          <w:color w:val="000000"/>
          <w:sz w:val="24"/>
          <w:szCs w:val="24"/>
        </w:rPr>
        <w:t xml:space="preserve"> school.  The number of students directly certified is a subset of the total</w:t>
      </w:r>
      <w:r>
        <w:rPr>
          <w:rFonts w:cs="Calibri"/>
          <w:color w:val="000000"/>
          <w:sz w:val="24"/>
          <w:szCs w:val="24"/>
        </w:rPr>
        <w:t xml:space="preserve"> number of</w:t>
      </w:r>
      <w:r w:rsidRPr="00825C14">
        <w:rPr>
          <w:rFonts w:cs="Calibri"/>
          <w:color w:val="000000"/>
          <w:sz w:val="24"/>
          <w:szCs w:val="24"/>
        </w:rPr>
        <w:t xml:space="preserve"> students</w:t>
      </w:r>
      <w:r>
        <w:rPr>
          <w:rFonts w:cs="Calibri"/>
          <w:color w:val="000000"/>
          <w:sz w:val="24"/>
          <w:szCs w:val="24"/>
        </w:rPr>
        <w:t xml:space="preserve"> eligible for free and reduced-price meals</w:t>
      </w:r>
      <w:r w:rsidRPr="00825C14">
        <w:rPr>
          <w:rFonts w:cs="Calibri"/>
          <w:color w:val="000000"/>
          <w:sz w:val="24"/>
          <w:szCs w:val="24"/>
        </w:rPr>
        <w:t xml:space="preserve">.  Using only the number of </w:t>
      </w:r>
      <w:r>
        <w:rPr>
          <w:rFonts w:cs="Calibri"/>
          <w:color w:val="000000"/>
          <w:sz w:val="24"/>
          <w:szCs w:val="24"/>
        </w:rPr>
        <w:t>identified</w:t>
      </w:r>
      <w:r w:rsidRPr="00825C14">
        <w:rPr>
          <w:rFonts w:cs="Calibri"/>
          <w:color w:val="000000"/>
          <w:sz w:val="24"/>
          <w:szCs w:val="24"/>
        </w:rPr>
        <w:t xml:space="preserve"> students would result in lower poverty percentages for </w:t>
      </w:r>
      <w:r>
        <w:rPr>
          <w:sz w:val="24"/>
          <w:szCs w:val="24"/>
        </w:rPr>
        <w:t>CEP</w:t>
      </w:r>
      <w:r w:rsidRPr="00825C14">
        <w:rPr>
          <w:rFonts w:cs="Calibri"/>
          <w:color w:val="000000"/>
          <w:sz w:val="24"/>
          <w:szCs w:val="24"/>
        </w:rPr>
        <w:t xml:space="preserve"> schools or LEAs.</w:t>
      </w:r>
    </w:p>
    <w:p w:rsidR="00DB0459" w:rsidRDefault="00DB0459" w:rsidP="00791A29">
      <w:pPr>
        <w:spacing w:after="0" w:line="240" w:lineRule="auto"/>
        <w:rPr>
          <w:sz w:val="24"/>
          <w:szCs w:val="24"/>
        </w:rPr>
      </w:pPr>
    </w:p>
    <w:p w:rsidR="00997A69" w:rsidRDefault="00997A69" w:rsidP="00E40E7D">
      <w:pPr>
        <w:pStyle w:val="Heading2"/>
        <w:numPr>
          <w:ilvl w:val="0"/>
          <w:numId w:val="8"/>
        </w:numPr>
        <w:ind w:left="360"/>
      </w:pPr>
      <w:bookmarkStart w:id="90" w:name="_Toc414355042"/>
      <w:r>
        <w:t>Will the 1.6 multiplier change?</w:t>
      </w:r>
      <w:bookmarkEnd w:id="90"/>
    </w:p>
    <w:p w:rsidR="00997A69" w:rsidRDefault="00997A69" w:rsidP="00E40E7D">
      <w:pPr>
        <w:spacing w:after="0" w:line="240" w:lineRule="auto"/>
        <w:rPr>
          <w:sz w:val="24"/>
          <w:szCs w:val="24"/>
        </w:rPr>
      </w:pPr>
    </w:p>
    <w:p w:rsidR="00997A69" w:rsidRDefault="00997A69" w:rsidP="0094542D">
      <w:pPr>
        <w:spacing w:after="0" w:line="240" w:lineRule="auto"/>
        <w:rPr>
          <w:sz w:val="24"/>
          <w:szCs w:val="24"/>
        </w:rPr>
      </w:pPr>
      <w:r>
        <w:rPr>
          <w:sz w:val="24"/>
          <w:szCs w:val="24"/>
        </w:rPr>
        <w:t xml:space="preserve">USDA has the authority to change the multiplier to a number between 1.3 and 1.6.  </w:t>
      </w:r>
      <w:r w:rsidRPr="002B66F7">
        <w:rPr>
          <w:sz w:val="24"/>
          <w:szCs w:val="24"/>
        </w:rPr>
        <w:t>Any change to the multiplier would be communicated by USDA well in advance</w:t>
      </w:r>
      <w:r>
        <w:rPr>
          <w:sz w:val="24"/>
          <w:szCs w:val="24"/>
        </w:rPr>
        <w:t xml:space="preserve"> </w:t>
      </w:r>
      <w:r w:rsidRPr="00BD2836">
        <w:rPr>
          <w:sz w:val="24"/>
          <w:szCs w:val="24"/>
        </w:rPr>
        <w:t>of the effective date of the change</w:t>
      </w:r>
      <w:r w:rsidRPr="002B66F7">
        <w:rPr>
          <w:sz w:val="24"/>
          <w:szCs w:val="24"/>
        </w:rPr>
        <w:t>.</w:t>
      </w:r>
      <w:r>
        <w:rPr>
          <w:sz w:val="24"/>
          <w:szCs w:val="24"/>
        </w:rPr>
        <w:t xml:space="preserve">  Schools and LEAs that elect </w:t>
      </w:r>
      <w:r w:rsidR="003D7973">
        <w:rPr>
          <w:sz w:val="24"/>
          <w:szCs w:val="24"/>
        </w:rPr>
        <w:t>CEP</w:t>
      </w:r>
      <w:r>
        <w:rPr>
          <w:sz w:val="24"/>
          <w:szCs w:val="24"/>
        </w:rPr>
        <w:t xml:space="preserve"> keep the same multiplier throughout the four-year </w:t>
      </w:r>
      <w:r w:rsidR="003D7973">
        <w:rPr>
          <w:sz w:val="24"/>
          <w:szCs w:val="24"/>
        </w:rPr>
        <w:t>CEP</w:t>
      </w:r>
      <w:r>
        <w:rPr>
          <w:sz w:val="24"/>
          <w:szCs w:val="24"/>
        </w:rPr>
        <w:t xml:space="preserve"> cycle.  </w:t>
      </w:r>
    </w:p>
    <w:p w:rsidR="00997A69" w:rsidRDefault="00997A69" w:rsidP="0094542D">
      <w:pPr>
        <w:spacing w:after="0" w:line="240" w:lineRule="auto"/>
        <w:rPr>
          <w:sz w:val="24"/>
          <w:szCs w:val="24"/>
        </w:rPr>
      </w:pPr>
    </w:p>
    <w:p w:rsidR="00997A69" w:rsidRDefault="00997A69" w:rsidP="00F43BA0">
      <w:pPr>
        <w:pStyle w:val="Heading2"/>
        <w:numPr>
          <w:ilvl w:val="0"/>
          <w:numId w:val="8"/>
        </w:numPr>
        <w:ind w:left="360"/>
      </w:pPr>
      <w:bookmarkStart w:id="91" w:name="_Toc414355043"/>
      <w:r>
        <w:t xml:space="preserve">May a private school that participates in the NSLP or School Breakfast Program elect </w:t>
      </w:r>
      <w:r w:rsidR="003D7973">
        <w:t>CEP</w:t>
      </w:r>
      <w:r>
        <w:t>?</w:t>
      </w:r>
      <w:bookmarkEnd w:id="91"/>
    </w:p>
    <w:p w:rsidR="00997A69" w:rsidRDefault="00997A69" w:rsidP="00F43BA0">
      <w:pPr>
        <w:spacing w:after="0" w:line="240" w:lineRule="auto"/>
        <w:rPr>
          <w:sz w:val="24"/>
          <w:szCs w:val="24"/>
        </w:rPr>
      </w:pPr>
    </w:p>
    <w:p w:rsidR="00997A69" w:rsidRDefault="00997A69" w:rsidP="00F43BA0">
      <w:pPr>
        <w:spacing w:after="0" w:line="240" w:lineRule="auto"/>
        <w:rPr>
          <w:sz w:val="24"/>
          <w:szCs w:val="24"/>
        </w:rPr>
      </w:pPr>
      <w:r>
        <w:rPr>
          <w:sz w:val="24"/>
          <w:szCs w:val="24"/>
        </w:rPr>
        <w:t xml:space="preserve">Yes, if the private school </w:t>
      </w:r>
      <w:r w:rsidR="00875ADF">
        <w:rPr>
          <w:sz w:val="24"/>
          <w:szCs w:val="24"/>
        </w:rPr>
        <w:t xml:space="preserve">is a non-profit institution and </w:t>
      </w:r>
      <w:r>
        <w:rPr>
          <w:sz w:val="24"/>
          <w:szCs w:val="24"/>
        </w:rPr>
        <w:t xml:space="preserve">meets the eligibility criteria for </w:t>
      </w:r>
      <w:r w:rsidR="003D7973">
        <w:rPr>
          <w:sz w:val="24"/>
          <w:szCs w:val="24"/>
        </w:rPr>
        <w:t>CEP</w:t>
      </w:r>
      <w:r>
        <w:rPr>
          <w:sz w:val="24"/>
          <w:szCs w:val="24"/>
        </w:rPr>
        <w:t xml:space="preserve">.    </w:t>
      </w:r>
    </w:p>
    <w:p w:rsidR="00997A69" w:rsidRDefault="00997A69" w:rsidP="00F43BA0">
      <w:pPr>
        <w:spacing w:after="0" w:line="240" w:lineRule="auto"/>
        <w:rPr>
          <w:sz w:val="24"/>
          <w:szCs w:val="24"/>
        </w:rPr>
      </w:pPr>
    </w:p>
    <w:p w:rsidR="00997A69" w:rsidRDefault="00997A69" w:rsidP="00A0621F">
      <w:pPr>
        <w:pStyle w:val="Heading2"/>
        <w:numPr>
          <w:ilvl w:val="0"/>
          <w:numId w:val="8"/>
        </w:numPr>
      </w:pPr>
      <w:bookmarkStart w:id="92" w:name="_Toc414355044"/>
      <w:r w:rsidRPr="00A0621F">
        <w:t xml:space="preserve">What are the areas of intersection between </w:t>
      </w:r>
      <w:r w:rsidR="003D7973">
        <w:t>CEP</w:t>
      </w:r>
      <w:r w:rsidRPr="00A0621F">
        <w:t xml:space="preserve"> and Title I</w:t>
      </w:r>
      <w:r>
        <w:t>?</w:t>
      </w:r>
      <w:bookmarkEnd w:id="92"/>
    </w:p>
    <w:p w:rsidR="00997A69" w:rsidRDefault="00997A69" w:rsidP="0096052A">
      <w:pPr>
        <w:spacing w:after="0" w:line="240" w:lineRule="auto"/>
        <w:rPr>
          <w:sz w:val="24"/>
          <w:szCs w:val="24"/>
        </w:rPr>
      </w:pPr>
    </w:p>
    <w:p w:rsidR="00997A69" w:rsidRDefault="00997A69" w:rsidP="0096052A">
      <w:pPr>
        <w:spacing w:after="0" w:line="240" w:lineRule="auto"/>
        <w:rPr>
          <w:sz w:val="24"/>
          <w:szCs w:val="24"/>
        </w:rPr>
      </w:pPr>
      <w:r>
        <w:rPr>
          <w:sz w:val="24"/>
          <w:szCs w:val="24"/>
        </w:rPr>
        <w:t xml:space="preserve">There are several aspects of Title I that require the use of poverty data at the school or individual student level:  within-district allocations, </w:t>
      </w:r>
      <w:r w:rsidR="00AF70C4">
        <w:rPr>
          <w:sz w:val="24"/>
          <w:szCs w:val="24"/>
        </w:rPr>
        <w:t xml:space="preserve">equitable services for eligible </w:t>
      </w:r>
      <w:r>
        <w:rPr>
          <w:sz w:val="24"/>
          <w:szCs w:val="24"/>
        </w:rPr>
        <w:t>private school students, within-State allocations, and accountability.  NSLP</w:t>
      </w:r>
      <w:r w:rsidRPr="00A756DC">
        <w:rPr>
          <w:sz w:val="24"/>
          <w:szCs w:val="24"/>
        </w:rPr>
        <w:t xml:space="preserve"> data </w:t>
      </w:r>
      <w:r>
        <w:rPr>
          <w:sz w:val="24"/>
          <w:szCs w:val="24"/>
        </w:rPr>
        <w:t>are often used</w:t>
      </w:r>
      <w:r w:rsidRPr="00A756DC">
        <w:rPr>
          <w:sz w:val="24"/>
          <w:szCs w:val="24"/>
        </w:rPr>
        <w:t xml:space="preserve"> </w:t>
      </w:r>
      <w:r>
        <w:rPr>
          <w:sz w:val="24"/>
          <w:szCs w:val="24"/>
        </w:rPr>
        <w:t xml:space="preserve">as </w:t>
      </w:r>
      <w:r w:rsidRPr="00A756DC">
        <w:rPr>
          <w:sz w:val="24"/>
          <w:szCs w:val="24"/>
        </w:rPr>
        <w:t>an indicator of poverty</w:t>
      </w:r>
      <w:r>
        <w:rPr>
          <w:sz w:val="24"/>
          <w:szCs w:val="24"/>
        </w:rPr>
        <w:t xml:space="preserve"> to help carry out Title I programs;</w:t>
      </w:r>
      <w:r w:rsidRPr="00A756DC">
        <w:rPr>
          <w:sz w:val="24"/>
          <w:szCs w:val="24"/>
        </w:rPr>
        <w:t xml:space="preserve"> therefore</w:t>
      </w:r>
      <w:r w:rsidR="00AF70C4">
        <w:rPr>
          <w:sz w:val="24"/>
          <w:szCs w:val="24"/>
        </w:rPr>
        <w:t>,</w:t>
      </w:r>
      <w:r w:rsidRPr="00A756DC">
        <w:rPr>
          <w:sz w:val="24"/>
          <w:szCs w:val="24"/>
        </w:rPr>
        <w:t xml:space="preserve"> the decision to participate in </w:t>
      </w:r>
      <w:r w:rsidR="003D7973">
        <w:rPr>
          <w:sz w:val="24"/>
          <w:szCs w:val="24"/>
        </w:rPr>
        <w:t>CEP</w:t>
      </w:r>
      <w:r w:rsidRPr="00A756DC">
        <w:rPr>
          <w:sz w:val="24"/>
          <w:szCs w:val="24"/>
        </w:rPr>
        <w:t xml:space="preserve"> could also </w:t>
      </w:r>
      <w:r>
        <w:rPr>
          <w:sz w:val="24"/>
          <w:szCs w:val="24"/>
        </w:rPr>
        <w:t>affect</w:t>
      </w:r>
      <w:r w:rsidRPr="00A756DC">
        <w:rPr>
          <w:sz w:val="24"/>
          <w:szCs w:val="24"/>
        </w:rPr>
        <w:t xml:space="preserve"> an LEA’s poverty data for Title I purposes. </w:t>
      </w:r>
      <w:r>
        <w:rPr>
          <w:sz w:val="24"/>
          <w:szCs w:val="24"/>
        </w:rPr>
        <w:t xml:space="preserve"> </w:t>
      </w:r>
    </w:p>
    <w:p w:rsidR="00997A69" w:rsidRDefault="00997A69" w:rsidP="0094542D">
      <w:pPr>
        <w:spacing w:after="0" w:line="240" w:lineRule="auto"/>
        <w:rPr>
          <w:sz w:val="24"/>
          <w:szCs w:val="24"/>
        </w:rPr>
      </w:pPr>
    </w:p>
    <w:p w:rsidR="00997A69" w:rsidRPr="007F2C3C" w:rsidRDefault="00997A69" w:rsidP="007F2C3C">
      <w:pPr>
        <w:pStyle w:val="Heading2"/>
        <w:numPr>
          <w:ilvl w:val="0"/>
          <w:numId w:val="8"/>
        </w:numPr>
      </w:pPr>
      <w:bookmarkStart w:id="93" w:name="_Toc414355045"/>
      <w:r w:rsidRPr="007F2C3C">
        <w:t xml:space="preserve">When using </w:t>
      </w:r>
      <w:r>
        <w:t>NSLP</w:t>
      </w:r>
      <w:r w:rsidRPr="007F2C3C">
        <w:t xml:space="preserve"> data as a poverty measure</w:t>
      </w:r>
      <w:r>
        <w:t xml:space="preserve"> for Title I</w:t>
      </w:r>
      <w:r w:rsidRPr="007F2C3C">
        <w:t xml:space="preserve">, </w:t>
      </w:r>
      <w:r>
        <w:t>which types of NSLP data</w:t>
      </w:r>
      <w:r w:rsidRPr="007F2C3C">
        <w:t xml:space="preserve"> may be included</w:t>
      </w:r>
      <w:r>
        <w:t>?</w:t>
      </w:r>
      <w:bookmarkEnd w:id="93"/>
    </w:p>
    <w:p w:rsidR="00997A69" w:rsidRDefault="00997A69" w:rsidP="007F2C3C">
      <w:pPr>
        <w:spacing w:after="0" w:line="240" w:lineRule="auto"/>
        <w:rPr>
          <w:sz w:val="24"/>
          <w:szCs w:val="24"/>
        </w:rPr>
      </w:pPr>
    </w:p>
    <w:p w:rsidR="00997A69" w:rsidRDefault="00997A69" w:rsidP="007F2C3C">
      <w:pPr>
        <w:spacing w:after="0" w:line="240" w:lineRule="auto"/>
        <w:rPr>
          <w:sz w:val="24"/>
          <w:szCs w:val="24"/>
        </w:rPr>
      </w:pPr>
      <w:r>
        <w:rPr>
          <w:sz w:val="24"/>
          <w:szCs w:val="24"/>
        </w:rPr>
        <w:t>D</w:t>
      </w:r>
      <w:r w:rsidRPr="007F2C3C">
        <w:rPr>
          <w:sz w:val="24"/>
          <w:szCs w:val="24"/>
        </w:rPr>
        <w:t>ifferent combi</w:t>
      </w:r>
      <w:r>
        <w:rPr>
          <w:sz w:val="24"/>
          <w:szCs w:val="24"/>
        </w:rPr>
        <w:t>nations of available NSLP data</w:t>
      </w:r>
      <w:r w:rsidRPr="007F2C3C">
        <w:rPr>
          <w:sz w:val="24"/>
          <w:szCs w:val="24"/>
        </w:rPr>
        <w:t xml:space="preserve"> </w:t>
      </w:r>
      <w:r>
        <w:rPr>
          <w:sz w:val="24"/>
          <w:szCs w:val="24"/>
        </w:rPr>
        <w:t>may be</w:t>
      </w:r>
      <w:r w:rsidRPr="007F2C3C">
        <w:rPr>
          <w:sz w:val="24"/>
          <w:szCs w:val="24"/>
        </w:rPr>
        <w:t xml:space="preserve"> used as a poverty </w:t>
      </w:r>
      <w:r>
        <w:rPr>
          <w:sz w:val="24"/>
          <w:szCs w:val="24"/>
        </w:rPr>
        <w:t>measure</w:t>
      </w:r>
      <w:r w:rsidRPr="007F2C3C">
        <w:rPr>
          <w:sz w:val="24"/>
          <w:szCs w:val="24"/>
        </w:rPr>
        <w:t xml:space="preserve"> for Title I purposes.</w:t>
      </w:r>
      <w:r>
        <w:rPr>
          <w:sz w:val="24"/>
          <w:szCs w:val="24"/>
        </w:rPr>
        <w:t xml:space="preserve"> </w:t>
      </w:r>
      <w:r w:rsidRPr="007F2C3C">
        <w:rPr>
          <w:sz w:val="24"/>
          <w:szCs w:val="24"/>
        </w:rPr>
        <w:t xml:space="preserve"> </w:t>
      </w:r>
      <w:r>
        <w:rPr>
          <w:sz w:val="24"/>
          <w:szCs w:val="24"/>
        </w:rPr>
        <w:t>For example, NSLP</w:t>
      </w:r>
      <w:r w:rsidRPr="007F2C3C">
        <w:rPr>
          <w:sz w:val="24"/>
          <w:szCs w:val="24"/>
        </w:rPr>
        <w:t xml:space="preserve"> data m</w:t>
      </w:r>
      <w:r>
        <w:rPr>
          <w:sz w:val="24"/>
          <w:szCs w:val="24"/>
        </w:rPr>
        <w:t>ight</w:t>
      </w:r>
      <w:r w:rsidRPr="007F2C3C">
        <w:rPr>
          <w:sz w:val="24"/>
          <w:szCs w:val="24"/>
        </w:rPr>
        <w:t xml:space="preserve"> include a combination of </w:t>
      </w:r>
      <w:r>
        <w:rPr>
          <w:sz w:val="24"/>
          <w:szCs w:val="24"/>
        </w:rPr>
        <w:t>data from household applications</w:t>
      </w:r>
      <w:r w:rsidRPr="007F2C3C">
        <w:rPr>
          <w:sz w:val="24"/>
          <w:szCs w:val="24"/>
        </w:rPr>
        <w:t xml:space="preserve"> in addition to direct certification data. </w:t>
      </w:r>
      <w:r>
        <w:rPr>
          <w:sz w:val="24"/>
          <w:szCs w:val="24"/>
        </w:rPr>
        <w:t xml:space="preserve"> NSLP</w:t>
      </w:r>
      <w:r w:rsidRPr="007F2C3C">
        <w:rPr>
          <w:sz w:val="24"/>
          <w:szCs w:val="24"/>
        </w:rPr>
        <w:t xml:space="preserve"> data m</w:t>
      </w:r>
      <w:r>
        <w:rPr>
          <w:sz w:val="24"/>
          <w:szCs w:val="24"/>
        </w:rPr>
        <w:t>ight</w:t>
      </w:r>
      <w:r w:rsidRPr="007F2C3C">
        <w:rPr>
          <w:sz w:val="24"/>
          <w:szCs w:val="24"/>
        </w:rPr>
        <w:t xml:space="preserve"> also </w:t>
      </w:r>
      <w:r>
        <w:rPr>
          <w:sz w:val="24"/>
          <w:szCs w:val="24"/>
        </w:rPr>
        <w:t>include</w:t>
      </w:r>
      <w:r w:rsidRPr="007F2C3C">
        <w:rPr>
          <w:sz w:val="24"/>
          <w:szCs w:val="24"/>
        </w:rPr>
        <w:t xml:space="preserve"> only free </w:t>
      </w:r>
      <w:r>
        <w:rPr>
          <w:sz w:val="24"/>
          <w:szCs w:val="24"/>
        </w:rPr>
        <w:t>meals data</w:t>
      </w:r>
      <w:r w:rsidRPr="007F2C3C">
        <w:rPr>
          <w:sz w:val="24"/>
          <w:szCs w:val="24"/>
        </w:rPr>
        <w:t xml:space="preserve"> identified through </w:t>
      </w:r>
      <w:r>
        <w:rPr>
          <w:sz w:val="24"/>
          <w:szCs w:val="24"/>
        </w:rPr>
        <w:t xml:space="preserve">household </w:t>
      </w:r>
      <w:r w:rsidRPr="007F2C3C">
        <w:rPr>
          <w:sz w:val="24"/>
          <w:szCs w:val="24"/>
        </w:rPr>
        <w:t>application</w:t>
      </w:r>
      <w:r>
        <w:rPr>
          <w:sz w:val="24"/>
          <w:szCs w:val="24"/>
        </w:rPr>
        <w:t>s</w:t>
      </w:r>
      <w:r w:rsidRPr="007F2C3C">
        <w:rPr>
          <w:sz w:val="24"/>
          <w:szCs w:val="24"/>
        </w:rPr>
        <w:t xml:space="preserve"> and direct certification data.  </w:t>
      </w:r>
      <w:r>
        <w:rPr>
          <w:sz w:val="24"/>
          <w:szCs w:val="24"/>
        </w:rPr>
        <w:t>Finally</w:t>
      </w:r>
      <w:r w:rsidRPr="007F2C3C">
        <w:rPr>
          <w:sz w:val="24"/>
          <w:szCs w:val="24"/>
        </w:rPr>
        <w:t xml:space="preserve">, </w:t>
      </w:r>
      <w:r>
        <w:rPr>
          <w:sz w:val="24"/>
          <w:szCs w:val="24"/>
        </w:rPr>
        <w:t>NSLP</w:t>
      </w:r>
      <w:r w:rsidRPr="007F2C3C">
        <w:rPr>
          <w:sz w:val="24"/>
          <w:szCs w:val="24"/>
        </w:rPr>
        <w:t xml:space="preserve"> data m</w:t>
      </w:r>
      <w:r>
        <w:rPr>
          <w:sz w:val="24"/>
          <w:szCs w:val="24"/>
        </w:rPr>
        <w:t>ight</w:t>
      </w:r>
      <w:r w:rsidRPr="007F2C3C">
        <w:rPr>
          <w:sz w:val="24"/>
          <w:szCs w:val="24"/>
        </w:rPr>
        <w:t xml:space="preserve"> only encompass direct certification data for all schools</w:t>
      </w:r>
      <w:r w:rsidR="00B572A3">
        <w:rPr>
          <w:sz w:val="24"/>
          <w:szCs w:val="24"/>
        </w:rPr>
        <w:t>, even non-</w:t>
      </w:r>
      <w:r w:rsidR="003D7973">
        <w:rPr>
          <w:sz w:val="24"/>
          <w:szCs w:val="24"/>
        </w:rPr>
        <w:t>CEP</w:t>
      </w:r>
      <w:r w:rsidR="00B572A3">
        <w:rPr>
          <w:sz w:val="24"/>
          <w:szCs w:val="24"/>
        </w:rPr>
        <w:t xml:space="preserve"> schools (see Question 12)</w:t>
      </w:r>
      <w:r w:rsidRPr="007F2C3C">
        <w:rPr>
          <w:sz w:val="24"/>
          <w:szCs w:val="24"/>
        </w:rPr>
        <w:t>.</w:t>
      </w:r>
      <w:r>
        <w:rPr>
          <w:sz w:val="24"/>
          <w:szCs w:val="24"/>
        </w:rPr>
        <w:t xml:space="preserve"> </w:t>
      </w:r>
      <w:r w:rsidRPr="007F2C3C">
        <w:rPr>
          <w:sz w:val="24"/>
          <w:szCs w:val="24"/>
        </w:rPr>
        <w:t xml:space="preserve"> This option would provide a consistent poverty measure for all schools in the </w:t>
      </w:r>
      <w:r>
        <w:rPr>
          <w:sz w:val="24"/>
          <w:szCs w:val="24"/>
        </w:rPr>
        <w:t>LEA</w:t>
      </w:r>
      <w:r w:rsidRPr="007F2C3C">
        <w:rPr>
          <w:sz w:val="24"/>
          <w:szCs w:val="24"/>
        </w:rPr>
        <w:t xml:space="preserve">. </w:t>
      </w:r>
    </w:p>
    <w:p w:rsidR="00997A69" w:rsidRDefault="00997A69" w:rsidP="0094542D">
      <w:pPr>
        <w:spacing w:after="0" w:line="240" w:lineRule="auto"/>
        <w:rPr>
          <w:sz w:val="24"/>
          <w:szCs w:val="24"/>
        </w:rPr>
      </w:pPr>
    </w:p>
    <w:p w:rsidR="00997A69" w:rsidRDefault="00997A69" w:rsidP="00D817BD">
      <w:pPr>
        <w:pStyle w:val="Heading2"/>
        <w:numPr>
          <w:ilvl w:val="0"/>
          <w:numId w:val="8"/>
        </w:numPr>
        <w:ind w:left="360"/>
      </w:pPr>
      <w:bookmarkStart w:id="94" w:name="_Toc414355046"/>
      <w:r>
        <w:t xml:space="preserve">If an LEA includes a </w:t>
      </w:r>
      <w:r w:rsidR="003D7973">
        <w:t>CEP</w:t>
      </w:r>
      <w:r>
        <w:t xml:space="preserve"> school for the purpose of NSLP, must the LEA use NSLP data (including </w:t>
      </w:r>
      <w:r w:rsidR="003D7973">
        <w:t>CEP</w:t>
      </w:r>
      <w:r>
        <w:t>) for Title I purposes?</w:t>
      </w:r>
      <w:bookmarkEnd w:id="94"/>
    </w:p>
    <w:p w:rsidR="00997A69" w:rsidRDefault="00997A69" w:rsidP="00D817BD">
      <w:pPr>
        <w:spacing w:after="0" w:line="240" w:lineRule="auto"/>
        <w:rPr>
          <w:sz w:val="24"/>
          <w:szCs w:val="24"/>
        </w:rPr>
      </w:pPr>
    </w:p>
    <w:p w:rsidR="00997A69" w:rsidRDefault="00997A69" w:rsidP="00D817BD">
      <w:pPr>
        <w:spacing w:after="0" w:line="240" w:lineRule="auto"/>
        <w:rPr>
          <w:sz w:val="24"/>
          <w:szCs w:val="24"/>
        </w:rPr>
      </w:pPr>
      <w:r>
        <w:rPr>
          <w:sz w:val="24"/>
          <w:szCs w:val="24"/>
        </w:rPr>
        <w:t>No.  An LEA may use another poverty data source for Title I purposes as long as that source is permitted by section 1113(a)(5) of the ESEA (</w:t>
      </w:r>
      <w:r w:rsidR="00B572A3">
        <w:rPr>
          <w:sz w:val="24"/>
          <w:szCs w:val="24"/>
        </w:rPr>
        <w:t>s</w:t>
      </w:r>
      <w:r w:rsidRPr="000F6A8F">
        <w:rPr>
          <w:sz w:val="24"/>
          <w:szCs w:val="24"/>
        </w:rPr>
        <w:t xml:space="preserve">ee </w:t>
      </w:r>
      <w:r w:rsidRPr="00D51748">
        <w:rPr>
          <w:sz w:val="24"/>
          <w:szCs w:val="24"/>
        </w:rPr>
        <w:t>Question 14</w:t>
      </w:r>
      <w:r>
        <w:rPr>
          <w:sz w:val="24"/>
          <w:szCs w:val="24"/>
        </w:rPr>
        <w:t>)</w:t>
      </w:r>
      <w:r w:rsidR="00B572A3">
        <w:rPr>
          <w:sz w:val="24"/>
          <w:szCs w:val="24"/>
        </w:rPr>
        <w:t>.</w:t>
      </w:r>
      <w:r>
        <w:rPr>
          <w:sz w:val="24"/>
          <w:szCs w:val="24"/>
        </w:rPr>
        <w:t xml:space="preserve">  </w:t>
      </w:r>
      <w:r w:rsidR="003D7973">
        <w:rPr>
          <w:sz w:val="24"/>
          <w:szCs w:val="24"/>
        </w:rPr>
        <w:t>CEP</w:t>
      </w:r>
      <w:r>
        <w:rPr>
          <w:sz w:val="24"/>
          <w:szCs w:val="24"/>
        </w:rPr>
        <w:t>, however,</w:t>
      </w:r>
      <w:r w:rsidRPr="00A0305C">
        <w:rPr>
          <w:sz w:val="24"/>
          <w:szCs w:val="24"/>
        </w:rPr>
        <w:t xml:space="preserve"> represents a means to both increase child nutrition and reduce burden</w:t>
      </w:r>
      <w:r>
        <w:rPr>
          <w:sz w:val="24"/>
          <w:szCs w:val="24"/>
        </w:rPr>
        <w:t xml:space="preserve"> at the LEA, school, and household levels.  As such, an important purpose of this guidance is </w:t>
      </w:r>
      <w:r w:rsidRPr="00A0305C">
        <w:rPr>
          <w:sz w:val="24"/>
          <w:szCs w:val="24"/>
        </w:rPr>
        <w:t xml:space="preserve">to </w:t>
      </w:r>
      <w:r>
        <w:rPr>
          <w:sz w:val="24"/>
          <w:szCs w:val="24"/>
        </w:rPr>
        <w:t>ensure that</w:t>
      </w:r>
      <w:r w:rsidRPr="00A0305C">
        <w:rPr>
          <w:sz w:val="24"/>
          <w:szCs w:val="24"/>
        </w:rPr>
        <w:t xml:space="preserve"> SEAs and LEAs can </w:t>
      </w:r>
      <w:r>
        <w:rPr>
          <w:sz w:val="24"/>
          <w:szCs w:val="24"/>
        </w:rPr>
        <w:t>take advantage of these twin purposes while still operating Title I programs effectively and efficiently</w:t>
      </w:r>
      <w:r w:rsidRPr="00A0305C">
        <w:rPr>
          <w:sz w:val="24"/>
          <w:szCs w:val="24"/>
        </w:rPr>
        <w:t>.</w:t>
      </w:r>
      <w:r>
        <w:rPr>
          <w:sz w:val="24"/>
          <w:szCs w:val="24"/>
        </w:rPr>
        <w:t xml:space="preserve">  </w:t>
      </w:r>
    </w:p>
    <w:p w:rsidR="00997A69" w:rsidRDefault="00997A69" w:rsidP="0094542D">
      <w:pPr>
        <w:spacing w:after="0" w:line="240" w:lineRule="auto"/>
        <w:rPr>
          <w:sz w:val="24"/>
          <w:szCs w:val="24"/>
        </w:rPr>
      </w:pPr>
    </w:p>
    <w:p w:rsidR="00997A69" w:rsidRDefault="00997A69" w:rsidP="00D10835">
      <w:pPr>
        <w:pStyle w:val="Heading2"/>
        <w:numPr>
          <w:ilvl w:val="0"/>
          <w:numId w:val="8"/>
        </w:numPr>
        <w:ind w:left="360"/>
      </w:pPr>
      <w:bookmarkStart w:id="95" w:name="_Toc414355047"/>
      <w:r>
        <w:t>Are updated direct certification data available to an LEA every year?</w:t>
      </w:r>
      <w:bookmarkEnd w:id="95"/>
    </w:p>
    <w:p w:rsidR="00997A69" w:rsidRDefault="00997A69" w:rsidP="00D10835">
      <w:pPr>
        <w:spacing w:after="0" w:line="240" w:lineRule="auto"/>
        <w:rPr>
          <w:sz w:val="24"/>
          <w:szCs w:val="24"/>
        </w:rPr>
      </w:pPr>
    </w:p>
    <w:p w:rsidR="00997A69" w:rsidRDefault="00F8648B" w:rsidP="0094542D">
      <w:pPr>
        <w:spacing w:after="0" w:line="240" w:lineRule="auto"/>
        <w:rPr>
          <w:sz w:val="24"/>
          <w:szCs w:val="24"/>
        </w:rPr>
      </w:pPr>
      <w:r w:rsidRPr="00F8648B">
        <w:rPr>
          <w:sz w:val="24"/>
          <w:szCs w:val="24"/>
        </w:rPr>
        <w:t>Direct certification data are typically available to all LEAs that participate in the NSLP on at least an annual basis.</w:t>
      </w:r>
      <w:r w:rsidR="00B572A3">
        <w:rPr>
          <w:sz w:val="24"/>
          <w:szCs w:val="24"/>
        </w:rPr>
        <w:t xml:space="preserve"> </w:t>
      </w:r>
      <w:r w:rsidRPr="00F8648B">
        <w:rPr>
          <w:sz w:val="24"/>
          <w:szCs w:val="24"/>
        </w:rPr>
        <w:t xml:space="preserve"> LEAs with schools not operating a special provision (e.g.</w:t>
      </w:r>
      <w:r w:rsidR="00B572A3">
        <w:rPr>
          <w:sz w:val="24"/>
          <w:szCs w:val="24"/>
        </w:rPr>
        <w:t>,</w:t>
      </w:r>
      <w:r w:rsidRPr="00F8648B">
        <w:rPr>
          <w:sz w:val="24"/>
          <w:szCs w:val="24"/>
        </w:rPr>
        <w:t xml:space="preserve"> </w:t>
      </w:r>
      <w:r w:rsidR="003D7973">
        <w:rPr>
          <w:sz w:val="24"/>
          <w:szCs w:val="24"/>
        </w:rPr>
        <w:t>CEP</w:t>
      </w:r>
      <w:r w:rsidRPr="00F8648B">
        <w:rPr>
          <w:sz w:val="24"/>
          <w:szCs w:val="24"/>
        </w:rPr>
        <w:t>, Provision 2, or Provision 3</w:t>
      </w:r>
      <w:r w:rsidR="00465EF2">
        <w:rPr>
          <w:rStyle w:val="FootnoteReference"/>
          <w:sz w:val="24"/>
          <w:szCs w:val="24"/>
        </w:rPr>
        <w:footnoteReference w:id="6"/>
      </w:r>
      <w:r w:rsidRPr="00F8648B">
        <w:rPr>
          <w:sz w:val="24"/>
          <w:szCs w:val="24"/>
        </w:rPr>
        <w:t>) are required to run direct certification with SNAP at least three times a year.</w:t>
      </w:r>
      <w:r w:rsidR="00B572A3">
        <w:rPr>
          <w:sz w:val="24"/>
          <w:szCs w:val="24"/>
        </w:rPr>
        <w:t xml:space="preserve"> </w:t>
      </w:r>
      <w:r w:rsidRPr="00F8648B">
        <w:rPr>
          <w:sz w:val="24"/>
          <w:szCs w:val="24"/>
        </w:rPr>
        <w:t xml:space="preserve"> </w:t>
      </w:r>
      <w:r w:rsidRPr="00F8648B">
        <w:rPr>
          <w:sz w:val="24"/>
          <w:szCs w:val="24"/>
        </w:rPr>
        <w:lastRenderedPageBreak/>
        <w:t xml:space="preserve">For LEAs with schools operating </w:t>
      </w:r>
      <w:r w:rsidR="00B572A3">
        <w:rPr>
          <w:sz w:val="24"/>
          <w:szCs w:val="24"/>
        </w:rPr>
        <w:t xml:space="preserve">under </w:t>
      </w:r>
      <w:r w:rsidRPr="00F8648B">
        <w:rPr>
          <w:sz w:val="24"/>
          <w:szCs w:val="24"/>
        </w:rPr>
        <w:t xml:space="preserve">a special provision, running direct certification with SNAP </w:t>
      </w:r>
      <w:r w:rsidR="00B572A3">
        <w:rPr>
          <w:sz w:val="24"/>
          <w:szCs w:val="24"/>
        </w:rPr>
        <w:t xml:space="preserve">data </w:t>
      </w:r>
      <w:r w:rsidRPr="00F8648B">
        <w:rPr>
          <w:sz w:val="24"/>
          <w:szCs w:val="24"/>
        </w:rPr>
        <w:t xml:space="preserve">annually is not mandatory.  However, annual direct certification matches with SNAP or other programs </w:t>
      </w:r>
      <w:r w:rsidR="00CD05B7">
        <w:rPr>
          <w:sz w:val="24"/>
          <w:szCs w:val="24"/>
        </w:rPr>
        <w:t>are</w:t>
      </w:r>
      <w:r w:rsidRPr="00F8648B">
        <w:rPr>
          <w:sz w:val="24"/>
          <w:szCs w:val="24"/>
        </w:rPr>
        <w:t xml:space="preserve"> typically readily available for these schools due to Statewide and district</w:t>
      </w:r>
      <w:r w:rsidR="00B572A3">
        <w:rPr>
          <w:sz w:val="24"/>
          <w:szCs w:val="24"/>
        </w:rPr>
        <w:t>-</w:t>
      </w:r>
      <w:r w:rsidRPr="00F8648B">
        <w:rPr>
          <w:sz w:val="24"/>
          <w:szCs w:val="24"/>
        </w:rPr>
        <w:t>level direct certification systems.  USDA requires State agencies to meet annual SNAP direct certification performance benchmarks</w:t>
      </w:r>
      <w:r w:rsidR="00CD05B7">
        <w:rPr>
          <w:sz w:val="24"/>
          <w:szCs w:val="24"/>
        </w:rPr>
        <w:t>,</w:t>
      </w:r>
      <w:r w:rsidRPr="00F8648B">
        <w:rPr>
          <w:sz w:val="24"/>
          <w:szCs w:val="24"/>
        </w:rPr>
        <w:t xml:space="preserve"> and all LEAs with special provision schools are strongly encouraged to access these data on an annual basis.</w:t>
      </w:r>
      <w:r w:rsidR="00B572A3">
        <w:rPr>
          <w:sz w:val="24"/>
          <w:szCs w:val="24"/>
        </w:rPr>
        <w:t xml:space="preserve"> </w:t>
      </w:r>
      <w:r w:rsidRPr="00F8648B">
        <w:rPr>
          <w:sz w:val="24"/>
          <w:szCs w:val="24"/>
        </w:rPr>
        <w:t xml:space="preserve"> It is also in the best interest of </w:t>
      </w:r>
      <w:r w:rsidR="003D7973">
        <w:rPr>
          <w:sz w:val="24"/>
          <w:szCs w:val="24"/>
        </w:rPr>
        <w:t>CEP</w:t>
      </w:r>
      <w:r w:rsidRPr="00F8648B">
        <w:rPr>
          <w:sz w:val="24"/>
          <w:szCs w:val="24"/>
        </w:rPr>
        <w:t xml:space="preserve"> schools to run direct certification matches annually to potentially increase their claiming percentages. </w:t>
      </w:r>
    </w:p>
    <w:p w:rsidR="00997A69" w:rsidRDefault="00997A69" w:rsidP="0094542D">
      <w:pPr>
        <w:spacing w:after="0" w:line="240" w:lineRule="auto"/>
        <w:rPr>
          <w:sz w:val="24"/>
          <w:szCs w:val="24"/>
        </w:rPr>
      </w:pPr>
    </w:p>
    <w:p w:rsidR="00997A69" w:rsidRDefault="00997A69" w:rsidP="008A7D51">
      <w:pPr>
        <w:pStyle w:val="Heading2"/>
        <w:numPr>
          <w:ilvl w:val="0"/>
          <w:numId w:val="8"/>
        </w:numPr>
        <w:ind w:left="360"/>
      </w:pPr>
      <w:bookmarkStart w:id="96" w:name="_Toc414355048"/>
      <w:r>
        <w:t>How might the availability of updated direct certification data affect Title I implementation?</w:t>
      </w:r>
      <w:bookmarkEnd w:id="96"/>
    </w:p>
    <w:p w:rsidR="00997A69" w:rsidRDefault="00997A69" w:rsidP="008A7D51">
      <w:pPr>
        <w:spacing w:after="0" w:line="240" w:lineRule="auto"/>
        <w:rPr>
          <w:sz w:val="24"/>
          <w:szCs w:val="24"/>
        </w:rPr>
      </w:pPr>
    </w:p>
    <w:p w:rsidR="00997A69" w:rsidRDefault="00997A69" w:rsidP="008A7D51">
      <w:pPr>
        <w:spacing w:after="0" w:line="240" w:lineRule="auto"/>
        <w:rPr>
          <w:sz w:val="24"/>
          <w:szCs w:val="24"/>
        </w:rPr>
      </w:pPr>
      <w:r>
        <w:rPr>
          <w:sz w:val="24"/>
          <w:szCs w:val="24"/>
        </w:rPr>
        <w:t xml:space="preserve">An LEA needs </w:t>
      </w:r>
      <w:r w:rsidRPr="00D97C13">
        <w:rPr>
          <w:sz w:val="24"/>
          <w:szCs w:val="24"/>
        </w:rPr>
        <w:t>school-level data on individual economically</w:t>
      </w:r>
      <w:r>
        <w:rPr>
          <w:sz w:val="24"/>
          <w:szCs w:val="24"/>
        </w:rPr>
        <w:t xml:space="preserve"> </w:t>
      </w:r>
      <w:r w:rsidRPr="00D97C13">
        <w:rPr>
          <w:sz w:val="24"/>
          <w:szCs w:val="24"/>
        </w:rPr>
        <w:t>disadvantaged students</w:t>
      </w:r>
      <w:r w:rsidRPr="003A0D5B">
        <w:rPr>
          <w:sz w:val="24"/>
          <w:szCs w:val="24"/>
        </w:rPr>
        <w:t xml:space="preserve"> </w:t>
      </w:r>
      <w:r>
        <w:rPr>
          <w:sz w:val="24"/>
          <w:szCs w:val="24"/>
        </w:rPr>
        <w:t xml:space="preserve">for certain Title I activities.  </w:t>
      </w:r>
      <w:r w:rsidR="00E67252">
        <w:rPr>
          <w:sz w:val="24"/>
          <w:szCs w:val="24"/>
        </w:rPr>
        <w:t>Therefore, even thoug</w:t>
      </w:r>
      <w:r w:rsidR="00892944">
        <w:rPr>
          <w:sz w:val="24"/>
          <w:szCs w:val="24"/>
        </w:rPr>
        <w:t>h</w:t>
      </w:r>
      <w:r>
        <w:rPr>
          <w:sz w:val="24"/>
          <w:szCs w:val="24"/>
        </w:rPr>
        <w:t xml:space="preserve"> for NSLP purposes a </w:t>
      </w:r>
      <w:r w:rsidR="003D7973">
        <w:rPr>
          <w:sz w:val="24"/>
          <w:szCs w:val="24"/>
        </w:rPr>
        <w:t>CEP</w:t>
      </w:r>
      <w:r>
        <w:rPr>
          <w:sz w:val="24"/>
          <w:szCs w:val="24"/>
        </w:rPr>
        <w:t xml:space="preserve"> school that has 100 percent reimbursement at the Federal “free” rate would likely not use updated data over the four-year period allowed by the Act because its reimbursement is at its maximum, the school (and its LEA) may want to use updated direct certification data for Title I purposes.  (The guidance expands on this point in discussing specific Title I requirements below</w:t>
      </w:r>
      <w:r w:rsidRPr="00EC3CCA">
        <w:rPr>
          <w:sz w:val="24"/>
          <w:szCs w:val="24"/>
        </w:rPr>
        <w:t>.</w:t>
      </w:r>
      <w:r>
        <w:rPr>
          <w:sz w:val="24"/>
          <w:szCs w:val="24"/>
        </w:rPr>
        <w:t>)</w:t>
      </w:r>
      <w:r w:rsidRPr="00EC3CCA">
        <w:rPr>
          <w:sz w:val="24"/>
          <w:szCs w:val="24"/>
        </w:rPr>
        <w:t xml:space="preserve">  </w:t>
      </w:r>
    </w:p>
    <w:p w:rsidR="00997A69" w:rsidRPr="00E40E7D" w:rsidRDefault="00997A69" w:rsidP="0094542D">
      <w:pPr>
        <w:spacing w:after="0" w:line="240" w:lineRule="auto"/>
        <w:rPr>
          <w:sz w:val="24"/>
          <w:szCs w:val="24"/>
        </w:rPr>
      </w:pPr>
    </w:p>
    <w:p w:rsidR="00997A69" w:rsidRPr="00A0305C" w:rsidRDefault="00997A69" w:rsidP="00AB0BCF">
      <w:pPr>
        <w:pStyle w:val="Heading1"/>
        <w:numPr>
          <w:ilvl w:val="0"/>
          <w:numId w:val="0"/>
        </w:numPr>
        <w:rPr>
          <w:i/>
          <w:u w:val="single"/>
        </w:rPr>
      </w:pPr>
      <w:bookmarkStart w:id="97" w:name="_Toc414355049"/>
      <w:r w:rsidRPr="00A0305C">
        <w:rPr>
          <w:i/>
          <w:u w:val="single"/>
        </w:rPr>
        <w:t>Within-district Allocations</w:t>
      </w:r>
      <w:bookmarkEnd w:id="97"/>
    </w:p>
    <w:p w:rsidR="00997A69" w:rsidRPr="00A0305C" w:rsidRDefault="00997A69" w:rsidP="00AB0BCF">
      <w:pPr>
        <w:spacing w:after="0" w:line="240" w:lineRule="auto"/>
        <w:rPr>
          <w:sz w:val="24"/>
          <w:szCs w:val="24"/>
        </w:rPr>
      </w:pPr>
    </w:p>
    <w:p w:rsidR="00997A69" w:rsidRPr="00A0305C" w:rsidRDefault="00997A69" w:rsidP="00AB0BCF">
      <w:pPr>
        <w:pStyle w:val="Heading2"/>
        <w:numPr>
          <w:ilvl w:val="0"/>
          <w:numId w:val="8"/>
        </w:numPr>
        <w:ind w:left="360"/>
      </w:pPr>
      <w:bookmarkStart w:id="98" w:name="_Toc414355050"/>
      <w:r>
        <w:t xml:space="preserve">May an LEA use </w:t>
      </w:r>
      <w:r w:rsidR="003D7973">
        <w:t>CEP</w:t>
      </w:r>
      <w:r w:rsidRPr="00A0305C">
        <w:t xml:space="preserve"> </w:t>
      </w:r>
      <w:r>
        <w:t>data to</w:t>
      </w:r>
      <w:r w:rsidRPr="00A0305C">
        <w:t xml:space="preserve"> allocate Title I funds to school attendance areas and schools?</w:t>
      </w:r>
      <w:bookmarkEnd w:id="98"/>
    </w:p>
    <w:p w:rsidR="00997A69" w:rsidRPr="00A0305C" w:rsidRDefault="00997A69" w:rsidP="00AB0BCF">
      <w:pPr>
        <w:tabs>
          <w:tab w:val="left" w:pos="-1440"/>
          <w:tab w:val="left" w:pos="-720"/>
          <w:tab w:val="left" w:pos="792"/>
          <w:tab w:val="left" w:pos="1152"/>
          <w:tab w:val="left" w:pos="1480"/>
          <w:tab w:val="left" w:pos="1792"/>
          <w:tab w:val="left" w:pos="2104"/>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p>
    <w:p w:rsidR="00997A69" w:rsidRPr="00A0305C" w:rsidRDefault="00997A69" w:rsidP="00AB0BCF">
      <w:pPr>
        <w:tabs>
          <w:tab w:val="left" w:pos="-1440"/>
          <w:tab w:val="left" w:pos="-720"/>
          <w:tab w:val="left" w:pos="792"/>
          <w:tab w:val="left" w:pos="1152"/>
          <w:tab w:val="left" w:pos="1480"/>
          <w:tab w:val="left" w:pos="1792"/>
          <w:tab w:val="left" w:pos="2104"/>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r>
        <w:rPr>
          <w:sz w:val="24"/>
          <w:szCs w:val="24"/>
        </w:rPr>
        <w:t xml:space="preserve">Yes.  </w:t>
      </w:r>
      <w:r w:rsidRPr="00A0305C">
        <w:rPr>
          <w:sz w:val="24"/>
          <w:szCs w:val="24"/>
        </w:rPr>
        <w:t xml:space="preserve">To allocate Title I funds to school attendance areas and schools, </w:t>
      </w:r>
      <w:r>
        <w:rPr>
          <w:sz w:val="24"/>
          <w:szCs w:val="24"/>
        </w:rPr>
        <w:t xml:space="preserve">section 1113(a)(5) of the ESEA requires </w:t>
      </w:r>
      <w:r w:rsidRPr="00A0305C">
        <w:rPr>
          <w:sz w:val="24"/>
          <w:szCs w:val="24"/>
        </w:rPr>
        <w:t xml:space="preserve">an LEA </w:t>
      </w:r>
      <w:r>
        <w:rPr>
          <w:sz w:val="24"/>
          <w:szCs w:val="24"/>
        </w:rPr>
        <w:t>to</w:t>
      </w:r>
      <w:r w:rsidRPr="00A0305C">
        <w:rPr>
          <w:sz w:val="24"/>
          <w:szCs w:val="24"/>
        </w:rPr>
        <w:t xml:space="preserve"> select a poverty measure from the following options:</w:t>
      </w:r>
    </w:p>
    <w:p w:rsidR="00997A69" w:rsidRPr="00A0305C" w:rsidRDefault="00997A69" w:rsidP="00AB0BCF">
      <w:pPr>
        <w:tabs>
          <w:tab w:val="left" w:pos="-1440"/>
          <w:tab w:val="left" w:pos="-720"/>
          <w:tab w:val="left" w:pos="554"/>
          <w:tab w:val="left" w:pos="792"/>
          <w:tab w:val="left" w:pos="1152"/>
          <w:tab w:val="left" w:pos="1480"/>
          <w:tab w:val="left" w:pos="1792"/>
          <w:tab w:val="left" w:pos="2104"/>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p>
    <w:p w:rsidR="00997A69" w:rsidRPr="0096052A" w:rsidRDefault="00997A69" w:rsidP="00AB0BCF">
      <w:pPr>
        <w:numPr>
          <w:ilvl w:val="0"/>
          <w:numId w:val="30"/>
        </w:numPr>
        <w:tabs>
          <w:tab w:val="left" w:pos="-1440"/>
          <w:tab w:val="left" w:pos="-720"/>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r w:rsidRPr="00A0305C">
        <w:rPr>
          <w:sz w:val="24"/>
          <w:szCs w:val="24"/>
        </w:rPr>
        <w:t xml:space="preserve">Children ages 5-17 in poverty as counted in the most recent </w:t>
      </w:r>
      <w:r>
        <w:rPr>
          <w:sz w:val="24"/>
          <w:szCs w:val="24"/>
        </w:rPr>
        <w:t>C</w:t>
      </w:r>
      <w:r w:rsidRPr="00A0305C">
        <w:rPr>
          <w:sz w:val="24"/>
          <w:szCs w:val="24"/>
        </w:rPr>
        <w:t xml:space="preserve">ensus data approved by the </w:t>
      </w:r>
      <w:r w:rsidRPr="0096052A">
        <w:rPr>
          <w:sz w:val="24"/>
          <w:szCs w:val="24"/>
        </w:rPr>
        <w:t>Secretary</w:t>
      </w:r>
      <w:r>
        <w:rPr>
          <w:sz w:val="24"/>
          <w:szCs w:val="24"/>
        </w:rPr>
        <w:t>.</w:t>
      </w:r>
      <w:r w:rsidRPr="0096052A">
        <w:rPr>
          <w:sz w:val="24"/>
          <w:szCs w:val="24"/>
        </w:rPr>
        <w:t xml:space="preserve"> </w:t>
      </w:r>
    </w:p>
    <w:p w:rsidR="00997A69" w:rsidRPr="0096052A" w:rsidRDefault="00997A69" w:rsidP="00AB0BCF">
      <w:pPr>
        <w:numPr>
          <w:ilvl w:val="0"/>
          <w:numId w:val="30"/>
        </w:numPr>
        <w:tabs>
          <w:tab w:val="left" w:pos="-1440"/>
          <w:tab w:val="left" w:pos="-720"/>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r>
        <w:rPr>
          <w:sz w:val="24"/>
          <w:szCs w:val="24"/>
        </w:rPr>
        <w:t xml:space="preserve">Children eligible for free and reduced-price lunches under the </w:t>
      </w:r>
      <w:r w:rsidRPr="0096052A">
        <w:rPr>
          <w:sz w:val="24"/>
          <w:szCs w:val="24"/>
        </w:rPr>
        <w:t>Richard B. Russell National School Lunch Act</w:t>
      </w:r>
      <w:r>
        <w:rPr>
          <w:sz w:val="24"/>
          <w:szCs w:val="24"/>
        </w:rPr>
        <w:t>.</w:t>
      </w:r>
      <w:r w:rsidRPr="0096052A">
        <w:rPr>
          <w:sz w:val="24"/>
          <w:szCs w:val="24"/>
        </w:rPr>
        <w:t xml:space="preserve">  </w:t>
      </w:r>
    </w:p>
    <w:p w:rsidR="00997A69" w:rsidRPr="0096052A" w:rsidRDefault="00997A69" w:rsidP="00AB0BCF">
      <w:pPr>
        <w:numPr>
          <w:ilvl w:val="0"/>
          <w:numId w:val="30"/>
        </w:numPr>
        <w:tabs>
          <w:tab w:val="left" w:pos="-1440"/>
          <w:tab w:val="left" w:pos="-720"/>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r w:rsidRPr="0096052A">
        <w:rPr>
          <w:sz w:val="24"/>
          <w:szCs w:val="24"/>
        </w:rPr>
        <w:t>Children in families receiving assistance under the State program funded under Title IV, Part A of the Social Security Act (T</w:t>
      </w:r>
      <w:r>
        <w:rPr>
          <w:sz w:val="24"/>
          <w:szCs w:val="24"/>
        </w:rPr>
        <w:t>ANF</w:t>
      </w:r>
      <w:r w:rsidRPr="0096052A">
        <w:rPr>
          <w:sz w:val="24"/>
          <w:szCs w:val="24"/>
        </w:rPr>
        <w:t>)</w:t>
      </w:r>
      <w:r>
        <w:rPr>
          <w:sz w:val="24"/>
          <w:szCs w:val="24"/>
        </w:rPr>
        <w:t>.</w:t>
      </w:r>
    </w:p>
    <w:p w:rsidR="00997A69" w:rsidRPr="0096052A" w:rsidRDefault="00997A69" w:rsidP="00AB0BCF">
      <w:pPr>
        <w:numPr>
          <w:ilvl w:val="0"/>
          <w:numId w:val="30"/>
        </w:numPr>
        <w:tabs>
          <w:tab w:val="left" w:pos="-1440"/>
          <w:tab w:val="left" w:pos="-720"/>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r w:rsidRPr="0096052A">
        <w:rPr>
          <w:sz w:val="24"/>
          <w:szCs w:val="24"/>
        </w:rPr>
        <w:t>Children eligible to receive medical assistance under the Medicaid program</w:t>
      </w:r>
      <w:r>
        <w:rPr>
          <w:sz w:val="24"/>
          <w:szCs w:val="24"/>
        </w:rPr>
        <w:t>.</w:t>
      </w:r>
    </w:p>
    <w:p w:rsidR="00997A69" w:rsidRPr="0096052A" w:rsidRDefault="00997A69" w:rsidP="00AB0BCF">
      <w:pPr>
        <w:numPr>
          <w:ilvl w:val="0"/>
          <w:numId w:val="30"/>
        </w:numPr>
        <w:tabs>
          <w:tab w:val="left" w:pos="-1440"/>
          <w:tab w:val="left" w:pos="-720"/>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r w:rsidRPr="0096052A">
        <w:rPr>
          <w:sz w:val="24"/>
          <w:szCs w:val="24"/>
        </w:rPr>
        <w:t>A composite of any of the above measures.</w:t>
      </w:r>
    </w:p>
    <w:p w:rsidR="00997A69" w:rsidRPr="00A0305C" w:rsidRDefault="00997A69" w:rsidP="00AB0BCF">
      <w:pPr>
        <w:tabs>
          <w:tab w:val="left" w:pos="-1440"/>
          <w:tab w:val="left" w:pos="-720"/>
          <w:tab w:val="left" w:pos="554"/>
          <w:tab w:val="left" w:pos="792"/>
          <w:tab w:val="left" w:pos="1152"/>
          <w:tab w:val="left" w:pos="1480"/>
          <w:tab w:val="left" w:pos="1792"/>
          <w:tab w:val="left" w:pos="2104"/>
          <w:tab w:val="left" w:pos="3175"/>
          <w:tab w:val="left" w:pos="3477"/>
          <w:tab w:val="left" w:pos="3780"/>
          <w:tab w:val="left" w:pos="4082"/>
          <w:tab w:val="left" w:pos="4384"/>
          <w:tab w:val="left" w:pos="5292"/>
          <w:tab w:val="left" w:pos="5594"/>
          <w:tab w:val="left" w:pos="5896"/>
          <w:tab w:val="left" w:pos="6480"/>
          <w:tab w:val="left" w:pos="7200"/>
          <w:tab w:val="left" w:pos="7920"/>
          <w:tab w:val="left" w:pos="8640"/>
          <w:tab w:val="left" w:pos="9360"/>
        </w:tabs>
        <w:spacing w:after="0" w:line="240" w:lineRule="auto"/>
        <w:rPr>
          <w:sz w:val="24"/>
          <w:szCs w:val="24"/>
        </w:rPr>
      </w:pPr>
    </w:p>
    <w:p w:rsidR="00997A69" w:rsidRDefault="00997A69" w:rsidP="00AB0BCF">
      <w:pPr>
        <w:spacing w:after="0" w:line="240" w:lineRule="auto"/>
        <w:rPr>
          <w:sz w:val="24"/>
          <w:szCs w:val="24"/>
        </w:rPr>
      </w:pPr>
      <w:r>
        <w:rPr>
          <w:sz w:val="24"/>
          <w:szCs w:val="24"/>
        </w:rPr>
        <w:t>Identified s</w:t>
      </w:r>
      <w:r w:rsidRPr="00D25231">
        <w:rPr>
          <w:sz w:val="24"/>
          <w:szCs w:val="24"/>
        </w:rPr>
        <w:t xml:space="preserve">tudents </w:t>
      </w:r>
      <w:r>
        <w:rPr>
          <w:sz w:val="24"/>
          <w:szCs w:val="24"/>
        </w:rPr>
        <w:t>under</w:t>
      </w:r>
      <w:r w:rsidRPr="00D25231">
        <w:rPr>
          <w:sz w:val="24"/>
          <w:szCs w:val="24"/>
        </w:rPr>
        <w:t xml:space="preserve"> </w:t>
      </w:r>
      <w:r w:rsidR="003D7973">
        <w:rPr>
          <w:sz w:val="24"/>
          <w:szCs w:val="24"/>
        </w:rPr>
        <w:t>CEP</w:t>
      </w:r>
      <w:r w:rsidRPr="00D25231">
        <w:rPr>
          <w:sz w:val="24"/>
          <w:szCs w:val="24"/>
        </w:rPr>
        <w:t xml:space="preserve"> </w:t>
      </w:r>
      <w:r>
        <w:rPr>
          <w:sz w:val="24"/>
          <w:szCs w:val="24"/>
        </w:rPr>
        <w:t>are</w:t>
      </w:r>
      <w:r w:rsidRPr="00D25231">
        <w:rPr>
          <w:sz w:val="24"/>
          <w:szCs w:val="24"/>
        </w:rPr>
        <w:t xml:space="preserve"> </w:t>
      </w:r>
      <w:r>
        <w:rPr>
          <w:sz w:val="24"/>
          <w:szCs w:val="24"/>
        </w:rPr>
        <w:t>eligible under the Richard B. Russell National School Lunch Act</w:t>
      </w:r>
      <w:r w:rsidRPr="00D25231">
        <w:rPr>
          <w:sz w:val="24"/>
          <w:szCs w:val="24"/>
        </w:rPr>
        <w:t>.</w:t>
      </w:r>
      <w:r>
        <w:rPr>
          <w:sz w:val="24"/>
          <w:szCs w:val="24"/>
        </w:rPr>
        <w:t xml:space="preserve">  I</w:t>
      </w:r>
      <w:r w:rsidRPr="00A0305C">
        <w:rPr>
          <w:sz w:val="24"/>
          <w:szCs w:val="24"/>
        </w:rPr>
        <w:t xml:space="preserve">f an LEA selects </w:t>
      </w:r>
      <w:r>
        <w:rPr>
          <w:sz w:val="24"/>
          <w:szCs w:val="24"/>
        </w:rPr>
        <w:t>NSLP</w:t>
      </w:r>
      <w:r w:rsidRPr="00A0305C">
        <w:rPr>
          <w:sz w:val="24"/>
          <w:szCs w:val="24"/>
        </w:rPr>
        <w:t xml:space="preserve"> data as its </w:t>
      </w:r>
      <w:r>
        <w:rPr>
          <w:sz w:val="24"/>
          <w:szCs w:val="24"/>
        </w:rPr>
        <w:t xml:space="preserve">poverty </w:t>
      </w:r>
      <w:r w:rsidRPr="00A0305C">
        <w:rPr>
          <w:sz w:val="24"/>
          <w:szCs w:val="24"/>
        </w:rPr>
        <w:t>measure (or uses the</w:t>
      </w:r>
      <w:r>
        <w:rPr>
          <w:sz w:val="24"/>
          <w:szCs w:val="24"/>
        </w:rPr>
        <w:t xml:space="preserve"> data</w:t>
      </w:r>
      <w:r w:rsidRPr="00A0305C">
        <w:rPr>
          <w:sz w:val="24"/>
          <w:szCs w:val="24"/>
        </w:rPr>
        <w:t xml:space="preserve"> in a composite) and has a </w:t>
      </w:r>
      <w:r w:rsidR="003D7973">
        <w:rPr>
          <w:sz w:val="24"/>
          <w:szCs w:val="24"/>
        </w:rPr>
        <w:t>CEP</w:t>
      </w:r>
      <w:r w:rsidRPr="00A0305C">
        <w:rPr>
          <w:sz w:val="24"/>
          <w:szCs w:val="24"/>
        </w:rPr>
        <w:t xml:space="preserve"> school, the </w:t>
      </w:r>
      <w:r w:rsidR="003D7973">
        <w:rPr>
          <w:sz w:val="24"/>
          <w:szCs w:val="24"/>
        </w:rPr>
        <w:t>CEP</w:t>
      </w:r>
      <w:r>
        <w:rPr>
          <w:sz w:val="24"/>
          <w:szCs w:val="24"/>
        </w:rPr>
        <w:t xml:space="preserve"> data will be part of the NSLP data that the LEA uses for</w:t>
      </w:r>
      <w:r w:rsidRPr="00A0305C">
        <w:rPr>
          <w:sz w:val="24"/>
          <w:szCs w:val="24"/>
        </w:rPr>
        <w:t xml:space="preserve"> within-district allocations.</w:t>
      </w:r>
      <w:r>
        <w:rPr>
          <w:sz w:val="24"/>
          <w:szCs w:val="24"/>
        </w:rPr>
        <w:t xml:space="preserve">  (Unless</w:t>
      </w:r>
      <w:r w:rsidRPr="00D25231">
        <w:rPr>
          <w:sz w:val="24"/>
          <w:szCs w:val="24"/>
        </w:rPr>
        <w:t xml:space="preserve"> noted otherwise, this guidance assumes that an LEA has chosen to rank its schools and allocate Title I funds on the basis of </w:t>
      </w:r>
      <w:r>
        <w:rPr>
          <w:sz w:val="24"/>
          <w:szCs w:val="24"/>
        </w:rPr>
        <w:t>NSLP</w:t>
      </w:r>
      <w:r w:rsidRPr="00D25231">
        <w:rPr>
          <w:sz w:val="24"/>
          <w:szCs w:val="24"/>
        </w:rPr>
        <w:t xml:space="preserve"> data</w:t>
      </w:r>
      <w:r>
        <w:rPr>
          <w:sz w:val="24"/>
          <w:szCs w:val="24"/>
        </w:rPr>
        <w:t>.)</w:t>
      </w:r>
      <w:r w:rsidRPr="00A0305C">
        <w:rPr>
          <w:sz w:val="24"/>
          <w:szCs w:val="24"/>
        </w:rPr>
        <w:t xml:space="preserve">  </w:t>
      </w:r>
    </w:p>
    <w:p w:rsidR="00997A69" w:rsidRPr="00A0305C" w:rsidRDefault="00997A69" w:rsidP="00AB0BCF">
      <w:pPr>
        <w:spacing w:after="0" w:line="240" w:lineRule="auto"/>
        <w:rPr>
          <w:sz w:val="24"/>
          <w:szCs w:val="24"/>
        </w:rPr>
      </w:pPr>
    </w:p>
    <w:p w:rsidR="00997A69" w:rsidRPr="00A0305C" w:rsidRDefault="00997A69" w:rsidP="00AB0BCF">
      <w:pPr>
        <w:pStyle w:val="Heading2"/>
        <w:numPr>
          <w:ilvl w:val="0"/>
          <w:numId w:val="8"/>
        </w:numPr>
        <w:ind w:left="360"/>
      </w:pPr>
      <w:bookmarkStart w:id="99" w:name="_Toc414355051"/>
      <w:r w:rsidRPr="00A0305C">
        <w:t xml:space="preserve">Has ED </w:t>
      </w:r>
      <w:r>
        <w:t xml:space="preserve">previously </w:t>
      </w:r>
      <w:r w:rsidRPr="00A0305C">
        <w:t>provided information on within-district Title I allocations?</w:t>
      </w:r>
      <w:bookmarkEnd w:id="99"/>
    </w:p>
    <w:p w:rsidR="00997A69" w:rsidRPr="00A0305C" w:rsidRDefault="00997A69" w:rsidP="00AB0BCF">
      <w:pPr>
        <w:spacing w:after="0" w:line="240" w:lineRule="auto"/>
        <w:rPr>
          <w:sz w:val="24"/>
          <w:szCs w:val="24"/>
        </w:rPr>
      </w:pPr>
    </w:p>
    <w:p w:rsidR="00997A69" w:rsidRDefault="00997A69" w:rsidP="00AB0BCF">
      <w:pPr>
        <w:spacing w:after="0" w:line="240" w:lineRule="auto"/>
        <w:rPr>
          <w:sz w:val="24"/>
          <w:szCs w:val="24"/>
        </w:rPr>
      </w:pPr>
      <w:r w:rsidRPr="00A0305C">
        <w:rPr>
          <w:sz w:val="24"/>
          <w:szCs w:val="24"/>
        </w:rPr>
        <w:t xml:space="preserve">Yes.  </w:t>
      </w:r>
      <w:r>
        <w:rPr>
          <w:sz w:val="24"/>
          <w:szCs w:val="24"/>
        </w:rPr>
        <w:t>This g</w:t>
      </w:r>
      <w:r w:rsidRPr="00A0305C">
        <w:rPr>
          <w:sz w:val="24"/>
          <w:szCs w:val="24"/>
        </w:rPr>
        <w:t>uidance</w:t>
      </w:r>
      <w:r w:rsidR="004801ED">
        <w:rPr>
          <w:sz w:val="24"/>
          <w:szCs w:val="24"/>
        </w:rPr>
        <w:t xml:space="preserve"> entitled </w:t>
      </w:r>
      <w:r w:rsidR="004801ED">
        <w:rPr>
          <w:i/>
          <w:sz w:val="24"/>
          <w:szCs w:val="24"/>
        </w:rPr>
        <w:t xml:space="preserve">Local Educational Agency Identification and Selection of School Attendance Areas and Schools and Allocation of Title I Funds to Those Areas and Schools </w:t>
      </w:r>
      <w:r w:rsidR="004801ED">
        <w:rPr>
          <w:sz w:val="24"/>
          <w:szCs w:val="24"/>
        </w:rPr>
        <w:t>(August 2003)</w:t>
      </w:r>
      <w:r w:rsidRPr="00A0305C">
        <w:rPr>
          <w:sz w:val="24"/>
          <w:szCs w:val="24"/>
        </w:rPr>
        <w:t xml:space="preserve"> is available at:</w:t>
      </w:r>
      <w:r>
        <w:rPr>
          <w:sz w:val="24"/>
          <w:szCs w:val="24"/>
        </w:rPr>
        <w:t xml:space="preserve"> </w:t>
      </w:r>
      <w:r w:rsidRPr="00A0305C">
        <w:rPr>
          <w:sz w:val="24"/>
          <w:szCs w:val="24"/>
        </w:rPr>
        <w:t xml:space="preserve"> </w:t>
      </w:r>
      <w:r w:rsidRPr="005057AF">
        <w:rPr>
          <w:color w:val="000000"/>
          <w:sz w:val="24"/>
          <w:u w:val="single"/>
        </w:rPr>
        <w:t>www.ed.gov/programs/titleiparta/wdag.doc</w:t>
      </w:r>
      <w:r w:rsidRPr="00B8749A">
        <w:rPr>
          <w:sz w:val="24"/>
          <w:szCs w:val="24"/>
        </w:rPr>
        <w:t>.</w:t>
      </w:r>
      <w:r w:rsidRPr="00A0305C">
        <w:rPr>
          <w:sz w:val="24"/>
          <w:szCs w:val="24"/>
        </w:rPr>
        <w:t xml:space="preserve">  </w:t>
      </w:r>
    </w:p>
    <w:p w:rsidR="00997A69" w:rsidRPr="00A0305C" w:rsidRDefault="00997A69" w:rsidP="00AB0BCF">
      <w:pPr>
        <w:spacing w:after="0" w:line="240" w:lineRule="auto"/>
        <w:rPr>
          <w:sz w:val="24"/>
          <w:szCs w:val="24"/>
        </w:rPr>
      </w:pPr>
    </w:p>
    <w:p w:rsidR="00997A69" w:rsidRPr="00A0305C" w:rsidRDefault="00997A69" w:rsidP="00AB0BCF">
      <w:pPr>
        <w:pStyle w:val="Heading2"/>
        <w:numPr>
          <w:ilvl w:val="0"/>
          <w:numId w:val="8"/>
        </w:numPr>
        <w:ind w:left="360"/>
        <w:rPr>
          <w:b w:val="0"/>
        </w:rPr>
      </w:pPr>
      <w:bookmarkStart w:id="100" w:name="_Toc414355052"/>
      <w:r>
        <w:t>D</w:t>
      </w:r>
      <w:r w:rsidRPr="00A0305C">
        <w:t xml:space="preserve">oes </w:t>
      </w:r>
      <w:r w:rsidR="003D7973">
        <w:t>CEP</w:t>
      </w:r>
      <w:r w:rsidRPr="00A0305C">
        <w:t xml:space="preserve"> </w:t>
      </w:r>
      <w:r>
        <w:t>change that guidance</w:t>
      </w:r>
      <w:r w:rsidRPr="00A0305C">
        <w:t>?</w:t>
      </w:r>
      <w:bookmarkEnd w:id="100"/>
    </w:p>
    <w:p w:rsidR="00997A69" w:rsidRPr="00A0305C" w:rsidRDefault="00997A69" w:rsidP="00AB0BCF">
      <w:pPr>
        <w:spacing w:after="0" w:line="240" w:lineRule="auto"/>
        <w:rPr>
          <w:sz w:val="24"/>
          <w:szCs w:val="24"/>
        </w:rPr>
      </w:pPr>
    </w:p>
    <w:p w:rsidR="00997A69" w:rsidRDefault="00997A69" w:rsidP="00AB0BCF">
      <w:pPr>
        <w:spacing w:after="0" w:line="240" w:lineRule="auto"/>
        <w:rPr>
          <w:sz w:val="24"/>
          <w:szCs w:val="24"/>
        </w:rPr>
      </w:pPr>
      <w:r>
        <w:rPr>
          <w:sz w:val="24"/>
          <w:szCs w:val="24"/>
        </w:rPr>
        <w:t>No.  The statutory requirements described in that guidance, including those related to ranking school attendance areas, determining eligibility of schools to participate in Title I, and allocating Title I funds to participating schools</w:t>
      </w:r>
      <w:r w:rsidR="00450414">
        <w:rPr>
          <w:sz w:val="24"/>
          <w:szCs w:val="24"/>
        </w:rPr>
        <w:t>,</w:t>
      </w:r>
      <w:r>
        <w:rPr>
          <w:sz w:val="24"/>
          <w:szCs w:val="24"/>
        </w:rPr>
        <w:t xml:space="preserve"> remain the same.  This guidance shows how the correct percentages are determined when NSLP data are comprised in whole or in part of </w:t>
      </w:r>
      <w:r w:rsidR="003D7973">
        <w:rPr>
          <w:sz w:val="24"/>
          <w:szCs w:val="24"/>
        </w:rPr>
        <w:t>CEP</w:t>
      </w:r>
      <w:r>
        <w:rPr>
          <w:sz w:val="24"/>
          <w:szCs w:val="24"/>
        </w:rPr>
        <w:t xml:space="preserve"> data.  </w:t>
      </w:r>
      <w:r w:rsidRPr="00D51748">
        <w:rPr>
          <w:sz w:val="24"/>
          <w:szCs w:val="24"/>
        </w:rPr>
        <w:t>See Question 18</w:t>
      </w:r>
      <w:r w:rsidRPr="00450414">
        <w:rPr>
          <w:sz w:val="24"/>
          <w:szCs w:val="24"/>
        </w:rPr>
        <w:t>.</w:t>
      </w:r>
      <w:r>
        <w:rPr>
          <w:sz w:val="24"/>
          <w:szCs w:val="24"/>
        </w:rPr>
        <w:t xml:space="preserve">   </w:t>
      </w:r>
    </w:p>
    <w:p w:rsidR="00997A69" w:rsidRPr="00A0305C" w:rsidRDefault="00997A69" w:rsidP="00AB0BCF">
      <w:pPr>
        <w:pStyle w:val="Heading2"/>
        <w:numPr>
          <w:ilvl w:val="0"/>
          <w:numId w:val="0"/>
        </w:numPr>
        <w:ind w:left="360"/>
      </w:pPr>
    </w:p>
    <w:p w:rsidR="00997A69" w:rsidRPr="00A0305C" w:rsidRDefault="00997A69" w:rsidP="00AB0BCF">
      <w:pPr>
        <w:pStyle w:val="Heading2"/>
        <w:numPr>
          <w:ilvl w:val="0"/>
          <w:numId w:val="8"/>
        </w:numPr>
        <w:ind w:left="360"/>
      </w:pPr>
      <w:bookmarkStart w:id="101" w:name="_Toc414355053"/>
      <w:r w:rsidRPr="00A0305C">
        <w:t>I</w:t>
      </w:r>
      <w:r>
        <w:t>f</w:t>
      </w:r>
      <w:r w:rsidRPr="00A0305C">
        <w:t xml:space="preserve"> an LEA </w:t>
      </w:r>
      <w:r>
        <w:t>wishes to</w:t>
      </w:r>
      <w:r w:rsidRPr="00A0305C">
        <w:t xml:space="preserve"> use </w:t>
      </w:r>
      <w:r w:rsidR="003D7973">
        <w:t>CEP</w:t>
      </w:r>
      <w:r>
        <w:t xml:space="preserve"> data</w:t>
      </w:r>
      <w:r w:rsidRPr="00A0305C">
        <w:t xml:space="preserve"> to allocate Title I funds to schools, when would </w:t>
      </w:r>
      <w:r w:rsidR="003D7973">
        <w:t>CEP</w:t>
      </w:r>
      <w:r w:rsidRPr="00A0305C">
        <w:t xml:space="preserve"> data first be used to determine a school’s eligibility and allocation</w:t>
      </w:r>
      <w:r>
        <w:t>?</w:t>
      </w:r>
      <w:bookmarkEnd w:id="101"/>
    </w:p>
    <w:p w:rsidR="00997A69" w:rsidRPr="00A0305C" w:rsidRDefault="00997A69" w:rsidP="00AB0BCF">
      <w:pPr>
        <w:spacing w:after="0" w:line="240" w:lineRule="auto"/>
        <w:rPr>
          <w:sz w:val="24"/>
          <w:szCs w:val="24"/>
        </w:rPr>
      </w:pPr>
    </w:p>
    <w:p w:rsidR="00997A69" w:rsidRPr="00801CA9" w:rsidRDefault="00997A69" w:rsidP="00801CA9">
      <w:pPr>
        <w:spacing w:after="0" w:line="240" w:lineRule="auto"/>
        <w:rPr>
          <w:sz w:val="24"/>
          <w:szCs w:val="24"/>
        </w:rPr>
      </w:pPr>
      <w:r>
        <w:rPr>
          <w:sz w:val="24"/>
          <w:szCs w:val="24"/>
        </w:rPr>
        <w:t xml:space="preserve">Generally, with the exception of new or expanding charter schools, an LEA uses data from the prior year to determine its within-district allocations.  As a result, with respect to a school that is a </w:t>
      </w:r>
      <w:r w:rsidR="003D7973">
        <w:rPr>
          <w:sz w:val="24"/>
          <w:szCs w:val="24"/>
        </w:rPr>
        <w:t>CEP</w:t>
      </w:r>
      <w:r>
        <w:rPr>
          <w:sz w:val="24"/>
          <w:szCs w:val="24"/>
        </w:rPr>
        <w:t xml:space="preserve"> school for the first time, the NSLP data available to its LEA would probably be from the previous year.  Therefore, with respect to within-district Title I allocations, </w:t>
      </w:r>
      <w:r w:rsidRPr="00A0305C">
        <w:rPr>
          <w:sz w:val="24"/>
          <w:szCs w:val="24"/>
        </w:rPr>
        <w:t>an LEA would</w:t>
      </w:r>
      <w:r>
        <w:rPr>
          <w:sz w:val="24"/>
          <w:szCs w:val="24"/>
        </w:rPr>
        <w:t xml:space="preserve"> likely</w:t>
      </w:r>
      <w:r w:rsidRPr="00A0305C">
        <w:rPr>
          <w:sz w:val="24"/>
          <w:szCs w:val="24"/>
        </w:rPr>
        <w:t xml:space="preserve"> first use </w:t>
      </w:r>
      <w:r w:rsidR="003D7973">
        <w:rPr>
          <w:sz w:val="24"/>
          <w:szCs w:val="24"/>
        </w:rPr>
        <w:t>CEP</w:t>
      </w:r>
      <w:r w:rsidRPr="00A0305C">
        <w:rPr>
          <w:sz w:val="24"/>
          <w:szCs w:val="24"/>
        </w:rPr>
        <w:t xml:space="preserve"> data for a school </w:t>
      </w:r>
      <w:r>
        <w:rPr>
          <w:sz w:val="24"/>
          <w:szCs w:val="24"/>
        </w:rPr>
        <w:t>that is a</w:t>
      </w:r>
      <w:r w:rsidRPr="00A0305C">
        <w:rPr>
          <w:sz w:val="24"/>
          <w:szCs w:val="24"/>
        </w:rPr>
        <w:t xml:space="preserve"> second</w:t>
      </w:r>
      <w:r>
        <w:rPr>
          <w:sz w:val="24"/>
          <w:szCs w:val="24"/>
        </w:rPr>
        <w:t>-</w:t>
      </w:r>
      <w:r w:rsidRPr="00A0305C">
        <w:rPr>
          <w:sz w:val="24"/>
          <w:szCs w:val="24"/>
        </w:rPr>
        <w:t xml:space="preserve">year </w:t>
      </w:r>
      <w:r w:rsidR="003D7973">
        <w:rPr>
          <w:sz w:val="24"/>
          <w:szCs w:val="24"/>
        </w:rPr>
        <w:t>CEP</w:t>
      </w:r>
      <w:r w:rsidRPr="00A0305C">
        <w:rPr>
          <w:sz w:val="24"/>
          <w:szCs w:val="24"/>
        </w:rPr>
        <w:t xml:space="preserve"> school.</w:t>
      </w:r>
      <w:r>
        <w:rPr>
          <w:sz w:val="24"/>
          <w:szCs w:val="24"/>
        </w:rPr>
        <w:t xml:space="preserve"> </w:t>
      </w:r>
    </w:p>
    <w:p w:rsidR="00997A69" w:rsidRPr="00801CA9" w:rsidRDefault="00997A69" w:rsidP="00801CA9">
      <w:pPr>
        <w:spacing w:after="0" w:line="240" w:lineRule="auto"/>
      </w:pPr>
    </w:p>
    <w:p w:rsidR="00997A69" w:rsidRDefault="00997A69" w:rsidP="00AB0BCF">
      <w:pPr>
        <w:pStyle w:val="Heading2"/>
        <w:numPr>
          <w:ilvl w:val="0"/>
          <w:numId w:val="8"/>
        </w:numPr>
        <w:ind w:left="360"/>
        <w:rPr>
          <w:b w:val="0"/>
        </w:rPr>
      </w:pPr>
      <w:bookmarkStart w:id="102" w:name="_Toc414355054"/>
      <w:r w:rsidRPr="00A0305C">
        <w:t xml:space="preserve">How does an LEA allocate Title I funds to schools when </w:t>
      </w:r>
      <w:r>
        <w:t xml:space="preserve">it has </w:t>
      </w:r>
      <w:r w:rsidR="003D7973">
        <w:t>CEP</w:t>
      </w:r>
      <w:r>
        <w:t xml:space="preserve"> and non-</w:t>
      </w:r>
      <w:r w:rsidR="003D7973">
        <w:t>CEP</w:t>
      </w:r>
      <w:r>
        <w:t xml:space="preserve"> schools</w:t>
      </w:r>
      <w:r w:rsidRPr="00A0305C">
        <w:t>?</w:t>
      </w:r>
      <w:r w:rsidR="003E0880">
        <w:t xml:space="preserve"> </w:t>
      </w:r>
      <w:r w:rsidR="00AA0A71">
        <w:rPr>
          <w:i/>
        </w:rPr>
        <w:t xml:space="preserve">(Modified </w:t>
      </w:r>
      <w:r w:rsidR="00376636">
        <w:rPr>
          <w:i/>
        </w:rPr>
        <w:t>March</w:t>
      </w:r>
      <w:r w:rsidR="00DC434C">
        <w:rPr>
          <w:i/>
        </w:rPr>
        <w:t xml:space="preserve"> 2015</w:t>
      </w:r>
      <w:r w:rsidR="00AA0A71">
        <w:rPr>
          <w:i/>
        </w:rPr>
        <w:t>)</w:t>
      </w:r>
      <w:bookmarkEnd w:id="102"/>
    </w:p>
    <w:p w:rsidR="00997A69" w:rsidRDefault="00997A69" w:rsidP="00AB0BCF">
      <w:pPr>
        <w:spacing w:after="0" w:line="240" w:lineRule="auto"/>
      </w:pPr>
    </w:p>
    <w:p w:rsidR="00997A69" w:rsidRPr="00A95143" w:rsidRDefault="004801ED" w:rsidP="00A95143">
      <w:pPr>
        <w:spacing w:after="0" w:line="240" w:lineRule="auto"/>
        <w:rPr>
          <w:rFonts w:cs="Calibri"/>
          <w:color w:val="000000"/>
          <w:sz w:val="24"/>
          <w:szCs w:val="24"/>
        </w:rPr>
      </w:pPr>
      <w:r w:rsidRPr="00825C14">
        <w:rPr>
          <w:rFonts w:cs="Calibri"/>
          <w:color w:val="000000"/>
          <w:sz w:val="24"/>
          <w:szCs w:val="24"/>
        </w:rPr>
        <w:t>The number of students directly certified is a subset of the total</w:t>
      </w:r>
      <w:r>
        <w:rPr>
          <w:rFonts w:cs="Calibri"/>
          <w:color w:val="000000"/>
          <w:sz w:val="24"/>
          <w:szCs w:val="24"/>
        </w:rPr>
        <w:t xml:space="preserve"> number of</w:t>
      </w:r>
      <w:r w:rsidRPr="00825C14">
        <w:rPr>
          <w:rFonts w:cs="Calibri"/>
          <w:color w:val="000000"/>
          <w:sz w:val="24"/>
          <w:szCs w:val="24"/>
        </w:rPr>
        <w:t xml:space="preserve"> students</w:t>
      </w:r>
      <w:r>
        <w:rPr>
          <w:rFonts w:cs="Calibri"/>
          <w:color w:val="000000"/>
          <w:sz w:val="24"/>
          <w:szCs w:val="24"/>
        </w:rPr>
        <w:t xml:space="preserve"> eligible for free and reduced-price meals</w:t>
      </w:r>
      <w:r w:rsidRPr="00825C14">
        <w:rPr>
          <w:rFonts w:cs="Calibri"/>
          <w:color w:val="000000"/>
          <w:sz w:val="24"/>
          <w:szCs w:val="24"/>
        </w:rPr>
        <w:t xml:space="preserve">. </w:t>
      </w:r>
      <w:r>
        <w:rPr>
          <w:rFonts w:cs="Calibri"/>
          <w:color w:val="000000"/>
          <w:sz w:val="24"/>
          <w:szCs w:val="24"/>
        </w:rPr>
        <w:t xml:space="preserve"> </w:t>
      </w:r>
      <w:r w:rsidR="00997A69" w:rsidRPr="00A95143">
        <w:rPr>
          <w:rFonts w:cs="Calibri"/>
          <w:color w:val="000000"/>
          <w:sz w:val="24"/>
          <w:szCs w:val="24"/>
        </w:rPr>
        <w:t>Thus, if an LEA has non-</w:t>
      </w:r>
      <w:r w:rsidR="003D7973">
        <w:rPr>
          <w:rFonts w:cs="Calibri"/>
          <w:color w:val="000000"/>
          <w:sz w:val="24"/>
          <w:szCs w:val="24"/>
        </w:rPr>
        <w:t>CEP</w:t>
      </w:r>
      <w:r w:rsidR="00997A69" w:rsidRPr="00A95143">
        <w:rPr>
          <w:rFonts w:cs="Calibri"/>
          <w:color w:val="000000"/>
          <w:sz w:val="24"/>
          <w:szCs w:val="24"/>
        </w:rPr>
        <w:t xml:space="preserve"> schools with a poverty count based on </w:t>
      </w:r>
      <w:r w:rsidR="00997A69">
        <w:rPr>
          <w:rFonts w:cs="Calibri"/>
          <w:color w:val="000000"/>
          <w:sz w:val="24"/>
          <w:szCs w:val="24"/>
        </w:rPr>
        <w:t>the number of students approved for</w:t>
      </w:r>
      <w:r w:rsidR="00997A69" w:rsidRPr="00A95143">
        <w:rPr>
          <w:rFonts w:cs="Calibri"/>
          <w:color w:val="000000"/>
          <w:sz w:val="24"/>
          <w:szCs w:val="24"/>
        </w:rPr>
        <w:t xml:space="preserve"> free and reduced-price </w:t>
      </w:r>
      <w:r w:rsidR="00997A69">
        <w:rPr>
          <w:rFonts w:cs="Calibri"/>
          <w:color w:val="000000"/>
          <w:sz w:val="24"/>
          <w:szCs w:val="24"/>
        </w:rPr>
        <w:t>meals</w:t>
      </w:r>
      <w:r w:rsidR="00997A69" w:rsidRPr="00A95143">
        <w:rPr>
          <w:rFonts w:cs="Calibri"/>
          <w:color w:val="000000"/>
          <w:sz w:val="24"/>
          <w:szCs w:val="24"/>
        </w:rPr>
        <w:t xml:space="preserve"> and </w:t>
      </w:r>
      <w:r w:rsidR="003D7973">
        <w:rPr>
          <w:rFonts w:cs="Calibri"/>
          <w:color w:val="000000"/>
          <w:sz w:val="24"/>
          <w:szCs w:val="24"/>
        </w:rPr>
        <w:t>CEP</w:t>
      </w:r>
      <w:r w:rsidR="00997A69" w:rsidRPr="00A95143">
        <w:rPr>
          <w:rFonts w:cs="Calibri"/>
          <w:color w:val="000000"/>
          <w:sz w:val="24"/>
          <w:szCs w:val="24"/>
        </w:rPr>
        <w:t xml:space="preserve"> schools with a poverty count base</w:t>
      </w:r>
      <w:r w:rsidR="00997A69">
        <w:rPr>
          <w:rFonts w:cs="Calibri"/>
          <w:color w:val="000000"/>
          <w:sz w:val="24"/>
          <w:szCs w:val="24"/>
        </w:rPr>
        <w:t xml:space="preserve">d on, for example, </w:t>
      </w:r>
      <w:r w:rsidR="003B5C2C">
        <w:rPr>
          <w:rFonts w:cs="Calibri"/>
          <w:color w:val="000000"/>
          <w:sz w:val="24"/>
          <w:szCs w:val="24"/>
        </w:rPr>
        <w:t xml:space="preserve">students directly certified using </w:t>
      </w:r>
      <w:r w:rsidR="00997A69">
        <w:rPr>
          <w:rFonts w:cs="Calibri"/>
          <w:color w:val="000000"/>
          <w:sz w:val="24"/>
          <w:szCs w:val="24"/>
        </w:rPr>
        <w:t>SNAP data</w:t>
      </w:r>
      <w:r w:rsidR="002A018F">
        <w:rPr>
          <w:rFonts w:cs="Calibri"/>
          <w:color w:val="000000"/>
          <w:sz w:val="24"/>
          <w:szCs w:val="24"/>
        </w:rPr>
        <w:t>,</w:t>
      </w:r>
      <w:r w:rsidR="00DB0459" w:rsidRPr="00DB0459">
        <w:rPr>
          <w:rFonts w:cs="Calibri"/>
          <w:color w:val="000000"/>
          <w:sz w:val="24"/>
          <w:szCs w:val="24"/>
        </w:rPr>
        <w:t xml:space="preserve"> </w:t>
      </w:r>
      <w:r w:rsidR="00DB0459">
        <w:rPr>
          <w:rFonts w:cs="Calibri"/>
          <w:color w:val="000000"/>
          <w:sz w:val="24"/>
          <w:szCs w:val="24"/>
        </w:rPr>
        <w:t>the</w:t>
      </w:r>
      <w:r w:rsidR="00DB0459" w:rsidRPr="00A95143">
        <w:rPr>
          <w:rFonts w:cs="Calibri"/>
          <w:color w:val="000000"/>
          <w:sz w:val="24"/>
          <w:szCs w:val="24"/>
        </w:rPr>
        <w:t xml:space="preserve"> LEA must use a common poverty metric to rank</w:t>
      </w:r>
      <w:r w:rsidR="00997A69" w:rsidRPr="00A95143">
        <w:rPr>
          <w:rFonts w:cs="Calibri"/>
          <w:color w:val="000000"/>
          <w:sz w:val="24"/>
          <w:szCs w:val="24"/>
        </w:rPr>
        <w:t xml:space="preserve"> order its schools and allocate Title I funds on an equitable basis.</w:t>
      </w:r>
      <w:r w:rsidR="00FB37CF">
        <w:rPr>
          <w:rFonts w:cs="Calibri"/>
          <w:color w:val="000000"/>
          <w:sz w:val="24"/>
          <w:szCs w:val="24"/>
        </w:rPr>
        <w:t xml:space="preserve">  </w:t>
      </w:r>
      <w:r w:rsidR="003C5932">
        <w:rPr>
          <w:rFonts w:cs="Calibri"/>
          <w:color w:val="000000"/>
          <w:sz w:val="24"/>
          <w:szCs w:val="24"/>
        </w:rPr>
        <w:t xml:space="preserve">(Once this common poverty metric is determined, </w:t>
      </w:r>
      <w:r w:rsidR="00FB37CF">
        <w:rPr>
          <w:rFonts w:cs="Calibri"/>
          <w:color w:val="000000"/>
          <w:sz w:val="24"/>
          <w:szCs w:val="24"/>
        </w:rPr>
        <w:t xml:space="preserve">an LEA </w:t>
      </w:r>
      <w:r w:rsidR="003C5932">
        <w:rPr>
          <w:rFonts w:cs="Calibri"/>
          <w:color w:val="000000"/>
          <w:sz w:val="24"/>
          <w:szCs w:val="24"/>
        </w:rPr>
        <w:t>that chooses to determine whether it meets Title I’s</w:t>
      </w:r>
      <w:r w:rsidR="00FB37CF">
        <w:rPr>
          <w:rFonts w:cs="Calibri"/>
          <w:color w:val="000000"/>
          <w:sz w:val="24"/>
          <w:szCs w:val="24"/>
        </w:rPr>
        <w:t xml:space="preserve"> comparability</w:t>
      </w:r>
      <w:r w:rsidR="003C5932">
        <w:rPr>
          <w:rFonts w:cs="Calibri"/>
          <w:color w:val="000000"/>
          <w:sz w:val="24"/>
          <w:szCs w:val="24"/>
        </w:rPr>
        <w:t xml:space="preserve"> requirement</w:t>
      </w:r>
      <w:r w:rsidR="00FB37CF">
        <w:rPr>
          <w:rFonts w:cs="Calibri"/>
          <w:color w:val="000000"/>
          <w:sz w:val="24"/>
          <w:szCs w:val="24"/>
        </w:rPr>
        <w:t xml:space="preserve"> </w:t>
      </w:r>
      <w:r w:rsidR="003C5932">
        <w:rPr>
          <w:rFonts w:cs="Calibri"/>
          <w:color w:val="000000"/>
          <w:sz w:val="24"/>
          <w:szCs w:val="24"/>
        </w:rPr>
        <w:t>through the</w:t>
      </w:r>
      <w:r w:rsidR="00FB37CF">
        <w:rPr>
          <w:rFonts w:cs="Calibri"/>
          <w:color w:val="000000"/>
          <w:sz w:val="24"/>
          <w:szCs w:val="24"/>
        </w:rPr>
        <w:t xml:space="preserve"> high- and low-poverty schools</w:t>
      </w:r>
      <w:r w:rsidR="003C5932">
        <w:rPr>
          <w:rFonts w:cs="Calibri"/>
          <w:color w:val="000000"/>
          <w:sz w:val="24"/>
          <w:szCs w:val="24"/>
        </w:rPr>
        <w:t xml:space="preserve"> method would also use the same metric for this purpose.</w:t>
      </w:r>
      <w:r w:rsidR="00DC434C">
        <w:rPr>
          <w:rStyle w:val="FootnoteReference"/>
          <w:rFonts w:cs="Calibri"/>
          <w:color w:val="000000"/>
          <w:sz w:val="24"/>
          <w:szCs w:val="24"/>
        </w:rPr>
        <w:footnoteReference w:id="7"/>
      </w:r>
      <w:r w:rsidR="00C362E1">
        <w:rPr>
          <w:rFonts w:cs="Calibri"/>
          <w:color w:val="000000"/>
          <w:sz w:val="24"/>
          <w:szCs w:val="24"/>
        </w:rPr>
        <w:t>)</w:t>
      </w:r>
    </w:p>
    <w:p w:rsidR="00997A69" w:rsidRPr="00A95143" w:rsidRDefault="00997A69" w:rsidP="00A95143">
      <w:pPr>
        <w:spacing w:after="0" w:line="240" w:lineRule="auto"/>
        <w:rPr>
          <w:rFonts w:cs="Calibri"/>
          <w:color w:val="000000"/>
          <w:sz w:val="24"/>
          <w:szCs w:val="24"/>
        </w:rPr>
      </w:pPr>
    </w:p>
    <w:p w:rsidR="00EF5D10" w:rsidRDefault="00997A69" w:rsidP="00A95143">
      <w:pPr>
        <w:spacing w:after="0" w:line="240" w:lineRule="auto"/>
        <w:rPr>
          <w:rFonts w:cs="Calibri"/>
          <w:color w:val="000000"/>
          <w:sz w:val="24"/>
          <w:szCs w:val="24"/>
        </w:rPr>
      </w:pPr>
      <w:r w:rsidRPr="00A95143">
        <w:rPr>
          <w:rFonts w:cs="Calibri"/>
          <w:color w:val="000000"/>
          <w:sz w:val="24"/>
          <w:szCs w:val="24"/>
        </w:rPr>
        <w:t xml:space="preserve">An LEA has options </w:t>
      </w:r>
      <w:r w:rsidR="00B9127A">
        <w:rPr>
          <w:rFonts w:cs="Calibri"/>
          <w:color w:val="000000"/>
          <w:sz w:val="24"/>
          <w:szCs w:val="24"/>
        </w:rPr>
        <w:t>for</w:t>
      </w:r>
      <w:r w:rsidRPr="00A95143">
        <w:rPr>
          <w:rFonts w:cs="Calibri"/>
          <w:color w:val="000000"/>
          <w:sz w:val="24"/>
          <w:szCs w:val="24"/>
        </w:rPr>
        <w:t xml:space="preserve"> </w:t>
      </w:r>
      <w:r w:rsidR="00B9127A" w:rsidRPr="00A95143">
        <w:rPr>
          <w:rFonts w:cs="Calibri"/>
          <w:color w:val="000000"/>
          <w:sz w:val="24"/>
          <w:szCs w:val="24"/>
        </w:rPr>
        <w:t>deriv</w:t>
      </w:r>
      <w:r w:rsidR="00B9127A">
        <w:rPr>
          <w:rFonts w:cs="Calibri"/>
          <w:color w:val="000000"/>
          <w:sz w:val="24"/>
          <w:szCs w:val="24"/>
        </w:rPr>
        <w:t>ing</w:t>
      </w:r>
      <w:r w:rsidR="00B9127A" w:rsidRPr="00A95143">
        <w:rPr>
          <w:rFonts w:cs="Calibri"/>
          <w:color w:val="000000"/>
          <w:sz w:val="24"/>
          <w:szCs w:val="24"/>
        </w:rPr>
        <w:t xml:space="preserve"> </w:t>
      </w:r>
      <w:r w:rsidR="00B9127A">
        <w:rPr>
          <w:rFonts w:cs="Calibri"/>
          <w:color w:val="000000"/>
          <w:sz w:val="24"/>
          <w:szCs w:val="24"/>
        </w:rPr>
        <w:t>a common poverty</w:t>
      </w:r>
      <w:r w:rsidR="00B9127A" w:rsidRPr="00A95143">
        <w:rPr>
          <w:rFonts w:cs="Calibri"/>
          <w:color w:val="000000"/>
          <w:sz w:val="24"/>
          <w:szCs w:val="24"/>
        </w:rPr>
        <w:t xml:space="preserve"> </w:t>
      </w:r>
      <w:r w:rsidRPr="00A95143">
        <w:rPr>
          <w:rFonts w:cs="Calibri"/>
          <w:color w:val="000000"/>
          <w:sz w:val="24"/>
          <w:szCs w:val="24"/>
        </w:rPr>
        <w:t xml:space="preserve">metric.  One approach is for the LEA to multiply the number of students identified by direct certification </w:t>
      </w:r>
      <w:r>
        <w:rPr>
          <w:rFonts w:cs="Calibri"/>
          <w:color w:val="000000"/>
          <w:sz w:val="24"/>
          <w:szCs w:val="24"/>
        </w:rPr>
        <w:t xml:space="preserve">in a </w:t>
      </w:r>
      <w:r w:rsidR="003D7973">
        <w:rPr>
          <w:rFonts w:cs="Calibri"/>
          <w:color w:val="000000"/>
          <w:sz w:val="24"/>
          <w:szCs w:val="24"/>
        </w:rPr>
        <w:t>CEP</w:t>
      </w:r>
      <w:r w:rsidR="005D2480">
        <w:rPr>
          <w:rFonts w:cs="Calibri"/>
          <w:color w:val="000000"/>
          <w:sz w:val="24"/>
          <w:szCs w:val="24"/>
        </w:rPr>
        <w:t xml:space="preserve"> </w:t>
      </w:r>
      <w:r>
        <w:rPr>
          <w:rFonts w:cs="Calibri"/>
          <w:color w:val="000000"/>
          <w:sz w:val="24"/>
          <w:szCs w:val="24"/>
        </w:rPr>
        <w:t xml:space="preserve">school </w:t>
      </w:r>
      <w:r w:rsidRPr="00A95143">
        <w:rPr>
          <w:rFonts w:cs="Calibri"/>
          <w:color w:val="000000"/>
          <w:sz w:val="24"/>
          <w:szCs w:val="24"/>
        </w:rPr>
        <w:t xml:space="preserve">by the 1.6 multiplier.  </w:t>
      </w:r>
      <w:r w:rsidR="004801ED">
        <w:rPr>
          <w:rFonts w:cs="Calibri"/>
          <w:color w:val="000000"/>
          <w:sz w:val="24"/>
          <w:szCs w:val="24"/>
        </w:rPr>
        <w:t xml:space="preserve">As noted in </w:t>
      </w:r>
      <w:r w:rsidR="004801ED" w:rsidRPr="00D51748">
        <w:rPr>
          <w:rFonts w:cs="Calibri"/>
          <w:color w:val="000000"/>
          <w:sz w:val="24"/>
          <w:szCs w:val="24"/>
        </w:rPr>
        <w:t>Question 6</w:t>
      </w:r>
      <w:r w:rsidR="004801ED" w:rsidRPr="00450414">
        <w:rPr>
          <w:rFonts w:cs="Calibri"/>
          <w:color w:val="000000"/>
          <w:sz w:val="24"/>
          <w:szCs w:val="24"/>
        </w:rPr>
        <w:t>,</w:t>
      </w:r>
      <w:r w:rsidR="004801ED">
        <w:rPr>
          <w:rFonts w:cs="Calibri"/>
          <w:color w:val="000000"/>
          <w:sz w:val="24"/>
          <w:szCs w:val="24"/>
        </w:rPr>
        <w:t xml:space="preserve"> to account for the difference in poverty rates when using free and reduced-price meals data for </w:t>
      </w:r>
      <w:r w:rsidR="00ED36C0">
        <w:rPr>
          <w:rFonts w:cs="Calibri"/>
          <w:color w:val="000000"/>
          <w:sz w:val="24"/>
          <w:szCs w:val="24"/>
        </w:rPr>
        <w:t>non-</w:t>
      </w:r>
      <w:r w:rsidR="003D7973">
        <w:rPr>
          <w:rFonts w:cs="Calibri"/>
          <w:color w:val="000000"/>
          <w:sz w:val="24"/>
          <w:szCs w:val="24"/>
        </w:rPr>
        <w:t>CEP</w:t>
      </w:r>
      <w:r w:rsidR="004801ED">
        <w:rPr>
          <w:rFonts w:cs="Calibri"/>
          <w:color w:val="000000"/>
          <w:sz w:val="24"/>
          <w:szCs w:val="24"/>
        </w:rPr>
        <w:t xml:space="preserve"> schools and direct certification data for </w:t>
      </w:r>
      <w:r w:rsidR="003D7973">
        <w:rPr>
          <w:rFonts w:cs="Calibri"/>
          <w:color w:val="000000"/>
          <w:sz w:val="24"/>
          <w:szCs w:val="24"/>
        </w:rPr>
        <w:t>CEP</w:t>
      </w:r>
      <w:r w:rsidR="00ED36C0">
        <w:rPr>
          <w:rFonts w:cs="Calibri"/>
          <w:color w:val="000000"/>
          <w:sz w:val="24"/>
          <w:szCs w:val="24"/>
        </w:rPr>
        <w:t xml:space="preserve"> school</w:t>
      </w:r>
      <w:r w:rsidR="004801ED">
        <w:rPr>
          <w:rFonts w:cs="Calibri"/>
          <w:color w:val="000000"/>
          <w:sz w:val="24"/>
          <w:szCs w:val="24"/>
        </w:rPr>
        <w:t>s, t</w:t>
      </w:r>
      <w:r w:rsidR="004801ED" w:rsidRPr="00A95143">
        <w:rPr>
          <w:rFonts w:cs="Calibri"/>
          <w:color w:val="000000"/>
          <w:sz w:val="24"/>
          <w:szCs w:val="24"/>
        </w:rPr>
        <w:t xml:space="preserve">he multiplier of 1.6 is intended to approximate the free and reduced-price </w:t>
      </w:r>
      <w:r w:rsidR="004801ED">
        <w:rPr>
          <w:rFonts w:cs="Calibri"/>
          <w:color w:val="000000"/>
          <w:sz w:val="24"/>
          <w:szCs w:val="24"/>
        </w:rPr>
        <w:t>meals</w:t>
      </w:r>
      <w:r w:rsidR="004801ED" w:rsidRPr="00A95143">
        <w:rPr>
          <w:rFonts w:cs="Calibri"/>
          <w:color w:val="000000"/>
          <w:sz w:val="24"/>
          <w:szCs w:val="24"/>
        </w:rPr>
        <w:t xml:space="preserve"> count for a </w:t>
      </w:r>
      <w:r w:rsidR="003D7973">
        <w:rPr>
          <w:rFonts w:cs="Calibri"/>
          <w:color w:val="000000"/>
          <w:sz w:val="24"/>
          <w:szCs w:val="24"/>
        </w:rPr>
        <w:t>CEP</w:t>
      </w:r>
      <w:r w:rsidR="004801ED" w:rsidRPr="00A95143">
        <w:rPr>
          <w:rFonts w:cs="Calibri"/>
          <w:color w:val="000000"/>
          <w:sz w:val="24"/>
          <w:szCs w:val="24"/>
        </w:rPr>
        <w:t xml:space="preserve"> school.  </w:t>
      </w:r>
    </w:p>
    <w:p w:rsidR="00EF5D10" w:rsidRDefault="00EF5D10" w:rsidP="00A95143">
      <w:pPr>
        <w:spacing w:after="0" w:line="240" w:lineRule="auto"/>
        <w:rPr>
          <w:rFonts w:cs="Calibri"/>
          <w:color w:val="000000"/>
          <w:sz w:val="24"/>
          <w:szCs w:val="24"/>
        </w:rPr>
      </w:pPr>
    </w:p>
    <w:p w:rsidR="00D505AE" w:rsidRDefault="006E0C6D" w:rsidP="00A95143">
      <w:pPr>
        <w:spacing w:after="0" w:line="240" w:lineRule="auto"/>
        <w:rPr>
          <w:rFonts w:cs="Calibri"/>
          <w:color w:val="000000"/>
          <w:sz w:val="24"/>
          <w:szCs w:val="24"/>
        </w:rPr>
      </w:pPr>
      <w:r w:rsidRPr="00A95143">
        <w:rPr>
          <w:rFonts w:cs="Calibri"/>
          <w:color w:val="000000"/>
          <w:sz w:val="24"/>
          <w:szCs w:val="24"/>
        </w:rPr>
        <w:t xml:space="preserve">A second approach is for the LEA to </w:t>
      </w:r>
      <w:r>
        <w:rPr>
          <w:rFonts w:cs="Calibri"/>
          <w:color w:val="000000"/>
          <w:sz w:val="24"/>
          <w:szCs w:val="24"/>
        </w:rPr>
        <w:t>use</w:t>
      </w:r>
      <w:r w:rsidRPr="00A95143">
        <w:rPr>
          <w:rFonts w:cs="Calibri"/>
          <w:color w:val="000000"/>
          <w:sz w:val="24"/>
          <w:szCs w:val="24"/>
        </w:rPr>
        <w:t xml:space="preserve"> the </w:t>
      </w:r>
      <w:r>
        <w:rPr>
          <w:rFonts w:cs="Calibri"/>
          <w:color w:val="000000"/>
          <w:sz w:val="24"/>
          <w:szCs w:val="24"/>
        </w:rPr>
        <w:t>number</w:t>
      </w:r>
      <w:r w:rsidRPr="00A95143">
        <w:rPr>
          <w:rFonts w:cs="Calibri"/>
          <w:color w:val="000000"/>
          <w:sz w:val="24"/>
          <w:szCs w:val="24"/>
        </w:rPr>
        <w:t xml:space="preserve"> of students</w:t>
      </w:r>
      <w:r>
        <w:rPr>
          <w:rFonts w:cs="Calibri"/>
          <w:color w:val="000000"/>
          <w:sz w:val="24"/>
          <w:szCs w:val="24"/>
        </w:rPr>
        <w:t xml:space="preserve"> directly certified through SNAP</w:t>
      </w:r>
      <w:r w:rsidRPr="00A95143">
        <w:rPr>
          <w:rFonts w:cs="Calibri"/>
          <w:color w:val="000000"/>
          <w:sz w:val="24"/>
          <w:szCs w:val="24"/>
        </w:rPr>
        <w:t xml:space="preserve"> </w:t>
      </w:r>
      <w:r>
        <w:rPr>
          <w:rFonts w:cs="Calibri"/>
          <w:color w:val="000000"/>
          <w:sz w:val="24"/>
          <w:szCs w:val="24"/>
        </w:rPr>
        <w:t>(or another direct certification measure available</w:t>
      </w:r>
      <w:r w:rsidRPr="000E0624">
        <w:rPr>
          <w:rFonts w:cs="Calibri"/>
          <w:color w:val="000000"/>
          <w:sz w:val="24"/>
          <w:szCs w:val="24"/>
        </w:rPr>
        <w:t xml:space="preserve"> </w:t>
      </w:r>
      <w:r>
        <w:rPr>
          <w:rFonts w:cs="Calibri"/>
          <w:color w:val="000000"/>
          <w:sz w:val="24"/>
          <w:szCs w:val="24"/>
        </w:rPr>
        <w:t xml:space="preserve">annually) </w:t>
      </w:r>
      <w:r w:rsidRPr="00A95143">
        <w:rPr>
          <w:rFonts w:cs="Calibri"/>
          <w:color w:val="000000"/>
          <w:sz w:val="24"/>
          <w:szCs w:val="24"/>
        </w:rPr>
        <w:t xml:space="preserve">in </w:t>
      </w:r>
      <w:r>
        <w:rPr>
          <w:rFonts w:cs="Calibri"/>
          <w:color w:val="000000"/>
          <w:sz w:val="24"/>
          <w:szCs w:val="24"/>
        </w:rPr>
        <w:t>both CEP</w:t>
      </w:r>
      <w:r w:rsidRPr="00A95143">
        <w:rPr>
          <w:rFonts w:cs="Calibri"/>
          <w:color w:val="000000"/>
          <w:sz w:val="24"/>
          <w:szCs w:val="24"/>
        </w:rPr>
        <w:t xml:space="preserve"> and non-</w:t>
      </w:r>
      <w:r>
        <w:rPr>
          <w:rFonts w:cs="Calibri"/>
          <w:color w:val="000000"/>
          <w:sz w:val="24"/>
          <w:szCs w:val="24"/>
        </w:rPr>
        <w:t>CEP</w:t>
      </w:r>
      <w:r w:rsidRPr="00A95143">
        <w:rPr>
          <w:rFonts w:cs="Calibri"/>
          <w:color w:val="000000"/>
          <w:sz w:val="24"/>
          <w:szCs w:val="24"/>
        </w:rPr>
        <w:t xml:space="preserve"> schools.  </w:t>
      </w:r>
      <w:r w:rsidRPr="00A95143">
        <w:rPr>
          <w:rFonts w:cs="Calibri"/>
          <w:color w:val="000000"/>
          <w:sz w:val="24"/>
          <w:szCs w:val="24"/>
        </w:rPr>
        <w:lastRenderedPageBreak/>
        <w:t xml:space="preserve">(As noted </w:t>
      </w:r>
      <w:r w:rsidRPr="00450414">
        <w:rPr>
          <w:rFonts w:cs="Calibri"/>
          <w:color w:val="000000"/>
          <w:sz w:val="24"/>
          <w:szCs w:val="24"/>
        </w:rPr>
        <w:t xml:space="preserve">in </w:t>
      </w:r>
      <w:r w:rsidRPr="00D51748">
        <w:rPr>
          <w:rFonts w:cs="Calibri"/>
          <w:color w:val="000000"/>
          <w:sz w:val="24"/>
          <w:szCs w:val="24"/>
        </w:rPr>
        <w:t>Question 12</w:t>
      </w:r>
      <w:r w:rsidRPr="00450414">
        <w:rPr>
          <w:rFonts w:cs="Calibri"/>
          <w:color w:val="000000"/>
          <w:sz w:val="24"/>
          <w:szCs w:val="24"/>
        </w:rPr>
        <w:t xml:space="preserve">, because all schools, not just </w:t>
      </w:r>
      <w:r>
        <w:rPr>
          <w:rFonts w:cs="Calibri"/>
          <w:color w:val="000000"/>
          <w:sz w:val="24"/>
          <w:szCs w:val="24"/>
        </w:rPr>
        <w:t>CEP</w:t>
      </w:r>
      <w:r w:rsidRPr="00450414">
        <w:rPr>
          <w:rFonts w:cs="Calibri"/>
          <w:color w:val="000000"/>
          <w:sz w:val="24"/>
          <w:szCs w:val="24"/>
        </w:rPr>
        <w:t xml:space="preserve"> schools, must directly certify students</w:t>
      </w:r>
      <w:r>
        <w:rPr>
          <w:rFonts w:cs="Calibri"/>
          <w:color w:val="000000"/>
          <w:sz w:val="24"/>
          <w:szCs w:val="24"/>
        </w:rPr>
        <w:t xml:space="preserve"> through SNAP</w:t>
      </w:r>
      <w:r w:rsidRPr="00A95143">
        <w:rPr>
          <w:rFonts w:cs="Calibri"/>
          <w:color w:val="000000"/>
          <w:sz w:val="24"/>
          <w:szCs w:val="24"/>
        </w:rPr>
        <w:t>, an LEA should have direct certification data for each of its schools.</w:t>
      </w:r>
      <w:r>
        <w:rPr>
          <w:rFonts w:cs="Calibri"/>
          <w:color w:val="000000"/>
          <w:sz w:val="24"/>
          <w:szCs w:val="24"/>
        </w:rPr>
        <w:t>)</w:t>
      </w:r>
      <w:r w:rsidR="003E0880">
        <w:rPr>
          <w:rFonts w:cs="Calibri"/>
          <w:color w:val="000000"/>
          <w:sz w:val="24"/>
          <w:szCs w:val="24"/>
        </w:rPr>
        <w:t xml:space="preserve">  </w:t>
      </w:r>
    </w:p>
    <w:p w:rsidR="00D505AE" w:rsidRDefault="00D505AE" w:rsidP="00A95143">
      <w:pPr>
        <w:spacing w:after="0" w:line="240" w:lineRule="auto"/>
        <w:rPr>
          <w:rFonts w:cs="Calibri"/>
          <w:color w:val="000000"/>
          <w:sz w:val="24"/>
          <w:szCs w:val="24"/>
        </w:rPr>
      </w:pPr>
    </w:p>
    <w:p w:rsidR="00997A69" w:rsidRPr="00A95143" w:rsidRDefault="006E0C6D" w:rsidP="00A95143">
      <w:pPr>
        <w:spacing w:after="0" w:line="240" w:lineRule="auto"/>
        <w:rPr>
          <w:rFonts w:cs="Calibri"/>
          <w:color w:val="000000"/>
          <w:sz w:val="24"/>
          <w:szCs w:val="24"/>
        </w:rPr>
      </w:pPr>
      <w:r>
        <w:rPr>
          <w:rFonts w:cs="Calibri"/>
          <w:color w:val="000000"/>
          <w:sz w:val="24"/>
          <w:szCs w:val="24"/>
        </w:rPr>
        <w:t>A third approach consists of applying the 1.6 multiplier to the number of students in CEP and non-CEP schools who are directly certified through SNAP</w:t>
      </w:r>
      <w:r w:rsidRPr="00A95143">
        <w:rPr>
          <w:rFonts w:cs="Calibri"/>
          <w:color w:val="000000"/>
          <w:sz w:val="24"/>
          <w:szCs w:val="24"/>
        </w:rPr>
        <w:t xml:space="preserve"> </w:t>
      </w:r>
      <w:r>
        <w:rPr>
          <w:rFonts w:cs="Calibri"/>
          <w:color w:val="000000"/>
          <w:sz w:val="24"/>
          <w:szCs w:val="24"/>
        </w:rPr>
        <w:t>(or another direct certification measure available</w:t>
      </w:r>
      <w:r w:rsidRPr="000E0624">
        <w:rPr>
          <w:rFonts w:cs="Calibri"/>
          <w:color w:val="000000"/>
          <w:sz w:val="24"/>
          <w:szCs w:val="24"/>
        </w:rPr>
        <w:t xml:space="preserve"> </w:t>
      </w:r>
      <w:r>
        <w:rPr>
          <w:rFonts w:cs="Calibri"/>
          <w:color w:val="000000"/>
          <w:sz w:val="24"/>
          <w:szCs w:val="24"/>
        </w:rPr>
        <w:t>annually).</w:t>
      </w:r>
      <w:r>
        <w:rPr>
          <w:rStyle w:val="FootnoteReference"/>
          <w:color w:val="000000"/>
          <w:sz w:val="24"/>
          <w:szCs w:val="24"/>
        </w:rPr>
        <w:footnoteReference w:id="8"/>
      </w:r>
      <w:r>
        <w:rPr>
          <w:rFonts w:cs="Calibri"/>
          <w:color w:val="000000"/>
          <w:sz w:val="24"/>
          <w:szCs w:val="24"/>
        </w:rPr>
        <w:t xml:space="preserve">  This approach would not change the order in which schools are ranked based on direct certification data alone, but</w:t>
      </w:r>
      <w:r w:rsidR="000519BF">
        <w:rPr>
          <w:rFonts w:cs="Calibri"/>
          <w:color w:val="000000"/>
          <w:sz w:val="24"/>
          <w:szCs w:val="24"/>
        </w:rPr>
        <w:t xml:space="preserve">, due to the inclusion of the multiplier, </w:t>
      </w:r>
      <w:r>
        <w:rPr>
          <w:rFonts w:cs="Calibri"/>
          <w:color w:val="000000"/>
          <w:sz w:val="24"/>
          <w:szCs w:val="24"/>
        </w:rPr>
        <w:t xml:space="preserve">would result in a higher poverty percentage for each school compared to using direct certification data alone for the purpose of within-district Title I allocations.  </w:t>
      </w:r>
      <w:r w:rsidR="00306708">
        <w:rPr>
          <w:rFonts w:cs="Calibri"/>
          <w:color w:val="000000"/>
          <w:sz w:val="24"/>
          <w:szCs w:val="24"/>
        </w:rPr>
        <w:t xml:space="preserve">An LEA may wish to </w:t>
      </w:r>
      <w:r w:rsidR="000B0238">
        <w:rPr>
          <w:rFonts w:cs="Calibri"/>
          <w:color w:val="000000"/>
          <w:sz w:val="24"/>
          <w:szCs w:val="24"/>
        </w:rPr>
        <w:t xml:space="preserve">use </w:t>
      </w:r>
      <w:r w:rsidR="000519BF">
        <w:rPr>
          <w:rFonts w:cs="Calibri"/>
          <w:color w:val="000000"/>
          <w:sz w:val="24"/>
          <w:szCs w:val="24"/>
        </w:rPr>
        <w:t xml:space="preserve">this </w:t>
      </w:r>
      <w:r w:rsidR="000B0238">
        <w:rPr>
          <w:rFonts w:cs="Calibri"/>
          <w:color w:val="000000"/>
          <w:sz w:val="24"/>
          <w:szCs w:val="24"/>
        </w:rPr>
        <w:t>approach</w:t>
      </w:r>
      <w:r w:rsidR="00306708">
        <w:rPr>
          <w:rFonts w:cs="Calibri"/>
          <w:color w:val="000000"/>
          <w:sz w:val="24"/>
          <w:szCs w:val="24"/>
        </w:rPr>
        <w:t xml:space="preserve"> for several reasons</w:t>
      </w:r>
      <w:r w:rsidR="004424C0">
        <w:rPr>
          <w:rFonts w:cs="Calibri"/>
          <w:color w:val="000000"/>
          <w:sz w:val="24"/>
          <w:szCs w:val="24"/>
        </w:rPr>
        <w:t>.</w:t>
      </w:r>
      <w:r w:rsidR="002A018F">
        <w:rPr>
          <w:rFonts w:cs="Calibri"/>
          <w:color w:val="000000"/>
          <w:sz w:val="24"/>
          <w:szCs w:val="24"/>
        </w:rPr>
        <w:t xml:space="preserve"> </w:t>
      </w:r>
      <w:r w:rsidR="00306708">
        <w:rPr>
          <w:rFonts w:cs="Calibri"/>
          <w:color w:val="000000"/>
          <w:sz w:val="24"/>
          <w:szCs w:val="24"/>
        </w:rPr>
        <w:t xml:space="preserve"> </w:t>
      </w:r>
      <w:r w:rsidR="004424C0">
        <w:rPr>
          <w:rFonts w:cs="Calibri"/>
          <w:color w:val="000000"/>
          <w:sz w:val="24"/>
          <w:szCs w:val="24"/>
        </w:rPr>
        <w:t>F</w:t>
      </w:r>
      <w:r w:rsidR="000B0238">
        <w:rPr>
          <w:rFonts w:cs="Calibri"/>
          <w:color w:val="000000"/>
          <w:sz w:val="24"/>
          <w:szCs w:val="24"/>
        </w:rPr>
        <w:t xml:space="preserve">or example, </w:t>
      </w:r>
      <w:r w:rsidR="00306708">
        <w:rPr>
          <w:rFonts w:cs="Calibri"/>
          <w:color w:val="000000"/>
          <w:sz w:val="24"/>
          <w:szCs w:val="24"/>
        </w:rPr>
        <w:t xml:space="preserve">more of </w:t>
      </w:r>
      <w:r w:rsidR="003B0FD1">
        <w:rPr>
          <w:rFonts w:cs="Calibri"/>
          <w:color w:val="000000"/>
          <w:sz w:val="24"/>
          <w:szCs w:val="24"/>
        </w:rPr>
        <w:t xml:space="preserve">an LEA’s </w:t>
      </w:r>
      <w:r w:rsidR="00306708">
        <w:rPr>
          <w:rFonts w:cs="Calibri"/>
          <w:color w:val="000000"/>
          <w:sz w:val="24"/>
          <w:szCs w:val="24"/>
        </w:rPr>
        <w:t>schools may be eligible for Title I</w:t>
      </w:r>
      <w:r w:rsidR="004949C8">
        <w:rPr>
          <w:rFonts w:cs="Calibri"/>
          <w:color w:val="000000"/>
          <w:sz w:val="24"/>
          <w:szCs w:val="24"/>
        </w:rPr>
        <w:t xml:space="preserve"> using this approach than with direct certification alone and, as a result, an LEA may be able to more closely approximate the number of schools that would have been eligible if the LEA had used a combination of direct certification data and household applications</w:t>
      </w:r>
      <w:r w:rsidR="00306708">
        <w:rPr>
          <w:rFonts w:cs="Calibri"/>
          <w:color w:val="000000"/>
          <w:sz w:val="24"/>
          <w:szCs w:val="24"/>
        </w:rPr>
        <w:t>.</w:t>
      </w:r>
      <w:r w:rsidR="00286D6F">
        <w:rPr>
          <w:rFonts w:cs="Calibri"/>
          <w:color w:val="000000"/>
          <w:sz w:val="24"/>
          <w:szCs w:val="24"/>
        </w:rPr>
        <w:t xml:space="preserve">  </w:t>
      </w:r>
      <w:r w:rsidR="003E0880">
        <w:rPr>
          <w:rFonts w:cs="Calibri"/>
          <w:color w:val="000000"/>
          <w:sz w:val="24"/>
          <w:szCs w:val="24"/>
        </w:rPr>
        <w:t xml:space="preserve">   </w:t>
      </w:r>
      <w:r w:rsidR="00997A69" w:rsidRPr="00A95143">
        <w:rPr>
          <w:rFonts w:cs="Calibri"/>
          <w:color w:val="000000"/>
          <w:sz w:val="24"/>
          <w:szCs w:val="24"/>
        </w:rPr>
        <w:t xml:space="preserve">  </w:t>
      </w:r>
    </w:p>
    <w:p w:rsidR="00997A69" w:rsidRPr="00A95143" w:rsidRDefault="00997A69" w:rsidP="00A95143">
      <w:pPr>
        <w:spacing w:after="0" w:line="240" w:lineRule="auto"/>
        <w:rPr>
          <w:rFonts w:cs="Calibri"/>
          <w:color w:val="000000"/>
          <w:sz w:val="24"/>
          <w:szCs w:val="24"/>
        </w:rPr>
      </w:pPr>
    </w:p>
    <w:p w:rsidR="00997A69" w:rsidRDefault="000519BF" w:rsidP="00AB0BCF">
      <w:pPr>
        <w:spacing w:after="0" w:line="240" w:lineRule="auto"/>
        <w:rPr>
          <w:rFonts w:cs="Calibri"/>
          <w:color w:val="000000"/>
          <w:sz w:val="24"/>
          <w:szCs w:val="24"/>
        </w:rPr>
        <w:sectPr w:rsidR="00997A69" w:rsidSect="00877451">
          <w:headerReference w:type="default" r:id="rId15"/>
          <w:pgSz w:w="12240" w:h="15840"/>
          <w:pgMar w:top="1440" w:right="1440" w:bottom="1440" w:left="1440" w:header="720" w:footer="288" w:gutter="0"/>
          <w:pgNumType w:start="1"/>
          <w:cols w:space="720"/>
          <w:docGrid w:linePitch="360"/>
        </w:sectPr>
      </w:pPr>
      <w:r>
        <w:rPr>
          <w:rFonts w:cs="Calibri"/>
          <w:color w:val="000000"/>
          <w:sz w:val="24"/>
          <w:szCs w:val="24"/>
        </w:rPr>
        <w:t>Below, we provide examples of each of these approaches.  Example A</w:t>
      </w:r>
      <w:r w:rsidRPr="00A95143">
        <w:rPr>
          <w:rFonts w:cs="Calibri"/>
          <w:color w:val="000000"/>
          <w:sz w:val="24"/>
          <w:szCs w:val="24"/>
        </w:rPr>
        <w:t xml:space="preserve"> shows how the first approach would work, using the 1.6 multiplier</w:t>
      </w:r>
      <w:r>
        <w:rPr>
          <w:rFonts w:cs="Calibri"/>
          <w:color w:val="000000"/>
          <w:sz w:val="24"/>
          <w:szCs w:val="24"/>
        </w:rPr>
        <w:t xml:space="preserve"> for CEP schools</w:t>
      </w:r>
      <w:r w:rsidRPr="00A95143">
        <w:rPr>
          <w:rFonts w:cs="Calibri"/>
          <w:color w:val="000000"/>
          <w:sz w:val="24"/>
          <w:szCs w:val="24"/>
        </w:rPr>
        <w:t>, for a hypothetical LEA with $1,000,000 to distribute to its Title</w:t>
      </w:r>
      <w:r>
        <w:rPr>
          <w:rFonts w:cs="Calibri"/>
          <w:color w:val="000000"/>
          <w:sz w:val="24"/>
          <w:szCs w:val="24"/>
        </w:rPr>
        <w:t xml:space="preserve"> I schools, which consist of three</w:t>
      </w:r>
      <w:r w:rsidRPr="00A95143">
        <w:rPr>
          <w:rFonts w:cs="Calibri"/>
          <w:color w:val="000000"/>
          <w:sz w:val="24"/>
          <w:szCs w:val="24"/>
        </w:rPr>
        <w:t xml:space="preserve"> </w:t>
      </w:r>
      <w:r>
        <w:rPr>
          <w:rFonts w:cs="Calibri"/>
          <w:color w:val="000000"/>
          <w:sz w:val="24"/>
          <w:szCs w:val="24"/>
        </w:rPr>
        <w:t>CEP schools and three</w:t>
      </w:r>
      <w:r w:rsidRPr="00A95143">
        <w:rPr>
          <w:rFonts w:cs="Calibri"/>
          <w:color w:val="000000"/>
          <w:sz w:val="24"/>
          <w:szCs w:val="24"/>
        </w:rPr>
        <w:t xml:space="preserve"> non-</w:t>
      </w:r>
      <w:r>
        <w:rPr>
          <w:rFonts w:cs="Calibri"/>
          <w:color w:val="000000"/>
          <w:sz w:val="24"/>
          <w:szCs w:val="24"/>
        </w:rPr>
        <w:t>CEP</w:t>
      </w:r>
      <w:r w:rsidRPr="00A95143">
        <w:rPr>
          <w:rFonts w:cs="Calibri"/>
          <w:color w:val="000000"/>
          <w:sz w:val="24"/>
          <w:szCs w:val="24"/>
        </w:rPr>
        <w:t xml:space="preserve"> schools.  </w:t>
      </w:r>
      <w:r>
        <w:rPr>
          <w:rFonts w:cs="Calibri"/>
          <w:color w:val="000000"/>
          <w:sz w:val="24"/>
          <w:szCs w:val="24"/>
        </w:rPr>
        <w:t>Example B</w:t>
      </w:r>
      <w:r w:rsidRPr="00A95143">
        <w:rPr>
          <w:rFonts w:cs="Calibri"/>
          <w:color w:val="000000"/>
          <w:sz w:val="24"/>
          <w:szCs w:val="24"/>
        </w:rPr>
        <w:t xml:space="preserve"> illustrates</w:t>
      </w:r>
      <w:r>
        <w:rPr>
          <w:rFonts w:cs="Calibri"/>
          <w:color w:val="000000"/>
          <w:sz w:val="24"/>
          <w:szCs w:val="24"/>
        </w:rPr>
        <w:t xml:space="preserve"> the</w:t>
      </w:r>
      <w:r w:rsidRPr="00A95143">
        <w:rPr>
          <w:rFonts w:cs="Calibri"/>
          <w:color w:val="000000"/>
          <w:sz w:val="24"/>
          <w:szCs w:val="24"/>
        </w:rPr>
        <w:t xml:space="preserve"> </w:t>
      </w:r>
      <w:r>
        <w:rPr>
          <w:rFonts w:cs="Calibri"/>
          <w:color w:val="000000"/>
          <w:sz w:val="24"/>
          <w:szCs w:val="24"/>
        </w:rPr>
        <w:t xml:space="preserve">second approach, using </w:t>
      </w:r>
      <w:r w:rsidRPr="00A95143">
        <w:rPr>
          <w:rFonts w:cs="Calibri"/>
          <w:color w:val="000000"/>
          <w:sz w:val="24"/>
          <w:szCs w:val="24"/>
        </w:rPr>
        <w:t>direct certification data</w:t>
      </w:r>
      <w:r>
        <w:rPr>
          <w:rFonts w:cs="Calibri"/>
          <w:color w:val="000000"/>
          <w:sz w:val="24"/>
          <w:szCs w:val="24"/>
        </w:rPr>
        <w:t xml:space="preserve"> from SNAP for all schools in an LEA with two CEP schools and four </w:t>
      </w:r>
      <w:r w:rsidRPr="00A95143">
        <w:rPr>
          <w:rFonts w:cs="Calibri"/>
          <w:color w:val="000000"/>
          <w:sz w:val="24"/>
          <w:szCs w:val="24"/>
        </w:rPr>
        <w:t>non-</w:t>
      </w:r>
      <w:r>
        <w:rPr>
          <w:rFonts w:cs="Calibri"/>
          <w:color w:val="000000"/>
          <w:sz w:val="24"/>
          <w:szCs w:val="24"/>
        </w:rPr>
        <w:t>CEP</w:t>
      </w:r>
      <w:r w:rsidRPr="00A95143">
        <w:rPr>
          <w:rFonts w:cs="Calibri"/>
          <w:color w:val="000000"/>
          <w:sz w:val="24"/>
          <w:szCs w:val="24"/>
        </w:rPr>
        <w:t xml:space="preserve"> schools.</w:t>
      </w:r>
      <w:r>
        <w:rPr>
          <w:rFonts w:cs="Calibri"/>
          <w:color w:val="000000"/>
          <w:sz w:val="24"/>
          <w:szCs w:val="24"/>
        </w:rPr>
        <w:t xml:space="preserve">  As detailed in the table footnotes, two schools, Harding and Coolidge, are not eligible in Example B.  Using the Example B schools and the same direct certification data for each school, Example C demonstrates the third approach by applying the 1.6 multiplier to the direct certification data for all schools.  In this example, as detailed in the table footnotes, Harding is now eligible for Title I.</w:t>
      </w:r>
      <w:r w:rsidR="00A74EB5">
        <w:rPr>
          <w:rFonts w:cs="Calibri"/>
          <w:color w:val="000000"/>
          <w:sz w:val="24"/>
          <w:szCs w:val="24"/>
        </w:rPr>
        <w:t xml:space="preserve">  </w:t>
      </w:r>
    </w:p>
    <w:p w:rsidR="00997A69" w:rsidRDefault="00997A69" w:rsidP="00AB0BCF">
      <w:pPr>
        <w:spacing w:after="0" w:line="240" w:lineRule="auto"/>
      </w:pPr>
    </w:p>
    <w:p w:rsidR="00997A69" w:rsidRDefault="00997A69" w:rsidP="00AB0BCF">
      <w:pPr>
        <w:spacing w:after="0" w:line="240" w:lineRule="auto"/>
        <w:jc w:val="center"/>
        <w:rPr>
          <w:rFonts w:cs="Calibri"/>
          <w:b/>
          <w:color w:val="000000"/>
          <w:sz w:val="24"/>
          <w:szCs w:val="24"/>
          <w:u w:val="single"/>
        </w:rPr>
      </w:pPr>
    </w:p>
    <w:p w:rsidR="00997A69" w:rsidRDefault="00997A69" w:rsidP="00AB0BCF">
      <w:pPr>
        <w:spacing w:after="0" w:line="240" w:lineRule="auto"/>
        <w:jc w:val="center"/>
        <w:rPr>
          <w:rFonts w:cs="Calibri"/>
          <w:b/>
          <w:color w:val="000000"/>
          <w:sz w:val="24"/>
          <w:szCs w:val="24"/>
          <w:u w:val="single"/>
        </w:rPr>
      </w:pPr>
    </w:p>
    <w:p w:rsidR="00997A69" w:rsidRPr="002F6771" w:rsidRDefault="00997A69" w:rsidP="00AB0BCF">
      <w:pPr>
        <w:spacing w:after="0" w:line="240" w:lineRule="auto"/>
        <w:jc w:val="center"/>
        <w:rPr>
          <w:rFonts w:cs="Calibri"/>
          <w:b/>
          <w:color w:val="000000"/>
          <w:sz w:val="24"/>
          <w:szCs w:val="24"/>
          <w:u w:val="single"/>
        </w:rPr>
      </w:pPr>
      <w:r w:rsidRPr="002F6771">
        <w:rPr>
          <w:rFonts w:cs="Calibri"/>
          <w:b/>
          <w:color w:val="000000"/>
          <w:sz w:val="24"/>
          <w:szCs w:val="24"/>
          <w:u w:val="single"/>
        </w:rPr>
        <w:t>Example</w:t>
      </w:r>
      <w:r>
        <w:rPr>
          <w:rFonts w:cs="Calibri"/>
          <w:b/>
          <w:color w:val="000000"/>
          <w:sz w:val="24"/>
          <w:szCs w:val="24"/>
          <w:u w:val="single"/>
        </w:rPr>
        <w:t xml:space="preserve"> A</w:t>
      </w:r>
    </w:p>
    <w:p w:rsidR="00997A69" w:rsidRDefault="00997A69" w:rsidP="00AB0BCF">
      <w:pPr>
        <w:spacing w:after="0" w:line="240" w:lineRule="auto"/>
        <w:jc w:val="center"/>
        <w:rPr>
          <w:rFonts w:cs="Calibri"/>
          <w:b/>
          <w:color w:val="000000"/>
          <w:sz w:val="24"/>
          <w:szCs w:val="24"/>
        </w:rPr>
      </w:pPr>
    </w:p>
    <w:p w:rsidR="00997A69" w:rsidRPr="002F6771" w:rsidRDefault="00997A69" w:rsidP="00AB0BCF">
      <w:pPr>
        <w:spacing w:after="0" w:line="240" w:lineRule="auto"/>
        <w:jc w:val="center"/>
        <w:rPr>
          <w:rFonts w:cs="Calibri"/>
          <w:b/>
          <w:color w:val="000000"/>
          <w:sz w:val="24"/>
          <w:szCs w:val="24"/>
        </w:rPr>
      </w:pPr>
      <w:r w:rsidRPr="002F6771">
        <w:rPr>
          <w:rFonts w:cs="Calibri"/>
          <w:b/>
          <w:color w:val="000000"/>
          <w:sz w:val="24"/>
          <w:szCs w:val="24"/>
        </w:rPr>
        <w:t xml:space="preserve">Within-District Title I Allocations </w:t>
      </w:r>
      <w:r>
        <w:rPr>
          <w:rFonts w:cs="Calibri"/>
          <w:b/>
          <w:color w:val="000000"/>
          <w:sz w:val="24"/>
          <w:szCs w:val="24"/>
        </w:rPr>
        <w:t>in</w:t>
      </w:r>
      <w:r w:rsidRPr="002F6771">
        <w:rPr>
          <w:rFonts w:cs="Calibri"/>
          <w:b/>
          <w:color w:val="000000"/>
          <w:sz w:val="24"/>
          <w:szCs w:val="24"/>
        </w:rPr>
        <w:t xml:space="preserve"> a</w:t>
      </w:r>
      <w:r>
        <w:rPr>
          <w:rFonts w:cs="Calibri"/>
          <w:b/>
          <w:color w:val="000000"/>
          <w:sz w:val="24"/>
          <w:szCs w:val="24"/>
        </w:rPr>
        <w:t>n</w:t>
      </w:r>
      <w:r w:rsidRPr="002F6771">
        <w:rPr>
          <w:rFonts w:cs="Calibri"/>
          <w:b/>
          <w:color w:val="000000"/>
          <w:sz w:val="24"/>
          <w:szCs w:val="24"/>
        </w:rPr>
        <w:t xml:space="preserve"> LEA with a </w:t>
      </w:r>
    </w:p>
    <w:p w:rsidR="00997A69" w:rsidRPr="002F6771" w:rsidRDefault="00997A69" w:rsidP="00AB0BCF">
      <w:pPr>
        <w:spacing w:after="0" w:line="240" w:lineRule="auto"/>
        <w:jc w:val="center"/>
        <w:rPr>
          <w:rFonts w:cs="Calibri"/>
          <w:b/>
          <w:color w:val="000000"/>
          <w:sz w:val="24"/>
          <w:szCs w:val="24"/>
        </w:rPr>
      </w:pPr>
      <w:r w:rsidRPr="002F6771">
        <w:rPr>
          <w:rFonts w:cs="Calibri"/>
          <w:b/>
          <w:color w:val="000000"/>
          <w:sz w:val="24"/>
          <w:szCs w:val="24"/>
        </w:rPr>
        <w:t xml:space="preserve">Combination of </w:t>
      </w:r>
      <w:smartTag w:uri="urn:schemas-microsoft-com:office:smarttags" w:element="PlaceName">
        <w:r w:rsidR="003D7973">
          <w:rPr>
            <w:rFonts w:cs="Calibri"/>
            <w:b/>
            <w:color w:val="000000"/>
            <w:sz w:val="24"/>
            <w:szCs w:val="24"/>
          </w:rPr>
          <w:t>CEP</w:t>
        </w:r>
      </w:smartTag>
      <w:r w:rsidRPr="002F6771">
        <w:rPr>
          <w:rFonts w:cs="Calibri"/>
          <w:b/>
          <w:color w:val="000000"/>
          <w:sz w:val="24"/>
          <w:szCs w:val="24"/>
        </w:rPr>
        <w:t xml:space="preserve"> </w:t>
      </w:r>
      <w:smartTag w:uri="urn:schemas-microsoft-com:office:smarttags" w:element="PlaceType">
        <w:r w:rsidRPr="002F6771">
          <w:rPr>
            <w:rFonts w:cs="Calibri"/>
            <w:b/>
            <w:color w:val="000000"/>
            <w:sz w:val="24"/>
            <w:szCs w:val="24"/>
          </w:rPr>
          <w:t>Schools</w:t>
        </w:r>
      </w:smartTag>
      <w:r w:rsidRPr="002F6771">
        <w:rPr>
          <w:rFonts w:cs="Calibri"/>
          <w:b/>
          <w:color w:val="000000"/>
          <w:sz w:val="24"/>
          <w:szCs w:val="24"/>
        </w:rPr>
        <w:t xml:space="preserve"> and </w:t>
      </w:r>
      <w:smartTag w:uri="urn:schemas-microsoft-com:office:smarttags" w:element="place">
        <w:smartTag w:uri="urn:schemas-microsoft-com:office:smarttags" w:element="PlaceName">
          <w:r>
            <w:rPr>
              <w:rFonts w:cs="Calibri"/>
              <w:b/>
              <w:color w:val="000000"/>
              <w:sz w:val="24"/>
              <w:szCs w:val="24"/>
            </w:rPr>
            <w:t>Non-</w:t>
          </w:r>
          <w:r w:rsidR="003D7973">
            <w:rPr>
              <w:rFonts w:cs="Calibri"/>
              <w:b/>
              <w:color w:val="000000"/>
              <w:sz w:val="24"/>
              <w:szCs w:val="24"/>
            </w:rPr>
            <w:t>CEP</w:t>
          </w:r>
        </w:smartTag>
        <w:r w:rsidRPr="002F6771">
          <w:rPr>
            <w:rFonts w:cs="Calibri"/>
            <w:b/>
            <w:color w:val="000000"/>
            <w:sz w:val="24"/>
            <w:szCs w:val="24"/>
          </w:rPr>
          <w:t xml:space="preserve"> </w:t>
        </w:r>
        <w:smartTag w:uri="urn:schemas-microsoft-com:office:smarttags" w:element="PlaceType">
          <w:r w:rsidRPr="002F6771">
            <w:rPr>
              <w:rFonts w:cs="Calibri"/>
              <w:b/>
              <w:color w:val="000000"/>
              <w:sz w:val="24"/>
              <w:szCs w:val="24"/>
            </w:rPr>
            <w:t>Schools</w:t>
          </w:r>
        </w:smartTag>
      </w:smartTag>
    </w:p>
    <w:p w:rsidR="00997A69" w:rsidRPr="002F6771" w:rsidRDefault="00997A69" w:rsidP="00AB0BCF">
      <w:pPr>
        <w:spacing w:after="0" w:line="240" w:lineRule="auto"/>
        <w:rPr>
          <w:rFonts w:cs="Calibri"/>
          <w:color w:val="000000"/>
          <w:sz w:val="24"/>
          <w:szCs w:val="24"/>
        </w:rPr>
      </w:pPr>
    </w:p>
    <w:tbl>
      <w:tblPr>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3"/>
        <w:gridCol w:w="1384"/>
        <w:gridCol w:w="1194"/>
        <w:gridCol w:w="1765"/>
        <w:gridCol w:w="2102"/>
        <w:gridCol w:w="1185"/>
        <w:gridCol w:w="1100"/>
        <w:gridCol w:w="1483"/>
        <w:gridCol w:w="1027"/>
        <w:gridCol w:w="1740"/>
      </w:tblGrid>
      <w:tr w:rsidR="00997A69" w:rsidRPr="0000365A" w:rsidTr="00963A4A">
        <w:trPr>
          <w:jc w:val="center"/>
        </w:trPr>
        <w:tc>
          <w:tcPr>
            <w:tcW w:w="1178" w:type="dxa"/>
          </w:tcPr>
          <w:p w:rsidR="00997A69" w:rsidRPr="00963A4A" w:rsidRDefault="00997A69" w:rsidP="00963A4A">
            <w:pPr>
              <w:spacing w:after="0" w:line="240" w:lineRule="auto"/>
              <w:jc w:val="center"/>
              <w:rPr>
                <w:rFonts w:cs="Calibri"/>
                <w:color w:val="000000"/>
                <w:sz w:val="20"/>
                <w:szCs w:val="20"/>
              </w:rPr>
            </w:pPr>
            <w:r w:rsidRPr="00963A4A">
              <w:rPr>
                <w:rFonts w:cs="Calibri"/>
                <w:color w:val="000000"/>
                <w:sz w:val="20"/>
                <w:szCs w:val="20"/>
              </w:rPr>
              <w:t>Column 1</w:t>
            </w:r>
          </w:p>
        </w:tc>
        <w:tc>
          <w:tcPr>
            <w:tcW w:w="1413" w:type="dxa"/>
          </w:tcPr>
          <w:p w:rsidR="00997A69" w:rsidRPr="00963A4A" w:rsidRDefault="00997A69" w:rsidP="00963A4A">
            <w:pPr>
              <w:spacing w:after="0" w:line="240" w:lineRule="auto"/>
              <w:jc w:val="center"/>
              <w:rPr>
                <w:rFonts w:cs="Calibri"/>
                <w:sz w:val="20"/>
                <w:szCs w:val="20"/>
              </w:rPr>
            </w:pPr>
            <w:r w:rsidRPr="00963A4A">
              <w:rPr>
                <w:rFonts w:cs="Calibri"/>
                <w:color w:val="000000"/>
                <w:sz w:val="20"/>
                <w:szCs w:val="20"/>
              </w:rPr>
              <w:t>Column 2</w:t>
            </w:r>
          </w:p>
        </w:tc>
        <w:tc>
          <w:tcPr>
            <w:tcW w:w="1096" w:type="dxa"/>
          </w:tcPr>
          <w:p w:rsidR="00997A69" w:rsidRPr="00963A4A" w:rsidRDefault="00997A69" w:rsidP="00963A4A">
            <w:pPr>
              <w:spacing w:after="0" w:line="240" w:lineRule="auto"/>
              <w:jc w:val="center"/>
              <w:rPr>
                <w:rFonts w:cs="Calibri"/>
                <w:sz w:val="20"/>
                <w:szCs w:val="20"/>
              </w:rPr>
            </w:pPr>
            <w:r w:rsidRPr="00963A4A">
              <w:rPr>
                <w:rFonts w:cs="Calibri"/>
                <w:color w:val="000000"/>
                <w:sz w:val="20"/>
                <w:szCs w:val="20"/>
              </w:rPr>
              <w:t>Column 3</w:t>
            </w:r>
          </w:p>
        </w:tc>
        <w:tc>
          <w:tcPr>
            <w:tcW w:w="1804" w:type="dxa"/>
          </w:tcPr>
          <w:p w:rsidR="00997A69" w:rsidRPr="00963A4A" w:rsidRDefault="00997A69" w:rsidP="00963A4A">
            <w:pPr>
              <w:spacing w:after="0" w:line="240" w:lineRule="auto"/>
              <w:jc w:val="center"/>
              <w:rPr>
                <w:rFonts w:cs="Calibri"/>
                <w:sz w:val="20"/>
                <w:szCs w:val="20"/>
              </w:rPr>
            </w:pPr>
            <w:r w:rsidRPr="00963A4A">
              <w:rPr>
                <w:rFonts w:cs="Calibri"/>
                <w:color w:val="000000"/>
                <w:sz w:val="20"/>
                <w:szCs w:val="20"/>
              </w:rPr>
              <w:t>Column 4</w:t>
            </w:r>
          </w:p>
        </w:tc>
        <w:tc>
          <w:tcPr>
            <w:tcW w:w="2135" w:type="dxa"/>
          </w:tcPr>
          <w:p w:rsidR="00997A69" w:rsidRPr="00963A4A" w:rsidRDefault="00997A69" w:rsidP="00963A4A">
            <w:pPr>
              <w:spacing w:after="0" w:line="240" w:lineRule="auto"/>
              <w:jc w:val="center"/>
              <w:rPr>
                <w:rFonts w:cs="Calibri"/>
                <w:sz w:val="20"/>
                <w:szCs w:val="20"/>
              </w:rPr>
            </w:pPr>
            <w:r w:rsidRPr="00963A4A">
              <w:rPr>
                <w:rFonts w:cs="Calibri"/>
                <w:color w:val="000000"/>
                <w:sz w:val="20"/>
                <w:szCs w:val="20"/>
              </w:rPr>
              <w:t>Column 5</w:t>
            </w:r>
          </w:p>
        </w:tc>
        <w:tc>
          <w:tcPr>
            <w:tcW w:w="1186" w:type="dxa"/>
          </w:tcPr>
          <w:p w:rsidR="00997A69" w:rsidRPr="00963A4A" w:rsidRDefault="00997A69" w:rsidP="00963A4A">
            <w:pPr>
              <w:spacing w:after="0" w:line="240" w:lineRule="auto"/>
              <w:jc w:val="center"/>
              <w:rPr>
                <w:rFonts w:cs="Calibri"/>
                <w:sz w:val="20"/>
                <w:szCs w:val="20"/>
              </w:rPr>
            </w:pPr>
            <w:r w:rsidRPr="00963A4A">
              <w:rPr>
                <w:rFonts w:cs="Calibri"/>
                <w:color w:val="000000"/>
                <w:sz w:val="20"/>
                <w:szCs w:val="20"/>
              </w:rPr>
              <w:t>Column 6</w:t>
            </w:r>
          </w:p>
        </w:tc>
        <w:tc>
          <w:tcPr>
            <w:tcW w:w="1110" w:type="dxa"/>
          </w:tcPr>
          <w:p w:rsidR="00997A69" w:rsidRPr="00963A4A" w:rsidRDefault="00997A69" w:rsidP="00963A4A">
            <w:pPr>
              <w:spacing w:after="0" w:line="240" w:lineRule="auto"/>
              <w:jc w:val="center"/>
              <w:rPr>
                <w:rFonts w:cs="Calibri"/>
                <w:sz w:val="20"/>
                <w:szCs w:val="20"/>
              </w:rPr>
            </w:pPr>
            <w:r w:rsidRPr="00963A4A">
              <w:rPr>
                <w:rFonts w:cs="Calibri"/>
                <w:color w:val="000000"/>
                <w:sz w:val="20"/>
                <w:szCs w:val="20"/>
              </w:rPr>
              <w:t>Column 7</w:t>
            </w:r>
          </w:p>
        </w:tc>
        <w:tc>
          <w:tcPr>
            <w:tcW w:w="1437" w:type="dxa"/>
          </w:tcPr>
          <w:p w:rsidR="00997A69" w:rsidRPr="00963A4A" w:rsidRDefault="00997A69" w:rsidP="00963A4A">
            <w:pPr>
              <w:spacing w:after="0" w:line="240" w:lineRule="auto"/>
              <w:jc w:val="center"/>
              <w:rPr>
                <w:rFonts w:cs="Calibri"/>
                <w:sz w:val="20"/>
                <w:szCs w:val="20"/>
              </w:rPr>
            </w:pPr>
            <w:r w:rsidRPr="00963A4A">
              <w:rPr>
                <w:rFonts w:cs="Calibri"/>
                <w:sz w:val="20"/>
                <w:szCs w:val="20"/>
              </w:rPr>
              <w:t>Column 8</w:t>
            </w:r>
          </w:p>
        </w:tc>
        <w:tc>
          <w:tcPr>
            <w:tcW w:w="1033" w:type="dxa"/>
          </w:tcPr>
          <w:p w:rsidR="00997A69" w:rsidRPr="00963A4A" w:rsidRDefault="00997A69" w:rsidP="00963A4A">
            <w:pPr>
              <w:spacing w:after="0" w:line="240" w:lineRule="auto"/>
              <w:jc w:val="center"/>
              <w:rPr>
                <w:rFonts w:cs="Calibri"/>
                <w:sz w:val="20"/>
                <w:szCs w:val="20"/>
              </w:rPr>
            </w:pPr>
            <w:r w:rsidRPr="00963A4A">
              <w:rPr>
                <w:rFonts w:cs="Calibri"/>
                <w:sz w:val="20"/>
                <w:szCs w:val="20"/>
              </w:rPr>
              <w:t>Column 9</w:t>
            </w:r>
          </w:p>
        </w:tc>
        <w:tc>
          <w:tcPr>
            <w:tcW w:w="1771" w:type="dxa"/>
          </w:tcPr>
          <w:p w:rsidR="00997A69" w:rsidRPr="00963A4A" w:rsidRDefault="00997A69" w:rsidP="00963A4A">
            <w:pPr>
              <w:spacing w:after="0" w:line="240" w:lineRule="auto"/>
              <w:jc w:val="center"/>
              <w:rPr>
                <w:rFonts w:cs="Calibri"/>
                <w:sz w:val="20"/>
                <w:szCs w:val="20"/>
              </w:rPr>
            </w:pPr>
            <w:r w:rsidRPr="00963A4A">
              <w:rPr>
                <w:rFonts w:cs="Calibri"/>
                <w:sz w:val="20"/>
                <w:szCs w:val="20"/>
              </w:rPr>
              <w:t>Column 10</w:t>
            </w:r>
          </w:p>
        </w:tc>
      </w:tr>
      <w:tr w:rsidR="00997A69" w:rsidRPr="0000365A" w:rsidTr="00963A4A">
        <w:trPr>
          <w:jc w:val="center"/>
        </w:trPr>
        <w:tc>
          <w:tcPr>
            <w:tcW w:w="1178" w:type="dxa"/>
            <w:vAlign w:val="bottom"/>
          </w:tcPr>
          <w:p w:rsidR="00997A69" w:rsidRPr="00963A4A" w:rsidRDefault="00997A69" w:rsidP="00963A4A">
            <w:pPr>
              <w:spacing w:after="0" w:line="240" w:lineRule="auto"/>
              <w:rPr>
                <w:rFonts w:cs="Calibri"/>
                <w:b/>
                <w:color w:val="000000"/>
                <w:sz w:val="20"/>
                <w:szCs w:val="20"/>
              </w:rPr>
            </w:pPr>
          </w:p>
          <w:p w:rsidR="00997A69" w:rsidRPr="00963A4A" w:rsidRDefault="00997A69" w:rsidP="00963A4A">
            <w:pPr>
              <w:spacing w:after="0" w:line="240" w:lineRule="auto"/>
              <w:rPr>
                <w:rFonts w:cs="Calibri"/>
                <w:b/>
                <w:color w:val="000000"/>
                <w:sz w:val="20"/>
                <w:szCs w:val="20"/>
              </w:rPr>
            </w:pPr>
          </w:p>
          <w:p w:rsidR="00997A69" w:rsidRPr="00963A4A" w:rsidRDefault="00997A69" w:rsidP="00963A4A">
            <w:pPr>
              <w:spacing w:after="0" w:line="240" w:lineRule="auto"/>
              <w:rPr>
                <w:rFonts w:cs="Calibri"/>
                <w:b/>
                <w:color w:val="000000"/>
                <w:sz w:val="20"/>
                <w:szCs w:val="20"/>
              </w:rPr>
            </w:pPr>
          </w:p>
          <w:p w:rsidR="00997A69" w:rsidRPr="00963A4A" w:rsidRDefault="00997A69" w:rsidP="00963A4A">
            <w:pPr>
              <w:spacing w:after="0" w:line="240" w:lineRule="auto"/>
              <w:rPr>
                <w:rFonts w:cs="Calibri"/>
                <w:b/>
                <w:color w:val="000000"/>
                <w:sz w:val="20"/>
                <w:szCs w:val="20"/>
              </w:rPr>
            </w:pPr>
          </w:p>
          <w:p w:rsidR="00997A69" w:rsidRPr="00963A4A" w:rsidRDefault="00997A69" w:rsidP="00963A4A">
            <w:pPr>
              <w:spacing w:after="0" w:line="240" w:lineRule="auto"/>
              <w:rPr>
                <w:rFonts w:cs="Calibri"/>
                <w:b/>
                <w:color w:val="000000"/>
                <w:sz w:val="20"/>
                <w:szCs w:val="20"/>
              </w:rPr>
            </w:pPr>
          </w:p>
          <w:p w:rsidR="00997A69" w:rsidRPr="00963A4A" w:rsidRDefault="00997A69" w:rsidP="00963A4A">
            <w:pPr>
              <w:spacing w:after="0" w:line="240" w:lineRule="auto"/>
              <w:rPr>
                <w:rFonts w:cs="Calibri"/>
                <w:b/>
                <w:color w:val="000000"/>
                <w:sz w:val="20"/>
                <w:szCs w:val="20"/>
              </w:rPr>
            </w:pPr>
          </w:p>
          <w:p w:rsidR="00997A69" w:rsidRPr="00963A4A" w:rsidRDefault="00997A69" w:rsidP="00963A4A">
            <w:pPr>
              <w:spacing w:after="0" w:line="240" w:lineRule="auto"/>
              <w:rPr>
                <w:rFonts w:cs="Calibri"/>
                <w:b/>
                <w:color w:val="000000"/>
                <w:sz w:val="20"/>
                <w:szCs w:val="20"/>
              </w:rPr>
            </w:pPr>
            <w:r w:rsidRPr="00963A4A">
              <w:rPr>
                <w:rFonts w:cs="Calibri"/>
                <w:b/>
                <w:color w:val="000000"/>
                <w:sz w:val="20"/>
                <w:szCs w:val="20"/>
              </w:rPr>
              <w:t>School</w:t>
            </w:r>
          </w:p>
        </w:tc>
        <w:tc>
          <w:tcPr>
            <w:tcW w:w="1413" w:type="dxa"/>
            <w:vAlign w:val="bottom"/>
          </w:tcPr>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3D7973" w:rsidP="00963A4A">
            <w:pPr>
              <w:spacing w:after="0" w:line="240" w:lineRule="auto"/>
              <w:jc w:val="right"/>
              <w:rPr>
                <w:rFonts w:cs="Calibri"/>
                <w:b/>
                <w:color w:val="000000"/>
                <w:sz w:val="20"/>
                <w:szCs w:val="20"/>
              </w:rPr>
            </w:pPr>
            <w:smartTag w:uri="urn:schemas-microsoft-com:office:smarttags" w:element="place">
              <w:smartTag w:uri="urn:schemas-microsoft-com:office:smarttags" w:element="PlaceName">
                <w:r>
                  <w:rPr>
                    <w:rFonts w:cs="Calibri"/>
                    <w:b/>
                    <w:color w:val="000000"/>
                    <w:sz w:val="20"/>
                    <w:szCs w:val="20"/>
                  </w:rPr>
                  <w:t>CEP</w:t>
                </w:r>
              </w:smartTag>
              <w:r w:rsidR="00997A69">
                <w:rPr>
                  <w:rFonts w:cs="Calibri"/>
                  <w:b/>
                  <w:color w:val="000000"/>
                  <w:sz w:val="20"/>
                  <w:szCs w:val="20"/>
                </w:rPr>
                <w:t xml:space="preserve"> </w:t>
              </w:r>
              <w:smartTag w:uri="urn:schemas-microsoft-com:office:smarttags" w:element="PlaceType">
                <w:r w:rsidR="00997A69" w:rsidRPr="00963A4A">
                  <w:rPr>
                    <w:rFonts w:cs="Calibri"/>
                    <w:b/>
                    <w:color w:val="000000"/>
                    <w:sz w:val="20"/>
                    <w:szCs w:val="20"/>
                  </w:rPr>
                  <w:t>School</w:t>
                </w:r>
              </w:smartTag>
            </w:smartTag>
            <w:r w:rsidR="00997A69" w:rsidRPr="00963A4A">
              <w:rPr>
                <w:rFonts w:cs="Calibri"/>
                <w:b/>
                <w:color w:val="000000"/>
                <w:sz w:val="20"/>
                <w:szCs w:val="20"/>
              </w:rPr>
              <w:t xml:space="preserve"> (Y/N)</w:t>
            </w:r>
          </w:p>
        </w:tc>
        <w:tc>
          <w:tcPr>
            <w:tcW w:w="1096" w:type="dxa"/>
            <w:vAlign w:val="bottom"/>
          </w:tcPr>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Enrollment</w:t>
            </w:r>
          </w:p>
        </w:tc>
        <w:tc>
          <w:tcPr>
            <w:tcW w:w="1804" w:type="dxa"/>
            <w:vAlign w:val="bottom"/>
          </w:tcPr>
          <w:p w:rsidR="00997A69" w:rsidRPr="00963A4A" w:rsidRDefault="003D7973" w:rsidP="0018305A">
            <w:pPr>
              <w:spacing w:after="0" w:line="240" w:lineRule="auto"/>
              <w:jc w:val="right"/>
              <w:rPr>
                <w:rFonts w:cs="Calibri"/>
                <w:b/>
                <w:color w:val="000000"/>
                <w:sz w:val="20"/>
                <w:szCs w:val="20"/>
              </w:rPr>
            </w:pPr>
            <w:r>
              <w:rPr>
                <w:rFonts w:cs="Calibri"/>
                <w:b/>
                <w:color w:val="000000"/>
                <w:sz w:val="20"/>
                <w:szCs w:val="20"/>
              </w:rPr>
              <w:t>CEP</w:t>
            </w:r>
            <w:r w:rsidR="00997A69" w:rsidRPr="00963A4A">
              <w:rPr>
                <w:rFonts w:cs="Calibri"/>
                <w:b/>
                <w:color w:val="000000"/>
                <w:sz w:val="20"/>
                <w:szCs w:val="20"/>
              </w:rPr>
              <w:t xml:space="preserve"> </w:t>
            </w:r>
            <w:r w:rsidR="00997A69">
              <w:rPr>
                <w:rFonts w:cs="Calibri"/>
                <w:b/>
                <w:color w:val="000000"/>
                <w:sz w:val="20"/>
                <w:szCs w:val="20"/>
              </w:rPr>
              <w:t>S</w:t>
            </w:r>
            <w:r w:rsidR="00997A69" w:rsidRPr="00963A4A">
              <w:rPr>
                <w:rFonts w:cs="Calibri"/>
                <w:b/>
                <w:color w:val="000000"/>
                <w:sz w:val="20"/>
                <w:szCs w:val="20"/>
              </w:rPr>
              <w:t xml:space="preserve">chools: </w:t>
            </w:r>
            <w:r w:rsidR="00997A69">
              <w:rPr>
                <w:rFonts w:cs="Calibri"/>
                <w:b/>
                <w:color w:val="000000"/>
                <w:sz w:val="20"/>
                <w:szCs w:val="20"/>
              </w:rPr>
              <w:t>Identified Students</w:t>
            </w:r>
            <w:r w:rsidR="00997A69" w:rsidRPr="00963A4A">
              <w:rPr>
                <w:rFonts w:cs="Calibri"/>
                <w:b/>
                <w:color w:val="000000"/>
                <w:sz w:val="20"/>
                <w:szCs w:val="20"/>
              </w:rPr>
              <w:t xml:space="preserve"> Data</w:t>
            </w:r>
            <w:r w:rsidR="008E5F08">
              <w:rPr>
                <w:rFonts w:cs="Calibri"/>
                <w:b/>
                <w:color w:val="000000"/>
                <w:sz w:val="20"/>
                <w:szCs w:val="20"/>
                <w:vertAlign w:val="superscript"/>
              </w:rPr>
              <w:t>1</w:t>
            </w:r>
          </w:p>
        </w:tc>
        <w:tc>
          <w:tcPr>
            <w:tcW w:w="2135" w:type="dxa"/>
            <w:vAlign w:val="bottom"/>
          </w:tcPr>
          <w:p w:rsidR="00997A69" w:rsidRPr="00963A4A" w:rsidRDefault="00997A69" w:rsidP="008E5F08">
            <w:pPr>
              <w:spacing w:after="0" w:line="240" w:lineRule="auto"/>
              <w:jc w:val="right"/>
              <w:rPr>
                <w:rFonts w:cs="Calibri"/>
                <w:b/>
                <w:color w:val="000000"/>
                <w:sz w:val="20"/>
                <w:szCs w:val="20"/>
              </w:rPr>
            </w:pPr>
            <w:r w:rsidRPr="00963A4A">
              <w:rPr>
                <w:rFonts w:cs="Calibri"/>
                <w:b/>
                <w:color w:val="000000"/>
                <w:sz w:val="20"/>
                <w:szCs w:val="20"/>
              </w:rPr>
              <w:t>Non-</w:t>
            </w:r>
            <w:r w:rsidR="003D7973">
              <w:rPr>
                <w:rFonts w:cs="Calibri"/>
                <w:b/>
                <w:color w:val="000000"/>
                <w:sz w:val="20"/>
                <w:szCs w:val="20"/>
              </w:rPr>
              <w:t>CEP</w:t>
            </w:r>
            <w:r w:rsidRPr="00963A4A">
              <w:rPr>
                <w:rFonts w:cs="Calibri"/>
                <w:b/>
                <w:color w:val="000000"/>
                <w:sz w:val="20"/>
                <w:szCs w:val="20"/>
              </w:rPr>
              <w:t xml:space="preserve"> </w:t>
            </w:r>
            <w:r>
              <w:rPr>
                <w:rFonts w:cs="Calibri"/>
                <w:b/>
                <w:color w:val="000000"/>
                <w:sz w:val="20"/>
                <w:szCs w:val="20"/>
              </w:rPr>
              <w:t>S</w:t>
            </w:r>
            <w:r w:rsidRPr="00963A4A">
              <w:rPr>
                <w:rFonts w:cs="Calibri"/>
                <w:b/>
                <w:color w:val="000000"/>
                <w:sz w:val="20"/>
                <w:szCs w:val="20"/>
              </w:rPr>
              <w:t>chools: Economically</w:t>
            </w:r>
            <w:r>
              <w:rPr>
                <w:rFonts w:cs="Calibri"/>
                <w:b/>
                <w:color w:val="000000"/>
                <w:sz w:val="20"/>
                <w:szCs w:val="20"/>
              </w:rPr>
              <w:t xml:space="preserve"> </w:t>
            </w:r>
            <w:r w:rsidRPr="00963A4A">
              <w:rPr>
                <w:rFonts w:cs="Calibri"/>
                <w:b/>
                <w:color w:val="000000"/>
                <w:sz w:val="20"/>
                <w:szCs w:val="20"/>
              </w:rPr>
              <w:t xml:space="preserve">Disadvantaged Students Identified by </w:t>
            </w:r>
            <w:r>
              <w:rPr>
                <w:rFonts w:cs="Calibri"/>
                <w:b/>
                <w:color w:val="000000"/>
                <w:sz w:val="20"/>
                <w:szCs w:val="20"/>
              </w:rPr>
              <w:t>Free and Reduced-Price</w:t>
            </w:r>
            <w:r w:rsidRPr="00963A4A">
              <w:rPr>
                <w:rFonts w:cs="Calibri"/>
                <w:b/>
                <w:color w:val="000000"/>
                <w:sz w:val="20"/>
                <w:szCs w:val="20"/>
              </w:rPr>
              <w:t xml:space="preserve"> </w:t>
            </w:r>
            <w:r>
              <w:rPr>
                <w:rFonts w:cs="Calibri"/>
                <w:b/>
                <w:color w:val="000000"/>
                <w:sz w:val="20"/>
                <w:szCs w:val="20"/>
              </w:rPr>
              <w:t>Meals</w:t>
            </w:r>
            <w:r w:rsidRPr="00963A4A">
              <w:rPr>
                <w:rFonts w:cs="Calibri"/>
                <w:b/>
                <w:color w:val="000000"/>
                <w:sz w:val="20"/>
                <w:szCs w:val="20"/>
              </w:rPr>
              <w:t xml:space="preserve"> </w:t>
            </w:r>
            <w:r>
              <w:rPr>
                <w:rFonts w:cs="Calibri"/>
                <w:b/>
                <w:color w:val="000000"/>
                <w:sz w:val="20"/>
                <w:szCs w:val="20"/>
              </w:rPr>
              <w:t>Data</w:t>
            </w:r>
          </w:p>
        </w:tc>
        <w:tc>
          <w:tcPr>
            <w:tcW w:w="1186" w:type="dxa"/>
            <w:vAlign w:val="bottom"/>
          </w:tcPr>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5C5B90">
            <w:pPr>
              <w:spacing w:after="0" w:line="240" w:lineRule="auto"/>
              <w:jc w:val="right"/>
              <w:rPr>
                <w:rFonts w:cs="Calibri"/>
                <w:b/>
                <w:color w:val="000000"/>
                <w:sz w:val="20"/>
                <w:szCs w:val="20"/>
              </w:rPr>
            </w:pPr>
            <w:r>
              <w:rPr>
                <w:rFonts w:cs="Calibri"/>
                <w:b/>
                <w:color w:val="000000"/>
                <w:sz w:val="20"/>
                <w:szCs w:val="20"/>
              </w:rPr>
              <w:t xml:space="preserve">1.6 </w:t>
            </w:r>
            <w:r w:rsidRPr="00963A4A">
              <w:rPr>
                <w:rFonts w:cs="Calibri"/>
                <w:b/>
                <w:color w:val="000000"/>
                <w:sz w:val="20"/>
                <w:szCs w:val="20"/>
              </w:rPr>
              <w:t>Multiplier</w:t>
            </w:r>
            <w:r w:rsidRPr="00F8648B">
              <w:rPr>
                <w:rFonts w:cs="Calibri"/>
                <w:b/>
                <w:color w:val="000000"/>
                <w:sz w:val="20"/>
                <w:szCs w:val="20"/>
                <w:vertAlign w:val="superscript"/>
              </w:rPr>
              <w:t>2</w:t>
            </w:r>
          </w:p>
        </w:tc>
        <w:tc>
          <w:tcPr>
            <w:tcW w:w="1110" w:type="dxa"/>
            <w:vAlign w:val="bottom"/>
          </w:tcPr>
          <w:p w:rsidR="00997A69" w:rsidRPr="00963A4A" w:rsidRDefault="004F6983" w:rsidP="005C5B90">
            <w:pPr>
              <w:spacing w:after="0" w:line="240" w:lineRule="auto"/>
              <w:jc w:val="right"/>
              <w:rPr>
                <w:rFonts w:cs="Calibri"/>
                <w:b/>
                <w:color w:val="000000"/>
                <w:sz w:val="20"/>
                <w:szCs w:val="20"/>
              </w:rPr>
            </w:pPr>
            <w:r>
              <w:rPr>
                <w:rFonts w:cs="Calibri"/>
                <w:b/>
                <w:color w:val="000000"/>
                <w:sz w:val="20"/>
                <w:szCs w:val="20"/>
              </w:rPr>
              <w:t>NSLP Count</w:t>
            </w:r>
            <w:r w:rsidRPr="00963A4A">
              <w:rPr>
                <w:rFonts w:cs="Calibri"/>
                <w:b/>
                <w:color w:val="000000"/>
                <w:sz w:val="20"/>
                <w:szCs w:val="20"/>
              </w:rPr>
              <w:t xml:space="preserve"> </w:t>
            </w:r>
            <w:r w:rsidR="00997A69" w:rsidRPr="00963A4A">
              <w:rPr>
                <w:rFonts w:cs="Calibri"/>
                <w:b/>
                <w:color w:val="000000"/>
                <w:sz w:val="20"/>
                <w:szCs w:val="20"/>
              </w:rPr>
              <w:t xml:space="preserve">Used to </w:t>
            </w:r>
            <w:r w:rsidR="00997A69">
              <w:rPr>
                <w:rFonts w:cs="Calibri"/>
                <w:b/>
                <w:color w:val="000000"/>
                <w:sz w:val="20"/>
                <w:szCs w:val="20"/>
              </w:rPr>
              <w:t>Allocate Title I Funds</w:t>
            </w:r>
            <w:r w:rsidR="00997A69">
              <w:rPr>
                <w:rFonts w:cs="Calibri"/>
                <w:b/>
                <w:color w:val="000000"/>
                <w:sz w:val="20"/>
                <w:szCs w:val="20"/>
                <w:vertAlign w:val="superscript"/>
              </w:rPr>
              <w:t>3</w:t>
            </w:r>
          </w:p>
        </w:tc>
        <w:tc>
          <w:tcPr>
            <w:tcW w:w="1437" w:type="dxa"/>
            <w:vAlign w:val="bottom"/>
          </w:tcPr>
          <w:p w:rsidR="00997A69" w:rsidRPr="00963A4A" w:rsidRDefault="00997A69" w:rsidP="00963A4A">
            <w:pPr>
              <w:spacing w:after="0" w:line="240" w:lineRule="auto"/>
              <w:jc w:val="right"/>
              <w:rPr>
                <w:rFonts w:cs="Calibri"/>
                <w:b/>
                <w:color w:val="000000"/>
                <w:sz w:val="20"/>
                <w:szCs w:val="20"/>
              </w:rPr>
            </w:pPr>
          </w:p>
          <w:p w:rsidR="00997A69" w:rsidRPr="00963A4A" w:rsidRDefault="00997A69" w:rsidP="005C5B90">
            <w:pPr>
              <w:spacing w:after="0" w:line="240" w:lineRule="auto"/>
              <w:jc w:val="right"/>
              <w:rPr>
                <w:rFonts w:cs="Calibri"/>
                <w:b/>
                <w:color w:val="000000"/>
                <w:sz w:val="20"/>
                <w:szCs w:val="20"/>
              </w:rPr>
            </w:pPr>
            <w:r w:rsidRPr="00963A4A">
              <w:rPr>
                <w:rFonts w:cs="Calibri"/>
                <w:b/>
                <w:color w:val="000000"/>
                <w:sz w:val="20"/>
                <w:szCs w:val="20"/>
              </w:rPr>
              <w:t>Percentage of Economically</w:t>
            </w:r>
            <w:r>
              <w:rPr>
                <w:rFonts w:cs="Calibri"/>
                <w:b/>
                <w:color w:val="000000"/>
                <w:sz w:val="20"/>
                <w:szCs w:val="20"/>
              </w:rPr>
              <w:t xml:space="preserve"> </w:t>
            </w:r>
            <w:r w:rsidRPr="00963A4A">
              <w:rPr>
                <w:rFonts w:cs="Calibri"/>
                <w:b/>
                <w:color w:val="000000"/>
                <w:sz w:val="20"/>
                <w:szCs w:val="20"/>
              </w:rPr>
              <w:t>Disadvantaged Students for Title I Allocations</w:t>
            </w:r>
            <w:r>
              <w:rPr>
                <w:rFonts w:cs="Calibri"/>
                <w:b/>
                <w:color w:val="000000"/>
                <w:sz w:val="20"/>
                <w:szCs w:val="20"/>
                <w:vertAlign w:val="superscript"/>
              </w:rPr>
              <w:t>4</w:t>
            </w:r>
          </w:p>
        </w:tc>
        <w:tc>
          <w:tcPr>
            <w:tcW w:w="1033" w:type="dxa"/>
            <w:vAlign w:val="bottom"/>
          </w:tcPr>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DE0A97">
            <w:pPr>
              <w:spacing w:after="0" w:line="240" w:lineRule="auto"/>
              <w:jc w:val="right"/>
              <w:rPr>
                <w:rFonts w:cs="Calibri"/>
                <w:b/>
                <w:color w:val="000000"/>
                <w:sz w:val="20"/>
                <w:szCs w:val="20"/>
              </w:rPr>
            </w:pPr>
            <w:r w:rsidRPr="00963A4A">
              <w:rPr>
                <w:rFonts w:cs="Calibri"/>
                <w:b/>
                <w:color w:val="000000"/>
                <w:sz w:val="20"/>
                <w:szCs w:val="20"/>
              </w:rPr>
              <w:t>Per-Pupil Amount Used by LEA</w:t>
            </w:r>
            <w:r w:rsidR="00DE0A97">
              <w:rPr>
                <w:rFonts w:cs="Calibri"/>
                <w:b/>
                <w:color w:val="000000"/>
                <w:sz w:val="20"/>
                <w:szCs w:val="20"/>
                <w:vertAlign w:val="superscript"/>
              </w:rPr>
              <w:t>5</w:t>
            </w:r>
          </w:p>
        </w:tc>
        <w:tc>
          <w:tcPr>
            <w:tcW w:w="1771" w:type="dxa"/>
            <w:vAlign w:val="bottom"/>
          </w:tcPr>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963A4A">
            <w:pPr>
              <w:spacing w:after="0" w:line="240" w:lineRule="auto"/>
              <w:jc w:val="right"/>
              <w:rPr>
                <w:rFonts w:cs="Calibri"/>
                <w:b/>
                <w:color w:val="000000"/>
                <w:sz w:val="20"/>
                <w:szCs w:val="20"/>
              </w:rPr>
            </w:pPr>
          </w:p>
          <w:p w:rsidR="00997A69" w:rsidRPr="00963A4A" w:rsidRDefault="00997A69" w:rsidP="00DE0A97">
            <w:pPr>
              <w:spacing w:after="0" w:line="240" w:lineRule="auto"/>
              <w:jc w:val="right"/>
              <w:rPr>
                <w:rFonts w:cs="Calibri"/>
                <w:b/>
                <w:color w:val="000000"/>
                <w:sz w:val="20"/>
                <w:szCs w:val="20"/>
              </w:rPr>
            </w:pPr>
            <w:r w:rsidRPr="00963A4A">
              <w:rPr>
                <w:rFonts w:cs="Calibri"/>
                <w:b/>
                <w:color w:val="000000"/>
                <w:sz w:val="20"/>
                <w:szCs w:val="20"/>
              </w:rPr>
              <w:t xml:space="preserve">Title I </w:t>
            </w:r>
            <w:r w:rsidR="00DE0A97" w:rsidRPr="00963A4A">
              <w:rPr>
                <w:rFonts w:cs="Calibri"/>
                <w:b/>
                <w:color w:val="000000"/>
                <w:sz w:val="20"/>
                <w:szCs w:val="20"/>
              </w:rPr>
              <w:t>Allocation</w:t>
            </w:r>
            <w:r w:rsidR="00DE0A97">
              <w:rPr>
                <w:rFonts w:cs="Calibri"/>
                <w:b/>
                <w:color w:val="000000"/>
                <w:sz w:val="20"/>
                <w:szCs w:val="20"/>
                <w:vertAlign w:val="superscript"/>
              </w:rPr>
              <w:t>6</w:t>
            </w:r>
          </w:p>
        </w:tc>
      </w:tr>
      <w:tr w:rsidR="00997A69" w:rsidRPr="0000365A" w:rsidTr="00963A4A">
        <w:trPr>
          <w:jc w:val="center"/>
        </w:trPr>
        <w:tc>
          <w:tcPr>
            <w:tcW w:w="1178" w:type="dxa"/>
          </w:tcPr>
          <w:p w:rsidR="00997A69" w:rsidRPr="00963A4A" w:rsidRDefault="00997A69" w:rsidP="00963A4A">
            <w:pPr>
              <w:spacing w:after="0" w:line="240" w:lineRule="auto"/>
              <w:jc w:val="both"/>
              <w:rPr>
                <w:rFonts w:cs="Calibri"/>
                <w:color w:val="000000"/>
                <w:sz w:val="20"/>
                <w:szCs w:val="20"/>
              </w:rPr>
            </w:pPr>
            <w:smartTag w:uri="urn:schemas-microsoft-com:office:smarttags" w:element="City">
              <w:smartTag w:uri="urn:schemas-microsoft-com:office:smarttags" w:element="place">
                <w:r w:rsidRPr="00963A4A">
                  <w:rPr>
                    <w:rFonts w:cs="Calibri"/>
                    <w:color w:val="000000"/>
                    <w:sz w:val="20"/>
                    <w:szCs w:val="20"/>
                  </w:rPr>
                  <w:t>Lincoln</w:t>
                </w:r>
              </w:smartTag>
            </w:smartTag>
          </w:p>
        </w:tc>
        <w:tc>
          <w:tcPr>
            <w:tcW w:w="141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 xml:space="preserve">Y </w:t>
            </w:r>
          </w:p>
        </w:tc>
        <w:tc>
          <w:tcPr>
            <w:tcW w:w="109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425</w:t>
            </w:r>
          </w:p>
        </w:tc>
        <w:tc>
          <w:tcPr>
            <w:tcW w:w="1804" w:type="dxa"/>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400</w:t>
            </w:r>
          </w:p>
        </w:tc>
        <w:tc>
          <w:tcPr>
            <w:tcW w:w="2135"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N/A</w:t>
            </w:r>
          </w:p>
        </w:tc>
        <w:tc>
          <w:tcPr>
            <w:tcW w:w="118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1.6</w:t>
            </w:r>
          </w:p>
        </w:tc>
        <w:tc>
          <w:tcPr>
            <w:tcW w:w="1110"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425</w:t>
            </w:r>
          </w:p>
        </w:tc>
        <w:tc>
          <w:tcPr>
            <w:tcW w:w="1437"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100%</w:t>
            </w:r>
          </w:p>
        </w:tc>
        <w:tc>
          <w:tcPr>
            <w:tcW w:w="103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$500</w:t>
            </w:r>
          </w:p>
        </w:tc>
        <w:tc>
          <w:tcPr>
            <w:tcW w:w="1771"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$212,500</w:t>
            </w:r>
          </w:p>
        </w:tc>
      </w:tr>
      <w:tr w:rsidR="00997A69" w:rsidRPr="0000365A" w:rsidTr="00963A4A">
        <w:trPr>
          <w:jc w:val="center"/>
        </w:trPr>
        <w:tc>
          <w:tcPr>
            <w:tcW w:w="1178" w:type="dxa"/>
          </w:tcPr>
          <w:p w:rsidR="00997A69" w:rsidRPr="00963A4A" w:rsidRDefault="00997A69" w:rsidP="00963A4A">
            <w:pPr>
              <w:spacing w:after="0" w:line="240" w:lineRule="auto"/>
              <w:jc w:val="both"/>
              <w:rPr>
                <w:rFonts w:cs="Calibri"/>
                <w:color w:val="000000"/>
                <w:sz w:val="20"/>
                <w:szCs w:val="20"/>
              </w:rPr>
            </w:pPr>
            <w:smartTag w:uri="urn:schemas-microsoft-com:office:smarttags" w:element="State">
              <w:smartTag w:uri="urn:schemas-microsoft-com:office:smarttags" w:element="place">
                <w:r w:rsidRPr="00963A4A">
                  <w:rPr>
                    <w:rFonts w:cs="Calibri"/>
                    <w:color w:val="000000"/>
                    <w:sz w:val="20"/>
                    <w:szCs w:val="20"/>
                  </w:rPr>
                  <w:t>Washington</w:t>
                </w:r>
              </w:smartTag>
            </w:smartTag>
          </w:p>
        </w:tc>
        <w:tc>
          <w:tcPr>
            <w:tcW w:w="1413" w:type="dxa"/>
            <w:vAlign w:val="bottom"/>
          </w:tcPr>
          <w:p w:rsidR="00997A69" w:rsidRPr="00963A4A" w:rsidRDefault="00997A69" w:rsidP="00963A4A">
            <w:pPr>
              <w:spacing w:after="0" w:line="240" w:lineRule="auto"/>
              <w:jc w:val="right"/>
              <w:rPr>
                <w:rFonts w:cs="Calibri"/>
                <w:color w:val="000000"/>
                <w:sz w:val="20"/>
                <w:szCs w:val="20"/>
              </w:rPr>
            </w:pPr>
            <w:r>
              <w:rPr>
                <w:rFonts w:cs="Calibri"/>
                <w:color w:val="000000"/>
                <w:sz w:val="20"/>
                <w:szCs w:val="20"/>
              </w:rPr>
              <w:t>Y</w:t>
            </w:r>
          </w:p>
        </w:tc>
        <w:tc>
          <w:tcPr>
            <w:tcW w:w="109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500</w:t>
            </w:r>
          </w:p>
        </w:tc>
        <w:tc>
          <w:tcPr>
            <w:tcW w:w="1804" w:type="dxa"/>
          </w:tcPr>
          <w:p w:rsidR="00997A69" w:rsidRPr="00963A4A" w:rsidRDefault="00997A69" w:rsidP="00963A4A">
            <w:pPr>
              <w:spacing w:after="0" w:line="240" w:lineRule="auto"/>
              <w:jc w:val="right"/>
              <w:rPr>
                <w:rFonts w:cs="Calibri"/>
                <w:color w:val="000000"/>
                <w:sz w:val="20"/>
                <w:szCs w:val="20"/>
              </w:rPr>
            </w:pPr>
            <w:r>
              <w:rPr>
                <w:rFonts w:cs="Calibri"/>
                <w:color w:val="000000"/>
                <w:sz w:val="20"/>
                <w:szCs w:val="20"/>
              </w:rPr>
              <w:t>297</w:t>
            </w:r>
          </w:p>
        </w:tc>
        <w:tc>
          <w:tcPr>
            <w:tcW w:w="2135" w:type="dxa"/>
            <w:vAlign w:val="bottom"/>
          </w:tcPr>
          <w:p w:rsidR="00997A69" w:rsidRPr="00963A4A" w:rsidRDefault="00997A69" w:rsidP="00963A4A">
            <w:pPr>
              <w:spacing w:after="0" w:line="240" w:lineRule="auto"/>
              <w:jc w:val="right"/>
              <w:rPr>
                <w:rFonts w:cs="Calibri"/>
                <w:color w:val="000000"/>
                <w:sz w:val="20"/>
                <w:szCs w:val="20"/>
              </w:rPr>
            </w:pPr>
            <w:r>
              <w:rPr>
                <w:rFonts w:cs="Calibri"/>
                <w:color w:val="000000"/>
                <w:sz w:val="20"/>
                <w:szCs w:val="20"/>
              </w:rPr>
              <w:t>N/A</w:t>
            </w:r>
          </w:p>
        </w:tc>
        <w:tc>
          <w:tcPr>
            <w:tcW w:w="1186" w:type="dxa"/>
            <w:vAlign w:val="bottom"/>
          </w:tcPr>
          <w:p w:rsidR="00997A69" w:rsidRPr="00963A4A" w:rsidRDefault="00997A69" w:rsidP="00963A4A">
            <w:pPr>
              <w:spacing w:after="0" w:line="240" w:lineRule="auto"/>
              <w:jc w:val="right"/>
              <w:rPr>
                <w:rFonts w:cs="Calibri"/>
                <w:color w:val="000000"/>
                <w:sz w:val="20"/>
                <w:szCs w:val="20"/>
              </w:rPr>
            </w:pPr>
            <w:r>
              <w:rPr>
                <w:rFonts w:cs="Calibri"/>
                <w:color w:val="000000"/>
                <w:sz w:val="20"/>
                <w:szCs w:val="20"/>
              </w:rPr>
              <w:t>1.6</w:t>
            </w:r>
          </w:p>
        </w:tc>
        <w:tc>
          <w:tcPr>
            <w:tcW w:w="1110"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475</w:t>
            </w:r>
          </w:p>
        </w:tc>
        <w:tc>
          <w:tcPr>
            <w:tcW w:w="1437"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95%</w:t>
            </w:r>
          </w:p>
        </w:tc>
        <w:tc>
          <w:tcPr>
            <w:tcW w:w="103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500</w:t>
            </w:r>
          </w:p>
        </w:tc>
        <w:tc>
          <w:tcPr>
            <w:tcW w:w="1771"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237,500</w:t>
            </w:r>
          </w:p>
        </w:tc>
      </w:tr>
      <w:tr w:rsidR="00997A69" w:rsidRPr="0000365A" w:rsidTr="00963A4A">
        <w:trPr>
          <w:jc w:val="center"/>
        </w:trPr>
        <w:tc>
          <w:tcPr>
            <w:tcW w:w="1178" w:type="dxa"/>
          </w:tcPr>
          <w:p w:rsidR="00997A69" w:rsidRPr="00963A4A" w:rsidRDefault="00997A69" w:rsidP="00963A4A">
            <w:pPr>
              <w:spacing w:after="0" w:line="240" w:lineRule="auto"/>
              <w:jc w:val="both"/>
              <w:rPr>
                <w:rFonts w:cs="Calibri"/>
                <w:color w:val="000000"/>
                <w:sz w:val="20"/>
                <w:szCs w:val="20"/>
              </w:rPr>
            </w:pPr>
            <w:smartTag w:uri="urn:schemas-microsoft-com:office:smarttags" w:element="place">
              <w:r w:rsidRPr="00963A4A">
                <w:rPr>
                  <w:rFonts w:cs="Calibri"/>
                  <w:color w:val="000000"/>
                  <w:sz w:val="20"/>
                  <w:szCs w:val="20"/>
                </w:rPr>
                <w:t>Adams</w:t>
              </w:r>
            </w:smartTag>
          </w:p>
        </w:tc>
        <w:tc>
          <w:tcPr>
            <w:tcW w:w="141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 xml:space="preserve">Y </w:t>
            </w:r>
          </w:p>
        </w:tc>
        <w:tc>
          <w:tcPr>
            <w:tcW w:w="109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600</w:t>
            </w:r>
          </w:p>
        </w:tc>
        <w:tc>
          <w:tcPr>
            <w:tcW w:w="1804" w:type="dxa"/>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350</w:t>
            </w:r>
          </w:p>
        </w:tc>
        <w:tc>
          <w:tcPr>
            <w:tcW w:w="2135"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N/A</w:t>
            </w:r>
          </w:p>
        </w:tc>
        <w:tc>
          <w:tcPr>
            <w:tcW w:w="118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1.6</w:t>
            </w:r>
          </w:p>
        </w:tc>
        <w:tc>
          <w:tcPr>
            <w:tcW w:w="1110"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560</w:t>
            </w:r>
          </w:p>
        </w:tc>
        <w:tc>
          <w:tcPr>
            <w:tcW w:w="1437"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93%</w:t>
            </w:r>
          </w:p>
        </w:tc>
        <w:tc>
          <w:tcPr>
            <w:tcW w:w="103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500</w:t>
            </w:r>
          </w:p>
        </w:tc>
        <w:tc>
          <w:tcPr>
            <w:tcW w:w="1771"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280,000</w:t>
            </w:r>
          </w:p>
        </w:tc>
      </w:tr>
      <w:tr w:rsidR="00997A69" w:rsidRPr="0000365A" w:rsidTr="00963A4A">
        <w:trPr>
          <w:jc w:val="center"/>
        </w:trPr>
        <w:tc>
          <w:tcPr>
            <w:tcW w:w="1178" w:type="dxa"/>
          </w:tcPr>
          <w:p w:rsidR="00997A69" w:rsidRPr="00963A4A" w:rsidRDefault="00997A69" w:rsidP="00963A4A">
            <w:pPr>
              <w:spacing w:after="0" w:line="240" w:lineRule="auto"/>
              <w:jc w:val="both"/>
              <w:rPr>
                <w:rFonts w:cs="Calibri"/>
                <w:color w:val="000000"/>
                <w:sz w:val="20"/>
                <w:szCs w:val="20"/>
              </w:rPr>
            </w:pPr>
            <w:smartTag w:uri="urn:schemas-microsoft-com:office:smarttags" w:element="place">
              <w:r w:rsidRPr="00963A4A">
                <w:rPr>
                  <w:rFonts w:cs="Calibri"/>
                  <w:color w:val="000000"/>
                  <w:sz w:val="20"/>
                  <w:szCs w:val="20"/>
                </w:rPr>
                <w:t>Jefferson</w:t>
              </w:r>
            </w:smartTag>
          </w:p>
        </w:tc>
        <w:tc>
          <w:tcPr>
            <w:tcW w:w="141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N</w:t>
            </w:r>
          </w:p>
        </w:tc>
        <w:tc>
          <w:tcPr>
            <w:tcW w:w="109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450</w:t>
            </w:r>
          </w:p>
        </w:tc>
        <w:tc>
          <w:tcPr>
            <w:tcW w:w="1804" w:type="dxa"/>
          </w:tcPr>
          <w:p w:rsidR="00997A69" w:rsidRPr="00963A4A" w:rsidRDefault="00997A69" w:rsidP="00963A4A">
            <w:pPr>
              <w:spacing w:after="0" w:line="240" w:lineRule="auto"/>
              <w:jc w:val="right"/>
              <w:rPr>
                <w:sz w:val="20"/>
                <w:szCs w:val="20"/>
              </w:rPr>
            </w:pPr>
            <w:r w:rsidRPr="00963A4A">
              <w:rPr>
                <w:rFonts w:cs="Calibri"/>
                <w:color w:val="000000"/>
                <w:sz w:val="20"/>
                <w:szCs w:val="20"/>
              </w:rPr>
              <w:t>N/A</w:t>
            </w:r>
          </w:p>
        </w:tc>
        <w:tc>
          <w:tcPr>
            <w:tcW w:w="2135"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400</w:t>
            </w:r>
          </w:p>
        </w:tc>
        <w:tc>
          <w:tcPr>
            <w:tcW w:w="118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N/A</w:t>
            </w:r>
          </w:p>
        </w:tc>
        <w:tc>
          <w:tcPr>
            <w:tcW w:w="1110"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400</w:t>
            </w:r>
          </w:p>
        </w:tc>
        <w:tc>
          <w:tcPr>
            <w:tcW w:w="1437"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89%</w:t>
            </w:r>
          </w:p>
        </w:tc>
        <w:tc>
          <w:tcPr>
            <w:tcW w:w="103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450</w:t>
            </w:r>
          </w:p>
        </w:tc>
        <w:tc>
          <w:tcPr>
            <w:tcW w:w="1771"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180,000</w:t>
            </w:r>
          </w:p>
        </w:tc>
      </w:tr>
      <w:tr w:rsidR="00997A69" w:rsidRPr="0000365A" w:rsidTr="00963A4A">
        <w:trPr>
          <w:jc w:val="center"/>
        </w:trPr>
        <w:tc>
          <w:tcPr>
            <w:tcW w:w="1178" w:type="dxa"/>
          </w:tcPr>
          <w:p w:rsidR="00997A69" w:rsidRPr="00963A4A" w:rsidRDefault="00997A69" w:rsidP="00963A4A">
            <w:pPr>
              <w:spacing w:after="0" w:line="240" w:lineRule="auto"/>
              <w:jc w:val="both"/>
              <w:rPr>
                <w:rFonts w:cs="Calibri"/>
                <w:color w:val="000000"/>
                <w:sz w:val="20"/>
                <w:szCs w:val="20"/>
              </w:rPr>
            </w:pPr>
            <w:smartTag w:uri="urn:schemas-microsoft-com:office:smarttags" w:element="City">
              <w:smartTag w:uri="urn:schemas-microsoft-com:office:smarttags" w:element="place">
                <w:r w:rsidRPr="00963A4A">
                  <w:rPr>
                    <w:rFonts w:cs="Calibri"/>
                    <w:color w:val="000000"/>
                    <w:sz w:val="20"/>
                    <w:szCs w:val="20"/>
                  </w:rPr>
                  <w:t>Madison</w:t>
                </w:r>
              </w:smartTag>
            </w:smartTag>
          </w:p>
        </w:tc>
        <w:tc>
          <w:tcPr>
            <w:tcW w:w="141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N</w:t>
            </w:r>
          </w:p>
        </w:tc>
        <w:tc>
          <w:tcPr>
            <w:tcW w:w="109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400</w:t>
            </w:r>
          </w:p>
        </w:tc>
        <w:tc>
          <w:tcPr>
            <w:tcW w:w="1804" w:type="dxa"/>
          </w:tcPr>
          <w:p w:rsidR="00997A69" w:rsidRPr="00963A4A" w:rsidRDefault="00997A69" w:rsidP="00963A4A">
            <w:pPr>
              <w:spacing w:after="0" w:line="240" w:lineRule="auto"/>
              <w:jc w:val="right"/>
              <w:rPr>
                <w:sz w:val="20"/>
                <w:szCs w:val="20"/>
              </w:rPr>
            </w:pPr>
            <w:r w:rsidRPr="00963A4A">
              <w:rPr>
                <w:rFonts w:cs="Calibri"/>
                <w:color w:val="000000"/>
                <w:sz w:val="20"/>
                <w:szCs w:val="20"/>
              </w:rPr>
              <w:t>N/A</w:t>
            </w:r>
          </w:p>
        </w:tc>
        <w:tc>
          <w:tcPr>
            <w:tcW w:w="2135"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200</w:t>
            </w:r>
          </w:p>
        </w:tc>
        <w:tc>
          <w:tcPr>
            <w:tcW w:w="1186" w:type="dxa"/>
            <w:vAlign w:val="bottom"/>
          </w:tcPr>
          <w:p w:rsidR="00997A69" w:rsidRPr="00963A4A" w:rsidRDefault="00997A69" w:rsidP="00963A4A">
            <w:pPr>
              <w:spacing w:after="0" w:line="240" w:lineRule="auto"/>
              <w:jc w:val="right"/>
              <w:rPr>
                <w:sz w:val="20"/>
                <w:szCs w:val="20"/>
              </w:rPr>
            </w:pPr>
            <w:r w:rsidRPr="00963A4A">
              <w:rPr>
                <w:rFonts w:cs="Calibri"/>
                <w:color w:val="000000"/>
                <w:sz w:val="20"/>
                <w:szCs w:val="20"/>
              </w:rPr>
              <w:t>N/A</w:t>
            </w:r>
          </w:p>
        </w:tc>
        <w:tc>
          <w:tcPr>
            <w:tcW w:w="1110"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200</w:t>
            </w:r>
          </w:p>
        </w:tc>
        <w:tc>
          <w:tcPr>
            <w:tcW w:w="1437"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50%</w:t>
            </w:r>
          </w:p>
        </w:tc>
        <w:tc>
          <w:tcPr>
            <w:tcW w:w="103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450</w:t>
            </w:r>
          </w:p>
        </w:tc>
        <w:tc>
          <w:tcPr>
            <w:tcW w:w="1771"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90,000</w:t>
            </w:r>
          </w:p>
        </w:tc>
      </w:tr>
      <w:tr w:rsidR="00997A69" w:rsidRPr="0000365A" w:rsidTr="00963A4A">
        <w:trPr>
          <w:jc w:val="center"/>
        </w:trPr>
        <w:tc>
          <w:tcPr>
            <w:tcW w:w="1178" w:type="dxa"/>
          </w:tcPr>
          <w:p w:rsidR="00997A69" w:rsidRPr="00963A4A" w:rsidRDefault="00997A69" w:rsidP="00963A4A">
            <w:pPr>
              <w:spacing w:after="0" w:line="240" w:lineRule="auto"/>
              <w:jc w:val="both"/>
              <w:rPr>
                <w:rFonts w:cs="Calibri"/>
                <w:color w:val="000000"/>
                <w:sz w:val="20"/>
                <w:szCs w:val="20"/>
              </w:rPr>
            </w:pPr>
            <w:smartTag w:uri="urn:schemas-microsoft-com:office:smarttags" w:element="City">
              <w:smartTag w:uri="urn:schemas-microsoft-com:office:smarttags" w:element="place">
                <w:r w:rsidRPr="00963A4A">
                  <w:rPr>
                    <w:rFonts w:cs="Calibri"/>
                    <w:color w:val="000000"/>
                    <w:sz w:val="20"/>
                    <w:szCs w:val="20"/>
                  </w:rPr>
                  <w:t>Monroe</w:t>
                </w:r>
              </w:smartTag>
            </w:smartTag>
          </w:p>
        </w:tc>
        <w:tc>
          <w:tcPr>
            <w:tcW w:w="141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N</w:t>
            </w:r>
          </w:p>
        </w:tc>
        <w:tc>
          <w:tcPr>
            <w:tcW w:w="1096"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500</w:t>
            </w:r>
          </w:p>
        </w:tc>
        <w:tc>
          <w:tcPr>
            <w:tcW w:w="1804" w:type="dxa"/>
          </w:tcPr>
          <w:p w:rsidR="00997A69" w:rsidRPr="00963A4A" w:rsidRDefault="00997A69" w:rsidP="00963A4A">
            <w:pPr>
              <w:spacing w:after="0" w:line="240" w:lineRule="auto"/>
              <w:jc w:val="right"/>
              <w:rPr>
                <w:sz w:val="20"/>
                <w:szCs w:val="20"/>
              </w:rPr>
            </w:pPr>
            <w:r w:rsidRPr="00963A4A">
              <w:rPr>
                <w:rFonts w:cs="Calibri"/>
                <w:color w:val="000000"/>
                <w:sz w:val="20"/>
                <w:szCs w:val="20"/>
              </w:rPr>
              <w:t>N/A</w:t>
            </w:r>
          </w:p>
        </w:tc>
        <w:tc>
          <w:tcPr>
            <w:tcW w:w="2135"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100</w:t>
            </w:r>
          </w:p>
        </w:tc>
        <w:tc>
          <w:tcPr>
            <w:tcW w:w="1186" w:type="dxa"/>
            <w:vAlign w:val="bottom"/>
          </w:tcPr>
          <w:p w:rsidR="00997A69" w:rsidRPr="00963A4A" w:rsidRDefault="00997A69" w:rsidP="00963A4A">
            <w:pPr>
              <w:spacing w:after="0" w:line="240" w:lineRule="auto"/>
              <w:jc w:val="right"/>
              <w:rPr>
                <w:sz w:val="20"/>
                <w:szCs w:val="20"/>
              </w:rPr>
            </w:pPr>
            <w:r w:rsidRPr="00963A4A">
              <w:rPr>
                <w:rFonts w:cs="Calibri"/>
                <w:color w:val="000000"/>
                <w:sz w:val="20"/>
                <w:szCs w:val="20"/>
              </w:rPr>
              <w:t>N/A</w:t>
            </w:r>
          </w:p>
        </w:tc>
        <w:tc>
          <w:tcPr>
            <w:tcW w:w="1110"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100</w:t>
            </w:r>
          </w:p>
        </w:tc>
        <w:tc>
          <w:tcPr>
            <w:tcW w:w="1437"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20%</w:t>
            </w:r>
          </w:p>
        </w:tc>
        <w:tc>
          <w:tcPr>
            <w:tcW w:w="1033"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N/A</w:t>
            </w:r>
          </w:p>
        </w:tc>
        <w:tc>
          <w:tcPr>
            <w:tcW w:w="1771" w:type="dxa"/>
            <w:vAlign w:val="bottom"/>
          </w:tcPr>
          <w:p w:rsidR="00997A69" w:rsidRPr="00963A4A" w:rsidRDefault="00997A69" w:rsidP="00963A4A">
            <w:pPr>
              <w:spacing w:after="0" w:line="240" w:lineRule="auto"/>
              <w:jc w:val="right"/>
              <w:rPr>
                <w:rFonts w:cs="Calibri"/>
                <w:color w:val="000000"/>
                <w:sz w:val="20"/>
                <w:szCs w:val="20"/>
              </w:rPr>
            </w:pPr>
            <w:r w:rsidRPr="00963A4A">
              <w:rPr>
                <w:rFonts w:cs="Calibri"/>
                <w:color w:val="000000"/>
                <w:sz w:val="20"/>
                <w:szCs w:val="20"/>
              </w:rPr>
              <w:t>0</w:t>
            </w:r>
          </w:p>
        </w:tc>
      </w:tr>
      <w:tr w:rsidR="00997A69" w:rsidRPr="0000365A" w:rsidTr="00963A4A">
        <w:trPr>
          <w:jc w:val="center"/>
        </w:trPr>
        <w:tc>
          <w:tcPr>
            <w:tcW w:w="1178" w:type="dxa"/>
          </w:tcPr>
          <w:p w:rsidR="00997A69" w:rsidRPr="00963A4A" w:rsidRDefault="00997A69" w:rsidP="00963A4A">
            <w:pPr>
              <w:spacing w:after="0" w:line="240" w:lineRule="auto"/>
              <w:jc w:val="both"/>
              <w:rPr>
                <w:rFonts w:cs="Calibri"/>
                <w:b/>
                <w:color w:val="000000"/>
                <w:sz w:val="20"/>
                <w:szCs w:val="20"/>
              </w:rPr>
            </w:pPr>
            <w:r w:rsidRPr="00963A4A">
              <w:rPr>
                <w:rFonts w:cs="Calibri"/>
                <w:b/>
                <w:color w:val="000000"/>
                <w:sz w:val="20"/>
                <w:szCs w:val="20"/>
              </w:rPr>
              <w:t>Total</w:t>
            </w:r>
          </w:p>
        </w:tc>
        <w:tc>
          <w:tcPr>
            <w:tcW w:w="1413" w:type="dxa"/>
            <w:vAlign w:val="bottom"/>
          </w:tcPr>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N/A</w:t>
            </w:r>
          </w:p>
        </w:tc>
        <w:tc>
          <w:tcPr>
            <w:tcW w:w="1096" w:type="dxa"/>
            <w:vAlign w:val="bottom"/>
          </w:tcPr>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2,875</w:t>
            </w:r>
          </w:p>
        </w:tc>
        <w:tc>
          <w:tcPr>
            <w:tcW w:w="1804" w:type="dxa"/>
          </w:tcPr>
          <w:p w:rsidR="00997A69" w:rsidRPr="00963A4A" w:rsidRDefault="00997A69" w:rsidP="00963A4A">
            <w:pPr>
              <w:spacing w:after="0" w:line="240" w:lineRule="auto"/>
              <w:jc w:val="right"/>
              <w:rPr>
                <w:sz w:val="20"/>
                <w:szCs w:val="20"/>
              </w:rPr>
            </w:pPr>
            <w:r w:rsidRPr="00963A4A">
              <w:rPr>
                <w:rFonts w:cs="Calibri"/>
                <w:color w:val="000000"/>
                <w:sz w:val="20"/>
                <w:szCs w:val="20"/>
              </w:rPr>
              <w:t>N/A</w:t>
            </w:r>
          </w:p>
        </w:tc>
        <w:tc>
          <w:tcPr>
            <w:tcW w:w="2135" w:type="dxa"/>
            <w:vAlign w:val="bottom"/>
          </w:tcPr>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N/A</w:t>
            </w:r>
          </w:p>
        </w:tc>
        <w:tc>
          <w:tcPr>
            <w:tcW w:w="1186" w:type="dxa"/>
            <w:vAlign w:val="bottom"/>
          </w:tcPr>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N/A</w:t>
            </w:r>
          </w:p>
        </w:tc>
        <w:tc>
          <w:tcPr>
            <w:tcW w:w="1110" w:type="dxa"/>
            <w:vAlign w:val="bottom"/>
          </w:tcPr>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2,160</w:t>
            </w:r>
          </w:p>
        </w:tc>
        <w:tc>
          <w:tcPr>
            <w:tcW w:w="1437" w:type="dxa"/>
            <w:vAlign w:val="bottom"/>
          </w:tcPr>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75%</w:t>
            </w:r>
          </w:p>
        </w:tc>
        <w:tc>
          <w:tcPr>
            <w:tcW w:w="1033" w:type="dxa"/>
            <w:vAlign w:val="bottom"/>
          </w:tcPr>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N/A</w:t>
            </w:r>
          </w:p>
        </w:tc>
        <w:tc>
          <w:tcPr>
            <w:tcW w:w="1771" w:type="dxa"/>
            <w:vAlign w:val="bottom"/>
          </w:tcPr>
          <w:p w:rsidR="00997A69" w:rsidRPr="00963A4A" w:rsidRDefault="00997A69" w:rsidP="00963A4A">
            <w:pPr>
              <w:spacing w:after="0" w:line="240" w:lineRule="auto"/>
              <w:jc w:val="right"/>
              <w:rPr>
                <w:rFonts w:cs="Calibri"/>
                <w:b/>
                <w:color w:val="000000"/>
                <w:sz w:val="20"/>
                <w:szCs w:val="20"/>
              </w:rPr>
            </w:pPr>
            <w:r w:rsidRPr="00963A4A">
              <w:rPr>
                <w:rFonts w:cs="Calibri"/>
                <w:b/>
                <w:color w:val="000000"/>
                <w:sz w:val="20"/>
                <w:szCs w:val="20"/>
              </w:rPr>
              <w:t>$1,000,000</w:t>
            </w:r>
          </w:p>
        </w:tc>
      </w:tr>
    </w:tbl>
    <w:p w:rsidR="00997A69" w:rsidRPr="002F6771" w:rsidRDefault="00997A69" w:rsidP="00AB0BCF">
      <w:pPr>
        <w:spacing w:after="0" w:line="240" w:lineRule="auto"/>
        <w:ind w:left="-630" w:right="-630"/>
        <w:rPr>
          <w:rFonts w:cs="Calibri"/>
          <w:color w:val="000000"/>
          <w:sz w:val="16"/>
          <w:szCs w:val="16"/>
        </w:rPr>
      </w:pPr>
      <w:r>
        <w:rPr>
          <w:rFonts w:cs="Calibri"/>
          <w:color w:val="000000"/>
          <w:sz w:val="16"/>
          <w:szCs w:val="16"/>
          <w:vertAlign w:val="superscript"/>
        </w:rPr>
        <w:t>1</w:t>
      </w:r>
      <w:r w:rsidRPr="002F6771">
        <w:rPr>
          <w:rFonts w:cs="Calibri"/>
          <w:color w:val="000000"/>
          <w:sz w:val="16"/>
          <w:szCs w:val="16"/>
        </w:rPr>
        <w:t xml:space="preserve"> The number of students may be determined once every four years for </w:t>
      </w:r>
      <w:r w:rsidR="003D7973">
        <w:rPr>
          <w:rFonts w:cs="Calibri"/>
          <w:color w:val="000000"/>
          <w:sz w:val="16"/>
          <w:szCs w:val="16"/>
        </w:rPr>
        <w:t>CEP</w:t>
      </w:r>
      <w:r>
        <w:rPr>
          <w:rFonts w:cs="Calibri"/>
          <w:color w:val="000000"/>
          <w:sz w:val="16"/>
          <w:szCs w:val="16"/>
        </w:rPr>
        <w:t xml:space="preserve"> </w:t>
      </w:r>
      <w:r w:rsidRPr="002F6771">
        <w:rPr>
          <w:rFonts w:cs="Calibri"/>
          <w:color w:val="000000"/>
          <w:sz w:val="16"/>
          <w:szCs w:val="16"/>
        </w:rPr>
        <w:t xml:space="preserve">schools.  Moreover, the poverty data used will likely differ from other schools.  For the </w:t>
      </w:r>
      <w:r w:rsidR="003D7973">
        <w:rPr>
          <w:rFonts w:cs="Calibri"/>
          <w:color w:val="000000"/>
          <w:sz w:val="16"/>
          <w:szCs w:val="16"/>
        </w:rPr>
        <w:t>CEP</w:t>
      </w:r>
      <w:r w:rsidRPr="002F6771">
        <w:rPr>
          <w:rFonts w:cs="Calibri"/>
          <w:color w:val="000000"/>
          <w:sz w:val="16"/>
          <w:szCs w:val="16"/>
        </w:rPr>
        <w:t xml:space="preserve"> schools, the poverty data w</w:t>
      </w:r>
      <w:r>
        <w:rPr>
          <w:rFonts w:cs="Calibri"/>
          <w:color w:val="000000"/>
          <w:sz w:val="16"/>
          <w:szCs w:val="16"/>
        </w:rPr>
        <w:t>ill</w:t>
      </w:r>
      <w:r w:rsidRPr="002F6771">
        <w:rPr>
          <w:rFonts w:cs="Calibri"/>
          <w:color w:val="000000"/>
          <w:sz w:val="16"/>
          <w:szCs w:val="16"/>
        </w:rPr>
        <w:t xml:space="preserve"> be, for example, direct certification</w:t>
      </w:r>
      <w:r>
        <w:rPr>
          <w:rFonts w:cs="Calibri"/>
          <w:color w:val="000000"/>
          <w:sz w:val="16"/>
          <w:szCs w:val="16"/>
        </w:rPr>
        <w:t xml:space="preserve"> (Identified Students) data</w:t>
      </w:r>
      <w:r w:rsidRPr="002F6771">
        <w:rPr>
          <w:rFonts w:cs="Calibri"/>
          <w:color w:val="000000"/>
          <w:sz w:val="16"/>
          <w:szCs w:val="16"/>
        </w:rPr>
        <w:t xml:space="preserve"> (</w:t>
      </w:r>
      <w:r w:rsidRPr="004F032A">
        <w:rPr>
          <w:rFonts w:cs="Calibri"/>
          <w:color w:val="000000"/>
          <w:sz w:val="16"/>
          <w:szCs w:val="16"/>
        </w:rPr>
        <w:t>e.g.</w:t>
      </w:r>
      <w:r w:rsidRPr="002F6771">
        <w:rPr>
          <w:rFonts w:cs="Calibri"/>
          <w:color w:val="000000"/>
          <w:sz w:val="16"/>
          <w:szCs w:val="16"/>
        </w:rPr>
        <w:t xml:space="preserve">, SNAP or TANF) collected at least every four years times the multiplier.  For other schools, the poverty data </w:t>
      </w:r>
      <w:r>
        <w:rPr>
          <w:rFonts w:cs="Calibri"/>
          <w:color w:val="000000"/>
          <w:sz w:val="16"/>
          <w:szCs w:val="16"/>
        </w:rPr>
        <w:t xml:space="preserve">will </w:t>
      </w:r>
      <w:r w:rsidRPr="002F6771">
        <w:rPr>
          <w:rFonts w:cs="Calibri"/>
          <w:color w:val="000000"/>
          <w:sz w:val="16"/>
          <w:szCs w:val="16"/>
        </w:rPr>
        <w:t xml:space="preserve">be from household applications </w:t>
      </w:r>
      <w:r>
        <w:rPr>
          <w:rFonts w:cs="Calibri"/>
          <w:color w:val="000000"/>
          <w:sz w:val="16"/>
          <w:szCs w:val="16"/>
        </w:rPr>
        <w:t>and</w:t>
      </w:r>
      <w:r w:rsidRPr="002F6771">
        <w:rPr>
          <w:rFonts w:cs="Calibri"/>
          <w:color w:val="000000"/>
          <w:sz w:val="16"/>
          <w:szCs w:val="16"/>
        </w:rPr>
        <w:t xml:space="preserve"> direct certification </w:t>
      </w:r>
      <w:r>
        <w:rPr>
          <w:rFonts w:cs="Calibri"/>
          <w:color w:val="000000"/>
          <w:sz w:val="16"/>
          <w:szCs w:val="16"/>
        </w:rPr>
        <w:t>data</w:t>
      </w:r>
      <w:r w:rsidRPr="002F6771">
        <w:rPr>
          <w:rFonts w:cs="Calibri"/>
          <w:color w:val="000000"/>
          <w:sz w:val="16"/>
          <w:szCs w:val="16"/>
        </w:rPr>
        <w:t>.</w:t>
      </w:r>
    </w:p>
    <w:p w:rsidR="00997A69" w:rsidRPr="002F6771" w:rsidRDefault="00997A69" w:rsidP="00AB0BCF">
      <w:pPr>
        <w:spacing w:after="0" w:line="240" w:lineRule="auto"/>
        <w:ind w:left="-630" w:right="-630"/>
        <w:rPr>
          <w:rFonts w:cs="Calibri"/>
          <w:color w:val="000000"/>
          <w:sz w:val="16"/>
          <w:szCs w:val="16"/>
        </w:rPr>
      </w:pPr>
      <w:r>
        <w:rPr>
          <w:rFonts w:cs="Calibri"/>
          <w:color w:val="000000"/>
          <w:sz w:val="16"/>
          <w:szCs w:val="16"/>
          <w:vertAlign w:val="superscript"/>
        </w:rPr>
        <w:t>2</w:t>
      </w:r>
      <w:r w:rsidRPr="002F6771">
        <w:rPr>
          <w:rFonts w:cs="Calibri"/>
          <w:color w:val="000000"/>
          <w:sz w:val="16"/>
          <w:szCs w:val="16"/>
        </w:rPr>
        <w:t xml:space="preserve"> The </w:t>
      </w:r>
      <w:r>
        <w:rPr>
          <w:rFonts w:cs="Calibri"/>
          <w:color w:val="000000"/>
          <w:sz w:val="16"/>
          <w:szCs w:val="16"/>
        </w:rPr>
        <w:t xml:space="preserve">1.6 </w:t>
      </w:r>
      <w:r w:rsidRPr="002F6771">
        <w:rPr>
          <w:rFonts w:cs="Calibri"/>
          <w:color w:val="000000"/>
          <w:sz w:val="16"/>
          <w:szCs w:val="16"/>
        </w:rPr>
        <w:t xml:space="preserve">multiplier applies only to a </w:t>
      </w:r>
      <w:r w:rsidR="003D7973">
        <w:rPr>
          <w:rFonts w:cs="Calibri"/>
          <w:color w:val="000000"/>
          <w:sz w:val="16"/>
          <w:szCs w:val="16"/>
        </w:rPr>
        <w:t>CEP</w:t>
      </w:r>
      <w:r>
        <w:rPr>
          <w:rFonts w:cs="Calibri"/>
          <w:color w:val="000000"/>
          <w:sz w:val="16"/>
          <w:szCs w:val="16"/>
        </w:rPr>
        <w:t xml:space="preserve"> </w:t>
      </w:r>
      <w:r w:rsidRPr="002F6771">
        <w:rPr>
          <w:rFonts w:cs="Calibri"/>
          <w:color w:val="000000"/>
          <w:sz w:val="16"/>
          <w:szCs w:val="16"/>
        </w:rPr>
        <w:t>school.</w:t>
      </w:r>
    </w:p>
    <w:p w:rsidR="00997A69" w:rsidRPr="002F6771" w:rsidRDefault="00997A69" w:rsidP="00AB0BCF">
      <w:pPr>
        <w:spacing w:after="0" w:line="240" w:lineRule="auto"/>
        <w:ind w:left="-630" w:right="-630"/>
        <w:rPr>
          <w:rFonts w:cs="Calibri"/>
          <w:color w:val="000000"/>
          <w:sz w:val="16"/>
          <w:szCs w:val="16"/>
        </w:rPr>
      </w:pPr>
      <w:r>
        <w:rPr>
          <w:rFonts w:cs="Calibri"/>
          <w:color w:val="000000"/>
          <w:sz w:val="16"/>
          <w:szCs w:val="16"/>
          <w:vertAlign w:val="superscript"/>
        </w:rPr>
        <w:t>3</w:t>
      </w:r>
      <w:r w:rsidRPr="002F6771">
        <w:rPr>
          <w:rFonts w:cs="Calibri"/>
          <w:color w:val="000000"/>
          <w:sz w:val="16"/>
          <w:szCs w:val="16"/>
        </w:rPr>
        <w:t xml:space="preserve"> For a </w:t>
      </w:r>
      <w:r w:rsidR="003D7973">
        <w:rPr>
          <w:rFonts w:cs="Calibri"/>
          <w:color w:val="000000"/>
          <w:sz w:val="16"/>
          <w:szCs w:val="16"/>
        </w:rPr>
        <w:t>CEP</w:t>
      </w:r>
      <w:r w:rsidRPr="002F6771">
        <w:rPr>
          <w:rFonts w:cs="Calibri"/>
          <w:color w:val="000000"/>
          <w:sz w:val="16"/>
          <w:szCs w:val="16"/>
        </w:rPr>
        <w:t xml:space="preserve"> school, the Column </w:t>
      </w:r>
      <w:r>
        <w:rPr>
          <w:rFonts w:cs="Calibri"/>
          <w:color w:val="000000"/>
          <w:sz w:val="16"/>
          <w:szCs w:val="16"/>
        </w:rPr>
        <w:t>7</w:t>
      </w:r>
      <w:r w:rsidRPr="002F6771">
        <w:rPr>
          <w:rFonts w:cs="Calibri"/>
          <w:color w:val="000000"/>
          <w:sz w:val="16"/>
          <w:szCs w:val="16"/>
        </w:rPr>
        <w:t xml:space="preserve"> figure is equal to the lesser of (</w:t>
      </w:r>
      <w:r>
        <w:rPr>
          <w:rFonts w:cs="Calibri"/>
          <w:color w:val="000000"/>
          <w:sz w:val="16"/>
          <w:szCs w:val="16"/>
        </w:rPr>
        <w:t>a</w:t>
      </w:r>
      <w:r w:rsidRPr="002F6771">
        <w:rPr>
          <w:rFonts w:cs="Calibri"/>
          <w:color w:val="000000"/>
          <w:sz w:val="16"/>
          <w:szCs w:val="16"/>
        </w:rPr>
        <w:t xml:space="preserve">) Column 4 x Column </w:t>
      </w:r>
      <w:r>
        <w:rPr>
          <w:rFonts w:cs="Calibri"/>
          <w:color w:val="000000"/>
          <w:sz w:val="16"/>
          <w:szCs w:val="16"/>
        </w:rPr>
        <w:t>6</w:t>
      </w:r>
      <w:r w:rsidRPr="002F6771">
        <w:rPr>
          <w:rFonts w:cs="Calibri"/>
          <w:color w:val="000000"/>
          <w:sz w:val="16"/>
          <w:szCs w:val="16"/>
        </w:rPr>
        <w:t xml:space="preserve"> or (</w:t>
      </w:r>
      <w:r>
        <w:rPr>
          <w:rFonts w:cs="Calibri"/>
          <w:color w:val="000000"/>
          <w:sz w:val="16"/>
          <w:szCs w:val="16"/>
        </w:rPr>
        <w:t>b</w:t>
      </w:r>
      <w:r w:rsidRPr="002F6771">
        <w:rPr>
          <w:rFonts w:cs="Calibri"/>
          <w:color w:val="000000"/>
          <w:sz w:val="16"/>
          <w:szCs w:val="16"/>
        </w:rPr>
        <w:t xml:space="preserve">) Column 3.  In other words, this number may not exceed the school’s total enrollment.  For the </w:t>
      </w:r>
      <w:r>
        <w:rPr>
          <w:rFonts w:cs="Calibri"/>
          <w:color w:val="000000"/>
          <w:sz w:val="16"/>
          <w:szCs w:val="16"/>
        </w:rPr>
        <w:t>non-</w:t>
      </w:r>
      <w:r w:rsidR="003D7973">
        <w:rPr>
          <w:rFonts w:cs="Calibri"/>
          <w:color w:val="000000"/>
          <w:sz w:val="16"/>
          <w:szCs w:val="16"/>
        </w:rPr>
        <w:t>CEP</w:t>
      </w:r>
      <w:r w:rsidRPr="002F6771">
        <w:rPr>
          <w:rFonts w:cs="Calibri"/>
          <w:color w:val="000000"/>
          <w:sz w:val="16"/>
          <w:szCs w:val="16"/>
        </w:rPr>
        <w:t xml:space="preserve"> schools, the Column </w:t>
      </w:r>
      <w:r>
        <w:rPr>
          <w:rFonts w:cs="Calibri"/>
          <w:color w:val="000000"/>
          <w:sz w:val="16"/>
          <w:szCs w:val="16"/>
        </w:rPr>
        <w:t>7</w:t>
      </w:r>
      <w:r w:rsidRPr="002F6771">
        <w:rPr>
          <w:rFonts w:cs="Calibri"/>
          <w:color w:val="000000"/>
          <w:sz w:val="16"/>
          <w:szCs w:val="16"/>
        </w:rPr>
        <w:t xml:space="preserve"> figure is equal to Column </w:t>
      </w:r>
      <w:r>
        <w:rPr>
          <w:rFonts w:cs="Calibri"/>
          <w:color w:val="000000"/>
          <w:sz w:val="16"/>
          <w:szCs w:val="16"/>
        </w:rPr>
        <w:t>5</w:t>
      </w:r>
      <w:r w:rsidRPr="002F6771">
        <w:rPr>
          <w:rFonts w:cs="Calibri"/>
          <w:color w:val="000000"/>
          <w:sz w:val="16"/>
          <w:szCs w:val="16"/>
        </w:rPr>
        <w:t>.</w:t>
      </w:r>
    </w:p>
    <w:p w:rsidR="00997A69" w:rsidRDefault="00997A69" w:rsidP="006C4097">
      <w:pPr>
        <w:spacing w:after="0" w:line="240" w:lineRule="auto"/>
        <w:ind w:left="-630" w:right="-630"/>
        <w:rPr>
          <w:rFonts w:cs="Calibri"/>
          <w:color w:val="000000"/>
          <w:sz w:val="16"/>
          <w:szCs w:val="16"/>
        </w:rPr>
      </w:pPr>
      <w:r>
        <w:rPr>
          <w:rFonts w:cs="Calibri"/>
          <w:color w:val="000000"/>
          <w:sz w:val="16"/>
          <w:szCs w:val="16"/>
          <w:vertAlign w:val="superscript"/>
        </w:rPr>
        <w:t xml:space="preserve">4 </w:t>
      </w:r>
      <w:r w:rsidRPr="002F6771">
        <w:rPr>
          <w:rFonts w:cs="Calibri"/>
          <w:color w:val="000000"/>
          <w:sz w:val="16"/>
          <w:szCs w:val="16"/>
        </w:rPr>
        <w:t xml:space="preserve">Column </w:t>
      </w:r>
      <w:r>
        <w:rPr>
          <w:rFonts w:cs="Calibri"/>
          <w:color w:val="000000"/>
          <w:sz w:val="16"/>
          <w:szCs w:val="16"/>
        </w:rPr>
        <w:t>7 / Column 3.</w:t>
      </w:r>
    </w:p>
    <w:p w:rsidR="006E0C6D" w:rsidRPr="00A223F6" w:rsidRDefault="006E0C6D" w:rsidP="006E0C6D">
      <w:pPr>
        <w:spacing w:after="0" w:line="240" w:lineRule="auto"/>
        <w:ind w:left="-630" w:right="-630"/>
        <w:rPr>
          <w:rFonts w:cs="Calibri"/>
          <w:color w:val="000000"/>
          <w:sz w:val="16"/>
          <w:szCs w:val="16"/>
        </w:rPr>
      </w:pPr>
      <w:r>
        <w:rPr>
          <w:rFonts w:cs="Calibri"/>
          <w:color w:val="000000"/>
          <w:sz w:val="16"/>
          <w:szCs w:val="16"/>
          <w:vertAlign w:val="superscript"/>
        </w:rPr>
        <w:t xml:space="preserve">5 </w:t>
      </w:r>
      <w:r>
        <w:rPr>
          <w:rFonts w:cs="Calibri"/>
          <w:color w:val="000000"/>
          <w:sz w:val="16"/>
          <w:szCs w:val="16"/>
        </w:rPr>
        <w:t>An LEA determines the per-pupil amount it will allocate to each school; no lower-ranked school may receive more per</w:t>
      </w:r>
      <w:r w:rsidR="002A018F">
        <w:rPr>
          <w:rFonts w:cs="Calibri"/>
          <w:color w:val="000000"/>
          <w:sz w:val="16"/>
          <w:szCs w:val="16"/>
        </w:rPr>
        <w:t xml:space="preserve"> </w:t>
      </w:r>
      <w:r>
        <w:rPr>
          <w:rFonts w:cs="Calibri"/>
          <w:color w:val="000000"/>
          <w:sz w:val="16"/>
          <w:szCs w:val="16"/>
        </w:rPr>
        <w:t>pupil than a higher-ranked school.</w:t>
      </w:r>
    </w:p>
    <w:p w:rsidR="006E0C6D" w:rsidRPr="006C4097" w:rsidRDefault="006E0C6D" w:rsidP="006E0C6D">
      <w:pPr>
        <w:spacing w:after="0" w:line="240" w:lineRule="auto"/>
        <w:ind w:left="-630" w:right="-630"/>
        <w:rPr>
          <w:rFonts w:cs="Calibri"/>
          <w:color w:val="000000"/>
          <w:sz w:val="16"/>
          <w:szCs w:val="16"/>
        </w:rPr>
        <w:sectPr w:rsidR="006E0C6D" w:rsidRPr="006C4097" w:rsidSect="00F93BBF">
          <w:pgSz w:w="15840" w:h="12240" w:orient="landscape"/>
          <w:pgMar w:top="1440" w:right="1440" w:bottom="1440" w:left="1440" w:header="720" w:footer="288" w:gutter="0"/>
          <w:cols w:space="720"/>
          <w:docGrid w:linePitch="360"/>
        </w:sectPr>
      </w:pPr>
      <w:r>
        <w:rPr>
          <w:rFonts w:cs="Calibri"/>
          <w:color w:val="000000"/>
          <w:sz w:val="16"/>
          <w:szCs w:val="16"/>
          <w:vertAlign w:val="superscript"/>
        </w:rPr>
        <w:t xml:space="preserve">6 </w:t>
      </w:r>
      <w:r w:rsidRPr="002F6771">
        <w:rPr>
          <w:rFonts w:cs="Calibri"/>
          <w:color w:val="000000"/>
          <w:sz w:val="16"/>
          <w:szCs w:val="16"/>
        </w:rPr>
        <w:t xml:space="preserve">Column </w:t>
      </w:r>
      <w:r>
        <w:rPr>
          <w:rFonts w:cs="Calibri"/>
          <w:color w:val="000000"/>
          <w:sz w:val="16"/>
          <w:szCs w:val="16"/>
        </w:rPr>
        <w:t>9</w:t>
      </w:r>
      <w:r w:rsidRPr="002F6771">
        <w:rPr>
          <w:rFonts w:cs="Calibri"/>
          <w:color w:val="000000"/>
          <w:sz w:val="16"/>
          <w:szCs w:val="16"/>
        </w:rPr>
        <w:t xml:space="preserve"> x Column </w:t>
      </w:r>
      <w:r>
        <w:rPr>
          <w:rFonts w:cs="Calibri"/>
          <w:color w:val="000000"/>
          <w:sz w:val="16"/>
          <w:szCs w:val="16"/>
        </w:rPr>
        <w:t>7</w:t>
      </w:r>
      <w:r w:rsidRPr="002F6771">
        <w:rPr>
          <w:rFonts w:cs="Calibri"/>
          <w:color w:val="000000"/>
          <w:sz w:val="16"/>
          <w:szCs w:val="16"/>
        </w:rPr>
        <w:t xml:space="preserve"> (Note: </w:t>
      </w:r>
      <w:r>
        <w:rPr>
          <w:rFonts w:cs="Calibri"/>
          <w:color w:val="000000"/>
          <w:sz w:val="16"/>
          <w:szCs w:val="16"/>
        </w:rPr>
        <w:t xml:space="preserve"> </w:t>
      </w:r>
      <w:smartTag w:uri="urn:schemas-microsoft-com:office:smarttags" w:element="City">
        <w:smartTag w:uri="urn:schemas-microsoft-com:office:smarttags" w:element="place">
          <w:r w:rsidRPr="002F6771">
            <w:rPr>
              <w:rFonts w:cs="Calibri"/>
              <w:color w:val="000000"/>
              <w:sz w:val="16"/>
              <w:szCs w:val="16"/>
            </w:rPr>
            <w:t>Monroe</w:t>
          </w:r>
        </w:smartTag>
      </w:smartTag>
      <w:r w:rsidRPr="002F6771">
        <w:rPr>
          <w:rFonts w:cs="Calibri"/>
          <w:color w:val="000000"/>
          <w:sz w:val="16"/>
          <w:szCs w:val="16"/>
        </w:rPr>
        <w:t xml:space="preserve"> is ineligible for Title I funds because its poverty percentage is below both the LEA’s average</w:t>
      </w:r>
      <w:r>
        <w:rPr>
          <w:rFonts w:cs="Calibri"/>
          <w:color w:val="000000"/>
          <w:sz w:val="16"/>
          <w:szCs w:val="16"/>
        </w:rPr>
        <w:t xml:space="preserve"> </w:t>
      </w:r>
      <w:r>
        <w:rPr>
          <w:sz w:val="16"/>
          <w:szCs w:val="16"/>
        </w:rPr>
        <w:t>(Column 8 total row)</w:t>
      </w:r>
      <w:r w:rsidRPr="002F6771">
        <w:rPr>
          <w:rFonts w:cs="Calibri"/>
          <w:color w:val="000000"/>
          <w:sz w:val="16"/>
          <w:szCs w:val="16"/>
        </w:rPr>
        <w:t xml:space="preserve"> and 35 percent.)</w:t>
      </w:r>
      <w:r w:rsidRPr="00826C4F">
        <w:rPr>
          <w:sz w:val="24"/>
          <w:szCs w:val="24"/>
        </w:rPr>
        <w:t xml:space="preserve"> </w:t>
      </w:r>
    </w:p>
    <w:p w:rsidR="00997A69" w:rsidRPr="006229E5" w:rsidRDefault="00997A69" w:rsidP="007603D0">
      <w:pPr>
        <w:spacing w:after="0" w:line="240" w:lineRule="auto"/>
        <w:ind w:left="-630" w:right="-630"/>
        <w:jc w:val="center"/>
        <w:rPr>
          <w:rFonts w:cs="Calibri"/>
          <w:b/>
          <w:color w:val="000000"/>
          <w:sz w:val="24"/>
          <w:szCs w:val="24"/>
          <w:u w:val="single"/>
        </w:rPr>
      </w:pPr>
      <w:r w:rsidRPr="00826C4F">
        <w:rPr>
          <w:sz w:val="24"/>
          <w:szCs w:val="24"/>
        </w:rPr>
        <w:lastRenderedPageBreak/>
        <w:t xml:space="preserve"> </w:t>
      </w:r>
      <w:r w:rsidRPr="006229E5">
        <w:rPr>
          <w:rFonts w:cs="Calibri"/>
          <w:b/>
          <w:color w:val="000000"/>
          <w:sz w:val="24"/>
          <w:szCs w:val="24"/>
          <w:u w:val="single"/>
        </w:rPr>
        <w:t>Example</w:t>
      </w:r>
      <w:r>
        <w:rPr>
          <w:rFonts w:cs="Calibri"/>
          <w:b/>
          <w:color w:val="000000"/>
          <w:sz w:val="24"/>
          <w:szCs w:val="24"/>
          <w:u w:val="single"/>
        </w:rPr>
        <w:t xml:space="preserve"> B</w:t>
      </w:r>
    </w:p>
    <w:p w:rsidR="00997A69" w:rsidRPr="006229E5" w:rsidRDefault="00997A69" w:rsidP="00826C4F">
      <w:pPr>
        <w:spacing w:after="0" w:line="240" w:lineRule="auto"/>
        <w:jc w:val="center"/>
        <w:rPr>
          <w:rFonts w:cs="Calibri"/>
          <w:b/>
          <w:color w:val="000000"/>
          <w:sz w:val="24"/>
          <w:szCs w:val="24"/>
        </w:rPr>
      </w:pPr>
    </w:p>
    <w:p w:rsidR="00997A69" w:rsidRDefault="00997A69" w:rsidP="00826C4F">
      <w:pPr>
        <w:spacing w:after="0" w:line="240" w:lineRule="auto"/>
        <w:jc w:val="center"/>
        <w:rPr>
          <w:rFonts w:cs="Calibri"/>
          <w:b/>
          <w:color w:val="000000"/>
          <w:sz w:val="24"/>
          <w:szCs w:val="24"/>
        </w:rPr>
      </w:pPr>
      <w:r>
        <w:rPr>
          <w:rFonts w:cs="Calibri"/>
          <w:b/>
          <w:color w:val="000000"/>
          <w:sz w:val="24"/>
          <w:szCs w:val="24"/>
        </w:rPr>
        <w:t>Using Direct Certification Data Only</w:t>
      </w:r>
    </w:p>
    <w:p w:rsidR="00997A69" w:rsidRPr="006229E5" w:rsidRDefault="00997A69" w:rsidP="00826C4F">
      <w:pPr>
        <w:spacing w:after="0" w:line="240" w:lineRule="auto"/>
        <w:jc w:val="center"/>
        <w:rPr>
          <w:rFonts w:cs="Calibri"/>
          <w:b/>
          <w:color w:val="000000"/>
          <w:sz w:val="24"/>
          <w:szCs w:val="24"/>
        </w:rPr>
      </w:pPr>
      <w:r w:rsidRPr="006229E5">
        <w:rPr>
          <w:rFonts w:cs="Calibri"/>
          <w:b/>
          <w:color w:val="000000"/>
          <w:sz w:val="24"/>
          <w:szCs w:val="24"/>
        </w:rPr>
        <w:t>Within-District Title I Allocations in an LEA with a</w:t>
      </w:r>
    </w:p>
    <w:p w:rsidR="00997A69" w:rsidRDefault="00997A69" w:rsidP="00826C4F">
      <w:pPr>
        <w:spacing w:after="0" w:line="240" w:lineRule="auto"/>
        <w:jc w:val="center"/>
        <w:rPr>
          <w:rFonts w:cs="Calibri"/>
          <w:color w:val="000000"/>
          <w:sz w:val="24"/>
          <w:szCs w:val="24"/>
        </w:rPr>
      </w:pPr>
      <w:r w:rsidRPr="006229E5">
        <w:rPr>
          <w:rFonts w:cs="Calibri"/>
          <w:b/>
          <w:color w:val="000000"/>
          <w:sz w:val="24"/>
          <w:szCs w:val="24"/>
        </w:rPr>
        <w:t xml:space="preserve">Combination of </w:t>
      </w:r>
      <w:smartTag w:uri="urn:schemas-microsoft-com:office:smarttags" w:element="PlaceName">
        <w:r w:rsidR="003D7973">
          <w:rPr>
            <w:rFonts w:cs="Calibri"/>
            <w:b/>
            <w:color w:val="000000"/>
            <w:sz w:val="24"/>
            <w:szCs w:val="24"/>
          </w:rPr>
          <w:t>CEP</w:t>
        </w:r>
      </w:smartTag>
      <w:r w:rsidRPr="006229E5">
        <w:rPr>
          <w:rFonts w:cs="Calibri"/>
          <w:b/>
          <w:color w:val="000000"/>
          <w:sz w:val="24"/>
          <w:szCs w:val="24"/>
        </w:rPr>
        <w:t xml:space="preserve"> </w:t>
      </w:r>
      <w:smartTag w:uri="urn:schemas-microsoft-com:office:smarttags" w:element="PlaceType">
        <w:r w:rsidRPr="006229E5">
          <w:rPr>
            <w:rFonts w:cs="Calibri"/>
            <w:b/>
            <w:color w:val="000000"/>
            <w:sz w:val="24"/>
            <w:szCs w:val="24"/>
          </w:rPr>
          <w:t>Schools</w:t>
        </w:r>
      </w:smartTag>
      <w:r w:rsidRPr="006229E5">
        <w:rPr>
          <w:rFonts w:cs="Calibri"/>
          <w:b/>
          <w:color w:val="000000"/>
          <w:sz w:val="24"/>
          <w:szCs w:val="24"/>
        </w:rPr>
        <w:t xml:space="preserve"> and </w:t>
      </w:r>
      <w:smartTag w:uri="urn:schemas-microsoft-com:office:smarttags" w:element="place">
        <w:smartTag w:uri="urn:schemas-microsoft-com:office:smarttags" w:element="PlaceName">
          <w:r>
            <w:rPr>
              <w:rFonts w:cs="Calibri"/>
              <w:b/>
              <w:color w:val="000000"/>
              <w:sz w:val="24"/>
              <w:szCs w:val="24"/>
            </w:rPr>
            <w:t>N</w:t>
          </w:r>
          <w:r w:rsidRPr="006229E5">
            <w:rPr>
              <w:rFonts w:cs="Calibri"/>
              <w:b/>
              <w:color w:val="000000"/>
              <w:sz w:val="24"/>
              <w:szCs w:val="24"/>
            </w:rPr>
            <w:t>on-</w:t>
          </w:r>
          <w:r w:rsidR="003D7973">
            <w:rPr>
              <w:rFonts w:cs="Calibri"/>
              <w:b/>
              <w:color w:val="000000"/>
              <w:sz w:val="24"/>
              <w:szCs w:val="24"/>
            </w:rPr>
            <w:t>CEP</w:t>
          </w:r>
        </w:smartTag>
        <w:r w:rsidRPr="006229E5">
          <w:rPr>
            <w:rFonts w:cs="Calibri"/>
            <w:b/>
            <w:color w:val="000000"/>
            <w:sz w:val="24"/>
            <w:szCs w:val="24"/>
          </w:rPr>
          <w:t xml:space="preserve"> </w:t>
        </w:r>
        <w:smartTag w:uri="urn:schemas-microsoft-com:office:smarttags" w:element="PlaceType">
          <w:r w:rsidRPr="006229E5">
            <w:rPr>
              <w:rFonts w:cs="Calibri"/>
              <w:b/>
              <w:color w:val="000000"/>
              <w:sz w:val="24"/>
              <w:szCs w:val="24"/>
            </w:rPr>
            <w:t>Schools</w:t>
          </w:r>
        </w:smartTag>
      </w:smartTag>
    </w:p>
    <w:p w:rsidR="00997A69" w:rsidRDefault="00997A69" w:rsidP="00826C4F">
      <w:pPr>
        <w:spacing w:after="0" w:line="240" w:lineRule="auto"/>
        <w:rPr>
          <w:rFonts w:cs="Calibri"/>
          <w:color w:val="000000"/>
          <w:sz w:val="24"/>
          <w:szCs w:val="24"/>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1320"/>
        <w:gridCol w:w="1194"/>
        <w:gridCol w:w="1720"/>
        <w:gridCol w:w="1572"/>
        <w:gridCol w:w="1013"/>
        <w:gridCol w:w="1741"/>
        <w:tblGridChange w:id="103">
          <w:tblGrid>
            <w:gridCol w:w="1184"/>
            <w:gridCol w:w="1320"/>
            <w:gridCol w:w="1194"/>
            <w:gridCol w:w="1720"/>
            <w:gridCol w:w="1572"/>
            <w:gridCol w:w="1013"/>
            <w:gridCol w:w="1741"/>
          </w:tblGrid>
        </w:tblGridChange>
      </w:tblGrid>
      <w:tr w:rsidR="0097216F" w:rsidRPr="006229E5" w:rsidTr="0097216F">
        <w:trPr>
          <w:jc w:val="center"/>
        </w:trPr>
        <w:tc>
          <w:tcPr>
            <w:tcW w:w="1184" w:type="dxa"/>
          </w:tcPr>
          <w:p w:rsidR="0097216F" w:rsidRPr="006229E5" w:rsidRDefault="0097216F" w:rsidP="00D4349D">
            <w:pPr>
              <w:spacing w:after="0" w:line="240" w:lineRule="auto"/>
              <w:jc w:val="center"/>
              <w:rPr>
                <w:rFonts w:cs="Calibri"/>
                <w:color w:val="000000"/>
                <w:sz w:val="20"/>
                <w:szCs w:val="20"/>
              </w:rPr>
            </w:pPr>
            <w:r w:rsidRPr="006229E5">
              <w:rPr>
                <w:rFonts w:cs="Calibri"/>
                <w:color w:val="000000"/>
                <w:sz w:val="20"/>
                <w:szCs w:val="20"/>
              </w:rPr>
              <w:t>Column 1</w:t>
            </w:r>
          </w:p>
        </w:tc>
        <w:tc>
          <w:tcPr>
            <w:tcW w:w="1320" w:type="dxa"/>
          </w:tcPr>
          <w:p w:rsidR="0097216F" w:rsidRPr="006229E5" w:rsidRDefault="0097216F" w:rsidP="00D4349D">
            <w:pPr>
              <w:spacing w:after="0" w:line="240" w:lineRule="auto"/>
              <w:jc w:val="center"/>
              <w:rPr>
                <w:rFonts w:cs="Calibri"/>
                <w:sz w:val="20"/>
                <w:szCs w:val="20"/>
              </w:rPr>
            </w:pPr>
            <w:r w:rsidRPr="006229E5">
              <w:rPr>
                <w:rFonts w:cs="Calibri"/>
                <w:color w:val="000000"/>
                <w:sz w:val="20"/>
                <w:szCs w:val="20"/>
              </w:rPr>
              <w:t>Column 2</w:t>
            </w:r>
          </w:p>
        </w:tc>
        <w:tc>
          <w:tcPr>
            <w:tcW w:w="1194" w:type="dxa"/>
          </w:tcPr>
          <w:p w:rsidR="0097216F" w:rsidRPr="006229E5" w:rsidRDefault="0097216F" w:rsidP="00D4349D">
            <w:pPr>
              <w:spacing w:after="0" w:line="240" w:lineRule="auto"/>
              <w:jc w:val="center"/>
              <w:rPr>
                <w:rFonts w:cs="Calibri"/>
                <w:sz w:val="20"/>
                <w:szCs w:val="20"/>
              </w:rPr>
            </w:pPr>
            <w:r w:rsidRPr="006229E5">
              <w:rPr>
                <w:rFonts w:cs="Calibri"/>
                <w:color w:val="000000"/>
                <w:sz w:val="20"/>
                <w:szCs w:val="20"/>
              </w:rPr>
              <w:t>Column 3</w:t>
            </w:r>
          </w:p>
        </w:tc>
        <w:tc>
          <w:tcPr>
            <w:tcW w:w="1720" w:type="dxa"/>
          </w:tcPr>
          <w:p w:rsidR="0097216F" w:rsidRPr="006229E5" w:rsidRDefault="0097216F" w:rsidP="00D4349D">
            <w:pPr>
              <w:spacing w:after="0" w:line="240" w:lineRule="auto"/>
              <w:jc w:val="center"/>
              <w:rPr>
                <w:rFonts w:cs="Calibri"/>
                <w:sz w:val="20"/>
                <w:szCs w:val="20"/>
              </w:rPr>
            </w:pPr>
            <w:r w:rsidRPr="006229E5">
              <w:rPr>
                <w:rFonts w:cs="Calibri"/>
                <w:color w:val="000000"/>
                <w:sz w:val="20"/>
                <w:szCs w:val="20"/>
              </w:rPr>
              <w:t>Column 4</w:t>
            </w:r>
          </w:p>
        </w:tc>
        <w:tc>
          <w:tcPr>
            <w:tcW w:w="1572" w:type="dxa"/>
          </w:tcPr>
          <w:p w:rsidR="0097216F" w:rsidRPr="006229E5" w:rsidRDefault="0097216F" w:rsidP="00D4349D">
            <w:pPr>
              <w:spacing w:after="0" w:line="240" w:lineRule="auto"/>
              <w:jc w:val="center"/>
              <w:rPr>
                <w:rFonts w:cs="Calibri"/>
                <w:sz w:val="20"/>
                <w:szCs w:val="20"/>
              </w:rPr>
            </w:pPr>
            <w:r>
              <w:rPr>
                <w:rFonts w:cs="Calibri"/>
                <w:sz w:val="20"/>
                <w:szCs w:val="20"/>
              </w:rPr>
              <w:t>Column 5</w:t>
            </w:r>
          </w:p>
        </w:tc>
        <w:tc>
          <w:tcPr>
            <w:tcW w:w="1013" w:type="dxa"/>
          </w:tcPr>
          <w:p w:rsidR="0097216F" w:rsidRPr="006229E5" w:rsidRDefault="0097216F" w:rsidP="00D4349D">
            <w:pPr>
              <w:spacing w:after="0" w:line="240" w:lineRule="auto"/>
              <w:jc w:val="center"/>
              <w:rPr>
                <w:rFonts w:cs="Calibri"/>
                <w:sz w:val="20"/>
                <w:szCs w:val="20"/>
              </w:rPr>
            </w:pPr>
            <w:r>
              <w:rPr>
                <w:rFonts w:cs="Calibri"/>
                <w:sz w:val="20"/>
                <w:szCs w:val="20"/>
              </w:rPr>
              <w:t>Column 6</w:t>
            </w:r>
          </w:p>
        </w:tc>
        <w:tc>
          <w:tcPr>
            <w:tcW w:w="1741" w:type="dxa"/>
          </w:tcPr>
          <w:p w:rsidR="0097216F" w:rsidRPr="006229E5" w:rsidRDefault="0097216F" w:rsidP="00D4349D">
            <w:pPr>
              <w:spacing w:after="0" w:line="240" w:lineRule="auto"/>
              <w:jc w:val="center"/>
              <w:rPr>
                <w:rFonts w:cs="Calibri"/>
                <w:sz w:val="20"/>
                <w:szCs w:val="20"/>
              </w:rPr>
            </w:pPr>
            <w:r>
              <w:rPr>
                <w:rFonts w:cs="Calibri"/>
                <w:sz w:val="20"/>
                <w:szCs w:val="20"/>
              </w:rPr>
              <w:t>Column 7</w:t>
            </w:r>
          </w:p>
        </w:tc>
      </w:tr>
      <w:tr w:rsidR="0097216F" w:rsidRPr="006229E5" w:rsidTr="0097216F">
        <w:trPr>
          <w:jc w:val="center"/>
        </w:trPr>
        <w:tc>
          <w:tcPr>
            <w:tcW w:w="1184" w:type="dxa"/>
            <w:vAlign w:val="bottom"/>
          </w:tcPr>
          <w:p w:rsidR="0097216F" w:rsidRPr="006229E5" w:rsidRDefault="0097216F" w:rsidP="00D4349D">
            <w:pPr>
              <w:spacing w:after="0" w:line="240" w:lineRule="auto"/>
              <w:rPr>
                <w:rFonts w:cs="Calibri"/>
                <w:b/>
                <w:color w:val="000000"/>
                <w:sz w:val="20"/>
                <w:szCs w:val="20"/>
              </w:rPr>
            </w:pPr>
          </w:p>
          <w:p w:rsidR="0097216F" w:rsidRPr="006229E5" w:rsidRDefault="0097216F" w:rsidP="00D4349D">
            <w:pPr>
              <w:spacing w:after="0" w:line="240" w:lineRule="auto"/>
              <w:rPr>
                <w:rFonts w:cs="Calibri"/>
                <w:b/>
                <w:color w:val="000000"/>
                <w:sz w:val="20"/>
                <w:szCs w:val="20"/>
              </w:rPr>
            </w:pPr>
          </w:p>
          <w:p w:rsidR="0097216F" w:rsidRPr="006229E5" w:rsidRDefault="0097216F" w:rsidP="00D4349D">
            <w:pPr>
              <w:spacing w:after="0" w:line="240" w:lineRule="auto"/>
              <w:rPr>
                <w:rFonts w:cs="Calibri"/>
                <w:b/>
                <w:color w:val="000000"/>
                <w:sz w:val="20"/>
                <w:szCs w:val="20"/>
              </w:rPr>
            </w:pPr>
          </w:p>
          <w:p w:rsidR="0097216F" w:rsidRPr="006229E5" w:rsidRDefault="0097216F" w:rsidP="00D4349D">
            <w:pPr>
              <w:spacing w:after="0" w:line="240" w:lineRule="auto"/>
              <w:rPr>
                <w:rFonts w:cs="Calibri"/>
                <w:b/>
                <w:color w:val="000000"/>
                <w:sz w:val="20"/>
                <w:szCs w:val="20"/>
              </w:rPr>
            </w:pPr>
          </w:p>
          <w:p w:rsidR="0097216F" w:rsidRPr="006229E5" w:rsidRDefault="0097216F" w:rsidP="00D4349D">
            <w:pPr>
              <w:spacing w:after="0" w:line="240" w:lineRule="auto"/>
              <w:rPr>
                <w:rFonts w:cs="Calibri"/>
                <w:b/>
                <w:color w:val="000000"/>
                <w:sz w:val="20"/>
                <w:szCs w:val="20"/>
              </w:rPr>
            </w:pPr>
          </w:p>
          <w:p w:rsidR="0097216F" w:rsidRPr="006229E5" w:rsidRDefault="0097216F" w:rsidP="00D4349D">
            <w:pPr>
              <w:spacing w:after="0" w:line="240" w:lineRule="auto"/>
              <w:rPr>
                <w:rFonts w:cs="Calibri"/>
                <w:b/>
                <w:color w:val="000000"/>
                <w:sz w:val="20"/>
                <w:szCs w:val="20"/>
              </w:rPr>
            </w:pPr>
          </w:p>
          <w:p w:rsidR="0097216F" w:rsidRPr="006229E5" w:rsidRDefault="0097216F" w:rsidP="00D4349D">
            <w:pPr>
              <w:spacing w:after="0" w:line="240" w:lineRule="auto"/>
              <w:rPr>
                <w:rFonts w:cs="Calibri"/>
                <w:b/>
                <w:color w:val="000000"/>
                <w:sz w:val="20"/>
                <w:szCs w:val="20"/>
              </w:rPr>
            </w:pPr>
            <w:r w:rsidRPr="006229E5">
              <w:rPr>
                <w:rFonts w:cs="Calibri"/>
                <w:b/>
                <w:color w:val="000000"/>
                <w:sz w:val="20"/>
                <w:szCs w:val="20"/>
              </w:rPr>
              <w:t>School</w:t>
            </w:r>
          </w:p>
        </w:tc>
        <w:tc>
          <w:tcPr>
            <w:tcW w:w="1320" w:type="dxa"/>
            <w:vAlign w:val="bottom"/>
          </w:tcPr>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3D7973" w:rsidP="00D4349D">
            <w:pPr>
              <w:spacing w:after="0" w:line="240" w:lineRule="auto"/>
              <w:jc w:val="right"/>
              <w:rPr>
                <w:rFonts w:cs="Calibri"/>
                <w:b/>
                <w:color w:val="000000"/>
                <w:sz w:val="20"/>
                <w:szCs w:val="20"/>
              </w:rPr>
            </w:pPr>
            <w:smartTag w:uri="urn:schemas-microsoft-com:office:smarttags" w:element="place">
              <w:smartTag w:uri="urn:schemas-microsoft-com:office:smarttags" w:element="PlaceName">
                <w:r>
                  <w:rPr>
                    <w:rFonts w:cs="Calibri"/>
                    <w:b/>
                    <w:color w:val="000000"/>
                    <w:sz w:val="20"/>
                    <w:szCs w:val="20"/>
                  </w:rPr>
                  <w:t>CEP</w:t>
                </w:r>
              </w:smartTag>
              <w:r w:rsidR="0097216F" w:rsidRPr="006229E5">
                <w:rPr>
                  <w:rFonts w:cs="Calibri"/>
                  <w:b/>
                  <w:color w:val="000000"/>
                  <w:sz w:val="20"/>
                  <w:szCs w:val="20"/>
                </w:rPr>
                <w:t xml:space="preserve"> </w:t>
              </w:r>
              <w:smartTag w:uri="urn:schemas-microsoft-com:office:smarttags" w:element="PlaceType">
                <w:r w:rsidR="0097216F" w:rsidRPr="006229E5">
                  <w:rPr>
                    <w:rFonts w:cs="Calibri"/>
                    <w:b/>
                    <w:color w:val="000000"/>
                    <w:sz w:val="20"/>
                    <w:szCs w:val="20"/>
                  </w:rPr>
                  <w:t>School</w:t>
                </w:r>
              </w:smartTag>
            </w:smartTag>
            <w:r w:rsidR="0097216F" w:rsidRPr="006229E5">
              <w:rPr>
                <w:rFonts w:cs="Calibri"/>
                <w:b/>
                <w:color w:val="000000"/>
                <w:sz w:val="20"/>
                <w:szCs w:val="20"/>
              </w:rPr>
              <w:t xml:space="preserve"> (Y/N)</w:t>
            </w:r>
          </w:p>
        </w:tc>
        <w:tc>
          <w:tcPr>
            <w:tcW w:w="1194" w:type="dxa"/>
            <w:vAlign w:val="bottom"/>
          </w:tcPr>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r w:rsidRPr="006229E5">
              <w:rPr>
                <w:rFonts w:cs="Calibri"/>
                <w:b/>
                <w:color w:val="000000"/>
                <w:sz w:val="20"/>
                <w:szCs w:val="20"/>
              </w:rPr>
              <w:t>Enrollment</w:t>
            </w:r>
          </w:p>
        </w:tc>
        <w:tc>
          <w:tcPr>
            <w:tcW w:w="1720" w:type="dxa"/>
            <w:vAlign w:val="bottom"/>
          </w:tcPr>
          <w:p w:rsidR="0097216F" w:rsidRPr="006229E5" w:rsidRDefault="0097216F" w:rsidP="00472B16">
            <w:pPr>
              <w:spacing w:after="0" w:line="240" w:lineRule="auto"/>
              <w:jc w:val="right"/>
              <w:rPr>
                <w:rFonts w:cs="Calibri"/>
                <w:b/>
                <w:color w:val="000000"/>
                <w:sz w:val="20"/>
                <w:szCs w:val="20"/>
              </w:rPr>
            </w:pPr>
            <w:r>
              <w:rPr>
                <w:rFonts w:cs="Calibri"/>
                <w:b/>
                <w:color w:val="000000"/>
                <w:sz w:val="20"/>
                <w:szCs w:val="20"/>
              </w:rPr>
              <w:t>All</w:t>
            </w:r>
            <w:r w:rsidRPr="006229E5">
              <w:rPr>
                <w:rFonts w:cs="Calibri"/>
                <w:b/>
                <w:color w:val="000000"/>
                <w:sz w:val="20"/>
                <w:szCs w:val="20"/>
              </w:rPr>
              <w:t xml:space="preserve"> </w:t>
            </w:r>
            <w:r>
              <w:rPr>
                <w:rFonts w:cs="Calibri"/>
                <w:b/>
                <w:color w:val="000000"/>
                <w:sz w:val="20"/>
                <w:szCs w:val="20"/>
              </w:rPr>
              <w:t>S</w:t>
            </w:r>
            <w:r w:rsidRPr="006229E5">
              <w:rPr>
                <w:rFonts w:cs="Calibri"/>
                <w:b/>
                <w:color w:val="000000"/>
                <w:sz w:val="20"/>
                <w:szCs w:val="20"/>
              </w:rPr>
              <w:t>chools: Direct Certification Data</w:t>
            </w:r>
            <w:r>
              <w:rPr>
                <w:rFonts w:cs="Calibri"/>
                <w:b/>
                <w:color w:val="000000"/>
                <w:sz w:val="20"/>
                <w:szCs w:val="20"/>
              </w:rPr>
              <w:t xml:space="preserve"> Through SNAP</w:t>
            </w:r>
            <w:r>
              <w:rPr>
                <w:rFonts w:cs="Calibri"/>
                <w:b/>
                <w:color w:val="000000"/>
                <w:sz w:val="20"/>
                <w:szCs w:val="20"/>
                <w:vertAlign w:val="superscript"/>
              </w:rPr>
              <w:t>1</w:t>
            </w:r>
          </w:p>
        </w:tc>
        <w:tc>
          <w:tcPr>
            <w:tcW w:w="1572" w:type="dxa"/>
            <w:vAlign w:val="bottom"/>
          </w:tcPr>
          <w:p w:rsidR="0097216F" w:rsidRPr="006229E5" w:rsidRDefault="0097216F" w:rsidP="00D4349D">
            <w:pPr>
              <w:spacing w:after="0" w:line="240" w:lineRule="auto"/>
              <w:jc w:val="right"/>
              <w:rPr>
                <w:rFonts w:cs="Calibri"/>
                <w:b/>
                <w:color w:val="000000"/>
                <w:sz w:val="20"/>
                <w:szCs w:val="20"/>
              </w:rPr>
            </w:pPr>
          </w:p>
          <w:p w:rsidR="0097216F" w:rsidRPr="006229E5" w:rsidRDefault="0097216F" w:rsidP="005E5949">
            <w:pPr>
              <w:spacing w:after="0" w:line="240" w:lineRule="auto"/>
              <w:jc w:val="right"/>
              <w:rPr>
                <w:rFonts w:cs="Calibri"/>
                <w:b/>
                <w:color w:val="000000"/>
                <w:sz w:val="20"/>
                <w:szCs w:val="20"/>
              </w:rPr>
            </w:pPr>
            <w:r w:rsidRPr="006229E5">
              <w:rPr>
                <w:rFonts w:cs="Calibri"/>
                <w:b/>
                <w:color w:val="000000"/>
                <w:sz w:val="20"/>
                <w:szCs w:val="20"/>
              </w:rPr>
              <w:t>Percentage of Economically Disadvantaged Stud</w:t>
            </w:r>
            <w:r>
              <w:rPr>
                <w:rFonts w:cs="Calibri"/>
                <w:b/>
                <w:color w:val="000000"/>
                <w:sz w:val="20"/>
                <w:szCs w:val="20"/>
              </w:rPr>
              <w:t>ents for Title I Allocations</w:t>
            </w:r>
            <w:r>
              <w:rPr>
                <w:rFonts w:cs="Calibri"/>
                <w:b/>
                <w:color w:val="000000"/>
                <w:sz w:val="20"/>
                <w:szCs w:val="20"/>
                <w:vertAlign w:val="superscript"/>
              </w:rPr>
              <w:t>2</w:t>
            </w:r>
          </w:p>
        </w:tc>
        <w:tc>
          <w:tcPr>
            <w:tcW w:w="1013" w:type="dxa"/>
            <w:vAlign w:val="bottom"/>
          </w:tcPr>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r w:rsidRPr="006229E5">
              <w:rPr>
                <w:rFonts w:cs="Calibri"/>
                <w:b/>
                <w:color w:val="000000"/>
                <w:sz w:val="20"/>
                <w:szCs w:val="20"/>
              </w:rPr>
              <w:t>Per-Pupil Amount Used by LEA</w:t>
            </w:r>
          </w:p>
        </w:tc>
        <w:tc>
          <w:tcPr>
            <w:tcW w:w="1741" w:type="dxa"/>
            <w:vAlign w:val="bottom"/>
          </w:tcPr>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D4349D">
            <w:pPr>
              <w:spacing w:after="0" w:line="240" w:lineRule="auto"/>
              <w:jc w:val="right"/>
              <w:rPr>
                <w:rFonts w:cs="Calibri"/>
                <w:b/>
                <w:color w:val="000000"/>
                <w:sz w:val="20"/>
                <w:szCs w:val="20"/>
              </w:rPr>
            </w:pPr>
          </w:p>
          <w:p w:rsidR="0097216F" w:rsidRPr="006229E5" w:rsidRDefault="0097216F" w:rsidP="005E5949">
            <w:pPr>
              <w:spacing w:after="0" w:line="240" w:lineRule="auto"/>
              <w:jc w:val="right"/>
              <w:rPr>
                <w:rFonts w:cs="Calibri"/>
                <w:b/>
                <w:color w:val="000000"/>
                <w:sz w:val="20"/>
                <w:szCs w:val="20"/>
              </w:rPr>
            </w:pPr>
            <w:r>
              <w:rPr>
                <w:rFonts w:cs="Calibri"/>
                <w:b/>
                <w:color w:val="000000"/>
                <w:sz w:val="20"/>
                <w:szCs w:val="20"/>
              </w:rPr>
              <w:t>Title I Allocation</w:t>
            </w:r>
            <w:r>
              <w:rPr>
                <w:rFonts w:cs="Calibri"/>
                <w:b/>
                <w:color w:val="000000"/>
                <w:sz w:val="20"/>
                <w:szCs w:val="20"/>
                <w:vertAlign w:val="superscript"/>
              </w:rPr>
              <w:t>3</w:t>
            </w:r>
          </w:p>
        </w:tc>
      </w:tr>
      <w:tr w:rsidR="0097216F" w:rsidRPr="006229E5" w:rsidTr="0097216F">
        <w:trPr>
          <w:jc w:val="center"/>
        </w:trPr>
        <w:tc>
          <w:tcPr>
            <w:tcW w:w="1184" w:type="dxa"/>
          </w:tcPr>
          <w:p w:rsidR="0097216F" w:rsidRPr="006229E5" w:rsidRDefault="0097216F" w:rsidP="00D4349D">
            <w:pPr>
              <w:spacing w:after="0" w:line="240" w:lineRule="auto"/>
              <w:jc w:val="both"/>
              <w:rPr>
                <w:rFonts w:cs="Calibri"/>
                <w:color w:val="000000"/>
                <w:sz w:val="20"/>
                <w:szCs w:val="20"/>
              </w:rPr>
            </w:pPr>
            <w:r>
              <w:rPr>
                <w:rFonts w:cs="Calibri"/>
                <w:color w:val="000000"/>
                <w:sz w:val="20"/>
                <w:szCs w:val="20"/>
              </w:rPr>
              <w:t>McKinley</w:t>
            </w:r>
          </w:p>
        </w:tc>
        <w:tc>
          <w:tcPr>
            <w:tcW w:w="13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 xml:space="preserve">Y </w:t>
            </w:r>
          </w:p>
        </w:tc>
        <w:tc>
          <w:tcPr>
            <w:tcW w:w="1194"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750</w:t>
            </w:r>
          </w:p>
        </w:tc>
        <w:tc>
          <w:tcPr>
            <w:tcW w:w="1720" w:type="dxa"/>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500</w:t>
            </w:r>
          </w:p>
        </w:tc>
        <w:tc>
          <w:tcPr>
            <w:tcW w:w="1572"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67</w:t>
            </w:r>
            <w:r w:rsidRPr="006229E5">
              <w:rPr>
                <w:rFonts w:cs="Calibri"/>
                <w:color w:val="000000"/>
                <w:sz w:val="20"/>
                <w:szCs w:val="20"/>
              </w:rPr>
              <w:t>%</w:t>
            </w:r>
          </w:p>
        </w:tc>
        <w:tc>
          <w:tcPr>
            <w:tcW w:w="1013"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$5</w:t>
            </w:r>
            <w:r w:rsidR="0073775A">
              <w:rPr>
                <w:rFonts w:cs="Calibri"/>
                <w:color w:val="000000"/>
                <w:sz w:val="20"/>
                <w:szCs w:val="20"/>
              </w:rPr>
              <w:t>40</w:t>
            </w:r>
          </w:p>
        </w:tc>
        <w:tc>
          <w:tcPr>
            <w:tcW w:w="1741"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$2</w:t>
            </w:r>
            <w:r w:rsidR="0073775A">
              <w:rPr>
                <w:rFonts w:cs="Calibri"/>
                <w:color w:val="000000"/>
                <w:sz w:val="20"/>
                <w:szCs w:val="20"/>
              </w:rPr>
              <w:t>7</w:t>
            </w:r>
            <w:r>
              <w:rPr>
                <w:rFonts w:cs="Calibri"/>
                <w:color w:val="000000"/>
                <w:sz w:val="20"/>
                <w:szCs w:val="20"/>
              </w:rPr>
              <w:t>0,0</w:t>
            </w:r>
            <w:r w:rsidRPr="006229E5">
              <w:rPr>
                <w:rFonts w:cs="Calibri"/>
                <w:color w:val="000000"/>
                <w:sz w:val="20"/>
                <w:szCs w:val="20"/>
              </w:rPr>
              <w:t>00</w:t>
            </w:r>
          </w:p>
        </w:tc>
      </w:tr>
      <w:tr w:rsidR="0097216F" w:rsidRPr="006229E5" w:rsidTr="0097216F">
        <w:trPr>
          <w:jc w:val="center"/>
        </w:trPr>
        <w:tc>
          <w:tcPr>
            <w:tcW w:w="1184" w:type="dxa"/>
          </w:tcPr>
          <w:p w:rsidR="0097216F" w:rsidRPr="006229E5" w:rsidRDefault="0097216F" w:rsidP="00D4349D">
            <w:pPr>
              <w:spacing w:after="0" w:line="240" w:lineRule="auto"/>
              <w:jc w:val="both"/>
              <w:rPr>
                <w:rFonts w:cs="Calibri"/>
                <w:color w:val="000000"/>
                <w:sz w:val="20"/>
                <w:szCs w:val="20"/>
              </w:rPr>
            </w:pPr>
            <w:smartTag w:uri="urn:schemas-microsoft-com:office:smarttags" w:element="place">
              <w:r>
                <w:rPr>
                  <w:rFonts w:cs="Calibri"/>
                  <w:color w:val="000000"/>
                  <w:sz w:val="20"/>
                  <w:szCs w:val="20"/>
                </w:rPr>
                <w:t>Roosevelt</w:t>
              </w:r>
            </w:smartTag>
          </w:p>
        </w:tc>
        <w:tc>
          <w:tcPr>
            <w:tcW w:w="13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N</w:t>
            </w:r>
          </w:p>
        </w:tc>
        <w:tc>
          <w:tcPr>
            <w:tcW w:w="1194"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640</w:t>
            </w:r>
          </w:p>
        </w:tc>
        <w:tc>
          <w:tcPr>
            <w:tcW w:w="1720"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400</w:t>
            </w:r>
          </w:p>
        </w:tc>
        <w:tc>
          <w:tcPr>
            <w:tcW w:w="1572"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63</w:t>
            </w:r>
            <w:r w:rsidRPr="006229E5">
              <w:rPr>
                <w:rFonts w:cs="Calibri"/>
                <w:color w:val="000000"/>
                <w:sz w:val="20"/>
                <w:szCs w:val="20"/>
              </w:rPr>
              <w:t>%</w:t>
            </w:r>
          </w:p>
        </w:tc>
        <w:tc>
          <w:tcPr>
            <w:tcW w:w="1013"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5</w:t>
            </w:r>
            <w:r w:rsidR="0073775A">
              <w:rPr>
                <w:rFonts w:cs="Calibri"/>
                <w:color w:val="000000"/>
                <w:sz w:val="20"/>
                <w:szCs w:val="20"/>
              </w:rPr>
              <w:t>40</w:t>
            </w:r>
          </w:p>
        </w:tc>
        <w:tc>
          <w:tcPr>
            <w:tcW w:w="1741"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2</w:t>
            </w:r>
            <w:r w:rsidR="0073775A">
              <w:rPr>
                <w:rFonts w:cs="Calibri"/>
                <w:color w:val="000000"/>
                <w:sz w:val="20"/>
                <w:szCs w:val="20"/>
              </w:rPr>
              <w:t>16</w:t>
            </w:r>
            <w:r>
              <w:rPr>
                <w:rFonts w:cs="Calibri"/>
                <w:color w:val="000000"/>
                <w:sz w:val="20"/>
                <w:szCs w:val="20"/>
              </w:rPr>
              <w:t>,0</w:t>
            </w:r>
            <w:r w:rsidRPr="006229E5">
              <w:rPr>
                <w:rFonts w:cs="Calibri"/>
                <w:color w:val="000000"/>
                <w:sz w:val="20"/>
                <w:szCs w:val="20"/>
              </w:rPr>
              <w:t>00</w:t>
            </w:r>
          </w:p>
        </w:tc>
      </w:tr>
      <w:tr w:rsidR="0097216F" w:rsidRPr="006229E5" w:rsidTr="0097216F">
        <w:trPr>
          <w:jc w:val="center"/>
        </w:trPr>
        <w:tc>
          <w:tcPr>
            <w:tcW w:w="1184" w:type="dxa"/>
          </w:tcPr>
          <w:p w:rsidR="0097216F" w:rsidRPr="006229E5" w:rsidRDefault="0097216F" w:rsidP="00D4349D">
            <w:pPr>
              <w:spacing w:after="0" w:line="240" w:lineRule="auto"/>
              <w:jc w:val="both"/>
              <w:rPr>
                <w:rFonts w:cs="Calibri"/>
                <w:color w:val="000000"/>
                <w:sz w:val="20"/>
                <w:szCs w:val="20"/>
              </w:rPr>
            </w:pPr>
            <w:r>
              <w:rPr>
                <w:rFonts w:cs="Calibri"/>
                <w:color w:val="000000"/>
                <w:sz w:val="20"/>
                <w:szCs w:val="20"/>
              </w:rPr>
              <w:t>Taft</w:t>
            </w:r>
          </w:p>
        </w:tc>
        <w:tc>
          <w:tcPr>
            <w:tcW w:w="13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 xml:space="preserve">Y </w:t>
            </w:r>
          </w:p>
        </w:tc>
        <w:tc>
          <w:tcPr>
            <w:tcW w:w="1194"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900</w:t>
            </w:r>
          </w:p>
        </w:tc>
        <w:tc>
          <w:tcPr>
            <w:tcW w:w="17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560</w:t>
            </w:r>
          </w:p>
        </w:tc>
        <w:tc>
          <w:tcPr>
            <w:tcW w:w="1572"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62</w:t>
            </w:r>
            <w:r w:rsidRPr="006229E5">
              <w:rPr>
                <w:rFonts w:cs="Calibri"/>
                <w:color w:val="000000"/>
                <w:sz w:val="20"/>
                <w:szCs w:val="20"/>
              </w:rPr>
              <w:t>%</w:t>
            </w:r>
          </w:p>
        </w:tc>
        <w:tc>
          <w:tcPr>
            <w:tcW w:w="1013"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5</w:t>
            </w:r>
            <w:r w:rsidR="0073775A">
              <w:rPr>
                <w:rFonts w:cs="Calibri"/>
                <w:color w:val="000000"/>
                <w:sz w:val="20"/>
                <w:szCs w:val="20"/>
              </w:rPr>
              <w:t>40</w:t>
            </w:r>
          </w:p>
        </w:tc>
        <w:tc>
          <w:tcPr>
            <w:tcW w:w="1741" w:type="dxa"/>
            <w:vAlign w:val="bottom"/>
          </w:tcPr>
          <w:p w:rsidR="0097216F" w:rsidRPr="006229E5" w:rsidRDefault="0073775A" w:rsidP="0073775A">
            <w:pPr>
              <w:spacing w:after="0" w:line="240" w:lineRule="auto"/>
              <w:jc w:val="right"/>
              <w:rPr>
                <w:rFonts w:cs="Calibri"/>
                <w:color w:val="000000"/>
                <w:sz w:val="20"/>
                <w:szCs w:val="20"/>
              </w:rPr>
            </w:pPr>
            <w:r>
              <w:rPr>
                <w:rFonts w:cs="Calibri"/>
                <w:color w:val="000000"/>
                <w:sz w:val="20"/>
                <w:szCs w:val="20"/>
              </w:rPr>
              <w:t>302</w:t>
            </w:r>
            <w:r w:rsidR="0097216F" w:rsidRPr="006229E5">
              <w:rPr>
                <w:rFonts w:cs="Calibri"/>
                <w:color w:val="000000"/>
                <w:sz w:val="20"/>
                <w:szCs w:val="20"/>
              </w:rPr>
              <w:t>,</w:t>
            </w:r>
            <w:r>
              <w:rPr>
                <w:rFonts w:cs="Calibri"/>
                <w:color w:val="000000"/>
                <w:sz w:val="20"/>
                <w:szCs w:val="20"/>
              </w:rPr>
              <w:t>4</w:t>
            </w:r>
            <w:r w:rsidRPr="006229E5">
              <w:rPr>
                <w:rFonts w:cs="Calibri"/>
                <w:color w:val="000000"/>
                <w:sz w:val="20"/>
                <w:szCs w:val="20"/>
              </w:rPr>
              <w:t>00</w:t>
            </w:r>
          </w:p>
        </w:tc>
      </w:tr>
      <w:tr w:rsidR="0097216F" w:rsidRPr="006229E5" w:rsidTr="0097216F">
        <w:trPr>
          <w:jc w:val="center"/>
        </w:trPr>
        <w:tc>
          <w:tcPr>
            <w:tcW w:w="1184" w:type="dxa"/>
          </w:tcPr>
          <w:p w:rsidR="0097216F" w:rsidRPr="006229E5" w:rsidRDefault="0097216F" w:rsidP="00D4349D">
            <w:pPr>
              <w:spacing w:after="0" w:line="240" w:lineRule="auto"/>
              <w:jc w:val="both"/>
              <w:rPr>
                <w:rFonts w:cs="Calibri"/>
                <w:color w:val="000000"/>
                <w:sz w:val="20"/>
                <w:szCs w:val="20"/>
              </w:rPr>
            </w:pPr>
            <w:smartTag w:uri="urn:schemas-microsoft-com:office:smarttags" w:element="City">
              <w:smartTag w:uri="urn:schemas-microsoft-com:office:smarttags" w:element="place">
                <w:r>
                  <w:rPr>
                    <w:rFonts w:cs="Calibri"/>
                    <w:color w:val="000000"/>
                    <w:sz w:val="20"/>
                    <w:szCs w:val="20"/>
                  </w:rPr>
                  <w:t>Wilson</w:t>
                </w:r>
              </w:smartTag>
            </w:smartTag>
          </w:p>
        </w:tc>
        <w:tc>
          <w:tcPr>
            <w:tcW w:w="13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N</w:t>
            </w:r>
          </w:p>
        </w:tc>
        <w:tc>
          <w:tcPr>
            <w:tcW w:w="1194"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675</w:t>
            </w:r>
          </w:p>
        </w:tc>
        <w:tc>
          <w:tcPr>
            <w:tcW w:w="17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400</w:t>
            </w:r>
          </w:p>
        </w:tc>
        <w:tc>
          <w:tcPr>
            <w:tcW w:w="1572"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5</w:t>
            </w:r>
            <w:r w:rsidRPr="006229E5">
              <w:rPr>
                <w:rFonts w:cs="Calibri"/>
                <w:color w:val="000000"/>
                <w:sz w:val="20"/>
                <w:szCs w:val="20"/>
              </w:rPr>
              <w:t>9%</w:t>
            </w:r>
          </w:p>
        </w:tc>
        <w:tc>
          <w:tcPr>
            <w:tcW w:w="1013" w:type="dxa"/>
            <w:vAlign w:val="bottom"/>
          </w:tcPr>
          <w:p w:rsidR="0097216F" w:rsidRPr="006229E5" w:rsidRDefault="0073775A" w:rsidP="00D4349D">
            <w:pPr>
              <w:spacing w:after="0" w:line="240" w:lineRule="auto"/>
              <w:jc w:val="right"/>
              <w:rPr>
                <w:rFonts w:cs="Calibri"/>
                <w:color w:val="000000"/>
                <w:sz w:val="20"/>
                <w:szCs w:val="20"/>
              </w:rPr>
            </w:pPr>
            <w:r>
              <w:rPr>
                <w:rFonts w:cs="Calibri"/>
                <w:color w:val="000000"/>
                <w:sz w:val="20"/>
                <w:szCs w:val="20"/>
              </w:rPr>
              <w:t>529</w:t>
            </w:r>
          </w:p>
        </w:tc>
        <w:tc>
          <w:tcPr>
            <w:tcW w:w="1741" w:type="dxa"/>
            <w:vAlign w:val="bottom"/>
          </w:tcPr>
          <w:p w:rsidR="0097216F" w:rsidRPr="006229E5" w:rsidRDefault="0073775A" w:rsidP="00D4349D">
            <w:pPr>
              <w:spacing w:after="0" w:line="240" w:lineRule="auto"/>
              <w:jc w:val="right"/>
              <w:rPr>
                <w:rFonts w:cs="Calibri"/>
                <w:color w:val="000000"/>
                <w:sz w:val="20"/>
                <w:szCs w:val="20"/>
              </w:rPr>
            </w:pPr>
            <w:r>
              <w:rPr>
                <w:rFonts w:cs="Calibri"/>
                <w:color w:val="000000"/>
                <w:sz w:val="20"/>
                <w:szCs w:val="20"/>
              </w:rPr>
              <w:t>211</w:t>
            </w:r>
            <w:r w:rsidR="0097216F" w:rsidRPr="006229E5">
              <w:rPr>
                <w:rFonts w:cs="Calibri"/>
                <w:color w:val="000000"/>
                <w:sz w:val="20"/>
                <w:szCs w:val="20"/>
              </w:rPr>
              <w:t>,</w:t>
            </w:r>
            <w:r>
              <w:rPr>
                <w:rFonts w:cs="Calibri"/>
                <w:color w:val="000000"/>
                <w:sz w:val="20"/>
                <w:szCs w:val="20"/>
              </w:rPr>
              <w:t>6</w:t>
            </w:r>
            <w:r w:rsidR="0097216F" w:rsidRPr="006229E5">
              <w:rPr>
                <w:rFonts w:cs="Calibri"/>
                <w:color w:val="000000"/>
                <w:sz w:val="20"/>
                <w:szCs w:val="20"/>
              </w:rPr>
              <w:t>00</w:t>
            </w:r>
          </w:p>
        </w:tc>
      </w:tr>
      <w:tr w:rsidR="0097216F" w:rsidRPr="006229E5" w:rsidTr="0097216F">
        <w:trPr>
          <w:jc w:val="center"/>
        </w:trPr>
        <w:tc>
          <w:tcPr>
            <w:tcW w:w="1184" w:type="dxa"/>
          </w:tcPr>
          <w:p w:rsidR="0097216F" w:rsidRPr="006229E5" w:rsidRDefault="0097216F" w:rsidP="00D4349D">
            <w:pPr>
              <w:spacing w:after="0" w:line="240" w:lineRule="auto"/>
              <w:jc w:val="both"/>
              <w:rPr>
                <w:rFonts w:cs="Calibri"/>
                <w:color w:val="000000"/>
                <w:sz w:val="20"/>
                <w:szCs w:val="20"/>
              </w:rPr>
            </w:pPr>
            <w:r>
              <w:rPr>
                <w:rFonts w:cs="Calibri"/>
                <w:color w:val="000000"/>
                <w:sz w:val="20"/>
                <w:szCs w:val="20"/>
              </w:rPr>
              <w:t>Harding</w:t>
            </w:r>
          </w:p>
        </w:tc>
        <w:tc>
          <w:tcPr>
            <w:tcW w:w="13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N</w:t>
            </w:r>
          </w:p>
        </w:tc>
        <w:tc>
          <w:tcPr>
            <w:tcW w:w="1194"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500</w:t>
            </w:r>
          </w:p>
        </w:tc>
        <w:tc>
          <w:tcPr>
            <w:tcW w:w="1720" w:type="dxa"/>
            <w:vAlign w:val="bottom"/>
          </w:tcPr>
          <w:p w:rsidR="0097216F" w:rsidRPr="006229E5" w:rsidRDefault="00EA1AFE" w:rsidP="00D4349D">
            <w:pPr>
              <w:spacing w:after="0" w:line="240" w:lineRule="auto"/>
              <w:jc w:val="right"/>
              <w:rPr>
                <w:rFonts w:cs="Calibri"/>
                <w:color w:val="000000"/>
                <w:sz w:val="20"/>
                <w:szCs w:val="20"/>
              </w:rPr>
            </w:pPr>
            <w:r>
              <w:rPr>
                <w:rFonts w:cs="Calibri"/>
                <w:color w:val="000000"/>
                <w:sz w:val="20"/>
                <w:szCs w:val="20"/>
              </w:rPr>
              <w:t>150</w:t>
            </w:r>
          </w:p>
        </w:tc>
        <w:tc>
          <w:tcPr>
            <w:tcW w:w="1572" w:type="dxa"/>
            <w:vAlign w:val="bottom"/>
          </w:tcPr>
          <w:p w:rsidR="0097216F" w:rsidRPr="006229E5" w:rsidRDefault="00EA1AFE" w:rsidP="00D4349D">
            <w:pPr>
              <w:spacing w:after="0" w:line="240" w:lineRule="auto"/>
              <w:jc w:val="right"/>
              <w:rPr>
                <w:rFonts w:cs="Calibri"/>
                <w:color w:val="000000"/>
                <w:sz w:val="20"/>
                <w:szCs w:val="20"/>
              </w:rPr>
            </w:pPr>
            <w:r>
              <w:rPr>
                <w:rFonts w:cs="Calibri"/>
                <w:color w:val="000000"/>
                <w:sz w:val="20"/>
                <w:szCs w:val="20"/>
              </w:rPr>
              <w:t>30</w:t>
            </w:r>
            <w:r w:rsidR="0097216F" w:rsidRPr="006229E5">
              <w:rPr>
                <w:rFonts w:cs="Calibri"/>
                <w:color w:val="000000"/>
                <w:sz w:val="20"/>
                <w:szCs w:val="20"/>
              </w:rPr>
              <w:t>%</w:t>
            </w:r>
          </w:p>
        </w:tc>
        <w:tc>
          <w:tcPr>
            <w:tcW w:w="1013" w:type="dxa"/>
            <w:vAlign w:val="bottom"/>
          </w:tcPr>
          <w:p w:rsidR="0097216F" w:rsidRPr="006229E5" w:rsidRDefault="00EA1AFE" w:rsidP="00D4349D">
            <w:pPr>
              <w:spacing w:after="0" w:line="240" w:lineRule="auto"/>
              <w:jc w:val="right"/>
              <w:rPr>
                <w:rFonts w:cs="Calibri"/>
                <w:color w:val="000000"/>
                <w:sz w:val="20"/>
                <w:szCs w:val="20"/>
              </w:rPr>
            </w:pPr>
            <w:r w:rsidRPr="006229E5">
              <w:rPr>
                <w:rFonts w:cs="Calibri"/>
                <w:color w:val="000000"/>
                <w:sz w:val="20"/>
                <w:szCs w:val="20"/>
              </w:rPr>
              <w:t>N/A</w:t>
            </w:r>
          </w:p>
        </w:tc>
        <w:tc>
          <w:tcPr>
            <w:tcW w:w="1741" w:type="dxa"/>
            <w:vAlign w:val="bottom"/>
          </w:tcPr>
          <w:p w:rsidR="0097216F" w:rsidRPr="006229E5" w:rsidRDefault="00EA1AFE" w:rsidP="00D4349D">
            <w:pPr>
              <w:spacing w:after="0" w:line="240" w:lineRule="auto"/>
              <w:jc w:val="right"/>
              <w:rPr>
                <w:rFonts w:cs="Calibri"/>
                <w:color w:val="000000"/>
                <w:sz w:val="20"/>
                <w:szCs w:val="20"/>
              </w:rPr>
            </w:pPr>
            <w:r>
              <w:rPr>
                <w:rFonts w:cs="Calibri"/>
                <w:color w:val="000000"/>
                <w:sz w:val="20"/>
                <w:szCs w:val="20"/>
              </w:rPr>
              <w:t>0</w:t>
            </w:r>
          </w:p>
        </w:tc>
      </w:tr>
      <w:tr w:rsidR="0097216F" w:rsidRPr="006229E5" w:rsidTr="0097216F">
        <w:trPr>
          <w:jc w:val="center"/>
        </w:trPr>
        <w:tc>
          <w:tcPr>
            <w:tcW w:w="1184" w:type="dxa"/>
          </w:tcPr>
          <w:p w:rsidR="0097216F" w:rsidRPr="006229E5" w:rsidRDefault="0097216F" w:rsidP="00D4349D">
            <w:pPr>
              <w:spacing w:after="0" w:line="240" w:lineRule="auto"/>
              <w:jc w:val="both"/>
              <w:rPr>
                <w:rFonts w:cs="Calibri"/>
                <w:color w:val="000000"/>
                <w:sz w:val="20"/>
                <w:szCs w:val="20"/>
              </w:rPr>
            </w:pPr>
            <w:r>
              <w:rPr>
                <w:rFonts w:cs="Calibri"/>
                <w:color w:val="000000"/>
                <w:sz w:val="20"/>
                <w:szCs w:val="20"/>
              </w:rPr>
              <w:t>Coolidge</w:t>
            </w:r>
          </w:p>
        </w:tc>
        <w:tc>
          <w:tcPr>
            <w:tcW w:w="13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N</w:t>
            </w:r>
          </w:p>
        </w:tc>
        <w:tc>
          <w:tcPr>
            <w:tcW w:w="1194"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750</w:t>
            </w:r>
          </w:p>
        </w:tc>
        <w:tc>
          <w:tcPr>
            <w:tcW w:w="1720"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100</w:t>
            </w:r>
          </w:p>
        </w:tc>
        <w:tc>
          <w:tcPr>
            <w:tcW w:w="1572" w:type="dxa"/>
            <w:vAlign w:val="bottom"/>
          </w:tcPr>
          <w:p w:rsidR="0097216F" w:rsidRPr="006229E5" w:rsidRDefault="0097216F" w:rsidP="00D4349D">
            <w:pPr>
              <w:spacing w:after="0" w:line="240" w:lineRule="auto"/>
              <w:jc w:val="right"/>
              <w:rPr>
                <w:rFonts w:cs="Calibri"/>
                <w:color w:val="000000"/>
                <w:sz w:val="20"/>
                <w:szCs w:val="20"/>
              </w:rPr>
            </w:pPr>
            <w:r>
              <w:rPr>
                <w:rFonts w:cs="Calibri"/>
                <w:color w:val="000000"/>
                <w:sz w:val="20"/>
                <w:szCs w:val="20"/>
              </w:rPr>
              <w:t>13</w:t>
            </w:r>
            <w:r w:rsidRPr="006229E5">
              <w:rPr>
                <w:rFonts w:cs="Calibri"/>
                <w:color w:val="000000"/>
                <w:sz w:val="20"/>
                <w:szCs w:val="20"/>
              </w:rPr>
              <w:t>%</w:t>
            </w:r>
          </w:p>
        </w:tc>
        <w:tc>
          <w:tcPr>
            <w:tcW w:w="1013"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N/A</w:t>
            </w:r>
          </w:p>
        </w:tc>
        <w:tc>
          <w:tcPr>
            <w:tcW w:w="1741" w:type="dxa"/>
            <w:vAlign w:val="bottom"/>
          </w:tcPr>
          <w:p w:rsidR="0097216F" w:rsidRPr="006229E5" w:rsidRDefault="0097216F" w:rsidP="00D4349D">
            <w:pPr>
              <w:spacing w:after="0" w:line="240" w:lineRule="auto"/>
              <w:jc w:val="right"/>
              <w:rPr>
                <w:rFonts w:cs="Calibri"/>
                <w:color w:val="000000"/>
                <w:sz w:val="20"/>
                <w:szCs w:val="20"/>
              </w:rPr>
            </w:pPr>
            <w:r w:rsidRPr="006229E5">
              <w:rPr>
                <w:rFonts w:cs="Calibri"/>
                <w:color w:val="000000"/>
                <w:sz w:val="20"/>
                <w:szCs w:val="20"/>
              </w:rPr>
              <w:t>0</w:t>
            </w:r>
          </w:p>
        </w:tc>
      </w:tr>
      <w:tr w:rsidR="0097216F" w:rsidRPr="006229E5" w:rsidTr="0097216F">
        <w:trPr>
          <w:jc w:val="center"/>
        </w:trPr>
        <w:tc>
          <w:tcPr>
            <w:tcW w:w="1184" w:type="dxa"/>
          </w:tcPr>
          <w:p w:rsidR="0097216F" w:rsidRPr="006229E5" w:rsidRDefault="0097216F" w:rsidP="00D4349D">
            <w:pPr>
              <w:spacing w:after="0" w:line="240" w:lineRule="auto"/>
              <w:jc w:val="both"/>
              <w:rPr>
                <w:rFonts w:cs="Calibri"/>
                <w:b/>
                <w:color w:val="000000"/>
                <w:sz w:val="20"/>
                <w:szCs w:val="20"/>
              </w:rPr>
            </w:pPr>
            <w:r w:rsidRPr="006229E5">
              <w:rPr>
                <w:rFonts w:cs="Calibri"/>
                <w:b/>
                <w:color w:val="000000"/>
                <w:sz w:val="20"/>
                <w:szCs w:val="20"/>
              </w:rPr>
              <w:t>Total</w:t>
            </w:r>
          </w:p>
        </w:tc>
        <w:tc>
          <w:tcPr>
            <w:tcW w:w="1320" w:type="dxa"/>
            <w:vAlign w:val="bottom"/>
          </w:tcPr>
          <w:p w:rsidR="0097216F" w:rsidRPr="006229E5" w:rsidRDefault="0097216F" w:rsidP="00D4349D">
            <w:pPr>
              <w:spacing w:after="0" w:line="240" w:lineRule="auto"/>
              <w:jc w:val="right"/>
              <w:rPr>
                <w:rFonts w:cs="Calibri"/>
                <w:b/>
                <w:color w:val="000000"/>
                <w:sz w:val="20"/>
                <w:szCs w:val="20"/>
              </w:rPr>
            </w:pPr>
            <w:r w:rsidRPr="006229E5">
              <w:rPr>
                <w:rFonts w:cs="Calibri"/>
                <w:b/>
                <w:color w:val="000000"/>
                <w:sz w:val="20"/>
                <w:szCs w:val="20"/>
              </w:rPr>
              <w:t>N/A</w:t>
            </w:r>
          </w:p>
        </w:tc>
        <w:tc>
          <w:tcPr>
            <w:tcW w:w="1194" w:type="dxa"/>
            <w:vAlign w:val="bottom"/>
          </w:tcPr>
          <w:p w:rsidR="0097216F" w:rsidRPr="006229E5" w:rsidRDefault="0097216F" w:rsidP="00D4349D">
            <w:pPr>
              <w:spacing w:after="0" w:line="240" w:lineRule="auto"/>
              <w:jc w:val="right"/>
              <w:rPr>
                <w:rFonts w:cs="Calibri"/>
                <w:b/>
                <w:color w:val="000000"/>
                <w:sz w:val="20"/>
                <w:szCs w:val="20"/>
              </w:rPr>
            </w:pPr>
            <w:r>
              <w:rPr>
                <w:rFonts w:cs="Calibri"/>
                <w:b/>
                <w:color w:val="000000"/>
                <w:sz w:val="20"/>
                <w:szCs w:val="20"/>
              </w:rPr>
              <w:t>4,215</w:t>
            </w:r>
          </w:p>
        </w:tc>
        <w:tc>
          <w:tcPr>
            <w:tcW w:w="1720" w:type="dxa"/>
          </w:tcPr>
          <w:p w:rsidR="0097216F" w:rsidRPr="006229E5" w:rsidRDefault="0097216F" w:rsidP="00FB55FD">
            <w:pPr>
              <w:spacing w:after="0" w:line="240" w:lineRule="auto"/>
              <w:jc w:val="right"/>
              <w:rPr>
                <w:b/>
                <w:sz w:val="20"/>
                <w:szCs w:val="20"/>
              </w:rPr>
            </w:pPr>
            <w:r w:rsidRPr="00242ED3">
              <w:rPr>
                <w:rFonts w:cs="Calibri"/>
                <w:b/>
                <w:color w:val="000000"/>
                <w:sz w:val="20"/>
                <w:szCs w:val="20"/>
              </w:rPr>
              <w:t>2,</w:t>
            </w:r>
            <w:r w:rsidR="00FB55FD" w:rsidRPr="00242ED3">
              <w:rPr>
                <w:rFonts w:cs="Calibri"/>
                <w:b/>
                <w:color w:val="000000"/>
                <w:sz w:val="20"/>
                <w:szCs w:val="20"/>
              </w:rPr>
              <w:t>1</w:t>
            </w:r>
            <w:r w:rsidR="00FB55FD">
              <w:rPr>
                <w:rFonts w:cs="Calibri"/>
                <w:b/>
                <w:color w:val="000000"/>
                <w:sz w:val="20"/>
                <w:szCs w:val="20"/>
              </w:rPr>
              <w:t>10</w:t>
            </w:r>
          </w:p>
        </w:tc>
        <w:tc>
          <w:tcPr>
            <w:tcW w:w="1572" w:type="dxa"/>
            <w:vAlign w:val="bottom"/>
          </w:tcPr>
          <w:p w:rsidR="0097216F" w:rsidRPr="006229E5" w:rsidRDefault="00FB55FD" w:rsidP="00FB55FD">
            <w:pPr>
              <w:spacing w:after="0" w:line="240" w:lineRule="auto"/>
              <w:jc w:val="right"/>
              <w:rPr>
                <w:rFonts w:cs="Calibri"/>
                <w:b/>
                <w:color w:val="000000"/>
                <w:sz w:val="20"/>
                <w:szCs w:val="20"/>
              </w:rPr>
            </w:pPr>
            <w:r>
              <w:rPr>
                <w:rFonts w:cs="Calibri"/>
                <w:b/>
                <w:color w:val="000000"/>
                <w:sz w:val="20"/>
                <w:szCs w:val="20"/>
              </w:rPr>
              <w:t>50</w:t>
            </w:r>
            <w:r w:rsidR="0097216F" w:rsidRPr="006229E5">
              <w:rPr>
                <w:rFonts w:cs="Calibri"/>
                <w:b/>
                <w:color w:val="000000"/>
                <w:sz w:val="20"/>
                <w:szCs w:val="20"/>
              </w:rPr>
              <w:t>%</w:t>
            </w:r>
          </w:p>
        </w:tc>
        <w:tc>
          <w:tcPr>
            <w:tcW w:w="1013" w:type="dxa"/>
            <w:vAlign w:val="bottom"/>
          </w:tcPr>
          <w:p w:rsidR="0097216F" w:rsidRPr="006229E5" w:rsidRDefault="0097216F" w:rsidP="00D4349D">
            <w:pPr>
              <w:spacing w:after="0" w:line="240" w:lineRule="auto"/>
              <w:jc w:val="right"/>
              <w:rPr>
                <w:rFonts w:cs="Calibri"/>
                <w:b/>
                <w:color w:val="000000"/>
                <w:sz w:val="20"/>
                <w:szCs w:val="20"/>
              </w:rPr>
            </w:pPr>
            <w:r w:rsidRPr="006229E5">
              <w:rPr>
                <w:rFonts w:cs="Calibri"/>
                <w:b/>
                <w:color w:val="000000"/>
                <w:sz w:val="20"/>
                <w:szCs w:val="20"/>
              </w:rPr>
              <w:t>N/A</w:t>
            </w:r>
          </w:p>
        </w:tc>
        <w:tc>
          <w:tcPr>
            <w:tcW w:w="1741" w:type="dxa"/>
            <w:vAlign w:val="bottom"/>
          </w:tcPr>
          <w:p w:rsidR="0097216F" w:rsidRPr="006229E5" w:rsidRDefault="0097216F" w:rsidP="00D4349D">
            <w:pPr>
              <w:spacing w:after="0" w:line="240" w:lineRule="auto"/>
              <w:jc w:val="right"/>
              <w:rPr>
                <w:rFonts w:cs="Calibri"/>
                <w:b/>
                <w:color w:val="000000"/>
                <w:sz w:val="20"/>
                <w:szCs w:val="20"/>
              </w:rPr>
            </w:pPr>
            <w:r w:rsidRPr="006229E5">
              <w:rPr>
                <w:rFonts w:cs="Calibri"/>
                <w:b/>
                <w:color w:val="000000"/>
                <w:sz w:val="20"/>
                <w:szCs w:val="20"/>
              </w:rPr>
              <w:t>$1,000,000</w:t>
            </w:r>
          </w:p>
        </w:tc>
      </w:tr>
    </w:tbl>
    <w:p w:rsidR="00997A69" w:rsidRDefault="00997A69" w:rsidP="00826C4F">
      <w:pPr>
        <w:spacing w:after="0" w:line="240" w:lineRule="auto"/>
        <w:rPr>
          <w:sz w:val="24"/>
          <w:szCs w:val="24"/>
        </w:rPr>
      </w:pPr>
    </w:p>
    <w:p w:rsidR="00997A69" w:rsidRDefault="00997A69" w:rsidP="004801ED">
      <w:pPr>
        <w:tabs>
          <w:tab w:val="left" w:pos="2070"/>
        </w:tabs>
        <w:spacing w:after="0" w:line="240" w:lineRule="auto"/>
        <w:ind w:left="1620"/>
        <w:rPr>
          <w:sz w:val="16"/>
          <w:szCs w:val="16"/>
        </w:rPr>
      </w:pPr>
      <w:r>
        <w:rPr>
          <w:sz w:val="16"/>
          <w:szCs w:val="16"/>
          <w:vertAlign w:val="superscript"/>
        </w:rPr>
        <w:t xml:space="preserve">1 </w:t>
      </w:r>
      <w:r w:rsidRPr="00962B97">
        <w:rPr>
          <w:sz w:val="16"/>
          <w:szCs w:val="16"/>
        </w:rPr>
        <w:t>The figures in Column 4 exclude</w:t>
      </w:r>
      <w:r>
        <w:rPr>
          <w:sz w:val="16"/>
          <w:szCs w:val="16"/>
        </w:rPr>
        <w:t xml:space="preserve">, for the purposes of Title I ranking and serving of schools, </w:t>
      </w:r>
      <w:r w:rsidRPr="00962B97">
        <w:rPr>
          <w:sz w:val="16"/>
          <w:szCs w:val="16"/>
        </w:rPr>
        <w:t>household application data for the non-</w:t>
      </w:r>
      <w:r w:rsidR="003D7973">
        <w:rPr>
          <w:sz w:val="16"/>
          <w:szCs w:val="16"/>
        </w:rPr>
        <w:t>CEP</w:t>
      </w:r>
      <w:r w:rsidRPr="00962B97">
        <w:rPr>
          <w:sz w:val="16"/>
          <w:szCs w:val="16"/>
        </w:rPr>
        <w:t xml:space="preserve"> schools</w:t>
      </w:r>
      <w:r>
        <w:rPr>
          <w:sz w:val="16"/>
          <w:szCs w:val="16"/>
        </w:rPr>
        <w:t xml:space="preserve"> </w:t>
      </w:r>
      <w:r w:rsidRPr="00D16328">
        <w:rPr>
          <w:sz w:val="16"/>
          <w:szCs w:val="16"/>
        </w:rPr>
        <w:t>and direct certification from programs other than SNAP for all schools</w:t>
      </w:r>
      <w:r w:rsidRPr="00962B97">
        <w:rPr>
          <w:sz w:val="16"/>
          <w:szCs w:val="16"/>
        </w:rPr>
        <w:t>.  (</w:t>
      </w:r>
      <w:r w:rsidR="003D7973">
        <w:rPr>
          <w:sz w:val="16"/>
          <w:szCs w:val="16"/>
        </w:rPr>
        <w:t>CEP</w:t>
      </w:r>
      <w:r w:rsidRPr="00962B97">
        <w:rPr>
          <w:sz w:val="16"/>
          <w:szCs w:val="16"/>
        </w:rPr>
        <w:t xml:space="preserve"> schools are prohibited from collecting household applications.)</w:t>
      </w:r>
    </w:p>
    <w:p w:rsidR="00997A69" w:rsidRDefault="00997A69" w:rsidP="004801ED">
      <w:pPr>
        <w:tabs>
          <w:tab w:val="left" w:pos="2070"/>
        </w:tabs>
        <w:spacing w:after="0" w:line="240" w:lineRule="auto"/>
        <w:ind w:left="1620"/>
        <w:rPr>
          <w:sz w:val="16"/>
          <w:szCs w:val="16"/>
        </w:rPr>
      </w:pPr>
      <w:r>
        <w:rPr>
          <w:sz w:val="16"/>
          <w:szCs w:val="16"/>
          <w:vertAlign w:val="superscript"/>
        </w:rPr>
        <w:t xml:space="preserve">2 </w:t>
      </w:r>
      <w:r>
        <w:rPr>
          <w:sz w:val="16"/>
          <w:szCs w:val="16"/>
        </w:rPr>
        <w:t xml:space="preserve">Column 4 </w:t>
      </w:r>
      <w:r w:rsidR="006B525C">
        <w:rPr>
          <w:sz w:val="16"/>
          <w:szCs w:val="16"/>
        </w:rPr>
        <w:t>/</w:t>
      </w:r>
      <w:r>
        <w:rPr>
          <w:sz w:val="16"/>
          <w:szCs w:val="16"/>
        </w:rPr>
        <w:t xml:space="preserve"> Column 3.</w:t>
      </w:r>
    </w:p>
    <w:p w:rsidR="00997A69" w:rsidRDefault="00997A69" w:rsidP="004801ED">
      <w:pPr>
        <w:tabs>
          <w:tab w:val="left" w:pos="2070"/>
        </w:tabs>
        <w:spacing w:after="0" w:line="240" w:lineRule="auto"/>
        <w:ind w:left="1620"/>
        <w:rPr>
          <w:sz w:val="16"/>
          <w:szCs w:val="16"/>
        </w:rPr>
      </w:pPr>
      <w:r>
        <w:rPr>
          <w:sz w:val="16"/>
          <w:szCs w:val="16"/>
          <w:vertAlign w:val="superscript"/>
        </w:rPr>
        <w:t xml:space="preserve">3 </w:t>
      </w:r>
      <w:r>
        <w:rPr>
          <w:sz w:val="16"/>
          <w:szCs w:val="16"/>
        </w:rPr>
        <w:t xml:space="preserve">Column 4 x Column 6.  </w:t>
      </w:r>
      <w:r w:rsidRPr="00377486">
        <w:rPr>
          <w:sz w:val="16"/>
          <w:szCs w:val="16"/>
        </w:rPr>
        <w:t xml:space="preserve">(Note: </w:t>
      </w:r>
      <w:r>
        <w:rPr>
          <w:sz w:val="16"/>
          <w:szCs w:val="16"/>
        </w:rPr>
        <w:t xml:space="preserve"> </w:t>
      </w:r>
      <w:r w:rsidR="00EA1AFE">
        <w:rPr>
          <w:sz w:val="16"/>
          <w:szCs w:val="16"/>
        </w:rPr>
        <w:t xml:space="preserve">Harding and </w:t>
      </w:r>
      <w:r>
        <w:rPr>
          <w:sz w:val="16"/>
          <w:szCs w:val="16"/>
        </w:rPr>
        <w:t>Coolidge</w:t>
      </w:r>
      <w:r w:rsidRPr="00377486">
        <w:rPr>
          <w:sz w:val="16"/>
          <w:szCs w:val="16"/>
        </w:rPr>
        <w:t xml:space="preserve"> </w:t>
      </w:r>
      <w:r w:rsidR="00EA1AFE">
        <w:rPr>
          <w:sz w:val="16"/>
          <w:szCs w:val="16"/>
        </w:rPr>
        <w:t>are</w:t>
      </w:r>
      <w:r w:rsidRPr="00377486">
        <w:rPr>
          <w:sz w:val="16"/>
          <w:szCs w:val="16"/>
        </w:rPr>
        <w:t xml:space="preserve"> ineligible for Title I funds because </w:t>
      </w:r>
      <w:r w:rsidR="00876227">
        <w:rPr>
          <w:sz w:val="16"/>
          <w:szCs w:val="16"/>
        </w:rPr>
        <w:t>their</w:t>
      </w:r>
      <w:r w:rsidRPr="00377486">
        <w:rPr>
          <w:sz w:val="16"/>
          <w:szCs w:val="16"/>
        </w:rPr>
        <w:t xml:space="preserve"> poverty percentage</w:t>
      </w:r>
      <w:r w:rsidR="004125B2">
        <w:rPr>
          <w:sz w:val="16"/>
          <w:szCs w:val="16"/>
        </w:rPr>
        <w:t>s</w:t>
      </w:r>
      <w:r w:rsidRPr="00377486">
        <w:rPr>
          <w:sz w:val="16"/>
          <w:szCs w:val="16"/>
        </w:rPr>
        <w:t xml:space="preserve"> </w:t>
      </w:r>
      <w:r w:rsidR="004125B2">
        <w:rPr>
          <w:sz w:val="16"/>
          <w:szCs w:val="16"/>
        </w:rPr>
        <w:t>are</w:t>
      </w:r>
      <w:r w:rsidR="004125B2" w:rsidRPr="00377486">
        <w:rPr>
          <w:sz w:val="16"/>
          <w:szCs w:val="16"/>
        </w:rPr>
        <w:t xml:space="preserve"> </w:t>
      </w:r>
      <w:r w:rsidRPr="00377486">
        <w:rPr>
          <w:sz w:val="16"/>
          <w:szCs w:val="16"/>
        </w:rPr>
        <w:t xml:space="preserve">below both the LEA’s </w:t>
      </w:r>
      <w:r w:rsidR="004125B2">
        <w:rPr>
          <w:sz w:val="16"/>
          <w:szCs w:val="16"/>
        </w:rPr>
        <w:t>poverty percentage (Column 5 total</w:t>
      </w:r>
      <w:r w:rsidR="00327EEE">
        <w:rPr>
          <w:sz w:val="16"/>
          <w:szCs w:val="16"/>
        </w:rPr>
        <w:t xml:space="preserve"> row</w:t>
      </w:r>
      <w:r w:rsidR="004125B2">
        <w:rPr>
          <w:sz w:val="16"/>
          <w:szCs w:val="16"/>
        </w:rPr>
        <w:t>)</w:t>
      </w:r>
      <w:r w:rsidR="004125B2" w:rsidRPr="00377486">
        <w:rPr>
          <w:sz w:val="16"/>
          <w:szCs w:val="16"/>
        </w:rPr>
        <w:t xml:space="preserve"> </w:t>
      </w:r>
      <w:r w:rsidRPr="00377486">
        <w:rPr>
          <w:sz w:val="16"/>
          <w:szCs w:val="16"/>
        </w:rPr>
        <w:t>and 35 percent.)</w:t>
      </w:r>
    </w:p>
    <w:p w:rsidR="0097216F" w:rsidRDefault="0097216F" w:rsidP="00826C4F">
      <w:pPr>
        <w:spacing w:after="0" w:line="240" w:lineRule="auto"/>
        <w:ind w:left="2160"/>
        <w:rPr>
          <w:sz w:val="16"/>
          <w:szCs w:val="16"/>
        </w:rPr>
        <w:sectPr w:rsidR="0097216F" w:rsidSect="00F93BBF">
          <w:pgSz w:w="15840" w:h="12240" w:orient="landscape"/>
          <w:pgMar w:top="1440" w:right="1440" w:bottom="1440" w:left="1440" w:header="720" w:footer="288" w:gutter="0"/>
          <w:cols w:space="720"/>
          <w:docGrid w:linePitch="360"/>
        </w:sectPr>
      </w:pPr>
    </w:p>
    <w:p w:rsidR="0097216F" w:rsidRPr="006229E5" w:rsidRDefault="0097216F" w:rsidP="0097216F">
      <w:pPr>
        <w:spacing w:after="0" w:line="240" w:lineRule="auto"/>
        <w:jc w:val="center"/>
        <w:rPr>
          <w:rFonts w:cs="Calibri"/>
          <w:b/>
          <w:color w:val="000000"/>
          <w:sz w:val="24"/>
          <w:szCs w:val="24"/>
          <w:u w:val="single"/>
        </w:rPr>
      </w:pPr>
      <w:r w:rsidRPr="006229E5">
        <w:rPr>
          <w:rFonts w:cs="Calibri"/>
          <w:b/>
          <w:color w:val="000000"/>
          <w:sz w:val="24"/>
          <w:szCs w:val="24"/>
          <w:u w:val="single"/>
        </w:rPr>
        <w:lastRenderedPageBreak/>
        <w:t>Example</w:t>
      </w:r>
      <w:r>
        <w:rPr>
          <w:rFonts w:cs="Calibri"/>
          <w:b/>
          <w:color w:val="000000"/>
          <w:sz w:val="24"/>
          <w:szCs w:val="24"/>
          <w:u w:val="single"/>
        </w:rPr>
        <w:t xml:space="preserve"> C</w:t>
      </w:r>
    </w:p>
    <w:p w:rsidR="0097216F" w:rsidRPr="006229E5" w:rsidRDefault="0097216F" w:rsidP="0097216F">
      <w:pPr>
        <w:spacing w:after="0" w:line="240" w:lineRule="auto"/>
        <w:jc w:val="center"/>
        <w:rPr>
          <w:rFonts w:cs="Calibri"/>
          <w:b/>
          <w:color w:val="000000"/>
          <w:sz w:val="24"/>
          <w:szCs w:val="24"/>
        </w:rPr>
      </w:pPr>
    </w:p>
    <w:p w:rsidR="0097216F" w:rsidRDefault="0097216F" w:rsidP="0097216F">
      <w:pPr>
        <w:spacing w:after="0" w:line="240" w:lineRule="auto"/>
        <w:jc w:val="center"/>
        <w:rPr>
          <w:rFonts w:cs="Calibri"/>
          <w:b/>
          <w:color w:val="000000"/>
          <w:sz w:val="24"/>
          <w:szCs w:val="24"/>
        </w:rPr>
      </w:pPr>
      <w:r>
        <w:rPr>
          <w:rFonts w:cs="Calibri"/>
          <w:b/>
          <w:color w:val="000000"/>
          <w:sz w:val="24"/>
          <w:szCs w:val="24"/>
        </w:rPr>
        <w:t>Using Direct Certification Data and the 1.6 Multiplier in All Schools</w:t>
      </w:r>
    </w:p>
    <w:p w:rsidR="0097216F" w:rsidRPr="006229E5" w:rsidRDefault="0097216F" w:rsidP="0097216F">
      <w:pPr>
        <w:spacing w:after="0" w:line="240" w:lineRule="auto"/>
        <w:jc w:val="center"/>
        <w:rPr>
          <w:rFonts w:cs="Calibri"/>
          <w:b/>
          <w:color w:val="000000"/>
          <w:sz w:val="24"/>
          <w:szCs w:val="24"/>
        </w:rPr>
      </w:pPr>
      <w:r w:rsidRPr="006229E5">
        <w:rPr>
          <w:rFonts w:cs="Calibri"/>
          <w:b/>
          <w:color w:val="000000"/>
          <w:sz w:val="24"/>
          <w:szCs w:val="24"/>
        </w:rPr>
        <w:t>Within-District Title I Allocations in an LEA with a</w:t>
      </w:r>
    </w:p>
    <w:p w:rsidR="0097216F" w:rsidRDefault="0097216F" w:rsidP="0097216F">
      <w:pPr>
        <w:spacing w:after="0" w:line="240" w:lineRule="auto"/>
        <w:jc w:val="center"/>
        <w:rPr>
          <w:rFonts w:cs="Calibri"/>
          <w:color w:val="000000"/>
          <w:sz w:val="24"/>
          <w:szCs w:val="24"/>
        </w:rPr>
      </w:pPr>
      <w:r w:rsidRPr="006229E5">
        <w:rPr>
          <w:rFonts w:cs="Calibri"/>
          <w:b/>
          <w:color w:val="000000"/>
          <w:sz w:val="24"/>
          <w:szCs w:val="24"/>
        </w:rPr>
        <w:t xml:space="preserve">Combination of </w:t>
      </w:r>
      <w:smartTag w:uri="urn:schemas-microsoft-com:office:smarttags" w:element="PlaceName">
        <w:r w:rsidR="003D7973">
          <w:rPr>
            <w:rFonts w:cs="Calibri"/>
            <w:b/>
            <w:color w:val="000000"/>
            <w:sz w:val="24"/>
            <w:szCs w:val="24"/>
          </w:rPr>
          <w:t>CEP</w:t>
        </w:r>
      </w:smartTag>
      <w:r w:rsidRPr="006229E5">
        <w:rPr>
          <w:rFonts w:cs="Calibri"/>
          <w:b/>
          <w:color w:val="000000"/>
          <w:sz w:val="24"/>
          <w:szCs w:val="24"/>
        </w:rPr>
        <w:t xml:space="preserve"> </w:t>
      </w:r>
      <w:smartTag w:uri="urn:schemas-microsoft-com:office:smarttags" w:element="PlaceType">
        <w:r w:rsidRPr="006229E5">
          <w:rPr>
            <w:rFonts w:cs="Calibri"/>
            <w:b/>
            <w:color w:val="000000"/>
            <w:sz w:val="24"/>
            <w:szCs w:val="24"/>
          </w:rPr>
          <w:t>Schools</w:t>
        </w:r>
      </w:smartTag>
      <w:r w:rsidRPr="006229E5">
        <w:rPr>
          <w:rFonts w:cs="Calibri"/>
          <w:b/>
          <w:color w:val="000000"/>
          <w:sz w:val="24"/>
          <w:szCs w:val="24"/>
        </w:rPr>
        <w:t xml:space="preserve"> and </w:t>
      </w:r>
      <w:smartTag w:uri="urn:schemas-microsoft-com:office:smarttags" w:element="place">
        <w:smartTag w:uri="urn:schemas-microsoft-com:office:smarttags" w:element="PlaceName">
          <w:r>
            <w:rPr>
              <w:rFonts w:cs="Calibri"/>
              <w:b/>
              <w:color w:val="000000"/>
              <w:sz w:val="24"/>
              <w:szCs w:val="24"/>
            </w:rPr>
            <w:t>N</w:t>
          </w:r>
          <w:r w:rsidRPr="006229E5">
            <w:rPr>
              <w:rFonts w:cs="Calibri"/>
              <w:b/>
              <w:color w:val="000000"/>
              <w:sz w:val="24"/>
              <w:szCs w:val="24"/>
            </w:rPr>
            <w:t>on-</w:t>
          </w:r>
          <w:r w:rsidR="003D7973">
            <w:rPr>
              <w:rFonts w:cs="Calibri"/>
              <w:b/>
              <w:color w:val="000000"/>
              <w:sz w:val="24"/>
              <w:szCs w:val="24"/>
            </w:rPr>
            <w:t>CEP</w:t>
          </w:r>
        </w:smartTag>
        <w:r w:rsidRPr="006229E5">
          <w:rPr>
            <w:rFonts w:cs="Calibri"/>
            <w:b/>
            <w:color w:val="000000"/>
            <w:sz w:val="24"/>
            <w:szCs w:val="24"/>
          </w:rPr>
          <w:t xml:space="preserve"> </w:t>
        </w:r>
        <w:smartTag w:uri="urn:schemas-microsoft-com:office:smarttags" w:element="PlaceType">
          <w:r w:rsidRPr="006229E5">
            <w:rPr>
              <w:rFonts w:cs="Calibri"/>
              <w:b/>
              <w:color w:val="000000"/>
              <w:sz w:val="24"/>
              <w:szCs w:val="24"/>
            </w:rPr>
            <w:t>Schools</w:t>
          </w:r>
        </w:smartTag>
      </w:smartTag>
    </w:p>
    <w:p w:rsidR="0097216F" w:rsidRDefault="0097216F" w:rsidP="0097216F">
      <w:pPr>
        <w:spacing w:after="0" w:line="240" w:lineRule="auto"/>
        <w:rPr>
          <w:rFonts w:cs="Calibri"/>
          <w:color w:val="000000"/>
          <w:sz w:val="24"/>
          <w:szCs w:val="24"/>
        </w:rPr>
      </w:pPr>
    </w:p>
    <w:tbl>
      <w:tblPr>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1320"/>
        <w:gridCol w:w="1194"/>
        <w:gridCol w:w="1720"/>
        <w:gridCol w:w="1572"/>
        <w:gridCol w:w="1572"/>
        <w:gridCol w:w="1572"/>
        <w:gridCol w:w="1013"/>
        <w:gridCol w:w="1741"/>
      </w:tblGrid>
      <w:tr w:rsidR="008D4981" w:rsidRPr="006229E5" w:rsidTr="00153779">
        <w:trPr>
          <w:jc w:val="center"/>
        </w:trPr>
        <w:tc>
          <w:tcPr>
            <w:tcW w:w="1184" w:type="dxa"/>
          </w:tcPr>
          <w:p w:rsidR="008D4981" w:rsidRPr="006229E5" w:rsidRDefault="008D4981" w:rsidP="00877AD8">
            <w:pPr>
              <w:spacing w:after="0" w:line="240" w:lineRule="auto"/>
              <w:jc w:val="center"/>
              <w:rPr>
                <w:rFonts w:cs="Calibri"/>
                <w:color w:val="000000"/>
                <w:sz w:val="20"/>
                <w:szCs w:val="20"/>
              </w:rPr>
            </w:pPr>
            <w:r w:rsidRPr="006229E5">
              <w:rPr>
                <w:rFonts w:cs="Calibri"/>
                <w:color w:val="000000"/>
                <w:sz w:val="20"/>
                <w:szCs w:val="20"/>
              </w:rPr>
              <w:t>Column 1</w:t>
            </w:r>
          </w:p>
        </w:tc>
        <w:tc>
          <w:tcPr>
            <w:tcW w:w="1320" w:type="dxa"/>
          </w:tcPr>
          <w:p w:rsidR="008D4981" w:rsidRPr="006229E5" w:rsidRDefault="008D4981" w:rsidP="00877AD8">
            <w:pPr>
              <w:spacing w:after="0" w:line="240" w:lineRule="auto"/>
              <w:jc w:val="center"/>
              <w:rPr>
                <w:rFonts w:cs="Calibri"/>
                <w:sz w:val="20"/>
                <w:szCs w:val="20"/>
              </w:rPr>
            </w:pPr>
            <w:r w:rsidRPr="006229E5">
              <w:rPr>
                <w:rFonts w:cs="Calibri"/>
                <w:color w:val="000000"/>
                <w:sz w:val="20"/>
                <w:szCs w:val="20"/>
              </w:rPr>
              <w:t>Column 2</w:t>
            </w:r>
          </w:p>
        </w:tc>
        <w:tc>
          <w:tcPr>
            <w:tcW w:w="1194" w:type="dxa"/>
          </w:tcPr>
          <w:p w:rsidR="008D4981" w:rsidRPr="006229E5" w:rsidRDefault="008D4981" w:rsidP="00877AD8">
            <w:pPr>
              <w:spacing w:after="0" w:line="240" w:lineRule="auto"/>
              <w:jc w:val="center"/>
              <w:rPr>
                <w:rFonts w:cs="Calibri"/>
                <w:sz w:val="20"/>
                <w:szCs w:val="20"/>
              </w:rPr>
            </w:pPr>
            <w:r w:rsidRPr="006229E5">
              <w:rPr>
                <w:rFonts w:cs="Calibri"/>
                <w:color w:val="000000"/>
                <w:sz w:val="20"/>
                <w:szCs w:val="20"/>
              </w:rPr>
              <w:t>Column 3</w:t>
            </w:r>
          </w:p>
        </w:tc>
        <w:tc>
          <w:tcPr>
            <w:tcW w:w="1720" w:type="dxa"/>
          </w:tcPr>
          <w:p w:rsidR="008D4981" w:rsidRPr="006229E5" w:rsidRDefault="008D4981" w:rsidP="00877AD8">
            <w:pPr>
              <w:spacing w:after="0" w:line="240" w:lineRule="auto"/>
              <w:jc w:val="center"/>
              <w:rPr>
                <w:rFonts w:cs="Calibri"/>
                <w:sz w:val="20"/>
                <w:szCs w:val="20"/>
              </w:rPr>
            </w:pPr>
            <w:r w:rsidRPr="006229E5">
              <w:rPr>
                <w:rFonts w:cs="Calibri"/>
                <w:color w:val="000000"/>
                <w:sz w:val="20"/>
                <w:szCs w:val="20"/>
              </w:rPr>
              <w:t>Column 4</w:t>
            </w:r>
          </w:p>
        </w:tc>
        <w:tc>
          <w:tcPr>
            <w:tcW w:w="1572" w:type="dxa"/>
          </w:tcPr>
          <w:p w:rsidR="008D4981" w:rsidRDefault="008D4981" w:rsidP="00877AD8">
            <w:pPr>
              <w:spacing w:after="0" w:line="240" w:lineRule="auto"/>
              <w:jc w:val="center"/>
              <w:rPr>
                <w:rFonts w:cs="Calibri"/>
                <w:sz w:val="20"/>
                <w:szCs w:val="20"/>
              </w:rPr>
            </w:pPr>
            <w:r>
              <w:rPr>
                <w:rFonts w:cs="Calibri"/>
                <w:color w:val="000000"/>
                <w:sz w:val="20"/>
                <w:szCs w:val="20"/>
              </w:rPr>
              <w:t>Column 5</w:t>
            </w:r>
          </w:p>
        </w:tc>
        <w:tc>
          <w:tcPr>
            <w:tcW w:w="1572" w:type="dxa"/>
          </w:tcPr>
          <w:p w:rsidR="008D4981" w:rsidRPr="00153779" w:rsidRDefault="008D4981" w:rsidP="008D4981">
            <w:pPr>
              <w:spacing w:after="0" w:line="240" w:lineRule="auto"/>
              <w:jc w:val="center"/>
              <w:rPr>
                <w:rFonts w:cs="Calibri"/>
                <w:color w:val="000000"/>
                <w:sz w:val="20"/>
                <w:szCs w:val="20"/>
              </w:rPr>
            </w:pPr>
            <w:r>
              <w:rPr>
                <w:rFonts w:cs="Calibri"/>
                <w:color w:val="000000"/>
                <w:sz w:val="20"/>
                <w:szCs w:val="20"/>
              </w:rPr>
              <w:t>Column 6</w:t>
            </w:r>
          </w:p>
        </w:tc>
        <w:tc>
          <w:tcPr>
            <w:tcW w:w="1572" w:type="dxa"/>
          </w:tcPr>
          <w:p w:rsidR="008D4981" w:rsidRPr="006229E5" w:rsidRDefault="008D4981" w:rsidP="008D4981">
            <w:pPr>
              <w:spacing w:after="0" w:line="240" w:lineRule="auto"/>
              <w:jc w:val="center"/>
              <w:rPr>
                <w:rFonts w:cs="Calibri"/>
                <w:sz w:val="20"/>
                <w:szCs w:val="20"/>
              </w:rPr>
            </w:pPr>
            <w:r>
              <w:rPr>
                <w:rFonts w:cs="Calibri"/>
                <w:sz w:val="20"/>
                <w:szCs w:val="20"/>
              </w:rPr>
              <w:t>Column 7</w:t>
            </w:r>
          </w:p>
        </w:tc>
        <w:tc>
          <w:tcPr>
            <w:tcW w:w="1013" w:type="dxa"/>
          </w:tcPr>
          <w:p w:rsidR="008D4981" w:rsidRPr="006229E5" w:rsidRDefault="008D4981" w:rsidP="008D4981">
            <w:pPr>
              <w:spacing w:after="0" w:line="240" w:lineRule="auto"/>
              <w:jc w:val="center"/>
              <w:rPr>
                <w:rFonts w:cs="Calibri"/>
                <w:sz w:val="20"/>
                <w:szCs w:val="20"/>
              </w:rPr>
            </w:pPr>
            <w:r>
              <w:rPr>
                <w:rFonts w:cs="Calibri"/>
                <w:sz w:val="20"/>
                <w:szCs w:val="20"/>
              </w:rPr>
              <w:t>Column 8</w:t>
            </w:r>
          </w:p>
        </w:tc>
        <w:tc>
          <w:tcPr>
            <w:tcW w:w="1741" w:type="dxa"/>
          </w:tcPr>
          <w:p w:rsidR="008D4981" w:rsidRPr="006229E5" w:rsidRDefault="008D4981" w:rsidP="008D4981">
            <w:pPr>
              <w:spacing w:after="0" w:line="240" w:lineRule="auto"/>
              <w:jc w:val="center"/>
              <w:rPr>
                <w:rFonts w:cs="Calibri"/>
                <w:sz w:val="20"/>
                <w:szCs w:val="20"/>
              </w:rPr>
            </w:pPr>
            <w:r>
              <w:rPr>
                <w:rFonts w:cs="Calibri"/>
                <w:sz w:val="20"/>
                <w:szCs w:val="20"/>
              </w:rPr>
              <w:t>Column 9</w:t>
            </w:r>
          </w:p>
        </w:tc>
      </w:tr>
      <w:tr w:rsidR="008D4981" w:rsidRPr="006229E5" w:rsidTr="00153779">
        <w:trPr>
          <w:jc w:val="center"/>
        </w:trPr>
        <w:tc>
          <w:tcPr>
            <w:tcW w:w="1184" w:type="dxa"/>
            <w:vAlign w:val="bottom"/>
          </w:tcPr>
          <w:p w:rsidR="008D4981" w:rsidRPr="006229E5" w:rsidRDefault="008D4981" w:rsidP="00877AD8">
            <w:pPr>
              <w:spacing w:after="0" w:line="240" w:lineRule="auto"/>
              <w:rPr>
                <w:rFonts w:cs="Calibri"/>
                <w:b/>
                <w:color w:val="000000"/>
                <w:sz w:val="20"/>
                <w:szCs w:val="20"/>
              </w:rPr>
            </w:pPr>
          </w:p>
          <w:p w:rsidR="008D4981" w:rsidRPr="006229E5" w:rsidRDefault="008D4981" w:rsidP="00877AD8">
            <w:pPr>
              <w:spacing w:after="0" w:line="240" w:lineRule="auto"/>
              <w:rPr>
                <w:rFonts w:cs="Calibri"/>
                <w:b/>
                <w:color w:val="000000"/>
                <w:sz w:val="20"/>
                <w:szCs w:val="20"/>
              </w:rPr>
            </w:pPr>
          </w:p>
          <w:p w:rsidR="008D4981" w:rsidRPr="006229E5" w:rsidRDefault="008D4981" w:rsidP="00877AD8">
            <w:pPr>
              <w:spacing w:after="0" w:line="240" w:lineRule="auto"/>
              <w:rPr>
                <w:rFonts w:cs="Calibri"/>
                <w:b/>
                <w:color w:val="000000"/>
                <w:sz w:val="20"/>
                <w:szCs w:val="20"/>
              </w:rPr>
            </w:pPr>
          </w:p>
          <w:p w:rsidR="008D4981" w:rsidRPr="006229E5" w:rsidRDefault="008D4981" w:rsidP="00877AD8">
            <w:pPr>
              <w:spacing w:after="0" w:line="240" w:lineRule="auto"/>
              <w:rPr>
                <w:rFonts w:cs="Calibri"/>
                <w:b/>
                <w:color w:val="000000"/>
                <w:sz w:val="20"/>
                <w:szCs w:val="20"/>
              </w:rPr>
            </w:pPr>
          </w:p>
          <w:p w:rsidR="008D4981" w:rsidRPr="006229E5" w:rsidRDefault="008D4981" w:rsidP="00877AD8">
            <w:pPr>
              <w:spacing w:after="0" w:line="240" w:lineRule="auto"/>
              <w:rPr>
                <w:rFonts w:cs="Calibri"/>
                <w:b/>
                <w:color w:val="000000"/>
                <w:sz w:val="20"/>
                <w:szCs w:val="20"/>
              </w:rPr>
            </w:pPr>
          </w:p>
          <w:p w:rsidR="008D4981" w:rsidRPr="006229E5" w:rsidRDefault="008D4981" w:rsidP="00877AD8">
            <w:pPr>
              <w:spacing w:after="0" w:line="240" w:lineRule="auto"/>
              <w:rPr>
                <w:rFonts w:cs="Calibri"/>
                <w:b/>
                <w:color w:val="000000"/>
                <w:sz w:val="20"/>
                <w:szCs w:val="20"/>
              </w:rPr>
            </w:pPr>
          </w:p>
          <w:p w:rsidR="008D4981" w:rsidRPr="006229E5" w:rsidRDefault="008D4981" w:rsidP="00877AD8">
            <w:pPr>
              <w:spacing w:after="0" w:line="240" w:lineRule="auto"/>
              <w:rPr>
                <w:rFonts w:cs="Calibri"/>
                <w:b/>
                <w:color w:val="000000"/>
                <w:sz w:val="20"/>
                <w:szCs w:val="20"/>
              </w:rPr>
            </w:pPr>
            <w:r w:rsidRPr="006229E5">
              <w:rPr>
                <w:rFonts w:cs="Calibri"/>
                <w:b/>
                <w:color w:val="000000"/>
                <w:sz w:val="20"/>
                <w:szCs w:val="20"/>
              </w:rPr>
              <w:t>School</w:t>
            </w:r>
          </w:p>
        </w:tc>
        <w:tc>
          <w:tcPr>
            <w:tcW w:w="1320" w:type="dxa"/>
            <w:vAlign w:val="bottom"/>
          </w:tcPr>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3D7973" w:rsidP="00877AD8">
            <w:pPr>
              <w:spacing w:after="0" w:line="240" w:lineRule="auto"/>
              <w:jc w:val="right"/>
              <w:rPr>
                <w:rFonts w:cs="Calibri"/>
                <w:b/>
                <w:color w:val="000000"/>
                <w:sz w:val="20"/>
                <w:szCs w:val="20"/>
              </w:rPr>
            </w:pPr>
            <w:smartTag w:uri="urn:schemas-microsoft-com:office:smarttags" w:element="place">
              <w:smartTag w:uri="urn:schemas-microsoft-com:office:smarttags" w:element="PlaceName">
                <w:r>
                  <w:rPr>
                    <w:rFonts w:cs="Calibri"/>
                    <w:b/>
                    <w:color w:val="000000"/>
                    <w:sz w:val="20"/>
                    <w:szCs w:val="20"/>
                  </w:rPr>
                  <w:t>CEP</w:t>
                </w:r>
              </w:smartTag>
              <w:r w:rsidR="008D4981" w:rsidRPr="006229E5">
                <w:rPr>
                  <w:rFonts w:cs="Calibri"/>
                  <w:b/>
                  <w:color w:val="000000"/>
                  <w:sz w:val="20"/>
                  <w:szCs w:val="20"/>
                </w:rPr>
                <w:t xml:space="preserve"> </w:t>
              </w:r>
              <w:smartTag w:uri="urn:schemas-microsoft-com:office:smarttags" w:element="PlaceType">
                <w:r w:rsidR="008D4981" w:rsidRPr="006229E5">
                  <w:rPr>
                    <w:rFonts w:cs="Calibri"/>
                    <w:b/>
                    <w:color w:val="000000"/>
                    <w:sz w:val="20"/>
                    <w:szCs w:val="20"/>
                  </w:rPr>
                  <w:t>School</w:t>
                </w:r>
              </w:smartTag>
            </w:smartTag>
            <w:r w:rsidR="008D4981" w:rsidRPr="006229E5">
              <w:rPr>
                <w:rFonts w:cs="Calibri"/>
                <w:b/>
                <w:color w:val="000000"/>
                <w:sz w:val="20"/>
                <w:szCs w:val="20"/>
              </w:rPr>
              <w:t xml:space="preserve"> (Y/N)</w:t>
            </w:r>
          </w:p>
        </w:tc>
        <w:tc>
          <w:tcPr>
            <w:tcW w:w="1194" w:type="dxa"/>
            <w:vAlign w:val="bottom"/>
          </w:tcPr>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r w:rsidRPr="006229E5">
              <w:rPr>
                <w:rFonts w:cs="Calibri"/>
                <w:b/>
                <w:color w:val="000000"/>
                <w:sz w:val="20"/>
                <w:szCs w:val="20"/>
              </w:rPr>
              <w:t>Enrollment</w:t>
            </w:r>
          </w:p>
        </w:tc>
        <w:tc>
          <w:tcPr>
            <w:tcW w:w="1720" w:type="dxa"/>
            <w:vAlign w:val="bottom"/>
          </w:tcPr>
          <w:p w:rsidR="008D4981" w:rsidRPr="006229E5" w:rsidRDefault="008D4981" w:rsidP="00877AD8">
            <w:pPr>
              <w:spacing w:after="0" w:line="240" w:lineRule="auto"/>
              <w:jc w:val="right"/>
              <w:rPr>
                <w:rFonts w:cs="Calibri"/>
                <w:b/>
                <w:color w:val="000000"/>
                <w:sz w:val="20"/>
                <w:szCs w:val="20"/>
              </w:rPr>
            </w:pPr>
            <w:r>
              <w:rPr>
                <w:rFonts w:cs="Calibri"/>
                <w:b/>
                <w:color w:val="000000"/>
                <w:sz w:val="20"/>
                <w:szCs w:val="20"/>
              </w:rPr>
              <w:t>All</w:t>
            </w:r>
            <w:r w:rsidRPr="006229E5">
              <w:rPr>
                <w:rFonts w:cs="Calibri"/>
                <w:b/>
                <w:color w:val="000000"/>
                <w:sz w:val="20"/>
                <w:szCs w:val="20"/>
              </w:rPr>
              <w:t xml:space="preserve"> </w:t>
            </w:r>
            <w:r>
              <w:rPr>
                <w:rFonts w:cs="Calibri"/>
                <w:b/>
                <w:color w:val="000000"/>
                <w:sz w:val="20"/>
                <w:szCs w:val="20"/>
              </w:rPr>
              <w:t>S</w:t>
            </w:r>
            <w:r w:rsidRPr="006229E5">
              <w:rPr>
                <w:rFonts w:cs="Calibri"/>
                <w:b/>
                <w:color w:val="000000"/>
                <w:sz w:val="20"/>
                <w:szCs w:val="20"/>
              </w:rPr>
              <w:t>chools: Direct Certification Data</w:t>
            </w:r>
            <w:r>
              <w:rPr>
                <w:rFonts w:cs="Calibri"/>
                <w:b/>
                <w:color w:val="000000"/>
                <w:sz w:val="20"/>
                <w:szCs w:val="20"/>
              </w:rPr>
              <w:t xml:space="preserve"> Through SNAP</w:t>
            </w:r>
            <w:r>
              <w:rPr>
                <w:rFonts w:cs="Calibri"/>
                <w:b/>
                <w:color w:val="000000"/>
                <w:sz w:val="20"/>
                <w:szCs w:val="20"/>
                <w:vertAlign w:val="superscript"/>
              </w:rPr>
              <w:t>1</w:t>
            </w:r>
          </w:p>
        </w:tc>
        <w:tc>
          <w:tcPr>
            <w:tcW w:w="1572" w:type="dxa"/>
            <w:vAlign w:val="bottom"/>
          </w:tcPr>
          <w:p w:rsidR="008D4981" w:rsidRDefault="008D4981" w:rsidP="008D4981">
            <w:pPr>
              <w:spacing w:after="0" w:line="240" w:lineRule="auto"/>
              <w:jc w:val="right"/>
              <w:rPr>
                <w:rFonts w:cs="Calibri"/>
                <w:b/>
                <w:color w:val="000000"/>
                <w:sz w:val="20"/>
                <w:szCs w:val="20"/>
              </w:rPr>
            </w:pPr>
            <w:r w:rsidRPr="008D4981">
              <w:rPr>
                <w:rFonts w:cs="Calibri"/>
                <w:b/>
                <w:color w:val="000000"/>
                <w:sz w:val="20"/>
                <w:szCs w:val="20"/>
              </w:rPr>
              <w:t>1.6 Multiplier</w:t>
            </w:r>
          </w:p>
        </w:tc>
        <w:tc>
          <w:tcPr>
            <w:tcW w:w="1572" w:type="dxa"/>
            <w:vAlign w:val="bottom"/>
          </w:tcPr>
          <w:p w:rsidR="008D4981" w:rsidRPr="006229E5" w:rsidRDefault="008D4981" w:rsidP="008D4981">
            <w:pPr>
              <w:spacing w:after="0" w:line="240" w:lineRule="auto"/>
              <w:jc w:val="right"/>
              <w:rPr>
                <w:rFonts w:cs="Calibri"/>
                <w:b/>
                <w:color w:val="000000"/>
                <w:sz w:val="20"/>
                <w:szCs w:val="20"/>
              </w:rPr>
            </w:pPr>
            <w:r>
              <w:rPr>
                <w:rFonts w:cs="Calibri"/>
                <w:b/>
                <w:color w:val="000000"/>
                <w:sz w:val="20"/>
                <w:szCs w:val="20"/>
              </w:rPr>
              <w:t xml:space="preserve">Poverty </w:t>
            </w:r>
            <w:r w:rsidRPr="0097216F">
              <w:rPr>
                <w:rFonts w:cs="Calibri"/>
                <w:b/>
                <w:color w:val="000000"/>
                <w:sz w:val="20"/>
                <w:szCs w:val="20"/>
              </w:rPr>
              <w:t>Count Used to Allocate Title I Funds</w:t>
            </w:r>
            <w:r>
              <w:rPr>
                <w:rFonts w:cs="Calibri"/>
                <w:b/>
                <w:color w:val="000000"/>
                <w:sz w:val="20"/>
                <w:szCs w:val="20"/>
                <w:vertAlign w:val="superscript"/>
              </w:rPr>
              <w:t>2</w:t>
            </w:r>
          </w:p>
        </w:tc>
        <w:tc>
          <w:tcPr>
            <w:tcW w:w="1572" w:type="dxa"/>
            <w:vAlign w:val="bottom"/>
          </w:tcPr>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D4981">
            <w:pPr>
              <w:spacing w:after="0" w:line="240" w:lineRule="auto"/>
              <w:jc w:val="right"/>
              <w:rPr>
                <w:rFonts w:cs="Calibri"/>
                <w:b/>
                <w:color w:val="000000"/>
                <w:sz w:val="20"/>
                <w:szCs w:val="20"/>
              </w:rPr>
            </w:pPr>
            <w:r w:rsidRPr="006229E5">
              <w:rPr>
                <w:rFonts w:cs="Calibri"/>
                <w:b/>
                <w:color w:val="000000"/>
                <w:sz w:val="20"/>
                <w:szCs w:val="20"/>
              </w:rPr>
              <w:t>Percentage of Economically Disadvantaged Stud</w:t>
            </w:r>
            <w:r>
              <w:rPr>
                <w:rFonts w:cs="Calibri"/>
                <w:b/>
                <w:color w:val="000000"/>
                <w:sz w:val="20"/>
                <w:szCs w:val="20"/>
              </w:rPr>
              <w:t>ents for Title I Allocations</w:t>
            </w:r>
            <w:r>
              <w:rPr>
                <w:rFonts w:cs="Calibri"/>
                <w:b/>
                <w:color w:val="000000"/>
                <w:sz w:val="20"/>
                <w:szCs w:val="20"/>
                <w:vertAlign w:val="superscript"/>
              </w:rPr>
              <w:t>3</w:t>
            </w:r>
          </w:p>
        </w:tc>
        <w:tc>
          <w:tcPr>
            <w:tcW w:w="1013" w:type="dxa"/>
            <w:vAlign w:val="bottom"/>
          </w:tcPr>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r w:rsidRPr="006229E5">
              <w:rPr>
                <w:rFonts w:cs="Calibri"/>
                <w:b/>
                <w:color w:val="000000"/>
                <w:sz w:val="20"/>
                <w:szCs w:val="20"/>
              </w:rPr>
              <w:t>Per-Pupil Amount Used by LEA</w:t>
            </w:r>
          </w:p>
        </w:tc>
        <w:tc>
          <w:tcPr>
            <w:tcW w:w="1741" w:type="dxa"/>
            <w:vAlign w:val="bottom"/>
          </w:tcPr>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877AD8">
            <w:pPr>
              <w:spacing w:after="0" w:line="240" w:lineRule="auto"/>
              <w:jc w:val="right"/>
              <w:rPr>
                <w:rFonts w:cs="Calibri"/>
                <w:b/>
                <w:color w:val="000000"/>
                <w:sz w:val="20"/>
                <w:szCs w:val="20"/>
              </w:rPr>
            </w:pPr>
          </w:p>
          <w:p w:rsidR="008D4981" w:rsidRPr="006229E5" w:rsidRDefault="008D4981" w:rsidP="001C6B0F">
            <w:pPr>
              <w:spacing w:after="0" w:line="240" w:lineRule="auto"/>
              <w:jc w:val="right"/>
              <w:rPr>
                <w:rFonts w:cs="Calibri"/>
                <w:b/>
                <w:color w:val="000000"/>
                <w:sz w:val="20"/>
                <w:szCs w:val="20"/>
              </w:rPr>
            </w:pPr>
            <w:r>
              <w:rPr>
                <w:rFonts w:cs="Calibri"/>
                <w:b/>
                <w:color w:val="000000"/>
                <w:sz w:val="20"/>
                <w:szCs w:val="20"/>
              </w:rPr>
              <w:t>Title I Allocation</w:t>
            </w:r>
            <w:r w:rsidR="001C6B0F">
              <w:rPr>
                <w:rFonts w:cs="Calibri"/>
                <w:b/>
                <w:color w:val="000000"/>
                <w:sz w:val="20"/>
                <w:szCs w:val="20"/>
                <w:vertAlign w:val="superscript"/>
              </w:rPr>
              <w:t>5</w:t>
            </w:r>
          </w:p>
        </w:tc>
      </w:tr>
      <w:tr w:rsidR="008D4981" w:rsidRPr="006229E5" w:rsidTr="00153779">
        <w:trPr>
          <w:jc w:val="center"/>
        </w:trPr>
        <w:tc>
          <w:tcPr>
            <w:tcW w:w="1184" w:type="dxa"/>
          </w:tcPr>
          <w:p w:rsidR="008D4981" w:rsidRPr="006229E5" w:rsidRDefault="008D4981" w:rsidP="00877AD8">
            <w:pPr>
              <w:spacing w:after="0" w:line="240" w:lineRule="auto"/>
              <w:jc w:val="both"/>
              <w:rPr>
                <w:rFonts w:cs="Calibri"/>
                <w:color w:val="000000"/>
                <w:sz w:val="20"/>
                <w:szCs w:val="20"/>
              </w:rPr>
            </w:pPr>
            <w:r>
              <w:rPr>
                <w:rFonts w:cs="Calibri"/>
                <w:color w:val="000000"/>
                <w:sz w:val="20"/>
                <w:szCs w:val="20"/>
              </w:rPr>
              <w:t>McKinley</w:t>
            </w:r>
          </w:p>
        </w:tc>
        <w:tc>
          <w:tcPr>
            <w:tcW w:w="13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 xml:space="preserve">Y </w:t>
            </w:r>
          </w:p>
        </w:tc>
        <w:tc>
          <w:tcPr>
            <w:tcW w:w="1194"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750</w:t>
            </w:r>
          </w:p>
        </w:tc>
        <w:tc>
          <w:tcPr>
            <w:tcW w:w="1720" w:type="dxa"/>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500</w:t>
            </w:r>
          </w:p>
        </w:tc>
        <w:tc>
          <w:tcPr>
            <w:tcW w:w="1572" w:type="dxa"/>
          </w:tcPr>
          <w:p w:rsidR="008D4981" w:rsidRDefault="008D4981" w:rsidP="00877AD8">
            <w:pPr>
              <w:spacing w:after="0" w:line="240" w:lineRule="auto"/>
              <w:jc w:val="right"/>
              <w:rPr>
                <w:rFonts w:cs="Calibri"/>
                <w:color w:val="000000"/>
                <w:sz w:val="20"/>
                <w:szCs w:val="20"/>
              </w:rPr>
            </w:pPr>
            <w:r>
              <w:rPr>
                <w:rFonts w:cs="Calibri"/>
                <w:color w:val="000000"/>
                <w:sz w:val="20"/>
                <w:szCs w:val="20"/>
              </w:rPr>
              <w:t>1.6</w:t>
            </w:r>
          </w:p>
        </w:tc>
        <w:tc>
          <w:tcPr>
            <w:tcW w:w="1572" w:type="dxa"/>
          </w:tcPr>
          <w:p w:rsidR="008D4981" w:rsidRDefault="008D4981" w:rsidP="00877AD8">
            <w:pPr>
              <w:spacing w:after="0" w:line="240" w:lineRule="auto"/>
              <w:jc w:val="right"/>
              <w:rPr>
                <w:rFonts w:cs="Calibri"/>
                <w:color w:val="000000"/>
                <w:sz w:val="20"/>
                <w:szCs w:val="20"/>
              </w:rPr>
            </w:pPr>
            <w:r>
              <w:rPr>
                <w:rFonts w:cs="Calibri"/>
                <w:color w:val="000000"/>
                <w:sz w:val="20"/>
                <w:szCs w:val="20"/>
              </w:rPr>
              <w:t>750</w:t>
            </w:r>
          </w:p>
        </w:tc>
        <w:tc>
          <w:tcPr>
            <w:tcW w:w="1572"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100</w:t>
            </w:r>
            <w:r w:rsidRPr="006229E5">
              <w:rPr>
                <w:rFonts w:cs="Calibri"/>
                <w:color w:val="000000"/>
                <w:sz w:val="20"/>
                <w:szCs w:val="20"/>
              </w:rPr>
              <w:t>%</w:t>
            </w:r>
          </w:p>
        </w:tc>
        <w:tc>
          <w:tcPr>
            <w:tcW w:w="1013" w:type="dxa"/>
            <w:vAlign w:val="bottom"/>
          </w:tcPr>
          <w:p w:rsidR="008D4981" w:rsidRPr="001C6B0F" w:rsidRDefault="008D4981" w:rsidP="001C6B0F">
            <w:pPr>
              <w:spacing w:after="0" w:line="240" w:lineRule="auto"/>
              <w:jc w:val="right"/>
              <w:rPr>
                <w:rFonts w:cs="Calibri"/>
                <w:color w:val="000000"/>
                <w:sz w:val="20"/>
                <w:szCs w:val="20"/>
              </w:rPr>
            </w:pPr>
            <w:r w:rsidRPr="006229E5">
              <w:rPr>
                <w:rFonts w:cs="Calibri"/>
                <w:color w:val="000000"/>
                <w:sz w:val="20"/>
                <w:szCs w:val="20"/>
              </w:rPr>
              <w:t>$</w:t>
            </w:r>
            <w:r>
              <w:rPr>
                <w:rFonts w:cs="Calibri"/>
                <w:color w:val="000000"/>
                <w:sz w:val="20"/>
                <w:szCs w:val="20"/>
              </w:rPr>
              <w:t>333</w:t>
            </w:r>
            <w:r w:rsidR="00D564C7">
              <w:rPr>
                <w:rFonts w:cs="Calibri"/>
                <w:color w:val="000000"/>
                <w:sz w:val="20"/>
                <w:szCs w:val="20"/>
              </w:rPr>
              <w:t>.00</w:t>
            </w:r>
            <w:r w:rsidR="001C6B0F" w:rsidRPr="00153779">
              <w:rPr>
                <w:rFonts w:cs="Calibri"/>
                <w:color w:val="000000"/>
                <w:sz w:val="20"/>
                <w:szCs w:val="20"/>
                <w:vertAlign w:val="superscript"/>
              </w:rPr>
              <w:t>4</w:t>
            </w:r>
          </w:p>
        </w:tc>
        <w:tc>
          <w:tcPr>
            <w:tcW w:w="1741"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$2</w:t>
            </w:r>
            <w:r>
              <w:rPr>
                <w:rFonts w:cs="Calibri"/>
                <w:color w:val="000000"/>
                <w:sz w:val="20"/>
                <w:szCs w:val="20"/>
              </w:rPr>
              <w:t>50,0</w:t>
            </w:r>
            <w:r w:rsidRPr="006229E5">
              <w:rPr>
                <w:rFonts w:cs="Calibri"/>
                <w:color w:val="000000"/>
                <w:sz w:val="20"/>
                <w:szCs w:val="20"/>
              </w:rPr>
              <w:t>00</w:t>
            </w:r>
          </w:p>
        </w:tc>
      </w:tr>
      <w:tr w:rsidR="008D4981" w:rsidRPr="006229E5" w:rsidTr="00153779">
        <w:trPr>
          <w:jc w:val="center"/>
        </w:trPr>
        <w:tc>
          <w:tcPr>
            <w:tcW w:w="1184" w:type="dxa"/>
          </w:tcPr>
          <w:p w:rsidR="008D4981" w:rsidRPr="006229E5" w:rsidRDefault="008D4981" w:rsidP="00877AD8">
            <w:pPr>
              <w:spacing w:after="0" w:line="240" w:lineRule="auto"/>
              <w:jc w:val="both"/>
              <w:rPr>
                <w:rFonts w:cs="Calibri"/>
                <w:color w:val="000000"/>
                <w:sz w:val="20"/>
                <w:szCs w:val="20"/>
              </w:rPr>
            </w:pPr>
            <w:smartTag w:uri="urn:schemas-microsoft-com:office:smarttags" w:element="place">
              <w:r>
                <w:rPr>
                  <w:rFonts w:cs="Calibri"/>
                  <w:color w:val="000000"/>
                  <w:sz w:val="20"/>
                  <w:szCs w:val="20"/>
                </w:rPr>
                <w:t>Roosevelt</w:t>
              </w:r>
            </w:smartTag>
          </w:p>
        </w:tc>
        <w:tc>
          <w:tcPr>
            <w:tcW w:w="13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N</w:t>
            </w:r>
          </w:p>
        </w:tc>
        <w:tc>
          <w:tcPr>
            <w:tcW w:w="1194"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640</w:t>
            </w:r>
          </w:p>
        </w:tc>
        <w:tc>
          <w:tcPr>
            <w:tcW w:w="1720"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400</w:t>
            </w:r>
          </w:p>
        </w:tc>
        <w:tc>
          <w:tcPr>
            <w:tcW w:w="1572" w:type="dxa"/>
          </w:tcPr>
          <w:p w:rsidR="008D4981" w:rsidRDefault="008D4981" w:rsidP="00877AD8">
            <w:pPr>
              <w:spacing w:after="0" w:line="240" w:lineRule="auto"/>
              <w:jc w:val="right"/>
              <w:rPr>
                <w:rFonts w:cs="Calibri"/>
                <w:color w:val="000000"/>
                <w:sz w:val="20"/>
                <w:szCs w:val="20"/>
              </w:rPr>
            </w:pPr>
            <w:r w:rsidRPr="000A46F5">
              <w:rPr>
                <w:rFonts w:cs="Calibri"/>
                <w:color w:val="000000"/>
                <w:sz w:val="20"/>
                <w:szCs w:val="20"/>
              </w:rPr>
              <w:t>1.6</w:t>
            </w:r>
          </w:p>
        </w:tc>
        <w:tc>
          <w:tcPr>
            <w:tcW w:w="1572" w:type="dxa"/>
          </w:tcPr>
          <w:p w:rsidR="008D4981" w:rsidRDefault="008D4981" w:rsidP="00877AD8">
            <w:pPr>
              <w:spacing w:after="0" w:line="240" w:lineRule="auto"/>
              <w:jc w:val="right"/>
              <w:rPr>
                <w:rFonts w:cs="Calibri"/>
                <w:color w:val="000000"/>
                <w:sz w:val="20"/>
                <w:szCs w:val="20"/>
              </w:rPr>
            </w:pPr>
            <w:r>
              <w:rPr>
                <w:rFonts w:cs="Calibri"/>
                <w:color w:val="000000"/>
                <w:sz w:val="20"/>
                <w:szCs w:val="20"/>
              </w:rPr>
              <w:t>640</w:t>
            </w:r>
          </w:p>
        </w:tc>
        <w:tc>
          <w:tcPr>
            <w:tcW w:w="1572"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100</w:t>
            </w:r>
            <w:r w:rsidRPr="006229E5">
              <w:rPr>
                <w:rFonts w:cs="Calibri"/>
                <w:color w:val="000000"/>
                <w:sz w:val="20"/>
                <w:szCs w:val="20"/>
              </w:rPr>
              <w:t>%</w:t>
            </w:r>
          </w:p>
        </w:tc>
        <w:tc>
          <w:tcPr>
            <w:tcW w:w="1013"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313</w:t>
            </w:r>
            <w:r w:rsidR="00D564C7">
              <w:rPr>
                <w:rFonts w:cs="Calibri"/>
                <w:color w:val="000000"/>
                <w:sz w:val="20"/>
                <w:szCs w:val="20"/>
              </w:rPr>
              <w:t>.00</w:t>
            </w:r>
          </w:p>
        </w:tc>
        <w:tc>
          <w:tcPr>
            <w:tcW w:w="1741"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200,0</w:t>
            </w:r>
            <w:r w:rsidRPr="006229E5">
              <w:rPr>
                <w:rFonts w:cs="Calibri"/>
                <w:color w:val="000000"/>
                <w:sz w:val="20"/>
                <w:szCs w:val="20"/>
              </w:rPr>
              <w:t>00</w:t>
            </w:r>
          </w:p>
        </w:tc>
      </w:tr>
      <w:tr w:rsidR="008D4981" w:rsidRPr="006229E5" w:rsidTr="00153779">
        <w:trPr>
          <w:jc w:val="center"/>
        </w:trPr>
        <w:tc>
          <w:tcPr>
            <w:tcW w:w="1184" w:type="dxa"/>
          </w:tcPr>
          <w:p w:rsidR="008D4981" w:rsidRPr="006229E5" w:rsidRDefault="008D4981" w:rsidP="00877AD8">
            <w:pPr>
              <w:spacing w:after="0" w:line="240" w:lineRule="auto"/>
              <w:jc w:val="both"/>
              <w:rPr>
                <w:rFonts w:cs="Calibri"/>
                <w:color w:val="000000"/>
                <w:sz w:val="20"/>
                <w:szCs w:val="20"/>
              </w:rPr>
            </w:pPr>
            <w:r>
              <w:rPr>
                <w:rFonts w:cs="Calibri"/>
                <w:color w:val="000000"/>
                <w:sz w:val="20"/>
                <w:szCs w:val="20"/>
              </w:rPr>
              <w:t>Taft</w:t>
            </w:r>
          </w:p>
        </w:tc>
        <w:tc>
          <w:tcPr>
            <w:tcW w:w="13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 xml:space="preserve">Y </w:t>
            </w:r>
          </w:p>
        </w:tc>
        <w:tc>
          <w:tcPr>
            <w:tcW w:w="1194"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900</w:t>
            </w:r>
          </w:p>
        </w:tc>
        <w:tc>
          <w:tcPr>
            <w:tcW w:w="17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560</w:t>
            </w:r>
          </w:p>
        </w:tc>
        <w:tc>
          <w:tcPr>
            <w:tcW w:w="1572" w:type="dxa"/>
          </w:tcPr>
          <w:p w:rsidR="008D4981" w:rsidRDefault="008D4981" w:rsidP="00877AD8">
            <w:pPr>
              <w:spacing w:after="0" w:line="240" w:lineRule="auto"/>
              <w:jc w:val="right"/>
              <w:rPr>
                <w:rFonts w:cs="Calibri"/>
                <w:color w:val="000000"/>
                <w:sz w:val="20"/>
                <w:szCs w:val="20"/>
              </w:rPr>
            </w:pPr>
            <w:r w:rsidRPr="000A46F5">
              <w:rPr>
                <w:rFonts w:cs="Calibri"/>
                <w:color w:val="000000"/>
                <w:sz w:val="20"/>
                <w:szCs w:val="20"/>
              </w:rPr>
              <w:t>1.6</w:t>
            </w:r>
          </w:p>
        </w:tc>
        <w:tc>
          <w:tcPr>
            <w:tcW w:w="1572" w:type="dxa"/>
          </w:tcPr>
          <w:p w:rsidR="008D4981" w:rsidRDefault="008D4981" w:rsidP="00877AD8">
            <w:pPr>
              <w:spacing w:after="0" w:line="240" w:lineRule="auto"/>
              <w:jc w:val="right"/>
              <w:rPr>
                <w:rFonts w:cs="Calibri"/>
                <w:color w:val="000000"/>
                <w:sz w:val="20"/>
                <w:szCs w:val="20"/>
              </w:rPr>
            </w:pPr>
            <w:r>
              <w:rPr>
                <w:rFonts w:cs="Calibri"/>
                <w:color w:val="000000"/>
                <w:sz w:val="20"/>
                <w:szCs w:val="20"/>
              </w:rPr>
              <w:t>896</w:t>
            </w:r>
          </w:p>
        </w:tc>
        <w:tc>
          <w:tcPr>
            <w:tcW w:w="1572"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99</w:t>
            </w:r>
            <w:r w:rsidRPr="006229E5">
              <w:rPr>
                <w:rFonts w:cs="Calibri"/>
                <w:color w:val="000000"/>
                <w:sz w:val="20"/>
                <w:szCs w:val="20"/>
              </w:rPr>
              <w:t>%</w:t>
            </w:r>
          </w:p>
        </w:tc>
        <w:tc>
          <w:tcPr>
            <w:tcW w:w="1013"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313</w:t>
            </w:r>
            <w:r w:rsidR="00D564C7">
              <w:rPr>
                <w:rFonts w:cs="Calibri"/>
                <w:color w:val="000000"/>
                <w:sz w:val="20"/>
                <w:szCs w:val="20"/>
              </w:rPr>
              <w:t>.00</w:t>
            </w:r>
          </w:p>
        </w:tc>
        <w:tc>
          <w:tcPr>
            <w:tcW w:w="1741"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280,000</w:t>
            </w:r>
          </w:p>
        </w:tc>
      </w:tr>
      <w:tr w:rsidR="008D4981" w:rsidRPr="006229E5" w:rsidTr="00153779">
        <w:trPr>
          <w:jc w:val="center"/>
        </w:trPr>
        <w:tc>
          <w:tcPr>
            <w:tcW w:w="1184" w:type="dxa"/>
          </w:tcPr>
          <w:p w:rsidR="008D4981" w:rsidRPr="006229E5" w:rsidRDefault="008D4981" w:rsidP="00877AD8">
            <w:pPr>
              <w:spacing w:after="0" w:line="240" w:lineRule="auto"/>
              <w:jc w:val="both"/>
              <w:rPr>
                <w:rFonts w:cs="Calibri"/>
                <w:color w:val="000000"/>
                <w:sz w:val="20"/>
                <w:szCs w:val="20"/>
              </w:rPr>
            </w:pPr>
            <w:smartTag w:uri="urn:schemas-microsoft-com:office:smarttags" w:element="City">
              <w:smartTag w:uri="urn:schemas-microsoft-com:office:smarttags" w:element="place">
                <w:r>
                  <w:rPr>
                    <w:rFonts w:cs="Calibri"/>
                    <w:color w:val="000000"/>
                    <w:sz w:val="20"/>
                    <w:szCs w:val="20"/>
                  </w:rPr>
                  <w:t>Wilson</w:t>
                </w:r>
              </w:smartTag>
            </w:smartTag>
          </w:p>
        </w:tc>
        <w:tc>
          <w:tcPr>
            <w:tcW w:w="13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N</w:t>
            </w:r>
          </w:p>
        </w:tc>
        <w:tc>
          <w:tcPr>
            <w:tcW w:w="1194"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675</w:t>
            </w:r>
          </w:p>
        </w:tc>
        <w:tc>
          <w:tcPr>
            <w:tcW w:w="17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400</w:t>
            </w:r>
          </w:p>
        </w:tc>
        <w:tc>
          <w:tcPr>
            <w:tcW w:w="1572" w:type="dxa"/>
          </w:tcPr>
          <w:p w:rsidR="008D4981" w:rsidRDefault="008D4981" w:rsidP="00877AD8">
            <w:pPr>
              <w:spacing w:after="0" w:line="240" w:lineRule="auto"/>
              <w:jc w:val="right"/>
              <w:rPr>
                <w:rFonts w:cs="Calibri"/>
                <w:color w:val="000000"/>
                <w:sz w:val="20"/>
                <w:szCs w:val="20"/>
              </w:rPr>
            </w:pPr>
            <w:r w:rsidRPr="000A46F5">
              <w:rPr>
                <w:rFonts w:cs="Calibri"/>
                <w:color w:val="000000"/>
                <w:sz w:val="20"/>
                <w:szCs w:val="20"/>
              </w:rPr>
              <w:t>1.6</w:t>
            </w:r>
          </w:p>
        </w:tc>
        <w:tc>
          <w:tcPr>
            <w:tcW w:w="1572" w:type="dxa"/>
          </w:tcPr>
          <w:p w:rsidR="008D4981" w:rsidRDefault="008D4981" w:rsidP="00877AD8">
            <w:pPr>
              <w:spacing w:after="0" w:line="240" w:lineRule="auto"/>
              <w:jc w:val="right"/>
              <w:rPr>
                <w:rFonts w:cs="Calibri"/>
                <w:color w:val="000000"/>
                <w:sz w:val="20"/>
                <w:szCs w:val="20"/>
              </w:rPr>
            </w:pPr>
            <w:r>
              <w:rPr>
                <w:rFonts w:cs="Calibri"/>
                <w:color w:val="000000"/>
                <w:sz w:val="20"/>
                <w:szCs w:val="20"/>
              </w:rPr>
              <w:t>640</w:t>
            </w:r>
          </w:p>
        </w:tc>
        <w:tc>
          <w:tcPr>
            <w:tcW w:w="1572"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95</w:t>
            </w:r>
            <w:r w:rsidRPr="006229E5">
              <w:rPr>
                <w:rFonts w:cs="Calibri"/>
                <w:color w:val="000000"/>
                <w:sz w:val="20"/>
                <w:szCs w:val="20"/>
              </w:rPr>
              <w:t>%</w:t>
            </w:r>
          </w:p>
        </w:tc>
        <w:tc>
          <w:tcPr>
            <w:tcW w:w="1013" w:type="dxa"/>
            <w:vAlign w:val="bottom"/>
          </w:tcPr>
          <w:p w:rsidR="008D4981" w:rsidRPr="006229E5" w:rsidRDefault="00617335" w:rsidP="00877AD8">
            <w:pPr>
              <w:spacing w:after="0" w:line="240" w:lineRule="auto"/>
              <w:jc w:val="right"/>
              <w:rPr>
                <w:rFonts w:cs="Calibri"/>
                <w:color w:val="000000"/>
                <w:sz w:val="20"/>
                <w:szCs w:val="20"/>
              </w:rPr>
            </w:pPr>
            <w:r>
              <w:rPr>
                <w:rFonts w:cs="Calibri"/>
                <w:color w:val="000000"/>
                <w:sz w:val="20"/>
                <w:szCs w:val="20"/>
              </w:rPr>
              <w:t>310</w:t>
            </w:r>
            <w:r w:rsidR="00D564C7">
              <w:rPr>
                <w:rFonts w:cs="Calibri"/>
                <w:color w:val="000000"/>
                <w:sz w:val="20"/>
                <w:szCs w:val="20"/>
              </w:rPr>
              <w:t>.00</w:t>
            </w:r>
          </w:p>
        </w:tc>
        <w:tc>
          <w:tcPr>
            <w:tcW w:w="1741" w:type="dxa"/>
            <w:vAlign w:val="bottom"/>
          </w:tcPr>
          <w:p w:rsidR="008D4981" w:rsidRPr="006229E5" w:rsidRDefault="00617335" w:rsidP="00877AD8">
            <w:pPr>
              <w:spacing w:after="0" w:line="240" w:lineRule="auto"/>
              <w:jc w:val="right"/>
              <w:rPr>
                <w:rFonts w:cs="Calibri"/>
                <w:color w:val="000000"/>
                <w:sz w:val="20"/>
                <w:szCs w:val="20"/>
              </w:rPr>
            </w:pPr>
            <w:r>
              <w:rPr>
                <w:rFonts w:cs="Calibri"/>
                <w:color w:val="000000"/>
                <w:sz w:val="20"/>
                <w:szCs w:val="20"/>
              </w:rPr>
              <w:t>198,400</w:t>
            </w:r>
          </w:p>
        </w:tc>
      </w:tr>
      <w:tr w:rsidR="008D4981" w:rsidRPr="006229E5" w:rsidTr="00153779">
        <w:trPr>
          <w:jc w:val="center"/>
        </w:trPr>
        <w:tc>
          <w:tcPr>
            <w:tcW w:w="1184" w:type="dxa"/>
          </w:tcPr>
          <w:p w:rsidR="008D4981" w:rsidRPr="006229E5" w:rsidRDefault="008D4981" w:rsidP="00877AD8">
            <w:pPr>
              <w:spacing w:after="0" w:line="240" w:lineRule="auto"/>
              <w:jc w:val="both"/>
              <w:rPr>
                <w:rFonts w:cs="Calibri"/>
                <w:color w:val="000000"/>
                <w:sz w:val="20"/>
                <w:szCs w:val="20"/>
              </w:rPr>
            </w:pPr>
            <w:r>
              <w:rPr>
                <w:rFonts w:cs="Calibri"/>
                <w:color w:val="000000"/>
                <w:sz w:val="20"/>
                <w:szCs w:val="20"/>
              </w:rPr>
              <w:t>Harding</w:t>
            </w:r>
          </w:p>
        </w:tc>
        <w:tc>
          <w:tcPr>
            <w:tcW w:w="13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N</w:t>
            </w:r>
          </w:p>
        </w:tc>
        <w:tc>
          <w:tcPr>
            <w:tcW w:w="1194"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500</w:t>
            </w:r>
          </w:p>
        </w:tc>
        <w:tc>
          <w:tcPr>
            <w:tcW w:w="1720" w:type="dxa"/>
            <w:vAlign w:val="bottom"/>
          </w:tcPr>
          <w:p w:rsidR="008D4981" w:rsidRPr="006229E5" w:rsidRDefault="00D564C7" w:rsidP="00877AD8">
            <w:pPr>
              <w:spacing w:after="0" w:line="240" w:lineRule="auto"/>
              <w:jc w:val="right"/>
              <w:rPr>
                <w:rFonts w:cs="Calibri"/>
                <w:color w:val="000000"/>
                <w:sz w:val="20"/>
                <w:szCs w:val="20"/>
              </w:rPr>
            </w:pPr>
            <w:r>
              <w:rPr>
                <w:rFonts w:cs="Calibri"/>
                <w:color w:val="000000"/>
                <w:sz w:val="20"/>
                <w:szCs w:val="20"/>
              </w:rPr>
              <w:t>150</w:t>
            </w:r>
          </w:p>
        </w:tc>
        <w:tc>
          <w:tcPr>
            <w:tcW w:w="1572" w:type="dxa"/>
          </w:tcPr>
          <w:p w:rsidR="008D4981" w:rsidRDefault="008D4981" w:rsidP="00877AD8">
            <w:pPr>
              <w:spacing w:after="0" w:line="240" w:lineRule="auto"/>
              <w:jc w:val="right"/>
              <w:rPr>
                <w:rFonts w:cs="Calibri"/>
                <w:color w:val="000000"/>
                <w:sz w:val="20"/>
                <w:szCs w:val="20"/>
              </w:rPr>
            </w:pPr>
            <w:r w:rsidRPr="000A46F5">
              <w:rPr>
                <w:rFonts w:cs="Calibri"/>
                <w:color w:val="000000"/>
                <w:sz w:val="20"/>
                <w:szCs w:val="20"/>
              </w:rPr>
              <w:t>1.6</w:t>
            </w:r>
          </w:p>
        </w:tc>
        <w:tc>
          <w:tcPr>
            <w:tcW w:w="1572" w:type="dxa"/>
          </w:tcPr>
          <w:p w:rsidR="008D4981" w:rsidRDefault="00D564C7" w:rsidP="00877AD8">
            <w:pPr>
              <w:spacing w:after="0" w:line="240" w:lineRule="auto"/>
              <w:jc w:val="right"/>
              <w:rPr>
                <w:rFonts w:cs="Calibri"/>
                <w:color w:val="000000"/>
                <w:sz w:val="20"/>
                <w:szCs w:val="20"/>
              </w:rPr>
            </w:pPr>
            <w:r>
              <w:rPr>
                <w:rFonts w:cs="Calibri"/>
                <w:color w:val="000000"/>
                <w:sz w:val="20"/>
                <w:szCs w:val="20"/>
              </w:rPr>
              <w:t>240</w:t>
            </w:r>
          </w:p>
        </w:tc>
        <w:tc>
          <w:tcPr>
            <w:tcW w:w="1572" w:type="dxa"/>
            <w:vAlign w:val="bottom"/>
          </w:tcPr>
          <w:p w:rsidR="008D4981" w:rsidRPr="006229E5" w:rsidRDefault="00D564C7" w:rsidP="00877AD8">
            <w:pPr>
              <w:spacing w:after="0" w:line="240" w:lineRule="auto"/>
              <w:jc w:val="right"/>
              <w:rPr>
                <w:rFonts w:cs="Calibri"/>
                <w:color w:val="000000"/>
                <w:sz w:val="20"/>
                <w:szCs w:val="20"/>
              </w:rPr>
            </w:pPr>
            <w:r>
              <w:rPr>
                <w:rFonts w:cs="Calibri"/>
                <w:color w:val="000000"/>
                <w:sz w:val="20"/>
                <w:szCs w:val="20"/>
              </w:rPr>
              <w:t>48</w:t>
            </w:r>
            <w:r w:rsidR="008D4981" w:rsidRPr="006229E5">
              <w:rPr>
                <w:rFonts w:cs="Calibri"/>
                <w:color w:val="000000"/>
                <w:sz w:val="20"/>
                <w:szCs w:val="20"/>
              </w:rPr>
              <w:t>%</w:t>
            </w:r>
          </w:p>
        </w:tc>
        <w:tc>
          <w:tcPr>
            <w:tcW w:w="1013" w:type="dxa"/>
            <w:vAlign w:val="bottom"/>
          </w:tcPr>
          <w:p w:rsidR="008D4981" w:rsidRPr="006229E5" w:rsidRDefault="00D564C7" w:rsidP="00877AD8">
            <w:pPr>
              <w:spacing w:after="0" w:line="240" w:lineRule="auto"/>
              <w:jc w:val="right"/>
              <w:rPr>
                <w:rFonts w:cs="Calibri"/>
                <w:color w:val="000000"/>
                <w:sz w:val="20"/>
                <w:szCs w:val="20"/>
              </w:rPr>
            </w:pPr>
            <w:r>
              <w:rPr>
                <w:rFonts w:cs="Calibri"/>
                <w:color w:val="000000"/>
                <w:sz w:val="20"/>
                <w:szCs w:val="20"/>
              </w:rPr>
              <w:t>2</w:t>
            </w:r>
            <w:r w:rsidR="00617335">
              <w:rPr>
                <w:rFonts w:cs="Calibri"/>
                <w:color w:val="000000"/>
                <w:sz w:val="20"/>
                <w:szCs w:val="20"/>
              </w:rPr>
              <w:t>98.33</w:t>
            </w:r>
          </w:p>
        </w:tc>
        <w:tc>
          <w:tcPr>
            <w:tcW w:w="1741" w:type="dxa"/>
            <w:vAlign w:val="bottom"/>
          </w:tcPr>
          <w:p w:rsidR="00617335" w:rsidRPr="006229E5" w:rsidRDefault="00617335" w:rsidP="00617335">
            <w:pPr>
              <w:spacing w:after="0" w:line="240" w:lineRule="auto"/>
              <w:jc w:val="right"/>
              <w:rPr>
                <w:rFonts w:cs="Calibri"/>
                <w:color w:val="000000"/>
                <w:sz w:val="20"/>
                <w:szCs w:val="20"/>
              </w:rPr>
            </w:pPr>
            <w:r>
              <w:rPr>
                <w:rFonts w:cs="Calibri"/>
                <w:color w:val="000000"/>
                <w:sz w:val="20"/>
                <w:szCs w:val="20"/>
              </w:rPr>
              <w:t>71,600</w:t>
            </w:r>
          </w:p>
        </w:tc>
      </w:tr>
      <w:tr w:rsidR="008D4981" w:rsidRPr="006229E5" w:rsidTr="00153779">
        <w:trPr>
          <w:jc w:val="center"/>
        </w:trPr>
        <w:tc>
          <w:tcPr>
            <w:tcW w:w="1184" w:type="dxa"/>
          </w:tcPr>
          <w:p w:rsidR="008D4981" w:rsidRPr="006229E5" w:rsidRDefault="008D4981" w:rsidP="00877AD8">
            <w:pPr>
              <w:spacing w:after="0" w:line="240" w:lineRule="auto"/>
              <w:jc w:val="both"/>
              <w:rPr>
                <w:rFonts w:cs="Calibri"/>
                <w:color w:val="000000"/>
                <w:sz w:val="20"/>
                <w:szCs w:val="20"/>
              </w:rPr>
            </w:pPr>
            <w:r>
              <w:rPr>
                <w:rFonts w:cs="Calibri"/>
                <w:color w:val="000000"/>
                <w:sz w:val="20"/>
                <w:szCs w:val="20"/>
              </w:rPr>
              <w:t>Coolidge</w:t>
            </w:r>
          </w:p>
        </w:tc>
        <w:tc>
          <w:tcPr>
            <w:tcW w:w="13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N</w:t>
            </w:r>
          </w:p>
        </w:tc>
        <w:tc>
          <w:tcPr>
            <w:tcW w:w="1194"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750</w:t>
            </w:r>
          </w:p>
        </w:tc>
        <w:tc>
          <w:tcPr>
            <w:tcW w:w="1720"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100</w:t>
            </w:r>
          </w:p>
        </w:tc>
        <w:tc>
          <w:tcPr>
            <w:tcW w:w="1572" w:type="dxa"/>
          </w:tcPr>
          <w:p w:rsidR="008D4981" w:rsidRDefault="008D4981" w:rsidP="00877AD8">
            <w:pPr>
              <w:spacing w:after="0" w:line="240" w:lineRule="auto"/>
              <w:jc w:val="right"/>
              <w:rPr>
                <w:rFonts w:cs="Calibri"/>
                <w:color w:val="000000"/>
                <w:sz w:val="20"/>
                <w:szCs w:val="20"/>
              </w:rPr>
            </w:pPr>
            <w:r w:rsidRPr="000A46F5">
              <w:rPr>
                <w:rFonts w:cs="Calibri"/>
                <w:color w:val="000000"/>
                <w:sz w:val="20"/>
                <w:szCs w:val="20"/>
              </w:rPr>
              <w:t>1.6</w:t>
            </w:r>
          </w:p>
        </w:tc>
        <w:tc>
          <w:tcPr>
            <w:tcW w:w="1572" w:type="dxa"/>
          </w:tcPr>
          <w:p w:rsidR="008D4981" w:rsidRDefault="008D4981" w:rsidP="00877AD8">
            <w:pPr>
              <w:spacing w:after="0" w:line="240" w:lineRule="auto"/>
              <w:jc w:val="right"/>
              <w:rPr>
                <w:rFonts w:cs="Calibri"/>
                <w:color w:val="000000"/>
                <w:sz w:val="20"/>
                <w:szCs w:val="20"/>
              </w:rPr>
            </w:pPr>
            <w:r>
              <w:rPr>
                <w:rFonts w:cs="Calibri"/>
                <w:color w:val="000000"/>
                <w:sz w:val="20"/>
                <w:szCs w:val="20"/>
              </w:rPr>
              <w:t>160</w:t>
            </w:r>
          </w:p>
        </w:tc>
        <w:tc>
          <w:tcPr>
            <w:tcW w:w="1572" w:type="dxa"/>
            <w:vAlign w:val="bottom"/>
          </w:tcPr>
          <w:p w:rsidR="008D4981" w:rsidRPr="006229E5" w:rsidRDefault="008D4981" w:rsidP="00877AD8">
            <w:pPr>
              <w:spacing w:after="0" w:line="240" w:lineRule="auto"/>
              <w:jc w:val="right"/>
              <w:rPr>
                <w:rFonts w:cs="Calibri"/>
                <w:color w:val="000000"/>
                <w:sz w:val="20"/>
                <w:szCs w:val="20"/>
              </w:rPr>
            </w:pPr>
            <w:r>
              <w:rPr>
                <w:rFonts w:cs="Calibri"/>
                <w:color w:val="000000"/>
                <w:sz w:val="20"/>
                <w:szCs w:val="20"/>
              </w:rPr>
              <w:t>21</w:t>
            </w:r>
            <w:r w:rsidRPr="006229E5">
              <w:rPr>
                <w:rFonts w:cs="Calibri"/>
                <w:color w:val="000000"/>
                <w:sz w:val="20"/>
                <w:szCs w:val="20"/>
              </w:rPr>
              <w:t>%</w:t>
            </w:r>
          </w:p>
        </w:tc>
        <w:tc>
          <w:tcPr>
            <w:tcW w:w="1013"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N/A</w:t>
            </w:r>
          </w:p>
        </w:tc>
        <w:tc>
          <w:tcPr>
            <w:tcW w:w="1741" w:type="dxa"/>
            <w:vAlign w:val="bottom"/>
          </w:tcPr>
          <w:p w:rsidR="008D4981" w:rsidRPr="006229E5" w:rsidRDefault="008D4981" w:rsidP="00877AD8">
            <w:pPr>
              <w:spacing w:after="0" w:line="240" w:lineRule="auto"/>
              <w:jc w:val="right"/>
              <w:rPr>
                <w:rFonts w:cs="Calibri"/>
                <w:color w:val="000000"/>
                <w:sz w:val="20"/>
                <w:szCs w:val="20"/>
              </w:rPr>
            </w:pPr>
            <w:r w:rsidRPr="006229E5">
              <w:rPr>
                <w:rFonts w:cs="Calibri"/>
                <w:color w:val="000000"/>
                <w:sz w:val="20"/>
                <w:szCs w:val="20"/>
              </w:rPr>
              <w:t>0</w:t>
            </w:r>
          </w:p>
        </w:tc>
      </w:tr>
      <w:tr w:rsidR="008D4981" w:rsidRPr="006229E5" w:rsidTr="00153779">
        <w:trPr>
          <w:jc w:val="center"/>
        </w:trPr>
        <w:tc>
          <w:tcPr>
            <w:tcW w:w="1184" w:type="dxa"/>
          </w:tcPr>
          <w:p w:rsidR="008D4981" w:rsidRPr="006229E5" w:rsidRDefault="008D4981" w:rsidP="00877AD8">
            <w:pPr>
              <w:spacing w:after="0" w:line="240" w:lineRule="auto"/>
              <w:jc w:val="both"/>
              <w:rPr>
                <w:rFonts w:cs="Calibri"/>
                <w:b/>
                <w:color w:val="000000"/>
                <w:sz w:val="20"/>
                <w:szCs w:val="20"/>
              </w:rPr>
            </w:pPr>
            <w:r w:rsidRPr="006229E5">
              <w:rPr>
                <w:rFonts w:cs="Calibri"/>
                <w:b/>
                <w:color w:val="000000"/>
                <w:sz w:val="20"/>
                <w:szCs w:val="20"/>
              </w:rPr>
              <w:t>Total</w:t>
            </w:r>
          </w:p>
        </w:tc>
        <w:tc>
          <w:tcPr>
            <w:tcW w:w="1320" w:type="dxa"/>
            <w:vAlign w:val="bottom"/>
          </w:tcPr>
          <w:p w:rsidR="008D4981" w:rsidRPr="006229E5" w:rsidRDefault="008D4981" w:rsidP="00877AD8">
            <w:pPr>
              <w:spacing w:after="0" w:line="240" w:lineRule="auto"/>
              <w:jc w:val="right"/>
              <w:rPr>
                <w:rFonts w:cs="Calibri"/>
                <w:b/>
                <w:color w:val="000000"/>
                <w:sz w:val="20"/>
                <w:szCs w:val="20"/>
              </w:rPr>
            </w:pPr>
            <w:r w:rsidRPr="006229E5">
              <w:rPr>
                <w:rFonts w:cs="Calibri"/>
                <w:b/>
                <w:color w:val="000000"/>
                <w:sz w:val="20"/>
                <w:szCs w:val="20"/>
              </w:rPr>
              <w:t>N/A</w:t>
            </w:r>
          </w:p>
        </w:tc>
        <w:tc>
          <w:tcPr>
            <w:tcW w:w="1194" w:type="dxa"/>
            <w:vAlign w:val="bottom"/>
          </w:tcPr>
          <w:p w:rsidR="008D4981" w:rsidRPr="006229E5" w:rsidRDefault="008D4981" w:rsidP="00877AD8">
            <w:pPr>
              <w:spacing w:after="0" w:line="240" w:lineRule="auto"/>
              <w:jc w:val="right"/>
              <w:rPr>
                <w:rFonts w:cs="Calibri"/>
                <w:b/>
                <w:color w:val="000000"/>
                <w:sz w:val="20"/>
                <w:szCs w:val="20"/>
              </w:rPr>
            </w:pPr>
            <w:r>
              <w:rPr>
                <w:rFonts w:cs="Calibri"/>
                <w:b/>
                <w:color w:val="000000"/>
                <w:sz w:val="20"/>
                <w:szCs w:val="20"/>
              </w:rPr>
              <w:t>4,215</w:t>
            </w:r>
          </w:p>
        </w:tc>
        <w:tc>
          <w:tcPr>
            <w:tcW w:w="1720" w:type="dxa"/>
          </w:tcPr>
          <w:p w:rsidR="008D4981" w:rsidRPr="006229E5" w:rsidRDefault="008D4981" w:rsidP="00FB55FD">
            <w:pPr>
              <w:spacing w:after="0" w:line="240" w:lineRule="auto"/>
              <w:jc w:val="right"/>
              <w:rPr>
                <w:b/>
                <w:sz w:val="20"/>
                <w:szCs w:val="20"/>
              </w:rPr>
            </w:pPr>
            <w:r w:rsidRPr="00242ED3">
              <w:rPr>
                <w:rFonts w:cs="Calibri"/>
                <w:b/>
                <w:color w:val="000000"/>
                <w:sz w:val="20"/>
                <w:szCs w:val="20"/>
              </w:rPr>
              <w:t>2,1</w:t>
            </w:r>
            <w:r w:rsidR="00FB55FD">
              <w:rPr>
                <w:rFonts w:cs="Calibri"/>
                <w:b/>
                <w:color w:val="000000"/>
                <w:sz w:val="20"/>
                <w:szCs w:val="20"/>
              </w:rPr>
              <w:t>1</w:t>
            </w:r>
            <w:r w:rsidRPr="00242ED3">
              <w:rPr>
                <w:rFonts w:cs="Calibri"/>
                <w:b/>
                <w:color w:val="000000"/>
                <w:sz w:val="20"/>
                <w:szCs w:val="20"/>
              </w:rPr>
              <w:t>0</w:t>
            </w:r>
          </w:p>
        </w:tc>
        <w:tc>
          <w:tcPr>
            <w:tcW w:w="1572" w:type="dxa"/>
          </w:tcPr>
          <w:p w:rsidR="008D4981" w:rsidRDefault="008D4981" w:rsidP="00877AD8">
            <w:pPr>
              <w:spacing w:after="0" w:line="240" w:lineRule="auto"/>
              <w:jc w:val="right"/>
              <w:rPr>
                <w:rFonts w:cs="Calibri"/>
                <w:b/>
                <w:color w:val="000000"/>
                <w:sz w:val="20"/>
                <w:szCs w:val="20"/>
              </w:rPr>
            </w:pPr>
            <w:r w:rsidRPr="006229E5">
              <w:rPr>
                <w:rFonts w:cs="Calibri"/>
                <w:b/>
                <w:color w:val="000000"/>
                <w:sz w:val="20"/>
                <w:szCs w:val="20"/>
              </w:rPr>
              <w:t>N/A</w:t>
            </w:r>
          </w:p>
        </w:tc>
        <w:tc>
          <w:tcPr>
            <w:tcW w:w="1572" w:type="dxa"/>
          </w:tcPr>
          <w:p w:rsidR="008D4981" w:rsidRDefault="008D4981" w:rsidP="00FB55FD">
            <w:pPr>
              <w:spacing w:after="0" w:line="240" w:lineRule="auto"/>
              <w:jc w:val="right"/>
              <w:rPr>
                <w:rFonts w:cs="Calibri"/>
                <w:b/>
                <w:color w:val="000000"/>
                <w:sz w:val="20"/>
                <w:szCs w:val="20"/>
              </w:rPr>
            </w:pPr>
            <w:r>
              <w:rPr>
                <w:rFonts w:cs="Calibri"/>
                <w:b/>
                <w:color w:val="000000"/>
                <w:sz w:val="20"/>
                <w:szCs w:val="20"/>
              </w:rPr>
              <w:t>3,</w:t>
            </w:r>
            <w:r w:rsidR="00FB55FD">
              <w:rPr>
                <w:rFonts w:cs="Calibri"/>
                <w:b/>
                <w:color w:val="000000"/>
                <w:sz w:val="20"/>
                <w:szCs w:val="20"/>
              </w:rPr>
              <w:t>326</w:t>
            </w:r>
          </w:p>
        </w:tc>
        <w:tc>
          <w:tcPr>
            <w:tcW w:w="1572" w:type="dxa"/>
            <w:vAlign w:val="bottom"/>
          </w:tcPr>
          <w:p w:rsidR="008D4981" w:rsidRPr="006229E5" w:rsidRDefault="00FB55FD" w:rsidP="00877AD8">
            <w:pPr>
              <w:spacing w:after="0" w:line="240" w:lineRule="auto"/>
              <w:jc w:val="right"/>
              <w:rPr>
                <w:rFonts w:cs="Calibri"/>
                <w:b/>
                <w:color w:val="000000"/>
                <w:sz w:val="20"/>
                <w:szCs w:val="20"/>
              </w:rPr>
            </w:pPr>
            <w:r>
              <w:rPr>
                <w:rFonts w:cs="Calibri"/>
                <w:b/>
                <w:color w:val="000000"/>
                <w:sz w:val="20"/>
                <w:szCs w:val="20"/>
              </w:rPr>
              <w:t>79</w:t>
            </w:r>
            <w:r w:rsidR="008D4981" w:rsidRPr="006229E5">
              <w:rPr>
                <w:rFonts w:cs="Calibri"/>
                <w:b/>
                <w:color w:val="000000"/>
                <w:sz w:val="20"/>
                <w:szCs w:val="20"/>
              </w:rPr>
              <w:t>%</w:t>
            </w:r>
          </w:p>
        </w:tc>
        <w:tc>
          <w:tcPr>
            <w:tcW w:w="1013" w:type="dxa"/>
            <w:vAlign w:val="bottom"/>
          </w:tcPr>
          <w:p w:rsidR="008D4981" w:rsidRPr="006229E5" w:rsidRDefault="008D4981" w:rsidP="00877AD8">
            <w:pPr>
              <w:spacing w:after="0" w:line="240" w:lineRule="auto"/>
              <w:jc w:val="right"/>
              <w:rPr>
                <w:rFonts w:cs="Calibri"/>
                <w:b/>
                <w:color w:val="000000"/>
                <w:sz w:val="20"/>
                <w:szCs w:val="20"/>
              </w:rPr>
            </w:pPr>
            <w:r w:rsidRPr="006229E5">
              <w:rPr>
                <w:rFonts w:cs="Calibri"/>
                <w:b/>
                <w:color w:val="000000"/>
                <w:sz w:val="20"/>
                <w:szCs w:val="20"/>
              </w:rPr>
              <w:t>N/A</w:t>
            </w:r>
          </w:p>
        </w:tc>
        <w:tc>
          <w:tcPr>
            <w:tcW w:w="1741" w:type="dxa"/>
            <w:vAlign w:val="bottom"/>
          </w:tcPr>
          <w:p w:rsidR="008D4981" w:rsidRPr="006229E5" w:rsidRDefault="008D4981" w:rsidP="00877AD8">
            <w:pPr>
              <w:spacing w:after="0" w:line="240" w:lineRule="auto"/>
              <w:jc w:val="right"/>
              <w:rPr>
                <w:rFonts w:cs="Calibri"/>
                <w:b/>
                <w:color w:val="000000"/>
                <w:sz w:val="20"/>
                <w:szCs w:val="20"/>
              </w:rPr>
            </w:pPr>
            <w:r w:rsidRPr="006229E5">
              <w:rPr>
                <w:rFonts w:cs="Calibri"/>
                <w:b/>
                <w:color w:val="000000"/>
                <w:sz w:val="20"/>
                <w:szCs w:val="20"/>
              </w:rPr>
              <w:t>$1,000,000</w:t>
            </w:r>
          </w:p>
        </w:tc>
      </w:tr>
    </w:tbl>
    <w:p w:rsidR="0097216F" w:rsidRDefault="0097216F" w:rsidP="0097216F">
      <w:pPr>
        <w:spacing w:after="0" w:line="240" w:lineRule="auto"/>
        <w:rPr>
          <w:sz w:val="24"/>
          <w:szCs w:val="24"/>
        </w:rPr>
      </w:pPr>
    </w:p>
    <w:p w:rsidR="0097216F" w:rsidRDefault="0097216F" w:rsidP="0097216F">
      <w:pPr>
        <w:tabs>
          <w:tab w:val="left" w:pos="2070"/>
        </w:tabs>
        <w:spacing w:after="0" w:line="240" w:lineRule="auto"/>
        <w:ind w:left="1620"/>
        <w:rPr>
          <w:sz w:val="16"/>
          <w:szCs w:val="16"/>
        </w:rPr>
      </w:pPr>
      <w:r>
        <w:rPr>
          <w:sz w:val="16"/>
          <w:szCs w:val="16"/>
          <w:vertAlign w:val="superscript"/>
        </w:rPr>
        <w:t xml:space="preserve">1 </w:t>
      </w:r>
      <w:r w:rsidRPr="00962B97">
        <w:rPr>
          <w:sz w:val="16"/>
          <w:szCs w:val="16"/>
        </w:rPr>
        <w:t>The figures in Column 4 exclude</w:t>
      </w:r>
      <w:r>
        <w:rPr>
          <w:sz w:val="16"/>
          <w:szCs w:val="16"/>
        </w:rPr>
        <w:t xml:space="preserve">, for the purposes of Title I ranking and serving of schools, </w:t>
      </w:r>
      <w:r w:rsidRPr="00962B97">
        <w:rPr>
          <w:sz w:val="16"/>
          <w:szCs w:val="16"/>
        </w:rPr>
        <w:t>household application data for the non-</w:t>
      </w:r>
      <w:r w:rsidR="003D7973">
        <w:rPr>
          <w:sz w:val="16"/>
          <w:szCs w:val="16"/>
        </w:rPr>
        <w:t>CEP</w:t>
      </w:r>
      <w:r w:rsidRPr="00962B97">
        <w:rPr>
          <w:sz w:val="16"/>
          <w:szCs w:val="16"/>
        </w:rPr>
        <w:t xml:space="preserve"> schools</w:t>
      </w:r>
      <w:r>
        <w:rPr>
          <w:sz w:val="16"/>
          <w:szCs w:val="16"/>
        </w:rPr>
        <w:t xml:space="preserve"> </w:t>
      </w:r>
      <w:r w:rsidRPr="00D16328">
        <w:rPr>
          <w:sz w:val="16"/>
          <w:szCs w:val="16"/>
        </w:rPr>
        <w:t>and direct certification from programs other than SNAP for all schools</w:t>
      </w:r>
      <w:r w:rsidRPr="00962B97">
        <w:rPr>
          <w:sz w:val="16"/>
          <w:szCs w:val="16"/>
        </w:rPr>
        <w:t>.  (</w:t>
      </w:r>
      <w:r w:rsidR="003D7973">
        <w:rPr>
          <w:sz w:val="16"/>
          <w:szCs w:val="16"/>
        </w:rPr>
        <w:t>CEP</w:t>
      </w:r>
      <w:r w:rsidRPr="00962B97">
        <w:rPr>
          <w:sz w:val="16"/>
          <w:szCs w:val="16"/>
        </w:rPr>
        <w:t xml:space="preserve"> schools are prohibited from collecting household applications.)</w:t>
      </w:r>
    </w:p>
    <w:p w:rsidR="008D4981" w:rsidRDefault="008D4981" w:rsidP="0097216F">
      <w:pPr>
        <w:tabs>
          <w:tab w:val="left" w:pos="2070"/>
        </w:tabs>
        <w:spacing w:after="0" w:line="240" w:lineRule="auto"/>
        <w:ind w:left="1620"/>
        <w:rPr>
          <w:sz w:val="16"/>
          <w:szCs w:val="16"/>
        </w:rPr>
      </w:pPr>
      <w:r>
        <w:rPr>
          <w:sz w:val="16"/>
          <w:szCs w:val="16"/>
          <w:vertAlign w:val="superscript"/>
        </w:rPr>
        <w:t>2</w:t>
      </w:r>
      <w:r>
        <w:rPr>
          <w:rFonts w:cs="Calibri"/>
          <w:color w:val="000000"/>
          <w:sz w:val="16"/>
          <w:szCs w:val="16"/>
        </w:rPr>
        <w:t>T</w:t>
      </w:r>
      <w:r w:rsidRPr="002F6771">
        <w:rPr>
          <w:rFonts w:cs="Calibri"/>
          <w:color w:val="000000"/>
          <w:sz w:val="16"/>
          <w:szCs w:val="16"/>
        </w:rPr>
        <w:t xml:space="preserve">he Column </w:t>
      </w:r>
      <w:r>
        <w:rPr>
          <w:rFonts w:cs="Calibri"/>
          <w:color w:val="000000"/>
          <w:sz w:val="16"/>
          <w:szCs w:val="16"/>
        </w:rPr>
        <w:t>6</w:t>
      </w:r>
      <w:r w:rsidRPr="002F6771">
        <w:rPr>
          <w:rFonts w:cs="Calibri"/>
          <w:color w:val="000000"/>
          <w:sz w:val="16"/>
          <w:szCs w:val="16"/>
        </w:rPr>
        <w:t xml:space="preserve"> figure is equal to the lesser of (</w:t>
      </w:r>
      <w:r>
        <w:rPr>
          <w:rFonts w:cs="Calibri"/>
          <w:color w:val="000000"/>
          <w:sz w:val="16"/>
          <w:szCs w:val="16"/>
        </w:rPr>
        <w:t>a</w:t>
      </w:r>
      <w:r w:rsidRPr="002F6771">
        <w:rPr>
          <w:rFonts w:cs="Calibri"/>
          <w:color w:val="000000"/>
          <w:sz w:val="16"/>
          <w:szCs w:val="16"/>
        </w:rPr>
        <w:t xml:space="preserve">) Column 4 x Column </w:t>
      </w:r>
      <w:r>
        <w:rPr>
          <w:rFonts w:cs="Calibri"/>
          <w:color w:val="000000"/>
          <w:sz w:val="16"/>
          <w:szCs w:val="16"/>
        </w:rPr>
        <w:t>5</w:t>
      </w:r>
      <w:r w:rsidRPr="002F6771">
        <w:rPr>
          <w:rFonts w:cs="Calibri"/>
          <w:color w:val="000000"/>
          <w:sz w:val="16"/>
          <w:szCs w:val="16"/>
        </w:rPr>
        <w:t xml:space="preserve"> or (</w:t>
      </w:r>
      <w:r>
        <w:rPr>
          <w:rFonts w:cs="Calibri"/>
          <w:color w:val="000000"/>
          <w:sz w:val="16"/>
          <w:szCs w:val="16"/>
        </w:rPr>
        <w:t>b</w:t>
      </w:r>
      <w:r w:rsidRPr="002F6771">
        <w:rPr>
          <w:rFonts w:cs="Calibri"/>
          <w:color w:val="000000"/>
          <w:sz w:val="16"/>
          <w:szCs w:val="16"/>
        </w:rPr>
        <w:t>) Column 3.  In other words, this number may not exceed the school’s total enrollment.</w:t>
      </w:r>
    </w:p>
    <w:p w:rsidR="008D4981" w:rsidRDefault="008D4981" w:rsidP="008D4981">
      <w:pPr>
        <w:tabs>
          <w:tab w:val="left" w:pos="2070"/>
        </w:tabs>
        <w:spacing w:after="0" w:line="240" w:lineRule="auto"/>
        <w:ind w:left="1620"/>
        <w:rPr>
          <w:sz w:val="16"/>
          <w:szCs w:val="16"/>
        </w:rPr>
      </w:pPr>
      <w:r>
        <w:rPr>
          <w:sz w:val="16"/>
          <w:szCs w:val="16"/>
          <w:vertAlign w:val="superscript"/>
        </w:rPr>
        <w:t>3</w:t>
      </w:r>
      <w:r w:rsidR="0097216F">
        <w:rPr>
          <w:sz w:val="16"/>
          <w:szCs w:val="16"/>
          <w:vertAlign w:val="superscript"/>
        </w:rPr>
        <w:t xml:space="preserve"> </w:t>
      </w:r>
      <w:r w:rsidR="0097216F">
        <w:rPr>
          <w:sz w:val="16"/>
          <w:szCs w:val="16"/>
        </w:rPr>
        <w:t xml:space="preserve">Column </w:t>
      </w:r>
      <w:r>
        <w:rPr>
          <w:sz w:val="16"/>
          <w:szCs w:val="16"/>
        </w:rPr>
        <w:t>6</w:t>
      </w:r>
      <w:r w:rsidR="0097216F">
        <w:rPr>
          <w:sz w:val="16"/>
          <w:szCs w:val="16"/>
        </w:rPr>
        <w:t xml:space="preserve"> / Column 3.</w:t>
      </w:r>
    </w:p>
    <w:p w:rsidR="001C6B0F" w:rsidRDefault="001C6B0F" w:rsidP="001C6B0F">
      <w:pPr>
        <w:tabs>
          <w:tab w:val="left" w:pos="2070"/>
        </w:tabs>
        <w:spacing w:after="0" w:line="240" w:lineRule="auto"/>
        <w:ind w:left="1620"/>
        <w:rPr>
          <w:sz w:val="16"/>
          <w:szCs w:val="16"/>
        </w:rPr>
      </w:pPr>
      <w:r>
        <w:rPr>
          <w:sz w:val="16"/>
          <w:szCs w:val="16"/>
          <w:vertAlign w:val="superscript"/>
        </w:rPr>
        <w:t xml:space="preserve">4 </w:t>
      </w:r>
      <w:r>
        <w:rPr>
          <w:sz w:val="16"/>
          <w:szCs w:val="16"/>
        </w:rPr>
        <w:t>As described in Question 20, i</w:t>
      </w:r>
      <w:r w:rsidRPr="001C6B0F">
        <w:rPr>
          <w:sz w:val="16"/>
          <w:szCs w:val="16"/>
        </w:rPr>
        <w:t>f the application of the 1.6 multiplier results in more than one school at 100 percent poverty</w:t>
      </w:r>
      <w:r w:rsidR="006C1EE9">
        <w:rPr>
          <w:sz w:val="16"/>
          <w:szCs w:val="16"/>
        </w:rPr>
        <w:t>,</w:t>
      </w:r>
      <w:r w:rsidRPr="001C6B0F">
        <w:rPr>
          <w:sz w:val="16"/>
          <w:szCs w:val="16"/>
        </w:rPr>
        <w:t xml:space="preserve"> </w:t>
      </w:r>
      <w:r>
        <w:rPr>
          <w:sz w:val="16"/>
          <w:szCs w:val="16"/>
        </w:rPr>
        <w:t>an LEA may allocate a higher per-pupil amount to the school with the larger percentage of directly certified students.</w:t>
      </w:r>
    </w:p>
    <w:p w:rsidR="00997A69" w:rsidRPr="00962B97" w:rsidRDefault="001C6B0F" w:rsidP="00153779">
      <w:pPr>
        <w:spacing w:after="0" w:line="240" w:lineRule="auto"/>
        <w:ind w:left="1627"/>
        <w:rPr>
          <w:sz w:val="16"/>
          <w:szCs w:val="16"/>
        </w:rPr>
      </w:pPr>
      <w:r>
        <w:rPr>
          <w:sz w:val="16"/>
          <w:szCs w:val="16"/>
          <w:vertAlign w:val="superscript"/>
        </w:rPr>
        <w:t>5</w:t>
      </w:r>
      <w:r w:rsidR="0097216F">
        <w:rPr>
          <w:sz w:val="16"/>
          <w:szCs w:val="16"/>
          <w:vertAlign w:val="superscript"/>
        </w:rPr>
        <w:t xml:space="preserve"> </w:t>
      </w:r>
      <w:r w:rsidR="0097216F">
        <w:rPr>
          <w:sz w:val="16"/>
          <w:szCs w:val="16"/>
        </w:rPr>
        <w:t xml:space="preserve">Column </w:t>
      </w:r>
      <w:r w:rsidR="008D4981">
        <w:rPr>
          <w:sz w:val="16"/>
          <w:szCs w:val="16"/>
        </w:rPr>
        <w:t>6</w:t>
      </w:r>
      <w:r w:rsidR="0097216F">
        <w:rPr>
          <w:sz w:val="16"/>
          <w:szCs w:val="16"/>
        </w:rPr>
        <w:t xml:space="preserve"> x Column </w:t>
      </w:r>
      <w:r w:rsidR="008D4981">
        <w:rPr>
          <w:sz w:val="16"/>
          <w:szCs w:val="16"/>
        </w:rPr>
        <w:t>8</w:t>
      </w:r>
      <w:r w:rsidR="0097216F">
        <w:rPr>
          <w:sz w:val="16"/>
          <w:szCs w:val="16"/>
        </w:rPr>
        <w:t xml:space="preserve">.  </w:t>
      </w:r>
      <w:r w:rsidR="0097216F" w:rsidRPr="00377486">
        <w:rPr>
          <w:sz w:val="16"/>
          <w:szCs w:val="16"/>
        </w:rPr>
        <w:t xml:space="preserve">(Note: </w:t>
      </w:r>
      <w:r w:rsidR="00D13503">
        <w:rPr>
          <w:sz w:val="16"/>
          <w:szCs w:val="16"/>
        </w:rPr>
        <w:t xml:space="preserve">Unlike </w:t>
      </w:r>
      <w:r w:rsidR="000519BF">
        <w:rPr>
          <w:sz w:val="16"/>
          <w:szCs w:val="16"/>
        </w:rPr>
        <w:t xml:space="preserve">in </w:t>
      </w:r>
      <w:r w:rsidR="00D13503">
        <w:rPr>
          <w:sz w:val="16"/>
          <w:szCs w:val="16"/>
        </w:rPr>
        <w:t xml:space="preserve">Example B, </w:t>
      </w:r>
      <w:r w:rsidR="007071B5">
        <w:rPr>
          <w:sz w:val="16"/>
          <w:szCs w:val="16"/>
        </w:rPr>
        <w:t xml:space="preserve">Harding is </w:t>
      </w:r>
      <w:r w:rsidR="00D13503">
        <w:rPr>
          <w:sz w:val="16"/>
          <w:szCs w:val="16"/>
        </w:rPr>
        <w:t xml:space="preserve">now </w:t>
      </w:r>
      <w:r w:rsidR="007071B5">
        <w:rPr>
          <w:sz w:val="16"/>
          <w:szCs w:val="16"/>
        </w:rPr>
        <w:t xml:space="preserve">eligible for Title I funds because its poverty percentage is at least 35 percent; </w:t>
      </w:r>
      <w:r w:rsidR="0097216F">
        <w:rPr>
          <w:sz w:val="16"/>
          <w:szCs w:val="16"/>
        </w:rPr>
        <w:t>Coolidge</w:t>
      </w:r>
      <w:r w:rsidR="0097216F" w:rsidRPr="00377486">
        <w:rPr>
          <w:sz w:val="16"/>
          <w:szCs w:val="16"/>
        </w:rPr>
        <w:t xml:space="preserve"> </w:t>
      </w:r>
      <w:r w:rsidR="0090486D">
        <w:rPr>
          <w:sz w:val="16"/>
          <w:szCs w:val="16"/>
        </w:rPr>
        <w:t>remains</w:t>
      </w:r>
      <w:r w:rsidR="0090486D" w:rsidRPr="00377486">
        <w:rPr>
          <w:sz w:val="16"/>
          <w:szCs w:val="16"/>
        </w:rPr>
        <w:t xml:space="preserve"> </w:t>
      </w:r>
      <w:r w:rsidR="0097216F" w:rsidRPr="00377486">
        <w:rPr>
          <w:sz w:val="16"/>
          <w:szCs w:val="16"/>
        </w:rPr>
        <w:t>ineligible for Title I funds because its poverty percentage is below both the LEA’s average</w:t>
      </w:r>
      <w:r w:rsidR="00327EEE">
        <w:rPr>
          <w:sz w:val="16"/>
          <w:szCs w:val="16"/>
        </w:rPr>
        <w:t xml:space="preserve"> (Column 7 total row)</w:t>
      </w:r>
      <w:r w:rsidR="0097216F" w:rsidRPr="00377486">
        <w:rPr>
          <w:sz w:val="16"/>
          <w:szCs w:val="16"/>
        </w:rPr>
        <w:t xml:space="preserve"> and 35 percent.)</w:t>
      </w:r>
    </w:p>
    <w:p w:rsidR="00997A69" w:rsidRDefault="00997A69" w:rsidP="00826C4F">
      <w:pPr>
        <w:spacing w:after="0" w:line="240" w:lineRule="auto"/>
        <w:rPr>
          <w:sz w:val="24"/>
          <w:szCs w:val="24"/>
        </w:rPr>
      </w:pPr>
    </w:p>
    <w:p w:rsidR="00997A69" w:rsidRPr="009C6EAC" w:rsidRDefault="00997A69" w:rsidP="009C6EAC">
      <w:pPr>
        <w:spacing w:after="0" w:line="240" w:lineRule="auto"/>
        <w:ind w:left="-630" w:right="-630"/>
        <w:rPr>
          <w:rFonts w:cs="Calibri"/>
          <w:color w:val="000000"/>
          <w:sz w:val="16"/>
          <w:szCs w:val="16"/>
        </w:rPr>
        <w:sectPr w:rsidR="00997A69" w:rsidRPr="009C6EAC" w:rsidSect="00F93BBF">
          <w:pgSz w:w="15840" w:h="12240" w:orient="landscape"/>
          <w:pgMar w:top="1440" w:right="1440" w:bottom="1440" w:left="1440" w:header="720" w:footer="288" w:gutter="0"/>
          <w:cols w:space="720"/>
          <w:docGrid w:linePitch="360"/>
        </w:sectPr>
      </w:pPr>
    </w:p>
    <w:p w:rsidR="00997A69" w:rsidRPr="00D65D2C" w:rsidRDefault="00997A69" w:rsidP="00AB0BCF">
      <w:pPr>
        <w:spacing w:after="0" w:line="240" w:lineRule="auto"/>
      </w:pPr>
    </w:p>
    <w:p w:rsidR="00997A69" w:rsidRDefault="00997A69" w:rsidP="00AB0BCF">
      <w:pPr>
        <w:pStyle w:val="Heading2"/>
        <w:numPr>
          <w:ilvl w:val="0"/>
          <w:numId w:val="8"/>
        </w:numPr>
        <w:ind w:left="360"/>
        <w:rPr>
          <w:b w:val="0"/>
        </w:rPr>
      </w:pPr>
      <w:bookmarkStart w:id="104" w:name="_Toc414355055"/>
      <w:r>
        <w:t xml:space="preserve">If an LEA has all </w:t>
      </w:r>
      <w:r w:rsidR="003D7973">
        <w:t>CEP</w:t>
      </w:r>
      <w:r>
        <w:t xml:space="preserve"> schools, does it need to apply the 1.6 multiplier for Title I ranking and allocation purposes?</w:t>
      </w:r>
      <w:bookmarkEnd w:id="104"/>
    </w:p>
    <w:p w:rsidR="00997A69" w:rsidRDefault="00997A69" w:rsidP="00AB0BCF">
      <w:pPr>
        <w:spacing w:after="0" w:line="240" w:lineRule="auto"/>
      </w:pPr>
    </w:p>
    <w:p w:rsidR="00997A69" w:rsidRPr="003B28E8" w:rsidRDefault="00997A69" w:rsidP="00AB0BCF">
      <w:pPr>
        <w:spacing w:after="0" w:line="240" w:lineRule="auto"/>
        <w:rPr>
          <w:sz w:val="24"/>
          <w:szCs w:val="24"/>
        </w:rPr>
      </w:pPr>
      <w:r>
        <w:rPr>
          <w:sz w:val="24"/>
          <w:szCs w:val="24"/>
        </w:rPr>
        <w:t xml:space="preserve">No.  If an LEA has all </w:t>
      </w:r>
      <w:r w:rsidR="003D7973">
        <w:rPr>
          <w:sz w:val="24"/>
          <w:szCs w:val="24"/>
        </w:rPr>
        <w:t>CEP</w:t>
      </w:r>
      <w:r>
        <w:rPr>
          <w:sz w:val="24"/>
          <w:szCs w:val="24"/>
        </w:rPr>
        <w:t xml:space="preserve"> schools, the LEA may rank its schools by the percentage of directly certified students in each school, even though the multiplier is used to determine the USDA reimbursement amount.</w:t>
      </w:r>
    </w:p>
    <w:p w:rsidR="00997A69" w:rsidRPr="003B28E8" w:rsidRDefault="00997A69" w:rsidP="00AB0BCF">
      <w:pPr>
        <w:spacing w:after="0" w:line="240" w:lineRule="auto"/>
      </w:pPr>
    </w:p>
    <w:p w:rsidR="00997A69" w:rsidRDefault="00997A69" w:rsidP="00DE2E26">
      <w:pPr>
        <w:pStyle w:val="Heading2"/>
        <w:numPr>
          <w:ilvl w:val="0"/>
          <w:numId w:val="8"/>
        </w:numPr>
        <w:ind w:left="360"/>
        <w:rPr>
          <w:b w:val="0"/>
        </w:rPr>
      </w:pPr>
      <w:bookmarkStart w:id="105" w:name="_Toc414355056"/>
      <w:r w:rsidRPr="0050236B">
        <w:t xml:space="preserve">If </w:t>
      </w:r>
      <w:r>
        <w:t xml:space="preserve">the </w:t>
      </w:r>
      <w:r w:rsidRPr="0050236B">
        <w:t xml:space="preserve">application of the </w:t>
      </w:r>
      <w:r>
        <w:t>1.6</w:t>
      </w:r>
      <w:r w:rsidRPr="0050236B">
        <w:t xml:space="preserve"> multiplier results in more than one school at 100 percent poverty, must an LEA allocate the same per-pupil amount to each of these schools?</w:t>
      </w:r>
      <w:bookmarkEnd w:id="105"/>
    </w:p>
    <w:p w:rsidR="00997A69" w:rsidRDefault="00997A69" w:rsidP="001C766E">
      <w:pPr>
        <w:spacing w:after="0" w:line="240" w:lineRule="auto"/>
        <w:rPr>
          <w:sz w:val="24"/>
          <w:szCs w:val="24"/>
        </w:rPr>
      </w:pPr>
    </w:p>
    <w:p w:rsidR="00997A69" w:rsidRDefault="00997A69" w:rsidP="00106934">
      <w:pPr>
        <w:spacing w:after="0" w:line="240" w:lineRule="auto"/>
        <w:rPr>
          <w:sz w:val="24"/>
          <w:szCs w:val="24"/>
        </w:rPr>
      </w:pPr>
      <w:r>
        <w:rPr>
          <w:sz w:val="24"/>
          <w:szCs w:val="24"/>
        </w:rPr>
        <w:t xml:space="preserve">Not </w:t>
      </w:r>
      <w:r w:rsidRPr="00097DA7">
        <w:rPr>
          <w:sz w:val="24"/>
          <w:szCs w:val="24"/>
        </w:rPr>
        <w:t>necessarily.  At its discretion, an LEA may take into consideration the direct certification poverty p</w:t>
      </w:r>
      <w:r>
        <w:rPr>
          <w:sz w:val="24"/>
          <w:szCs w:val="24"/>
        </w:rPr>
        <w:t xml:space="preserve">ercentage of each of these schools.  </w:t>
      </w:r>
    </w:p>
    <w:p w:rsidR="00997A69" w:rsidRDefault="00997A69" w:rsidP="00106934">
      <w:pPr>
        <w:spacing w:after="0" w:line="240" w:lineRule="auto"/>
        <w:rPr>
          <w:sz w:val="24"/>
          <w:szCs w:val="24"/>
        </w:rPr>
      </w:pPr>
    </w:p>
    <w:p w:rsidR="00997A69" w:rsidRDefault="00997A69" w:rsidP="00106934">
      <w:pPr>
        <w:spacing w:after="0" w:line="240" w:lineRule="auto"/>
        <w:rPr>
          <w:sz w:val="24"/>
          <w:szCs w:val="24"/>
        </w:rPr>
      </w:pPr>
      <w:r>
        <w:rPr>
          <w:sz w:val="24"/>
          <w:szCs w:val="24"/>
        </w:rPr>
        <w:t xml:space="preserve">Generally, an LEA </w:t>
      </w:r>
      <w:r w:rsidRPr="00E27185">
        <w:rPr>
          <w:sz w:val="24"/>
          <w:szCs w:val="24"/>
        </w:rPr>
        <w:t xml:space="preserve">determines </w:t>
      </w:r>
      <w:r>
        <w:rPr>
          <w:sz w:val="24"/>
          <w:szCs w:val="24"/>
        </w:rPr>
        <w:t>e</w:t>
      </w:r>
      <w:r w:rsidRPr="00E27185">
        <w:rPr>
          <w:sz w:val="24"/>
          <w:szCs w:val="24"/>
        </w:rPr>
        <w:t>a</w:t>
      </w:r>
      <w:r>
        <w:rPr>
          <w:sz w:val="24"/>
          <w:szCs w:val="24"/>
        </w:rPr>
        <w:t>ch</w:t>
      </w:r>
      <w:r w:rsidRPr="00E27185">
        <w:rPr>
          <w:sz w:val="24"/>
          <w:szCs w:val="24"/>
        </w:rPr>
        <w:t xml:space="preserve"> Title I school’s allocation by multiplying the number of low-income students in the school by a per-student amount established by the </w:t>
      </w:r>
      <w:r>
        <w:rPr>
          <w:sz w:val="24"/>
          <w:szCs w:val="24"/>
        </w:rPr>
        <w:t>LEA</w:t>
      </w:r>
      <w:r w:rsidRPr="00E27185">
        <w:rPr>
          <w:sz w:val="24"/>
          <w:szCs w:val="24"/>
        </w:rPr>
        <w:t xml:space="preserve">.  </w:t>
      </w:r>
      <w:r>
        <w:rPr>
          <w:sz w:val="24"/>
          <w:szCs w:val="24"/>
        </w:rPr>
        <w:t xml:space="preserve">Under 34 C.F.R. § </w:t>
      </w:r>
      <w:r w:rsidRPr="00E27185">
        <w:rPr>
          <w:sz w:val="24"/>
          <w:szCs w:val="24"/>
        </w:rPr>
        <w:t>200.78(c)</w:t>
      </w:r>
      <w:r>
        <w:rPr>
          <w:sz w:val="24"/>
          <w:szCs w:val="24"/>
        </w:rPr>
        <w:t>,</w:t>
      </w:r>
      <w:r w:rsidRPr="00E27185">
        <w:rPr>
          <w:sz w:val="24"/>
          <w:szCs w:val="24"/>
        </w:rPr>
        <w:t xml:space="preserve"> </w:t>
      </w:r>
      <w:r>
        <w:rPr>
          <w:sz w:val="24"/>
          <w:szCs w:val="24"/>
        </w:rPr>
        <w:t>an LEA</w:t>
      </w:r>
      <w:r w:rsidRPr="00E27185">
        <w:rPr>
          <w:sz w:val="24"/>
          <w:szCs w:val="24"/>
        </w:rPr>
        <w:t xml:space="preserve"> is not required to allocate the same per-pupil amount to each participating school, as long as </w:t>
      </w:r>
      <w:r>
        <w:rPr>
          <w:sz w:val="24"/>
          <w:szCs w:val="24"/>
        </w:rPr>
        <w:t>it</w:t>
      </w:r>
      <w:r w:rsidRPr="00E27185">
        <w:rPr>
          <w:sz w:val="24"/>
          <w:szCs w:val="24"/>
        </w:rPr>
        <w:t xml:space="preserve"> allocates higher per-pupil amounts for schools with higher concentrations of poverty than to schools with lower concentrations of poverty.  </w:t>
      </w:r>
      <w:r>
        <w:rPr>
          <w:sz w:val="24"/>
          <w:szCs w:val="24"/>
        </w:rPr>
        <w:t>I</w:t>
      </w:r>
      <w:r w:rsidRPr="00E27185">
        <w:rPr>
          <w:sz w:val="24"/>
          <w:szCs w:val="24"/>
        </w:rPr>
        <w:t xml:space="preserve">n the case of </w:t>
      </w:r>
      <w:r>
        <w:rPr>
          <w:sz w:val="24"/>
          <w:szCs w:val="24"/>
        </w:rPr>
        <w:t>an LEA</w:t>
      </w:r>
      <w:r w:rsidRPr="00E27185">
        <w:rPr>
          <w:sz w:val="24"/>
          <w:szCs w:val="24"/>
        </w:rPr>
        <w:t xml:space="preserve"> that has more than one </w:t>
      </w:r>
      <w:r w:rsidR="003D7973">
        <w:rPr>
          <w:sz w:val="24"/>
          <w:szCs w:val="24"/>
        </w:rPr>
        <w:t>CEP</w:t>
      </w:r>
      <w:r w:rsidRPr="00E27185">
        <w:rPr>
          <w:sz w:val="24"/>
          <w:szCs w:val="24"/>
        </w:rPr>
        <w:t xml:space="preserve"> school at 100 percent </w:t>
      </w:r>
      <w:r>
        <w:rPr>
          <w:sz w:val="24"/>
          <w:szCs w:val="24"/>
        </w:rPr>
        <w:t>poverty by virtue of the 1.6 multiplier</w:t>
      </w:r>
      <w:r w:rsidRPr="00E27185">
        <w:rPr>
          <w:sz w:val="24"/>
          <w:szCs w:val="24"/>
        </w:rPr>
        <w:t xml:space="preserve"> </w:t>
      </w:r>
      <w:r>
        <w:rPr>
          <w:sz w:val="24"/>
          <w:szCs w:val="24"/>
        </w:rPr>
        <w:t>but the schools have</w:t>
      </w:r>
      <w:r w:rsidRPr="00E27185">
        <w:rPr>
          <w:sz w:val="24"/>
          <w:szCs w:val="24"/>
        </w:rPr>
        <w:t xml:space="preserve"> different direct certification percentages, the </w:t>
      </w:r>
      <w:r>
        <w:rPr>
          <w:sz w:val="24"/>
          <w:szCs w:val="24"/>
        </w:rPr>
        <w:t>LEA</w:t>
      </w:r>
      <w:r w:rsidRPr="00E27185">
        <w:rPr>
          <w:sz w:val="24"/>
          <w:szCs w:val="24"/>
        </w:rPr>
        <w:t xml:space="preserve"> may </w:t>
      </w:r>
      <w:r>
        <w:rPr>
          <w:sz w:val="24"/>
          <w:szCs w:val="24"/>
        </w:rPr>
        <w:t>allocate</w:t>
      </w:r>
      <w:r w:rsidRPr="00E27185">
        <w:rPr>
          <w:sz w:val="24"/>
          <w:szCs w:val="24"/>
        </w:rPr>
        <w:t xml:space="preserve"> a </w:t>
      </w:r>
      <w:r>
        <w:rPr>
          <w:sz w:val="24"/>
          <w:szCs w:val="24"/>
        </w:rPr>
        <w:t>greater</w:t>
      </w:r>
      <w:r w:rsidRPr="00E27185">
        <w:rPr>
          <w:sz w:val="24"/>
          <w:szCs w:val="24"/>
        </w:rPr>
        <w:t xml:space="preserve"> per-pupil amount for the 100 percent school with the highe</w:t>
      </w:r>
      <w:r>
        <w:rPr>
          <w:sz w:val="24"/>
          <w:szCs w:val="24"/>
        </w:rPr>
        <w:t>r</w:t>
      </w:r>
      <w:r w:rsidRPr="00E27185">
        <w:rPr>
          <w:sz w:val="24"/>
          <w:szCs w:val="24"/>
        </w:rPr>
        <w:t xml:space="preserve"> percentage of directly certified students because the direct certification data indicate that th</w:t>
      </w:r>
      <w:r>
        <w:rPr>
          <w:sz w:val="24"/>
          <w:szCs w:val="24"/>
        </w:rPr>
        <w:t>e</w:t>
      </w:r>
      <w:r w:rsidRPr="00E27185">
        <w:rPr>
          <w:sz w:val="24"/>
          <w:szCs w:val="24"/>
        </w:rPr>
        <w:t xml:space="preserve"> school has </w:t>
      </w:r>
      <w:r>
        <w:rPr>
          <w:sz w:val="24"/>
          <w:szCs w:val="24"/>
        </w:rPr>
        <w:t>a</w:t>
      </w:r>
      <w:r w:rsidRPr="00E27185">
        <w:rPr>
          <w:sz w:val="24"/>
          <w:szCs w:val="24"/>
        </w:rPr>
        <w:t xml:space="preserve"> highe</w:t>
      </w:r>
      <w:r>
        <w:rPr>
          <w:sz w:val="24"/>
          <w:szCs w:val="24"/>
        </w:rPr>
        <w:t>r</w:t>
      </w:r>
      <w:r w:rsidRPr="00E27185">
        <w:rPr>
          <w:sz w:val="24"/>
          <w:szCs w:val="24"/>
        </w:rPr>
        <w:t xml:space="preserve"> concentration of poverty th</w:t>
      </w:r>
      <w:r>
        <w:rPr>
          <w:sz w:val="24"/>
          <w:szCs w:val="24"/>
        </w:rPr>
        <w:t>an the other 100 percent schools</w:t>
      </w:r>
      <w:r w:rsidRPr="00E27185">
        <w:rPr>
          <w:sz w:val="24"/>
          <w:szCs w:val="24"/>
        </w:rPr>
        <w:t xml:space="preserve">.  In other words, the direct certification data may be used to differentiate among multiple </w:t>
      </w:r>
      <w:r w:rsidR="003D7973">
        <w:rPr>
          <w:sz w:val="24"/>
          <w:szCs w:val="24"/>
        </w:rPr>
        <w:t>CEP</w:t>
      </w:r>
      <w:r w:rsidRPr="00E27185">
        <w:rPr>
          <w:sz w:val="24"/>
          <w:szCs w:val="24"/>
        </w:rPr>
        <w:t xml:space="preserve"> schools with a 100 percent </w:t>
      </w:r>
      <w:r>
        <w:rPr>
          <w:sz w:val="24"/>
          <w:szCs w:val="24"/>
        </w:rPr>
        <w:t>poverty</w:t>
      </w:r>
      <w:r w:rsidRPr="00E27185">
        <w:rPr>
          <w:sz w:val="24"/>
          <w:szCs w:val="24"/>
        </w:rPr>
        <w:t xml:space="preserve"> rate.  </w:t>
      </w:r>
      <w:r>
        <w:rPr>
          <w:sz w:val="24"/>
          <w:szCs w:val="24"/>
        </w:rPr>
        <w:t xml:space="preserve">In order to differentiate among these schools based on the most current data, an LEA may wish to use annual direct certification data and update the rankings as appropriate even if the data are not updated during the four-year period for </w:t>
      </w:r>
      <w:r w:rsidR="003D7973">
        <w:rPr>
          <w:sz w:val="24"/>
          <w:szCs w:val="24"/>
        </w:rPr>
        <w:t>CEP</w:t>
      </w:r>
      <w:r>
        <w:rPr>
          <w:sz w:val="24"/>
          <w:szCs w:val="24"/>
        </w:rPr>
        <w:t xml:space="preserve"> purposes.  </w:t>
      </w:r>
    </w:p>
    <w:p w:rsidR="00997A69" w:rsidRDefault="00997A69" w:rsidP="00106934">
      <w:pPr>
        <w:spacing w:after="0" w:line="240" w:lineRule="auto"/>
        <w:rPr>
          <w:sz w:val="24"/>
          <w:szCs w:val="24"/>
        </w:rPr>
      </w:pPr>
    </w:p>
    <w:p w:rsidR="00997A69" w:rsidRDefault="00997A69" w:rsidP="00106934">
      <w:pPr>
        <w:spacing w:after="0" w:line="240" w:lineRule="auto"/>
        <w:rPr>
          <w:sz w:val="24"/>
          <w:szCs w:val="24"/>
        </w:rPr>
      </w:pPr>
      <w:r>
        <w:rPr>
          <w:sz w:val="24"/>
          <w:szCs w:val="24"/>
        </w:rPr>
        <w:t>T</w:t>
      </w:r>
      <w:r w:rsidRPr="00E27185">
        <w:rPr>
          <w:sz w:val="24"/>
          <w:szCs w:val="24"/>
        </w:rPr>
        <w:t xml:space="preserve">o ensure that it complies with </w:t>
      </w:r>
      <w:r>
        <w:rPr>
          <w:sz w:val="24"/>
          <w:szCs w:val="24"/>
        </w:rPr>
        <w:t xml:space="preserve">34 C.F.R. § </w:t>
      </w:r>
      <w:r w:rsidRPr="00E27185">
        <w:rPr>
          <w:sz w:val="24"/>
          <w:szCs w:val="24"/>
        </w:rPr>
        <w:t xml:space="preserve">200.78(c), </w:t>
      </w:r>
      <w:r>
        <w:rPr>
          <w:sz w:val="24"/>
          <w:szCs w:val="24"/>
        </w:rPr>
        <w:t>an</w:t>
      </w:r>
      <w:r w:rsidRPr="00E27185">
        <w:rPr>
          <w:sz w:val="24"/>
          <w:szCs w:val="24"/>
        </w:rPr>
        <w:t xml:space="preserve"> </w:t>
      </w:r>
      <w:r>
        <w:rPr>
          <w:sz w:val="24"/>
          <w:szCs w:val="24"/>
        </w:rPr>
        <w:t>LEA</w:t>
      </w:r>
      <w:r w:rsidRPr="00E27185">
        <w:rPr>
          <w:sz w:val="24"/>
          <w:szCs w:val="24"/>
        </w:rPr>
        <w:t xml:space="preserve"> </w:t>
      </w:r>
      <w:r>
        <w:rPr>
          <w:sz w:val="24"/>
          <w:szCs w:val="24"/>
        </w:rPr>
        <w:t>must</w:t>
      </w:r>
      <w:r w:rsidRPr="00E27185">
        <w:rPr>
          <w:sz w:val="24"/>
          <w:szCs w:val="24"/>
        </w:rPr>
        <w:t xml:space="preserve"> make sure that the 100 percent </w:t>
      </w:r>
      <w:r w:rsidR="003D7973">
        <w:rPr>
          <w:sz w:val="24"/>
          <w:szCs w:val="24"/>
        </w:rPr>
        <w:t>CEP</w:t>
      </w:r>
      <w:r>
        <w:rPr>
          <w:sz w:val="24"/>
          <w:szCs w:val="24"/>
        </w:rPr>
        <w:t xml:space="preserve"> </w:t>
      </w:r>
      <w:r w:rsidRPr="00E27185">
        <w:rPr>
          <w:sz w:val="24"/>
          <w:szCs w:val="24"/>
        </w:rPr>
        <w:t xml:space="preserve">schools receive at least as much per pupil as </w:t>
      </w:r>
      <w:r w:rsidR="003D7973">
        <w:rPr>
          <w:sz w:val="24"/>
          <w:szCs w:val="24"/>
        </w:rPr>
        <w:t>CEP</w:t>
      </w:r>
      <w:r w:rsidRPr="00E27185">
        <w:rPr>
          <w:sz w:val="24"/>
          <w:szCs w:val="24"/>
        </w:rPr>
        <w:t xml:space="preserve"> and non-</w:t>
      </w:r>
      <w:r w:rsidR="003D7973">
        <w:rPr>
          <w:sz w:val="24"/>
          <w:szCs w:val="24"/>
        </w:rPr>
        <w:t>CEP</w:t>
      </w:r>
      <w:r w:rsidRPr="00E27185">
        <w:rPr>
          <w:sz w:val="24"/>
          <w:szCs w:val="24"/>
        </w:rPr>
        <w:t xml:space="preserve"> schools with poverty rates</w:t>
      </w:r>
      <w:r>
        <w:rPr>
          <w:sz w:val="24"/>
          <w:szCs w:val="24"/>
        </w:rPr>
        <w:t xml:space="preserve"> below 100 percent</w:t>
      </w:r>
      <w:r w:rsidRPr="00E27185">
        <w:rPr>
          <w:sz w:val="24"/>
          <w:szCs w:val="24"/>
        </w:rPr>
        <w:t>.  For instance, a non-</w:t>
      </w:r>
      <w:r w:rsidR="003D7973">
        <w:rPr>
          <w:sz w:val="24"/>
          <w:szCs w:val="24"/>
        </w:rPr>
        <w:t>CEP</w:t>
      </w:r>
      <w:r w:rsidRPr="00E27185">
        <w:rPr>
          <w:sz w:val="24"/>
          <w:szCs w:val="24"/>
        </w:rPr>
        <w:t xml:space="preserve"> school with a </w:t>
      </w:r>
      <w:r>
        <w:rPr>
          <w:sz w:val="24"/>
          <w:szCs w:val="24"/>
        </w:rPr>
        <w:t>95</w:t>
      </w:r>
      <w:r w:rsidRPr="00E27185">
        <w:rPr>
          <w:sz w:val="24"/>
          <w:szCs w:val="24"/>
        </w:rPr>
        <w:t xml:space="preserve"> percent poverty rate </w:t>
      </w:r>
      <w:r>
        <w:rPr>
          <w:sz w:val="24"/>
          <w:szCs w:val="24"/>
        </w:rPr>
        <w:t>may</w:t>
      </w:r>
      <w:r w:rsidRPr="00E27185">
        <w:rPr>
          <w:sz w:val="24"/>
          <w:szCs w:val="24"/>
        </w:rPr>
        <w:t xml:space="preserve"> not receive more per</w:t>
      </w:r>
      <w:r>
        <w:rPr>
          <w:sz w:val="24"/>
          <w:szCs w:val="24"/>
        </w:rPr>
        <w:t>-pupil funding</w:t>
      </w:r>
      <w:r w:rsidRPr="00E27185">
        <w:rPr>
          <w:sz w:val="24"/>
          <w:szCs w:val="24"/>
        </w:rPr>
        <w:t xml:space="preserve"> than a </w:t>
      </w:r>
      <w:r w:rsidR="003D7973">
        <w:rPr>
          <w:sz w:val="24"/>
          <w:szCs w:val="24"/>
        </w:rPr>
        <w:t>CEP</w:t>
      </w:r>
      <w:r w:rsidRPr="00E27185">
        <w:rPr>
          <w:sz w:val="24"/>
          <w:szCs w:val="24"/>
        </w:rPr>
        <w:t xml:space="preserve"> school with a 100 percent </w:t>
      </w:r>
      <w:r>
        <w:rPr>
          <w:sz w:val="24"/>
          <w:szCs w:val="24"/>
        </w:rPr>
        <w:t>poverty</w:t>
      </w:r>
      <w:r w:rsidRPr="00E27185">
        <w:rPr>
          <w:sz w:val="24"/>
          <w:szCs w:val="24"/>
        </w:rPr>
        <w:t xml:space="preserve"> rate</w:t>
      </w:r>
      <w:r>
        <w:rPr>
          <w:sz w:val="24"/>
          <w:szCs w:val="24"/>
        </w:rPr>
        <w:t xml:space="preserve"> by virtue of the 1.6 multiplier</w:t>
      </w:r>
      <w:r w:rsidRPr="00E27185">
        <w:rPr>
          <w:sz w:val="24"/>
          <w:szCs w:val="24"/>
        </w:rPr>
        <w:t xml:space="preserve">.  </w:t>
      </w:r>
      <w:r>
        <w:rPr>
          <w:sz w:val="24"/>
          <w:szCs w:val="24"/>
        </w:rPr>
        <w:t xml:space="preserve">If two </w:t>
      </w:r>
      <w:r w:rsidR="003D7973">
        <w:rPr>
          <w:sz w:val="24"/>
          <w:szCs w:val="24"/>
        </w:rPr>
        <w:t>CEP</w:t>
      </w:r>
      <w:r>
        <w:rPr>
          <w:sz w:val="24"/>
          <w:szCs w:val="24"/>
        </w:rPr>
        <w:t xml:space="preserve"> schools have the same direct certification rate, they must be provided the same per-pupil allocation.  </w:t>
      </w:r>
    </w:p>
    <w:p w:rsidR="00997A69" w:rsidRDefault="00997A69" w:rsidP="00106934">
      <w:pPr>
        <w:spacing w:after="0" w:line="240" w:lineRule="auto"/>
        <w:rPr>
          <w:sz w:val="24"/>
          <w:szCs w:val="24"/>
        </w:rPr>
        <w:sectPr w:rsidR="00997A69" w:rsidSect="00F93BBF">
          <w:pgSz w:w="12240" w:h="15840"/>
          <w:pgMar w:top="1440" w:right="1440" w:bottom="1440" w:left="1440" w:header="720" w:footer="288" w:gutter="0"/>
          <w:cols w:space="720"/>
          <w:docGrid w:linePitch="360"/>
        </w:sectPr>
      </w:pPr>
    </w:p>
    <w:p w:rsidR="00997A69" w:rsidRDefault="00997A69" w:rsidP="00106934">
      <w:pPr>
        <w:spacing w:after="0" w:line="240" w:lineRule="auto"/>
        <w:rPr>
          <w:sz w:val="24"/>
          <w:szCs w:val="24"/>
        </w:rPr>
      </w:pPr>
    </w:p>
    <w:p w:rsidR="00997A69" w:rsidRDefault="00997A69" w:rsidP="005D77F3">
      <w:pPr>
        <w:spacing w:after="0" w:line="240" w:lineRule="auto"/>
        <w:rPr>
          <w:sz w:val="24"/>
          <w:szCs w:val="24"/>
        </w:rPr>
      </w:pPr>
      <w:r w:rsidRPr="00E27185">
        <w:rPr>
          <w:sz w:val="24"/>
          <w:szCs w:val="24"/>
        </w:rPr>
        <w:t xml:space="preserve">The following table provides an example </w:t>
      </w:r>
      <w:r>
        <w:rPr>
          <w:sz w:val="24"/>
          <w:szCs w:val="24"/>
        </w:rPr>
        <w:t xml:space="preserve">of </w:t>
      </w:r>
      <w:r w:rsidRPr="00E27185">
        <w:rPr>
          <w:sz w:val="24"/>
          <w:szCs w:val="24"/>
        </w:rPr>
        <w:t>a</w:t>
      </w:r>
      <w:r>
        <w:rPr>
          <w:sz w:val="24"/>
          <w:szCs w:val="24"/>
        </w:rPr>
        <w:t xml:space="preserve">n LEA with </w:t>
      </w:r>
      <w:r w:rsidR="003D7973">
        <w:rPr>
          <w:sz w:val="24"/>
          <w:szCs w:val="24"/>
        </w:rPr>
        <w:t>CEP</w:t>
      </w:r>
      <w:r>
        <w:rPr>
          <w:sz w:val="24"/>
          <w:szCs w:val="24"/>
        </w:rPr>
        <w:t xml:space="preserve"> and non-</w:t>
      </w:r>
      <w:r w:rsidR="003D7973">
        <w:rPr>
          <w:sz w:val="24"/>
          <w:szCs w:val="24"/>
        </w:rPr>
        <w:t>CEP</w:t>
      </w:r>
      <w:r>
        <w:rPr>
          <w:sz w:val="24"/>
          <w:szCs w:val="24"/>
        </w:rPr>
        <w:t xml:space="preserve"> schools in which the LEA is able to establish a different per-pupil allocation for two </w:t>
      </w:r>
      <w:r w:rsidR="003D7973">
        <w:rPr>
          <w:sz w:val="24"/>
          <w:szCs w:val="24"/>
        </w:rPr>
        <w:t>CEP</w:t>
      </w:r>
      <w:r>
        <w:rPr>
          <w:sz w:val="24"/>
          <w:szCs w:val="24"/>
        </w:rPr>
        <w:t xml:space="preserve"> schools with a 100 percent poverty rate by virtue of the 1.6 multiplier:</w:t>
      </w:r>
    </w:p>
    <w:p w:rsidR="00997A69" w:rsidRDefault="00997A69" w:rsidP="005D77F3">
      <w:pPr>
        <w:spacing w:after="0" w:line="240" w:lineRule="auto"/>
        <w:rPr>
          <w:sz w:val="24"/>
          <w:szCs w:val="24"/>
        </w:rPr>
      </w:pPr>
    </w:p>
    <w:p w:rsidR="00997A69" w:rsidRPr="001A007A" w:rsidRDefault="00997A69" w:rsidP="001A007A">
      <w:pPr>
        <w:numPr>
          <w:ilvl w:val="0"/>
          <w:numId w:val="32"/>
        </w:numPr>
        <w:spacing w:after="0" w:line="240" w:lineRule="auto"/>
        <w:rPr>
          <w:sz w:val="24"/>
          <w:szCs w:val="24"/>
        </w:rPr>
      </w:pPr>
      <w:r w:rsidRPr="005D77F3">
        <w:rPr>
          <w:sz w:val="24"/>
          <w:szCs w:val="24"/>
        </w:rPr>
        <w:t xml:space="preserve">School 1 and School 2 are </w:t>
      </w:r>
      <w:r w:rsidR="003D7973">
        <w:rPr>
          <w:sz w:val="24"/>
          <w:szCs w:val="24"/>
        </w:rPr>
        <w:t>CEP</w:t>
      </w:r>
      <w:r w:rsidRPr="005D77F3">
        <w:rPr>
          <w:sz w:val="24"/>
          <w:szCs w:val="24"/>
        </w:rPr>
        <w:t xml:space="preserve"> schools with percentages of low-income students of 100 percent by virtue of the 1.6 multiplier.  </w:t>
      </w:r>
      <w:r w:rsidRPr="001A007A">
        <w:rPr>
          <w:sz w:val="24"/>
          <w:szCs w:val="24"/>
        </w:rPr>
        <w:t xml:space="preserve">As a result, they are ranked at the top of the LEA’s poverty rankings.  </w:t>
      </w:r>
    </w:p>
    <w:p w:rsidR="00997A69" w:rsidRPr="005D77F3" w:rsidRDefault="00997A69" w:rsidP="005D77F3">
      <w:pPr>
        <w:numPr>
          <w:ilvl w:val="0"/>
          <w:numId w:val="32"/>
        </w:numPr>
        <w:spacing w:after="0" w:line="240" w:lineRule="auto"/>
        <w:rPr>
          <w:sz w:val="24"/>
          <w:szCs w:val="24"/>
        </w:rPr>
      </w:pPr>
      <w:r w:rsidRPr="005D77F3">
        <w:rPr>
          <w:sz w:val="24"/>
          <w:szCs w:val="24"/>
        </w:rPr>
        <w:t xml:space="preserve">The </w:t>
      </w:r>
      <w:r>
        <w:rPr>
          <w:sz w:val="24"/>
          <w:szCs w:val="24"/>
        </w:rPr>
        <w:t>LEA</w:t>
      </w:r>
      <w:r w:rsidRPr="005D77F3">
        <w:rPr>
          <w:sz w:val="24"/>
          <w:szCs w:val="24"/>
        </w:rPr>
        <w:t xml:space="preserve"> allocates </w:t>
      </w:r>
      <w:r>
        <w:rPr>
          <w:sz w:val="24"/>
          <w:szCs w:val="24"/>
        </w:rPr>
        <w:t>a higher per-</w:t>
      </w:r>
      <w:r w:rsidRPr="005D77F3">
        <w:rPr>
          <w:sz w:val="24"/>
          <w:szCs w:val="24"/>
        </w:rPr>
        <w:t>pupil</w:t>
      </w:r>
      <w:r>
        <w:rPr>
          <w:sz w:val="24"/>
          <w:szCs w:val="24"/>
        </w:rPr>
        <w:t xml:space="preserve"> amount</w:t>
      </w:r>
      <w:r w:rsidRPr="005D77F3">
        <w:rPr>
          <w:sz w:val="24"/>
          <w:szCs w:val="24"/>
        </w:rPr>
        <w:t xml:space="preserve"> to School 1 than School 2 on the basis of School 1’s </w:t>
      </w:r>
      <w:r>
        <w:rPr>
          <w:sz w:val="24"/>
          <w:szCs w:val="24"/>
        </w:rPr>
        <w:t>greater</w:t>
      </w:r>
      <w:r w:rsidRPr="005D77F3">
        <w:rPr>
          <w:sz w:val="24"/>
          <w:szCs w:val="24"/>
        </w:rPr>
        <w:t xml:space="preserve"> direct certifi</w:t>
      </w:r>
      <w:r>
        <w:rPr>
          <w:sz w:val="24"/>
          <w:szCs w:val="24"/>
        </w:rPr>
        <w:t>cation poverty</w:t>
      </w:r>
      <w:r w:rsidRPr="005D77F3">
        <w:rPr>
          <w:sz w:val="24"/>
          <w:szCs w:val="24"/>
        </w:rPr>
        <w:t xml:space="preserve"> percentage</w:t>
      </w:r>
      <w:r>
        <w:rPr>
          <w:sz w:val="24"/>
          <w:szCs w:val="24"/>
        </w:rPr>
        <w:t xml:space="preserve"> based on SNAP data</w:t>
      </w:r>
      <w:r w:rsidRPr="005D77F3">
        <w:rPr>
          <w:sz w:val="24"/>
          <w:szCs w:val="24"/>
        </w:rPr>
        <w:t xml:space="preserve"> (Column 5).   </w:t>
      </w:r>
    </w:p>
    <w:p w:rsidR="00997A69" w:rsidRPr="005D77F3" w:rsidRDefault="00997A69" w:rsidP="005D77F3">
      <w:pPr>
        <w:numPr>
          <w:ilvl w:val="0"/>
          <w:numId w:val="32"/>
        </w:numPr>
        <w:spacing w:after="0" w:line="240" w:lineRule="auto"/>
        <w:rPr>
          <w:sz w:val="24"/>
          <w:szCs w:val="24"/>
        </w:rPr>
      </w:pPr>
      <w:r>
        <w:rPr>
          <w:sz w:val="24"/>
          <w:szCs w:val="24"/>
        </w:rPr>
        <w:t>T</w:t>
      </w:r>
      <w:r w:rsidRPr="005D77F3">
        <w:rPr>
          <w:sz w:val="24"/>
          <w:szCs w:val="24"/>
        </w:rPr>
        <w:t xml:space="preserve">he </w:t>
      </w:r>
      <w:r>
        <w:rPr>
          <w:sz w:val="24"/>
          <w:szCs w:val="24"/>
        </w:rPr>
        <w:t>LEA</w:t>
      </w:r>
      <w:r w:rsidRPr="005D77F3">
        <w:rPr>
          <w:sz w:val="24"/>
          <w:szCs w:val="24"/>
        </w:rPr>
        <w:t xml:space="preserve"> ensures that School 2 receives at least as much per pupil as School 3 and School 4 because School 2’s poverty percentage in Column 7, after application of the 1.6 multiplier, is larger than that of School 3 or School 4.</w:t>
      </w:r>
    </w:p>
    <w:p w:rsidR="00997A69" w:rsidRDefault="00997A69" w:rsidP="005D77F3">
      <w:pPr>
        <w:spacing w:after="0" w:line="240" w:lineRule="auto"/>
        <w:rPr>
          <w:rFonts w:cs="Calibri"/>
          <w:b/>
          <w:color w:val="000000"/>
          <w:sz w:val="24"/>
          <w:szCs w:val="24"/>
          <w:u w:val="single"/>
        </w:rPr>
      </w:pPr>
    </w:p>
    <w:p w:rsidR="00997A69" w:rsidRDefault="00997A69" w:rsidP="006E1371">
      <w:pPr>
        <w:spacing w:after="0" w:line="240" w:lineRule="auto"/>
        <w:jc w:val="center"/>
        <w:rPr>
          <w:rFonts w:cs="Calibri"/>
          <w:b/>
          <w:color w:val="000000"/>
          <w:sz w:val="24"/>
          <w:szCs w:val="24"/>
          <w:u w:val="single"/>
        </w:rPr>
      </w:pPr>
    </w:p>
    <w:p w:rsidR="00997A69" w:rsidRDefault="00997A69" w:rsidP="006E1371">
      <w:pPr>
        <w:spacing w:after="0" w:line="240" w:lineRule="auto"/>
        <w:jc w:val="center"/>
        <w:rPr>
          <w:rFonts w:cs="Calibri"/>
          <w:b/>
          <w:color w:val="000000"/>
          <w:sz w:val="24"/>
          <w:szCs w:val="24"/>
          <w:u w:val="single"/>
        </w:rPr>
      </w:pPr>
      <w:r w:rsidRPr="002F6771">
        <w:rPr>
          <w:rFonts w:cs="Calibri"/>
          <w:b/>
          <w:color w:val="000000"/>
          <w:sz w:val="24"/>
          <w:szCs w:val="24"/>
          <w:u w:val="single"/>
        </w:rPr>
        <w:t>Example</w:t>
      </w:r>
    </w:p>
    <w:p w:rsidR="00997A69" w:rsidRPr="002F6771" w:rsidRDefault="00997A69" w:rsidP="006E1371">
      <w:pPr>
        <w:spacing w:after="0" w:line="240" w:lineRule="auto"/>
        <w:jc w:val="center"/>
        <w:rPr>
          <w:rFonts w:cs="Calibri"/>
          <w:b/>
          <w:color w:val="000000"/>
          <w:sz w:val="24"/>
          <w:szCs w:val="24"/>
          <w:u w:val="single"/>
        </w:rPr>
      </w:pPr>
    </w:p>
    <w:p w:rsidR="00997A69" w:rsidRDefault="00997A69" w:rsidP="006E1371">
      <w:pPr>
        <w:spacing w:after="0" w:line="240" w:lineRule="auto"/>
        <w:jc w:val="center"/>
        <w:rPr>
          <w:rFonts w:cs="Calibri"/>
          <w:b/>
          <w:color w:val="000000"/>
          <w:sz w:val="24"/>
          <w:szCs w:val="24"/>
        </w:rPr>
      </w:pPr>
      <w:r>
        <w:rPr>
          <w:rFonts w:cs="Calibri"/>
          <w:b/>
          <w:color w:val="000000"/>
          <w:sz w:val="24"/>
          <w:szCs w:val="24"/>
        </w:rPr>
        <w:t xml:space="preserve">Providing a Different Title I Per-Pupil Allocation to Two </w:t>
      </w:r>
      <w:r w:rsidR="003D7973">
        <w:rPr>
          <w:rFonts w:cs="Calibri"/>
          <w:b/>
          <w:color w:val="000000"/>
          <w:sz w:val="24"/>
          <w:szCs w:val="24"/>
        </w:rPr>
        <w:t>CEP</w:t>
      </w:r>
      <w:r>
        <w:rPr>
          <w:rFonts w:cs="Calibri"/>
          <w:b/>
          <w:color w:val="000000"/>
          <w:sz w:val="24"/>
          <w:szCs w:val="24"/>
        </w:rPr>
        <w:t xml:space="preserve"> Schools that Have a 100 Percent USDA Reimbursement Rate </w:t>
      </w:r>
    </w:p>
    <w:p w:rsidR="00997A69" w:rsidRDefault="00997A69" w:rsidP="006E1371">
      <w:pPr>
        <w:spacing w:after="0" w:line="240" w:lineRule="auto"/>
        <w:jc w:val="center"/>
        <w:rPr>
          <w:sz w:val="24"/>
          <w:szCs w:val="24"/>
        </w:rPr>
      </w:pPr>
    </w:p>
    <w:tbl>
      <w:tblPr>
        <w:tblW w:w="10857" w:type="dxa"/>
        <w:jc w:val="center"/>
        <w:tblCellMar>
          <w:left w:w="0" w:type="dxa"/>
          <w:right w:w="0" w:type="dxa"/>
        </w:tblCellMar>
        <w:tblLook w:val="00A0" w:firstRow="1" w:lastRow="0" w:firstColumn="1" w:lastColumn="0" w:noHBand="0" w:noVBand="0"/>
      </w:tblPr>
      <w:tblGrid>
        <w:gridCol w:w="1080"/>
        <w:gridCol w:w="1103"/>
        <w:gridCol w:w="1194"/>
        <w:gridCol w:w="1108"/>
        <w:gridCol w:w="1160"/>
        <w:gridCol w:w="1380"/>
        <w:gridCol w:w="1380"/>
        <w:gridCol w:w="1420"/>
        <w:gridCol w:w="1140"/>
      </w:tblGrid>
      <w:tr w:rsidR="00997A69" w:rsidRPr="00C03007" w:rsidTr="00BA0CC5">
        <w:trPr>
          <w:trHeight w:val="300"/>
          <w:jc w:val="center"/>
        </w:trPr>
        <w:tc>
          <w:tcPr>
            <w:tcW w:w="10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1</w:t>
            </w:r>
          </w:p>
        </w:tc>
        <w:tc>
          <w:tcPr>
            <w:tcW w:w="11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2</w:t>
            </w:r>
          </w:p>
        </w:tc>
        <w:tc>
          <w:tcPr>
            <w:tcW w:w="10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3</w:t>
            </w:r>
          </w:p>
        </w:tc>
        <w:tc>
          <w:tcPr>
            <w:tcW w:w="11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4</w:t>
            </w:r>
          </w:p>
        </w:tc>
        <w:tc>
          <w:tcPr>
            <w:tcW w:w="1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5</w:t>
            </w:r>
          </w:p>
        </w:tc>
        <w:tc>
          <w:tcPr>
            <w:tcW w:w="13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6</w:t>
            </w:r>
          </w:p>
        </w:tc>
        <w:tc>
          <w:tcPr>
            <w:tcW w:w="13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7</w:t>
            </w:r>
          </w:p>
        </w:tc>
        <w:tc>
          <w:tcPr>
            <w:tcW w:w="14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8</w:t>
            </w:r>
          </w:p>
        </w:tc>
        <w:tc>
          <w:tcPr>
            <w:tcW w:w="1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97A69" w:rsidRPr="00BA0CC5" w:rsidRDefault="00997A69" w:rsidP="006E1371">
            <w:pPr>
              <w:spacing w:after="0" w:line="240" w:lineRule="auto"/>
              <w:rPr>
                <w:iCs/>
                <w:sz w:val="20"/>
                <w:szCs w:val="20"/>
              </w:rPr>
            </w:pPr>
            <w:r w:rsidRPr="00BA0CC5">
              <w:rPr>
                <w:iCs/>
                <w:sz w:val="20"/>
                <w:szCs w:val="20"/>
              </w:rPr>
              <w:t>Column 9</w:t>
            </w:r>
          </w:p>
        </w:tc>
      </w:tr>
      <w:tr w:rsidR="00997A69" w:rsidRPr="00C03007" w:rsidTr="00BA0CC5">
        <w:trPr>
          <w:trHeight w:val="1500"/>
          <w:jc w:val="center"/>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97A69" w:rsidRPr="00C03007" w:rsidRDefault="00997A69" w:rsidP="006E1371">
            <w:pPr>
              <w:spacing w:after="0" w:line="240" w:lineRule="auto"/>
              <w:rPr>
                <w:b/>
                <w:bCs/>
                <w:sz w:val="20"/>
                <w:szCs w:val="20"/>
              </w:rPr>
            </w:pPr>
            <w:r w:rsidRPr="00C03007">
              <w:rPr>
                <w:b/>
                <w:bCs/>
                <w:sz w:val="20"/>
                <w:szCs w:val="20"/>
              </w:rPr>
              <w:t>School</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bottom"/>
          </w:tcPr>
          <w:p w:rsidR="00997A69" w:rsidRPr="00C03007" w:rsidRDefault="003D7973" w:rsidP="00106934">
            <w:pPr>
              <w:spacing w:after="0" w:line="240" w:lineRule="auto"/>
              <w:jc w:val="right"/>
              <w:rPr>
                <w:b/>
                <w:bCs/>
                <w:sz w:val="20"/>
                <w:szCs w:val="20"/>
              </w:rPr>
            </w:pPr>
            <w:smartTag w:uri="urn:schemas-microsoft-com:office:smarttags" w:element="place">
              <w:smartTag w:uri="urn:schemas-microsoft-com:office:smarttags" w:element="PlaceName">
                <w:r>
                  <w:rPr>
                    <w:b/>
                    <w:bCs/>
                    <w:sz w:val="20"/>
                    <w:szCs w:val="20"/>
                  </w:rPr>
                  <w:t>CEP</w:t>
                </w:r>
              </w:smartTag>
              <w:r w:rsidR="00997A69" w:rsidRPr="00C03007">
                <w:rPr>
                  <w:b/>
                  <w:bCs/>
                  <w:sz w:val="20"/>
                  <w:szCs w:val="20"/>
                </w:rPr>
                <w:t xml:space="preserve"> </w:t>
              </w:r>
              <w:smartTag w:uri="urn:schemas-microsoft-com:office:smarttags" w:element="PlaceType">
                <w:r w:rsidR="00997A69" w:rsidRPr="00C03007">
                  <w:rPr>
                    <w:b/>
                    <w:bCs/>
                    <w:sz w:val="20"/>
                    <w:szCs w:val="20"/>
                  </w:rPr>
                  <w:t>School</w:t>
                </w:r>
              </w:smartTag>
            </w:smartTag>
            <w:r w:rsidR="00997A69" w:rsidRPr="00C03007">
              <w:rPr>
                <w:b/>
                <w:bCs/>
                <w:sz w:val="20"/>
                <w:szCs w:val="20"/>
              </w:rPr>
              <w:t xml:space="preserve"> (Y/N)</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bottom"/>
          </w:tcPr>
          <w:p w:rsidR="00997A69" w:rsidRPr="00C03007" w:rsidRDefault="00997A69" w:rsidP="00106934">
            <w:pPr>
              <w:spacing w:after="0" w:line="240" w:lineRule="auto"/>
              <w:jc w:val="right"/>
              <w:rPr>
                <w:b/>
                <w:bCs/>
                <w:sz w:val="20"/>
                <w:szCs w:val="20"/>
              </w:rPr>
            </w:pPr>
            <w:r w:rsidRPr="00C03007">
              <w:rPr>
                <w:b/>
                <w:bCs/>
                <w:sz w:val="20"/>
                <w:szCs w:val="20"/>
              </w:rPr>
              <w:t>Enrollment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bottom"/>
          </w:tcPr>
          <w:p w:rsidR="00997A69" w:rsidRPr="00C03007" w:rsidRDefault="00997A69" w:rsidP="00AA00EB">
            <w:pPr>
              <w:spacing w:after="0" w:line="240" w:lineRule="auto"/>
              <w:jc w:val="right"/>
              <w:rPr>
                <w:b/>
                <w:bCs/>
                <w:sz w:val="20"/>
                <w:szCs w:val="20"/>
              </w:rPr>
            </w:pPr>
            <w:r>
              <w:rPr>
                <w:b/>
                <w:bCs/>
                <w:sz w:val="20"/>
                <w:szCs w:val="20"/>
              </w:rPr>
              <w:t>Number of</w:t>
            </w:r>
            <w:r w:rsidRPr="00C03007">
              <w:rPr>
                <w:b/>
                <w:bCs/>
                <w:sz w:val="20"/>
                <w:szCs w:val="20"/>
              </w:rPr>
              <w:t xml:space="preserve"> </w:t>
            </w:r>
            <w:r>
              <w:rPr>
                <w:b/>
                <w:bCs/>
                <w:sz w:val="20"/>
                <w:szCs w:val="20"/>
              </w:rPr>
              <w:t xml:space="preserve">Students </w:t>
            </w:r>
            <w:r w:rsidR="00AA00EB">
              <w:rPr>
                <w:b/>
                <w:bCs/>
                <w:sz w:val="20"/>
                <w:szCs w:val="20"/>
              </w:rPr>
              <w:t xml:space="preserve">Directly Certified </w:t>
            </w: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bottom"/>
          </w:tcPr>
          <w:p w:rsidR="00997A69" w:rsidRPr="00C03007" w:rsidRDefault="00997A69" w:rsidP="00AA00EB">
            <w:pPr>
              <w:spacing w:after="0" w:line="240" w:lineRule="auto"/>
              <w:jc w:val="right"/>
              <w:rPr>
                <w:b/>
                <w:bCs/>
                <w:sz w:val="20"/>
                <w:szCs w:val="20"/>
              </w:rPr>
            </w:pPr>
            <w:r>
              <w:rPr>
                <w:b/>
                <w:bCs/>
                <w:sz w:val="20"/>
                <w:szCs w:val="20"/>
              </w:rPr>
              <w:t>Percentage of</w:t>
            </w:r>
            <w:r w:rsidRPr="00C03007">
              <w:rPr>
                <w:b/>
                <w:bCs/>
                <w:sz w:val="20"/>
                <w:szCs w:val="20"/>
              </w:rPr>
              <w:t xml:space="preserve"> </w:t>
            </w:r>
            <w:r>
              <w:rPr>
                <w:b/>
                <w:bCs/>
                <w:sz w:val="20"/>
                <w:szCs w:val="20"/>
              </w:rPr>
              <w:t>Identified Students</w:t>
            </w:r>
            <w:r w:rsidR="00AA00EB">
              <w:rPr>
                <w:b/>
                <w:bCs/>
                <w:sz w:val="20"/>
                <w:szCs w:val="20"/>
              </w:rPr>
              <w:t xml:space="preserve"> in </w:t>
            </w:r>
            <w:smartTag w:uri="urn:schemas-microsoft-com:office:smarttags" w:element="place">
              <w:smartTag w:uri="urn:schemas-microsoft-com:office:smarttags" w:element="PlaceName">
                <w:r w:rsidR="003D7973">
                  <w:rPr>
                    <w:b/>
                    <w:bCs/>
                    <w:sz w:val="20"/>
                    <w:szCs w:val="20"/>
                  </w:rPr>
                  <w:t>CEP</w:t>
                </w:r>
              </w:smartTag>
              <w:r w:rsidR="00AA00EB">
                <w:rPr>
                  <w:b/>
                  <w:bCs/>
                  <w:sz w:val="20"/>
                  <w:szCs w:val="20"/>
                </w:rPr>
                <w:t xml:space="preserve"> </w:t>
              </w:r>
              <w:smartTag w:uri="urn:schemas-microsoft-com:office:smarttags" w:element="PlaceType">
                <w:r w:rsidR="00AA00EB">
                  <w:rPr>
                    <w:b/>
                    <w:bCs/>
                    <w:sz w:val="20"/>
                    <w:szCs w:val="20"/>
                  </w:rPr>
                  <w:t>School</w:t>
                </w:r>
              </w:smartTag>
            </w:smartTag>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bottom"/>
          </w:tcPr>
          <w:p w:rsidR="00997A69" w:rsidRPr="00C03007" w:rsidRDefault="00997A69" w:rsidP="00714BEB">
            <w:pPr>
              <w:spacing w:after="0" w:line="240" w:lineRule="auto"/>
              <w:jc w:val="right"/>
              <w:rPr>
                <w:b/>
                <w:bCs/>
                <w:sz w:val="20"/>
                <w:szCs w:val="20"/>
              </w:rPr>
            </w:pPr>
            <w:r>
              <w:rPr>
                <w:b/>
                <w:bCs/>
                <w:sz w:val="20"/>
                <w:szCs w:val="20"/>
              </w:rPr>
              <w:t>Number of</w:t>
            </w:r>
            <w:r w:rsidRPr="00C03007">
              <w:rPr>
                <w:b/>
                <w:bCs/>
                <w:sz w:val="20"/>
                <w:szCs w:val="20"/>
              </w:rPr>
              <w:t xml:space="preserve"> </w:t>
            </w:r>
            <w:r>
              <w:rPr>
                <w:b/>
                <w:bCs/>
                <w:sz w:val="20"/>
                <w:szCs w:val="20"/>
              </w:rPr>
              <w:t>L</w:t>
            </w:r>
            <w:r w:rsidRPr="00C03007">
              <w:rPr>
                <w:b/>
                <w:bCs/>
                <w:sz w:val="20"/>
                <w:szCs w:val="20"/>
              </w:rPr>
              <w:t>ow-</w:t>
            </w:r>
            <w:r>
              <w:rPr>
                <w:b/>
                <w:bCs/>
                <w:sz w:val="20"/>
                <w:szCs w:val="20"/>
              </w:rPr>
              <w:t>I</w:t>
            </w:r>
            <w:r w:rsidRPr="00C03007">
              <w:rPr>
                <w:b/>
                <w:bCs/>
                <w:sz w:val="20"/>
                <w:szCs w:val="20"/>
              </w:rPr>
              <w:t xml:space="preserve">ncome </w:t>
            </w:r>
            <w:r>
              <w:rPr>
                <w:b/>
                <w:bCs/>
                <w:sz w:val="20"/>
                <w:szCs w:val="20"/>
              </w:rPr>
              <w:t>S</w:t>
            </w:r>
            <w:r w:rsidRPr="00C03007">
              <w:rPr>
                <w:b/>
                <w:bCs/>
                <w:sz w:val="20"/>
                <w:szCs w:val="20"/>
              </w:rPr>
              <w:t xml:space="preserve">tudents for Title I </w:t>
            </w:r>
            <w:r>
              <w:rPr>
                <w:b/>
                <w:bCs/>
                <w:sz w:val="20"/>
                <w:szCs w:val="20"/>
              </w:rPr>
              <w:t>S</w:t>
            </w:r>
            <w:r w:rsidRPr="00C03007">
              <w:rPr>
                <w:b/>
                <w:bCs/>
                <w:sz w:val="20"/>
                <w:szCs w:val="20"/>
              </w:rPr>
              <w:t xml:space="preserve">chool </w:t>
            </w:r>
            <w:r>
              <w:rPr>
                <w:b/>
                <w:bCs/>
                <w:sz w:val="20"/>
                <w:szCs w:val="20"/>
              </w:rPr>
              <w:t>A</w:t>
            </w:r>
            <w:r w:rsidRPr="00C03007">
              <w:rPr>
                <w:b/>
                <w:bCs/>
                <w:sz w:val="20"/>
                <w:szCs w:val="20"/>
              </w:rPr>
              <w:t xml:space="preserve">llocation </w:t>
            </w:r>
            <w:r>
              <w:rPr>
                <w:b/>
                <w:bCs/>
                <w:sz w:val="20"/>
                <w:szCs w:val="20"/>
              </w:rPr>
              <w:t>C</w:t>
            </w:r>
            <w:r w:rsidRPr="00C03007">
              <w:rPr>
                <w:b/>
                <w:bCs/>
                <w:sz w:val="20"/>
                <w:szCs w:val="20"/>
              </w:rPr>
              <w:t>alculation</w:t>
            </w:r>
            <w:r>
              <w:rPr>
                <w:b/>
                <w:bCs/>
                <w:sz w:val="20"/>
                <w:szCs w:val="20"/>
                <w:vertAlign w:val="superscript"/>
              </w:rPr>
              <w:t>1</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bottom"/>
          </w:tcPr>
          <w:p w:rsidR="00997A69" w:rsidRPr="00C03007" w:rsidRDefault="00997A69" w:rsidP="00B47171">
            <w:pPr>
              <w:spacing w:after="0" w:line="240" w:lineRule="auto"/>
              <w:jc w:val="right"/>
              <w:rPr>
                <w:b/>
                <w:bCs/>
                <w:sz w:val="20"/>
                <w:szCs w:val="20"/>
              </w:rPr>
            </w:pPr>
            <w:r>
              <w:rPr>
                <w:b/>
                <w:bCs/>
                <w:sz w:val="20"/>
                <w:szCs w:val="20"/>
              </w:rPr>
              <w:t>Percentage</w:t>
            </w:r>
            <w:r w:rsidRPr="00C03007">
              <w:rPr>
                <w:b/>
                <w:bCs/>
                <w:sz w:val="20"/>
                <w:szCs w:val="20"/>
              </w:rPr>
              <w:t xml:space="preserve"> of </w:t>
            </w:r>
            <w:r>
              <w:rPr>
                <w:b/>
                <w:bCs/>
                <w:sz w:val="20"/>
                <w:szCs w:val="20"/>
              </w:rPr>
              <w:t>L</w:t>
            </w:r>
            <w:r w:rsidRPr="00C03007">
              <w:rPr>
                <w:b/>
                <w:bCs/>
                <w:sz w:val="20"/>
                <w:szCs w:val="20"/>
              </w:rPr>
              <w:t>ow-</w:t>
            </w:r>
            <w:r>
              <w:rPr>
                <w:b/>
                <w:bCs/>
                <w:sz w:val="20"/>
                <w:szCs w:val="20"/>
              </w:rPr>
              <w:t>I</w:t>
            </w:r>
            <w:r w:rsidRPr="00C03007">
              <w:rPr>
                <w:b/>
                <w:bCs/>
                <w:sz w:val="20"/>
                <w:szCs w:val="20"/>
              </w:rPr>
              <w:t xml:space="preserve">ncome </w:t>
            </w:r>
            <w:r>
              <w:rPr>
                <w:b/>
                <w:bCs/>
                <w:sz w:val="20"/>
                <w:szCs w:val="20"/>
              </w:rPr>
              <w:t>S</w:t>
            </w:r>
            <w:r w:rsidRPr="00C03007">
              <w:rPr>
                <w:b/>
                <w:bCs/>
                <w:sz w:val="20"/>
                <w:szCs w:val="20"/>
              </w:rPr>
              <w:t xml:space="preserve">tudents for </w:t>
            </w:r>
            <w:r>
              <w:rPr>
                <w:b/>
                <w:bCs/>
                <w:sz w:val="20"/>
                <w:szCs w:val="20"/>
              </w:rPr>
              <w:t>R</w:t>
            </w:r>
            <w:r w:rsidRPr="00C03007">
              <w:rPr>
                <w:b/>
                <w:bCs/>
                <w:sz w:val="20"/>
                <w:szCs w:val="20"/>
              </w:rPr>
              <w:t xml:space="preserve">anking Title I </w:t>
            </w:r>
            <w:r>
              <w:rPr>
                <w:b/>
                <w:bCs/>
                <w:sz w:val="20"/>
                <w:szCs w:val="20"/>
              </w:rPr>
              <w:t>S</w:t>
            </w:r>
            <w:r w:rsidRPr="00C03007">
              <w:rPr>
                <w:b/>
                <w:bCs/>
                <w:sz w:val="20"/>
                <w:szCs w:val="20"/>
              </w:rPr>
              <w:t>chools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bottom"/>
          </w:tcPr>
          <w:p w:rsidR="00997A69" w:rsidRPr="00C03007" w:rsidRDefault="00997A69" w:rsidP="00B47171">
            <w:pPr>
              <w:spacing w:after="0" w:line="240" w:lineRule="auto"/>
              <w:jc w:val="right"/>
              <w:rPr>
                <w:b/>
                <w:bCs/>
                <w:sz w:val="20"/>
                <w:szCs w:val="20"/>
              </w:rPr>
            </w:pPr>
            <w:r w:rsidRPr="00C03007">
              <w:rPr>
                <w:b/>
                <w:bCs/>
                <w:sz w:val="20"/>
                <w:szCs w:val="20"/>
              </w:rPr>
              <w:t>Per-</w:t>
            </w:r>
            <w:r>
              <w:rPr>
                <w:b/>
                <w:bCs/>
                <w:sz w:val="20"/>
                <w:szCs w:val="20"/>
              </w:rPr>
              <w:t>Pupil</w:t>
            </w:r>
            <w:r w:rsidRPr="00C03007">
              <w:rPr>
                <w:b/>
                <w:bCs/>
                <w:sz w:val="20"/>
                <w:szCs w:val="20"/>
              </w:rPr>
              <w:t xml:space="preserve"> </w:t>
            </w:r>
            <w:r>
              <w:rPr>
                <w:b/>
                <w:bCs/>
                <w:sz w:val="20"/>
                <w:szCs w:val="20"/>
              </w:rPr>
              <w:t>A</w:t>
            </w:r>
            <w:r w:rsidRPr="00C03007">
              <w:rPr>
                <w:b/>
                <w:bCs/>
                <w:sz w:val="20"/>
                <w:szCs w:val="20"/>
              </w:rPr>
              <w:t>mount</w:t>
            </w:r>
            <w:r>
              <w:rPr>
                <w:b/>
                <w:bCs/>
                <w:sz w:val="20"/>
                <w:szCs w:val="20"/>
              </w:rPr>
              <w:t xml:space="preserve"> Used by LEA</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bottom"/>
          </w:tcPr>
          <w:p w:rsidR="00997A69" w:rsidRDefault="00997A69" w:rsidP="00356EA8">
            <w:pPr>
              <w:spacing w:after="0" w:line="240" w:lineRule="auto"/>
              <w:jc w:val="right"/>
              <w:rPr>
                <w:b/>
                <w:bCs/>
                <w:sz w:val="20"/>
                <w:szCs w:val="20"/>
              </w:rPr>
            </w:pPr>
            <w:r>
              <w:rPr>
                <w:b/>
                <w:bCs/>
                <w:sz w:val="20"/>
                <w:szCs w:val="20"/>
              </w:rPr>
              <w:t xml:space="preserve">Title I </w:t>
            </w:r>
            <w:r w:rsidRPr="00C03007">
              <w:rPr>
                <w:b/>
                <w:bCs/>
                <w:sz w:val="20"/>
                <w:szCs w:val="20"/>
              </w:rPr>
              <w:t>Allocation</w:t>
            </w:r>
          </w:p>
        </w:tc>
      </w:tr>
      <w:tr w:rsidR="00997A69" w:rsidRPr="00C03007" w:rsidTr="00BA0CC5">
        <w:trPr>
          <w:trHeight w:val="300"/>
          <w:jc w:val="center"/>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6E1371">
            <w:pPr>
              <w:spacing w:after="0" w:line="240" w:lineRule="auto"/>
              <w:rPr>
                <w:sz w:val="20"/>
                <w:szCs w:val="20"/>
              </w:rPr>
            </w:pPr>
            <w:r w:rsidRPr="00C03007">
              <w:rPr>
                <w:sz w:val="20"/>
                <w:szCs w:val="20"/>
              </w:rPr>
              <w:t>1</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Y</w:t>
            </w:r>
          </w:p>
        </w:tc>
        <w:tc>
          <w:tcPr>
            <w:tcW w:w="10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500</w:t>
            </w: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400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80%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500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100%</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 xml:space="preserve">$750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 xml:space="preserve">$375,000 </w:t>
            </w:r>
          </w:p>
        </w:tc>
      </w:tr>
      <w:tr w:rsidR="00997A69" w:rsidRPr="00C03007" w:rsidTr="00BA0CC5">
        <w:trPr>
          <w:trHeight w:val="300"/>
          <w:jc w:val="center"/>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6E1371">
            <w:pPr>
              <w:spacing w:after="0" w:line="240" w:lineRule="auto"/>
              <w:rPr>
                <w:sz w:val="20"/>
                <w:szCs w:val="20"/>
              </w:rPr>
            </w:pPr>
            <w:r w:rsidRPr="00C03007">
              <w:rPr>
                <w:sz w:val="20"/>
                <w:szCs w:val="20"/>
              </w:rPr>
              <w:t>2</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Y</w:t>
            </w:r>
          </w:p>
        </w:tc>
        <w:tc>
          <w:tcPr>
            <w:tcW w:w="10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1500</w:t>
            </w: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1050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70%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1500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100%</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 xml:space="preserve">$650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 xml:space="preserve">$975,000 </w:t>
            </w:r>
          </w:p>
        </w:tc>
      </w:tr>
      <w:tr w:rsidR="00997A69" w:rsidRPr="00C03007" w:rsidTr="00BA0CC5">
        <w:trPr>
          <w:trHeight w:val="300"/>
          <w:jc w:val="center"/>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6E1371">
            <w:pPr>
              <w:spacing w:after="0" w:line="240" w:lineRule="auto"/>
              <w:rPr>
                <w:sz w:val="20"/>
                <w:szCs w:val="20"/>
              </w:rPr>
            </w:pPr>
            <w:r w:rsidRPr="00C03007">
              <w:rPr>
                <w:sz w:val="20"/>
                <w:szCs w:val="20"/>
              </w:rPr>
              <w:t>3</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N</w:t>
            </w:r>
          </w:p>
        </w:tc>
        <w:tc>
          <w:tcPr>
            <w:tcW w:w="10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500</w:t>
            </w: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Pr>
                <w:sz w:val="20"/>
                <w:szCs w:val="20"/>
              </w:rPr>
              <w:t>10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N/A</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3646F8" w:rsidRDefault="00997A69" w:rsidP="00106934">
            <w:pPr>
              <w:spacing w:after="0" w:line="240" w:lineRule="auto"/>
              <w:jc w:val="right"/>
              <w:rPr>
                <w:sz w:val="20"/>
                <w:szCs w:val="20"/>
                <w:vertAlign w:val="superscript"/>
              </w:rPr>
            </w:pPr>
            <w:r w:rsidRPr="00C03007">
              <w:rPr>
                <w:sz w:val="20"/>
                <w:szCs w:val="20"/>
              </w:rPr>
              <w:t>450</w:t>
            </w:r>
            <w:r>
              <w:rPr>
                <w:sz w:val="20"/>
                <w:szCs w:val="20"/>
                <w:vertAlign w:val="superscript"/>
              </w:rPr>
              <w:t>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90%</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 xml:space="preserve">$625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 xml:space="preserve">$281,250 </w:t>
            </w:r>
          </w:p>
        </w:tc>
      </w:tr>
      <w:tr w:rsidR="00997A69" w:rsidRPr="00C03007" w:rsidTr="00BA0CC5">
        <w:trPr>
          <w:trHeight w:val="300"/>
          <w:jc w:val="center"/>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6E1371">
            <w:pPr>
              <w:spacing w:after="0" w:line="240" w:lineRule="auto"/>
              <w:rPr>
                <w:sz w:val="20"/>
                <w:szCs w:val="20"/>
              </w:rPr>
            </w:pPr>
            <w:r w:rsidRPr="00C03007">
              <w:rPr>
                <w:sz w:val="20"/>
                <w:szCs w:val="20"/>
              </w:rPr>
              <w:t>4</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Y</w:t>
            </w:r>
          </w:p>
        </w:tc>
        <w:tc>
          <w:tcPr>
            <w:tcW w:w="10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500</w:t>
            </w: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250</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50%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400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80%</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 xml:space="preserve">$625 </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97A69" w:rsidRPr="00C03007" w:rsidRDefault="00997A69" w:rsidP="00106934">
            <w:pPr>
              <w:spacing w:after="0" w:line="240" w:lineRule="auto"/>
              <w:jc w:val="right"/>
              <w:rPr>
                <w:sz w:val="20"/>
                <w:szCs w:val="20"/>
              </w:rPr>
            </w:pPr>
            <w:r w:rsidRPr="00C03007">
              <w:rPr>
                <w:sz w:val="20"/>
                <w:szCs w:val="20"/>
              </w:rPr>
              <w:t xml:space="preserve">$250,000 </w:t>
            </w:r>
          </w:p>
        </w:tc>
      </w:tr>
      <w:tr w:rsidR="00997A69" w:rsidRPr="00FB0085" w:rsidTr="00BA0CC5">
        <w:trPr>
          <w:trHeight w:val="300"/>
          <w:jc w:val="center"/>
        </w:trPr>
        <w:tc>
          <w:tcPr>
            <w:tcW w:w="1080"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c>
          <w:tcPr>
            <w:tcW w:w="1103"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c>
          <w:tcPr>
            <w:tcW w:w="1086"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c>
          <w:tcPr>
            <w:tcW w:w="1108"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c>
          <w:tcPr>
            <w:tcW w:w="1160"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c>
          <w:tcPr>
            <w:tcW w:w="1380"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c>
          <w:tcPr>
            <w:tcW w:w="1380"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c>
          <w:tcPr>
            <w:tcW w:w="1420"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c>
          <w:tcPr>
            <w:tcW w:w="1140"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r>
    </w:tbl>
    <w:p w:rsidR="00997A69" w:rsidRDefault="00997A69" w:rsidP="005D77F3">
      <w:pPr>
        <w:spacing w:after="0" w:line="240" w:lineRule="auto"/>
        <w:rPr>
          <w:sz w:val="18"/>
          <w:szCs w:val="18"/>
        </w:rPr>
      </w:pPr>
      <w:r>
        <w:rPr>
          <w:sz w:val="18"/>
          <w:szCs w:val="18"/>
          <w:vertAlign w:val="superscript"/>
        </w:rPr>
        <w:t xml:space="preserve">1 </w:t>
      </w:r>
      <w:r w:rsidRPr="00106934">
        <w:rPr>
          <w:sz w:val="18"/>
          <w:szCs w:val="18"/>
        </w:rPr>
        <w:t xml:space="preserve">For a </w:t>
      </w:r>
      <w:r w:rsidR="003D7973">
        <w:rPr>
          <w:sz w:val="18"/>
          <w:szCs w:val="18"/>
        </w:rPr>
        <w:t>CEP</w:t>
      </w:r>
      <w:r w:rsidRPr="00106934">
        <w:rPr>
          <w:sz w:val="18"/>
          <w:szCs w:val="18"/>
        </w:rPr>
        <w:t xml:space="preserve"> school, this figure is equal to the lesser of: </w:t>
      </w:r>
      <w:r>
        <w:rPr>
          <w:sz w:val="18"/>
          <w:szCs w:val="18"/>
        </w:rPr>
        <w:t xml:space="preserve"> </w:t>
      </w:r>
      <w:r w:rsidRPr="00106934">
        <w:rPr>
          <w:sz w:val="18"/>
          <w:szCs w:val="18"/>
        </w:rPr>
        <w:t>(a) Column 3 or (b) Column 4 multiplied by 1.6.</w:t>
      </w:r>
    </w:p>
    <w:p w:rsidR="00997A69" w:rsidRPr="00714BEB" w:rsidRDefault="00997A69" w:rsidP="005D77F3">
      <w:pPr>
        <w:spacing w:after="0" w:line="240" w:lineRule="auto"/>
        <w:rPr>
          <w:sz w:val="18"/>
          <w:szCs w:val="18"/>
        </w:rPr>
      </w:pPr>
      <w:r w:rsidRPr="00097DA7">
        <w:rPr>
          <w:sz w:val="18"/>
          <w:szCs w:val="18"/>
          <w:vertAlign w:val="superscript"/>
        </w:rPr>
        <w:t>2</w:t>
      </w:r>
      <w:r>
        <w:rPr>
          <w:sz w:val="18"/>
          <w:szCs w:val="18"/>
          <w:vertAlign w:val="superscript"/>
        </w:rPr>
        <w:t xml:space="preserve"> </w:t>
      </w:r>
      <w:r>
        <w:rPr>
          <w:sz w:val="18"/>
          <w:szCs w:val="18"/>
        </w:rPr>
        <w:t>P</w:t>
      </w:r>
      <w:r w:rsidRPr="00714BEB">
        <w:rPr>
          <w:sz w:val="18"/>
          <w:szCs w:val="18"/>
        </w:rPr>
        <w:t xml:space="preserve">overty data </w:t>
      </w:r>
      <w:r w:rsidR="0094376B">
        <w:rPr>
          <w:sz w:val="18"/>
          <w:szCs w:val="18"/>
        </w:rPr>
        <w:t xml:space="preserve">are </w:t>
      </w:r>
      <w:r>
        <w:rPr>
          <w:sz w:val="18"/>
          <w:szCs w:val="18"/>
        </w:rPr>
        <w:t xml:space="preserve">based on </w:t>
      </w:r>
      <w:r w:rsidRPr="003646F8">
        <w:rPr>
          <w:sz w:val="18"/>
          <w:szCs w:val="18"/>
        </w:rPr>
        <w:t xml:space="preserve">household applications and direct certification </w:t>
      </w:r>
      <w:r>
        <w:rPr>
          <w:sz w:val="18"/>
          <w:szCs w:val="18"/>
        </w:rPr>
        <w:t>data.</w:t>
      </w:r>
    </w:p>
    <w:p w:rsidR="00997A69" w:rsidRDefault="00997A69" w:rsidP="006E1371">
      <w:pPr>
        <w:spacing w:after="0" w:line="240" w:lineRule="auto"/>
        <w:rPr>
          <w:sz w:val="18"/>
          <w:szCs w:val="18"/>
        </w:rPr>
      </w:pPr>
    </w:p>
    <w:p w:rsidR="00997A69" w:rsidRDefault="00997A69" w:rsidP="006E1371">
      <w:pPr>
        <w:spacing w:after="0" w:line="240" w:lineRule="auto"/>
        <w:rPr>
          <w:sz w:val="18"/>
          <w:szCs w:val="18"/>
        </w:rPr>
      </w:pPr>
    </w:p>
    <w:p w:rsidR="00997A69" w:rsidRDefault="00997A69" w:rsidP="006E1371">
      <w:pPr>
        <w:spacing w:after="0" w:line="240" w:lineRule="auto"/>
        <w:rPr>
          <w:sz w:val="18"/>
          <w:szCs w:val="18"/>
        </w:rPr>
      </w:pPr>
    </w:p>
    <w:p w:rsidR="00997A69" w:rsidRDefault="00997A69" w:rsidP="006E1371">
      <w:pPr>
        <w:spacing w:after="0" w:line="240" w:lineRule="auto"/>
        <w:rPr>
          <w:sz w:val="18"/>
          <w:szCs w:val="18"/>
        </w:rPr>
        <w:sectPr w:rsidR="00997A69" w:rsidSect="00F93BBF">
          <w:pgSz w:w="12240" w:h="15840"/>
          <w:pgMar w:top="1440" w:right="1440" w:bottom="1440" w:left="1440" w:header="720" w:footer="288" w:gutter="0"/>
          <w:cols w:space="720"/>
          <w:docGrid w:linePitch="360"/>
        </w:sectPr>
      </w:pPr>
    </w:p>
    <w:tbl>
      <w:tblPr>
        <w:tblW w:w="10637" w:type="dxa"/>
        <w:jc w:val="center"/>
        <w:tblCellMar>
          <w:left w:w="0" w:type="dxa"/>
          <w:right w:w="0" w:type="dxa"/>
        </w:tblCellMar>
        <w:tblLook w:val="00A0" w:firstRow="1" w:lastRow="0" w:firstColumn="1" w:lastColumn="0" w:noHBand="0" w:noVBand="0"/>
      </w:tblPr>
      <w:tblGrid>
        <w:gridCol w:w="9497"/>
        <w:gridCol w:w="1140"/>
      </w:tblGrid>
      <w:tr w:rsidR="00997A69" w:rsidRPr="00FB0085" w:rsidTr="00E06797">
        <w:trPr>
          <w:trHeight w:val="300"/>
          <w:jc w:val="center"/>
        </w:trPr>
        <w:tc>
          <w:tcPr>
            <w:tcW w:w="9497" w:type="dxa"/>
            <w:noWrap/>
            <w:tcMar>
              <w:top w:w="0" w:type="dxa"/>
              <w:left w:w="108" w:type="dxa"/>
              <w:bottom w:w="0" w:type="dxa"/>
              <w:right w:w="108" w:type="dxa"/>
            </w:tcMar>
            <w:vAlign w:val="bottom"/>
          </w:tcPr>
          <w:p w:rsidR="00997A69" w:rsidRPr="00FB0085" w:rsidRDefault="00997A69" w:rsidP="005D77F3">
            <w:pPr>
              <w:spacing w:after="0" w:line="240" w:lineRule="auto"/>
              <w:rPr>
                <w:sz w:val="24"/>
                <w:szCs w:val="24"/>
              </w:rPr>
            </w:pPr>
          </w:p>
        </w:tc>
        <w:tc>
          <w:tcPr>
            <w:tcW w:w="1140" w:type="dxa"/>
            <w:noWrap/>
            <w:tcMar>
              <w:top w:w="0" w:type="dxa"/>
              <w:left w:w="108" w:type="dxa"/>
              <w:bottom w:w="0" w:type="dxa"/>
              <w:right w:w="108" w:type="dxa"/>
            </w:tcMar>
            <w:vAlign w:val="bottom"/>
          </w:tcPr>
          <w:p w:rsidR="00997A69" w:rsidRPr="00FB0085" w:rsidRDefault="00997A69" w:rsidP="006E1371">
            <w:pPr>
              <w:spacing w:after="0" w:line="240" w:lineRule="auto"/>
              <w:rPr>
                <w:sz w:val="24"/>
                <w:szCs w:val="24"/>
              </w:rPr>
            </w:pPr>
          </w:p>
        </w:tc>
      </w:tr>
    </w:tbl>
    <w:p w:rsidR="00997A69" w:rsidRPr="001C766E" w:rsidRDefault="00997A69" w:rsidP="00106934">
      <w:pPr>
        <w:pStyle w:val="Heading2"/>
        <w:numPr>
          <w:ilvl w:val="0"/>
          <w:numId w:val="8"/>
        </w:numPr>
        <w:ind w:left="360"/>
      </w:pPr>
      <w:bookmarkStart w:id="106" w:name="_Toc414355057"/>
      <w:r w:rsidRPr="001C766E">
        <w:t xml:space="preserve">If an LEA chooses to group </w:t>
      </w:r>
      <w:r w:rsidR="003D7973">
        <w:t>CEP</w:t>
      </w:r>
      <w:r>
        <w:t xml:space="preserve"> </w:t>
      </w:r>
      <w:r w:rsidRPr="001C766E">
        <w:t xml:space="preserve">schools </w:t>
      </w:r>
      <w:r>
        <w:t>to determine the</w:t>
      </w:r>
      <w:r w:rsidRPr="001C766E">
        <w:t xml:space="preserve"> reimbursement</w:t>
      </w:r>
      <w:r>
        <w:t xml:space="preserve"> rate from USDA</w:t>
      </w:r>
      <w:r w:rsidRPr="001C766E">
        <w:t xml:space="preserve">, does each school </w:t>
      </w:r>
      <w:r w:rsidR="009344EA">
        <w:t xml:space="preserve">in a group </w:t>
      </w:r>
      <w:r w:rsidRPr="001C766E">
        <w:t xml:space="preserve">then have the same poverty percentage for Title I ranking and </w:t>
      </w:r>
      <w:r>
        <w:t>allocation</w:t>
      </w:r>
      <w:r w:rsidRPr="001C766E">
        <w:t xml:space="preserve"> purposes?</w:t>
      </w:r>
      <w:bookmarkEnd w:id="106"/>
    </w:p>
    <w:p w:rsidR="00997A69" w:rsidRPr="001C766E" w:rsidRDefault="00997A69" w:rsidP="00DE2E26">
      <w:pPr>
        <w:spacing w:after="0" w:line="240" w:lineRule="auto"/>
        <w:rPr>
          <w:sz w:val="24"/>
          <w:szCs w:val="24"/>
        </w:rPr>
      </w:pPr>
    </w:p>
    <w:p w:rsidR="00997A69" w:rsidRDefault="00997A69" w:rsidP="00655D93">
      <w:pPr>
        <w:spacing w:after="0" w:line="240" w:lineRule="auto"/>
        <w:rPr>
          <w:sz w:val="24"/>
          <w:szCs w:val="24"/>
        </w:rPr>
      </w:pPr>
      <w:r w:rsidRPr="001C766E">
        <w:rPr>
          <w:sz w:val="24"/>
          <w:szCs w:val="24"/>
        </w:rPr>
        <w:t xml:space="preserve">No.  </w:t>
      </w:r>
      <w:r>
        <w:rPr>
          <w:sz w:val="24"/>
          <w:szCs w:val="24"/>
        </w:rPr>
        <w:t xml:space="preserve">As noted </w:t>
      </w:r>
      <w:r w:rsidRPr="006B525C">
        <w:rPr>
          <w:sz w:val="24"/>
          <w:szCs w:val="24"/>
        </w:rPr>
        <w:t xml:space="preserve">in </w:t>
      </w:r>
      <w:r w:rsidRPr="00D51748">
        <w:rPr>
          <w:sz w:val="24"/>
          <w:szCs w:val="24"/>
        </w:rPr>
        <w:t>Question 3</w:t>
      </w:r>
      <w:r w:rsidRPr="006B525C">
        <w:rPr>
          <w:sz w:val="24"/>
          <w:szCs w:val="24"/>
        </w:rPr>
        <w:t>,</w:t>
      </w:r>
      <w:r>
        <w:rPr>
          <w:sz w:val="24"/>
          <w:szCs w:val="24"/>
        </w:rPr>
        <w:t xml:space="preserve"> </w:t>
      </w:r>
      <w:r w:rsidRPr="00DD5511">
        <w:rPr>
          <w:sz w:val="24"/>
          <w:szCs w:val="24"/>
        </w:rPr>
        <w:t xml:space="preserve">schools </w:t>
      </w:r>
      <w:r>
        <w:rPr>
          <w:sz w:val="24"/>
          <w:szCs w:val="24"/>
        </w:rPr>
        <w:t>may be</w:t>
      </w:r>
      <w:r w:rsidRPr="00DD5511">
        <w:rPr>
          <w:sz w:val="24"/>
          <w:szCs w:val="24"/>
        </w:rPr>
        <w:t xml:space="preserve"> grouped to determine the USDA </w:t>
      </w:r>
      <w:r>
        <w:rPr>
          <w:sz w:val="24"/>
          <w:szCs w:val="24"/>
        </w:rPr>
        <w:t>reimbursement</w:t>
      </w:r>
      <w:r w:rsidRPr="00DD5511">
        <w:rPr>
          <w:sz w:val="24"/>
          <w:szCs w:val="24"/>
        </w:rPr>
        <w:t xml:space="preserve"> </w:t>
      </w:r>
      <w:r>
        <w:rPr>
          <w:sz w:val="24"/>
          <w:szCs w:val="24"/>
        </w:rPr>
        <w:t xml:space="preserve">rate. </w:t>
      </w:r>
      <w:r w:rsidRPr="001C766E">
        <w:rPr>
          <w:sz w:val="24"/>
          <w:szCs w:val="24"/>
        </w:rPr>
        <w:t xml:space="preserve"> </w:t>
      </w:r>
      <w:r>
        <w:rPr>
          <w:sz w:val="24"/>
          <w:szCs w:val="24"/>
        </w:rPr>
        <w:t xml:space="preserve">Under section 1113 of the ESEA, </w:t>
      </w:r>
      <w:r w:rsidR="009344EA">
        <w:rPr>
          <w:sz w:val="24"/>
          <w:szCs w:val="24"/>
        </w:rPr>
        <w:t xml:space="preserve">however, </w:t>
      </w:r>
      <w:r>
        <w:rPr>
          <w:sz w:val="24"/>
          <w:szCs w:val="24"/>
        </w:rPr>
        <w:t xml:space="preserve">an LEA </w:t>
      </w:r>
      <w:r w:rsidRPr="008917B8">
        <w:rPr>
          <w:sz w:val="24"/>
          <w:szCs w:val="24"/>
        </w:rPr>
        <w:t xml:space="preserve">with an enrollment of at least 1,000 students </w:t>
      </w:r>
      <w:r>
        <w:rPr>
          <w:sz w:val="24"/>
          <w:szCs w:val="24"/>
        </w:rPr>
        <w:t>must</w:t>
      </w:r>
      <w:r w:rsidRPr="008917B8">
        <w:rPr>
          <w:sz w:val="24"/>
          <w:szCs w:val="24"/>
        </w:rPr>
        <w:t xml:space="preserve"> rank schools </w:t>
      </w:r>
      <w:r>
        <w:rPr>
          <w:sz w:val="24"/>
          <w:szCs w:val="24"/>
        </w:rPr>
        <w:t>individually for ranking and allocation purposes.  Thus, i</w:t>
      </w:r>
      <w:r w:rsidRPr="001C766E">
        <w:rPr>
          <w:sz w:val="24"/>
          <w:szCs w:val="24"/>
        </w:rPr>
        <w:t>f an</w:t>
      </w:r>
      <w:r w:rsidRPr="00DD5511">
        <w:rPr>
          <w:sz w:val="24"/>
          <w:szCs w:val="24"/>
        </w:rPr>
        <w:t xml:space="preserve"> LEA groups schools </w:t>
      </w:r>
      <w:r w:rsidR="009344EA">
        <w:rPr>
          <w:sz w:val="24"/>
          <w:szCs w:val="24"/>
        </w:rPr>
        <w:t xml:space="preserve">in order for them </w:t>
      </w:r>
      <w:r>
        <w:rPr>
          <w:sz w:val="24"/>
          <w:szCs w:val="24"/>
        </w:rPr>
        <w:t xml:space="preserve">to be eligible for </w:t>
      </w:r>
      <w:r w:rsidR="003D7973">
        <w:rPr>
          <w:sz w:val="24"/>
          <w:szCs w:val="24"/>
        </w:rPr>
        <w:t>CEP</w:t>
      </w:r>
      <w:r>
        <w:rPr>
          <w:sz w:val="24"/>
          <w:szCs w:val="24"/>
        </w:rPr>
        <w:t xml:space="preserve"> or to maximize</w:t>
      </w:r>
      <w:r w:rsidRPr="00DD5511">
        <w:rPr>
          <w:sz w:val="24"/>
          <w:szCs w:val="24"/>
        </w:rPr>
        <w:t xml:space="preserve"> </w:t>
      </w:r>
      <w:r w:rsidR="003D7973">
        <w:rPr>
          <w:sz w:val="24"/>
          <w:szCs w:val="24"/>
        </w:rPr>
        <w:t>CEP</w:t>
      </w:r>
      <w:r w:rsidRPr="00DD5511">
        <w:rPr>
          <w:sz w:val="24"/>
          <w:szCs w:val="24"/>
        </w:rPr>
        <w:t xml:space="preserve"> </w:t>
      </w:r>
      <w:r>
        <w:rPr>
          <w:sz w:val="24"/>
          <w:szCs w:val="24"/>
        </w:rPr>
        <w:t>reimbursement</w:t>
      </w:r>
      <w:r w:rsidRPr="00DD5511">
        <w:rPr>
          <w:sz w:val="24"/>
          <w:szCs w:val="24"/>
        </w:rPr>
        <w:t xml:space="preserve">, the LEA </w:t>
      </w:r>
      <w:r>
        <w:rPr>
          <w:sz w:val="24"/>
          <w:szCs w:val="24"/>
        </w:rPr>
        <w:t>must</w:t>
      </w:r>
      <w:r w:rsidRPr="00DD5511">
        <w:rPr>
          <w:sz w:val="24"/>
          <w:szCs w:val="24"/>
        </w:rPr>
        <w:t xml:space="preserve"> </w:t>
      </w:r>
      <w:r>
        <w:rPr>
          <w:sz w:val="24"/>
          <w:szCs w:val="24"/>
        </w:rPr>
        <w:t xml:space="preserve">still </w:t>
      </w:r>
      <w:r w:rsidRPr="00DD5511">
        <w:rPr>
          <w:sz w:val="24"/>
          <w:szCs w:val="24"/>
        </w:rPr>
        <w:t xml:space="preserve">use the </w:t>
      </w:r>
      <w:r w:rsidR="003D7973">
        <w:rPr>
          <w:sz w:val="24"/>
          <w:szCs w:val="24"/>
        </w:rPr>
        <w:t>CEP</w:t>
      </w:r>
      <w:r w:rsidRPr="00DD5511">
        <w:rPr>
          <w:sz w:val="24"/>
          <w:szCs w:val="24"/>
        </w:rPr>
        <w:t xml:space="preserve"> data</w:t>
      </w:r>
      <w:r w:rsidR="009344EA">
        <w:rPr>
          <w:sz w:val="24"/>
          <w:szCs w:val="24"/>
        </w:rPr>
        <w:t>, either alone or multiplied by the 1.6 multiplier,</w:t>
      </w:r>
      <w:r w:rsidRPr="00DD5511">
        <w:rPr>
          <w:sz w:val="24"/>
          <w:szCs w:val="24"/>
        </w:rPr>
        <w:t xml:space="preserve"> f</w:t>
      </w:r>
      <w:r w:rsidR="009344EA">
        <w:rPr>
          <w:sz w:val="24"/>
          <w:szCs w:val="24"/>
        </w:rPr>
        <w:t>o</w:t>
      </w:r>
      <w:r w:rsidRPr="00DD5511">
        <w:rPr>
          <w:sz w:val="24"/>
          <w:szCs w:val="24"/>
        </w:rPr>
        <w:t>r</w:t>
      </w:r>
      <w:r>
        <w:rPr>
          <w:sz w:val="24"/>
          <w:szCs w:val="24"/>
        </w:rPr>
        <w:t xml:space="preserve"> each individual school for </w:t>
      </w:r>
      <w:r w:rsidRPr="00DD5511">
        <w:rPr>
          <w:sz w:val="24"/>
          <w:szCs w:val="24"/>
        </w:rPr>
        <w:t>Title I ranking</w:t>
      </w:r>
      <w:r>
        <w:rPr>
          <w:sz w:val="24"/>
          <w:szCs w:val="24"/>
        </w:rPr>
        <w:t xml:space="preserve"> and allocation purposes</w:t>
      </w:r>
      <w:r w:rsidRPr="00DD5511">
        <w:rPr>
          <w:sz w:val="24"/>
          <w:szCs w:val="24"/>
        </w:rPr>
        <w:t xml:space="preserve">.  </w:t>
      </w:r>
      <w:r>
        <w:rPr>
          <w:sz w:val="24"/>
          <w:szCs w:val="24"/>
        </w:rPr>
        <w:t>For example:</w:t>
      </w:r>
    </w:p>
    <w:p w:rsidR="00997A69" w:rsidRDefault="00997A69" w:rsidP="00655D93">
      <w:pPr>
        <w:spacing w:after="0" w:line="240" w:lineRule="auto"/>
        <w:rPr>
          <w:sz w:val="24"/>
          <w:szCs w:val="24"/>
        </w:rPr>
      </w:pPr>
    </w:p>
    <w:p w:rsidR="00997A69" w:rsidRDefault="00997A69" w:rsidP="00655D93">
      <w:pPr>
        <w:numPr>
          <w:ilvl w:val="0"/>
          <w:numId w:val="29"/>
        </w:numPr>
        <w:spacing w:after="0" w:line="240" w:lineRule="auto"/>
        <w:rPr>
          <w:sz w:val="24"/>
          <w:szCs w:val="24"/>
        </w:rPr>
      </w:pPr>
      <w:r>
        <w:rPr>
          <w:sz w:val="24"/>
          <w:szCs w:val="24"/>
        </w:rPr>
        <w:t>School 1 has 425 enrolled students, of whom 400 are directly certified.  By virtue of the 1.6 multiplier, the school’s poverty rate is 100 percent (400 directly certified students x the 1.6 multiplier = 680 (greater than the school’s enrollment of 425 students)).</w:t>
      </w:r>
    </w:p>
    <w:p w:rsidR="00997A69" w:rsidRDefault="00997A69" w:rsidP="001A38EF">
      <w:pPr>
        <w:numPr>
          <w:ilvl w:val="0"/>
          <w:numId w:val="29"/>
        </w:numPr>
        <w:spacing w:after="0" w:line="240" w:lineRule="auto"/>
        <w:rPr>
          <w:sz w:val="24"/>
          <w:szCs w:val="24"/>
        </w:rPr>
      </w:pPr>
      <w:r>
        <w:rPr>
          <w:sz w:val="24"/>
          <w:szCs w:val="24"/>
        </w:rPr>
        <w:t xml:space="preserve">School 2 has 600 students, of whom 350 are directly certified.  By virtue of the 1.6 multiplier, the school’s poverty rate is 93 percent (350 directly certified students x the 1.6 multiplier </w:t>
      </w:r>
      <w:r w:rsidR="009A551D">
        <w:rPr>
          <w:sz w:val="24"/>
          <w:szCs w:val="24"/>
        </w:rPr>
        <w:t xml:space="preserve">= </w:t>
      </w:r>
      <w:r>
        <w:rPr>
          <w:sz w:val="24"/>
          <w:szCs w:val="24"/>
        </w:rPr>
        <w:t>560 divided by the enrollment of 600 = 93 percent).</w:t>
      </w:r>
    </w:p>
    <w:p w:rsidR="00997A69" w:rsidRDefault="00997A69" w:rsidP="00655D93">
      <w:pPr>
        <w:numPr>
          <w:ilvl w:val="0"/>
          <w:numId w:val="29"/>
        </w:numPr>
        <w:spacing w:after="0" w:line="240" w:lineRule="auto"/>
        <w:rPr>
          <w:sz w:val="24"/>
          <w:szCs w:val="24"/>
        </w:rPr>
      </w:pPr>
      <w:r w:rsidRPr="00655D93">
        <w:rPr>
          <w:sz w:val="24"/>
          <w:szCs w:val="24"/>
        </w:rPr>
        <w:t>For USDA reimbursement, the LEA may combine the data for School 1 and School 2, resulting in a reimbursement rate of 100 percent</w:t>
      </w:r>
      <w:r w:rsidR="009344EA">
        <w:rPr>
          <w:sz w:val="24"/>
          <w:szCs w:val="24"/>
        </w:rPr>
        <w:t xml:space="preserve"> for the schools as a group</w:t>
      </w:r>
      <w:r w:rsidRPr="00655D93">
        <w:rPr>
          <w:sz w:val="24"/>
          <w:szCs w:val="24"/>
        </w:rPr>
        <w:t>.  (The reimbursement rate is 100 percent because</w:t>
      </w:r>
      <w:r w:rsidR="0062422B">
        <w:rPr>
          <w:sz w:val="24"/>
          <w:szCs w:val="24"/>
        </w:rPr>
        <w:t xml:space="preserve">: 750 directly certified students divided by </w:t>
      </w:r>
      <w:r w:rsidR="0060694B">
        <w:rPr>
          <w:sz w:val="24"/>
          <w:szCs w:val="24"/>
        </w:rPr>
        <w:t>the enrollment of 1,025</w:t>
      </w:r>
      <w:r w:rsidR="0062422B">
        <w:rPr>
          <w:sz w:val="24"/>
          <w:szCs w:val="24"/>
        </w:rPr>
        <w:t xml:space="preserve"> = 73.1 percent x 1.6 = 100 percent reimbursement</w:t>
      </w:r>
      <w:r w:rsidR="006B525C">
        <w:rPr>
          <w:sz w:val="24"/>
          <w:szCs w:val="24"/>
        </w:rPr>
        <w:t>.</w:t>
      </w:r>
      <w:r w:rsidRPr="00655D93">
        <w:rPr>
          <w:sz w:val="24"/>
          <w:szCs w:val="24"/>
        </w:rPr>
        <w:t>)</w:t>
      </w:r>
    </w:p>
    <w:p w:rsidR="00997A69" w:rsidRDefault="00997A69" w:rsidP="00655D93">
      <w:pPr>
        <w:numPr>
          <w:ilvl w:val="0"/>
          <w:numId w:val="29"/>
        </w:numPr>
        <w:spacing w:after="0" w:line="240" w:lineRule="auto"/>
        <w:rPr>
          <w:sz w:val="24"/>
          <w:szCs w:val="24"/>
        </w:rPr>
      </w:pPr>
      <w:r w:rsidRPr="00655D93">
        <w:rPr>
          <w:sz w:val="24"/>
          <w:szCs w:val="24"/>
        </w:rPr>
        <w:t>For Title I ranking and allocation purposes, however, the LEA must use the individual school percentages (School 1 = 100 percent; School 2 = 93 percent).</w:t>
      </w:r>
    </w:p>
    <w:p w:rsidR="00997A69" w:rsidRPr="00655D93" w:rsidRDefault="00997A69" w:rsidP="00655D93">
      <w:pPr>
        <w:spacing w:after="0" w:line="240" w:lineRule="auto"/>
        <w:ind w:left="360"/>
        <w:rPr>
          <w:sz w:val="24"/>
          <w:szCs w:val="24"/>
        </w:rPr>
      </w:pPr>
    </w:p>
    <w:p w:rsidR="00997A69" w:rsidRPr="007E1D4E" w:rsidRDefault="00997A69" w:rsidP="001A38EF">
      <w:pPr>
        <w:pStyle w:val="Heading2"/>
        <w:numPr>
          <w:ilvl w:val="0"/>
          <w:numId w:val="8"/>
        </w:numPr>
        <w:ind w:left="360"/>
      </w:pPr>
      <w:bookmarkStart w:id="107" w:name="_Toc414355058"/>
      <w:r w:rsidRPr="007E1D4E">
        <w:t>I</w:t>
      </w:r>
      <w:r>
        <w:t>f</w:t>
      </w:r>
      <w:r w:rsidRPr="007E1D4E">
        <w:t xml:space="preserve"> an LEA </w:t>
      </w:r>
      <w:r>
        <w:t xml:space="preserve">has traditionally </w:t>
      </w:r>
      <w:r w:rsidRPr="007E1D4E">
        <w:t>establishe</w:t>
      </w:r>
      <w:r>
        <w:t>d</w:t>
      </w:r>
      <w:r w:rsidRPr="007E1D4E">
        <w:t xml:space="preserve"> a cutoff above which Title I-eligible schools are served, does the LEA have </w:t>
      </w:r>
      <w:r>
        <w:t xml:space="preserve">any options </w:t>
      </w:r>
      <w:r w:rsidRPr="007E1D4E">
        <w:t xml:space="preserve">if the use of </w:t>
      </w:r>
      <w:r w:rsidR="003D7973">
        <w:t>CEP</w:t>
      </w:r>
      <w:r w:rsidRPr="007E1D4E">
        <w:t xml:space="preserve"> data increases the number of schools above the cutoff?</w:t>
      </w:r>
      <w:bookmarkEnd w:id="107"/>
    </w:p>
    <w:p w:rsidR="00997A69" w:rsidRPr="007E1D4E" w:rsidRDefault="00997A69" w:rsidP="00DE2E26">
      <w:pPr>
        <w:spacing w:after="0" w:line="240" w:lineRule="auto"/>
        <w:rPr>
          <w:sz w:val="24"/>
          <w:szCs w:val="24"/>
        </w:rPr>
      </w:pPr>
    </w:p>
    <w:p w:rsidR="00997A69" w:rsidRDefault="00997A69" w:rsidP="00DE2E26">
      <w:pPr>
        <w:spacing w:after="0" w:line="240" w:lineRule="auto"/>
        <w:rPr>
          <w:sz w:val="24"/>
          <w:szCs w:val="24"/>
        </w:rPr>
      </w:pPr>
      <w:r>
        <w:rPr>
          <w:sz w:val="24"/>
          <w:szCs w:val="24"/>
        </w:rPr>
        <w:t>Yes, an LEA has several options.  One option, and perhaps the most straightforward option, is for a</w:t>
      </w:r>
      <w:r w:rsidRPr="007E1D4E">
        <w:rPr>
          <w:sz w:val="24"/>
          <w:szCs w:val="24"/>
        </w:rPr>
        <w:t xml:space="preserve">n LEA to raise its cutoff point. </w:t>
      </w:r>
      <w:r>
        <w:rPr>
          <w:sz w:val="24"/>
          <w:szCs w:val="24"/>
        </w:rPr>
        <w:t xml:space="preserve"> For example, if an LEA’s policy was to serve all schools above 60 percent poverty, the LEA could choose to serve schools above a higher poverty percentage (e.g., 67 percent).</w:t>
      </w:r>
      <w:r w:rsidRPr="007E1D4E">
        <w:rPr>
          <w:sz w:val="24"/>
          <w:szCs w:val="24"/>
        </w:rPr>
        <w:t xml:space="preserve"> </w:t>
      </w:r>
      <w:r>
        <w:rPr>
          <w:sz w:val="24"/>
          <w:szCs w:val="24"/>
        </w:rPr>
        <w:t xml:space="preserve"> </w:t>
      </w:r>
    </w:p>
    <w:p w:rsidR="00997A69" w:rsidRDefault="00997A69" w:rsidP="00DE2E26">
      <w:pPr>
        <w:spacing w:after="0" w:line="240" w:lineRule="auto"/>
        <w:rPr>
          <w:sz w:val="24"/>
          <w:szCs w:val="24"/>
        </w:rPr>
      </w:pPr>
    </w:p>
    <w:p w:rsidR="00997A69" w:rsidRPr="00CD4547" w:rsidRDefault="00997A69" w:rsidP="000B1605">
      <w:pPr>
        <w:spacing w:after="0" w:line="240" w:lineRule="auto"/>
        <w:rPr>
          <w:sz w:val="16"/>
          <w:szCs w:val="16"/>
        </w:rPr>
      </w:pPr>
      <w:r>
        <w:rPr>
          <w:sz w:val="24"/>
          <w:szCs w:val="24"/>
        </w:rPr>
        <w:t>For the sole purpose of within-district Title I allocations, a second option would be for an LEA to</w:t>
      </w:r>
      <w:r w:rsidRPr="007E1D4E">
        <w:rPr>
          <w:sz w:val="24"/>
          <w:szCs w:val="24"/>
        </w:rPr>
        <w:t xml:space="preserve"> use</w:t>
      </w:r>
      <w:r>
        <w:rPr>
          <w:sz w:val="24"/>
          <w:szCs w:val="24"/>
        </w:rPr>
        <w:t>,</w:t>
      </w:r>
      <w:r w:rsidRPr="007E1D4E">
        <w:rPr>
          <w:sz w:val="24"/>
          <w:szCs w:val="24"/>
        </w:rPr>
        <w:t xml:space="preserve"> </w:t>
      </w:r>
      <w:r>
        <w:rPr>
          <w:sz w:val="24"/>
          <w:szCs w:val="24"/>
        </w:rPr>
        <w:t>as authorized by section 1113(a)(5) of the ESEA,</w:t>
      </w:r>
      <w:r w:rsidRPr="007E1D4E">
        <w:rPr>
          <w:sz w:val="24"/>
          <w:szCs w:val="24"/>
        </w:rPr>
        <w:t xml:space="preserve"> another allowable </w:t>
      </w:r>
      <w:r>
        <w:rPr>
          <w:sz w:val="24"/>
          <w:szCs w:val="24"/>
        </w:rPr>
        <w:t xml:space="preserve">poverty </w:t>
      </w:r>
      <w:r w:rsidRPr="007E1D4E">
        <w:rPr>
          <w:sz w:val="24"/>
          <w:szCs w:val="24"/>
        </w:rPr>
        <w:t xml:space="preserve">measure or combination of measures to rank </w:t>
      </w:r>
      <w:r>
        <w:rPr>
          <w:sz w:val="24"/>
          <w:szCs w:val="24"/>
        </w:rPr>
        <w:t xml:space="preserve">its </w:t>
      </w:r>
      <w:r w:rsidRPr="007E1D4E">
        <w:rPr>
          <w:sz w:val="24"/>
          <w:szCs w:val="24"/>
        </w:rPr>
        <w:t xml:space="preserve">schools that </w:t>
      </w:r>
      <w:r>
        <w:rPr>
          <w:sz w:val="24"/>
          <w:szCs w:val="24"/>
        </w:rPr>
        <w:t>might</w:t>
      </w:r>
      <w:r w:rsidRPr="007E1D4E">
        <w:rPr>
          <w:sz w:val="24"/>
          <w:szCs w:val="24"/>
        </w:rPr>
        <w:t xml:space="preserve"> result in fewer schools above its cutoff.</w:t>
      </w:r>
      <w:r w:rsidRPr="001D4FB4">
        <w:rPr>
          <w:rStyle w:val="FootnoteReference"/>
          <w:sz w:val="24"/>
          <w:szCs w:val="24"/>
        </w:rPr>
        <w:t xml:space="preserve"> </w:t>
      </w:r>
      <w:r>
        <w:rPr>
          <w:rStyle w:val="FootnoteReference"/>
          <w:sz w:val="24"/>
          <w:szCs w:val="24"/>
        </w:rPr>
        <w:footnoteReference w:id="9"/>
      </w:r>
      <w:r w:rsidRPr="007E1D4E">
        <w:rPr>
          <w:sz w:val="24"/>
          <w:szCs w:val="24"/>
        </w:rPr>
        <w:t xml:space="preserve">  </w:t>
      </w:r>
    </w:p>
    <w:p w:rsidR="00997A69" w:rsidRPr="00D4349D" w:rsidRDefault="00997A69" w:rsidP="00AB0BCF">
      <w:pPr>
        <w:spacing w:after="0" w:line="240" w:lineRule="auto"/>
        <w:rPr>
          <w:sz w:val="16"/>
          <w:szCs w:val="16"/>
        </w:rPr>
      </w:pPr>
      <w:r>
        <w:rPr>
          <w:sz w:val="16"/>
          <w:szCs w:val="16"/>
        </w:rPr>
        <w:t xml:space="preserve">  </w:t>
      </w:r>
    </w:p>
    <w:p w:rsidR="00997A69" w:rsidRPr="00A0305C" w:rsidRDefault="00997A69" w:rsidP="00AB0BCF">
      <w:pPr>
        <w:spacing w:after="0" w:line="240" w:lineRule="auto"/>
        <w:rPr>
          <w:b/>
          <w:i/>
          <w:iCs/>
          <w:sz w:val="24"/>
          <w:szCs w:val="24"/>
          <w:u w:val="single"/>
        </w:rPr>
      </w:pPr>
    </w:p>
    <w:p w:rsidR="00997A69" w:rsidRDefault="00997A69" w:rsidP="00043065">
      <w:pPr>
        <w:pStyle w:val="Heading2"/>
        <w:numPr>
          <w:ilvl w:val="0"/>
          <w:numId w:val="8"/>
        </w:numPr>
        <w:ind w:left="360"/>
        <w:rPr>
          <w:b w:val="0"/>
        </w:rPr>
      </w:pPr>
      <w:bookmarkStart w:id="108" w:name="_Toc414355059"/>
      <w:bookmarkEnd w:id="0"/>
      <w:bookmarkEnd w:id="1"/>
      <w:r>
        <w:lastRenderedPageBreak/>
        <w:t xml:space="preserve">May an LEA with one or more </w:t>
      </w:r>
      <w:r w:rsidR="003D7973">
        <w:t>CEP</w:t>
      </w:r>
      <w:r>
        <w:t xml:space="preserve"> schools conduct its own survey to collect the equivalent of NSLP data from the </w:t>
      </w:r>
      <w:r w:rsidR="003D7973">
        <w:t>CEP</w:t>
      </w:r>
      <w:r>
        <w:t xml:space="preserve"> schools for Title I within-district allocations?</w:t>
      </w:r>
      <w:r w:rsidR="00B72131">
        <w:t xml:space="preserve"> </w:t>
      </w:r>
      <w:r w:rsidR="00B72131">
        <w:rPr>
          <w:i/>
        </w:rPr>
        <w:t xml:space="preserve">(Modified </w:t>
      </w:r>
      <w:r w:rsidR="00376636">
        <w:rPr>
          <w:i/>
        </w:rPr>
        <w:t>March</w:t>
      </w:r>
      <w:r w:rsidR="00B72131">
        <w:rPr>
          <w:i/>
        </w:rPr>
        <w:t xml:space="preserve"> 2015)</w:t>
      </w:r>
      <w:bookmarkEnd w:id="108"/>
    </w:p>
    <w:p w:rsidR="00997A69" w:rsidRDefault="00997A69" w:rsidP="0076551C">
      <w:pPr>
        <w:spacing w:after="0" w:line="240" w:lineRule="auto"/>
      </w:pPr>
    </w:p>
    <w:p w:rsidR="00997A69" w:rsidRDefault="00997A69" w:rsidP="0076551C">
      <w:pPr>
        <w:spacing w:after="0" w:line="240" w:lineRule="auto"/>
        <w:rPr>
          <w:sz w:val="24"/>
          <w:szCs w:val="24"/>
        </w:rPr>
      </w:pPr>
      <w:r>
        <w:rPr>
          <w:sz w:val="24"/>
          <w:szCs w:val="24"/>
        </w:rPr>
        <w:t xml:space="preserve">Yes; however, ED urges an LEA to give careful consideration to this decision.  As noted earlier, one of the purposes of </w:t>
      </w:r>
      <w:r w:rsidR="003D7973">
        <w:rPr>
          <w:sz w:val="24"/>
          <w:szCs w:val="24"/>
        </w:rPr>
        <w:t>CEP</w:t>
      </w:r>
      <w:r>
        <w:rPr>
          <w:sz w:val="24"/>
          <w:szCs w:val="24"/>
        </w:rPr>
        <w:t xml:space="preserve"> is to reduce burden.  Conducting a survey just for Title I would add burden that may not be necessary because, in the case of an LEA that has one or more </w:t>
      </w:r>
      <w:r w:rsidR="003D7973">
        <w:rPr>
          <w:sz w:val="24"/>
          <w:szCs w:val="24"/>
        </w:rPr>
        <w:t>CEP</w:t>
      </w:r>
      <w:r>
        <w:rPr>
          <w:sz w:val="24"/>
          <w:szCs w:val="24"/>
        </w:rPr>
        <w:t xml:space="preserve"> schools, the LEA by definition already has poverty data for one of the permitted sources under section 1113(a)(5) of the ESEA (NSLP data).  </w:t>
      </w:r>
    </w:p>
    <w:p w:rsidR="00997A69" w:rsidRDefault="00997A69" w:rsidP="0076551C">
      <w:pPr>
        <w:spacing w:after="0" w:line="240" w:lineRule="auto"/>
        <w:rPr>
          <w:sz w:val="24"/>
          <w:szCs w:val="24"/>
        </w:rPr>
      </w:pPr>
    </w:p>
    <w:p w:rsidR="00997A69" w:rsidRDefault="00997A69" w:rsidP="0076551C">
      <w:pPr>
        <w:spacing w:after="0" w:line="240" w:lineRule="auto"/>
        <w:rPr>
          <w:sz w:val="24"/>
          <w:szCs w:val="24"/>
        </w:rPr>
      </w:pPr>
      <w:r>
        <w:rPr>
          <w:sz w:val="24"/>
          <w:szCs w:val="24"/>
        </w:rPr>
        <w:t>Should an LEA decide to carry out such a survey, the LEA may use the results for Title I within-district allocations as long as it is confident that the survey data are accurate and used consistently with the ranking and serving criteria in section 1113 of the ESEA, including the income cutoff for one or more of the programs listed in section 1113(a)(5).  If an LEA carries out this type of survey, the LEA must ensure that it does not in any way indicate that the survey is required by ED or USDA.</w:t>
      </w:r>
      <w:r>
        <w:rPr>
          <w:rStyle w:val="FootnoteReference"/>
          <w:sz w:val="24"/>
          <w:szCs w:val="24"/>
        </w:rPr>
        <w:footnoteReference w:id="10"/>
      </w:r>
      <w:r w:rsidR="006E0C6D">
        <w:rPr>
          <w:sz w:val="24"/>
          <w:szCs w:val="24"/>
        </w:rPr>
        <w:t xml:space="preserve">  Additionally, if an LEA uses such a survey, </w:t>
      </w:r>
      <w:r w:rsidR="004B47D8">
        <w:rPr>
          <w:sz w:val="24"/>
          <w:szCs w:val="24"/>
        </w:rPr>
        <w:t xml:space="preserve">for purposes of allocating funds to provide equitable services to eligible private school students </w:t>
      </w:r>
      <w:r w:rsidR="006E0C6D">
        <w:rPr>
          <w:sz w:val="24"/>
          <w:szCs w:val="24"/>
        </w:rPr>
        <w:t xml:space="preserve">it should consult with private school officials to determine whether </w:t>
      </w:r>
      <w:r w:rsidR="004B47D8">
        <w:rPr>
          <w:sz w:val="24"/>
          <w:szCs w:val="24"/>
        </w:rPr>
        <w:t xml:space="preserve">to use </w:t>
      </w:r>
      <w:r w:rsidR="00605A19">
        <w:rPr>
          <w:sz w:val="24"/>
          <w:szCs w:val="24"/>
        </w:rPr>
        <w:t>the same or similar</w:t>
      </w:r>
      <w:r w:rsidR="006E0C6D">
        <w:rPr>
          <w:sz w:val="24"/>
          <w:szCs w:val="24"/>
        </w:rPr>
        <w:t xml:space="preserve"> survey to determine the number of private school children from lo</w:t>
      </w:r>
      <w:r w:rsidR="004B47D8">
        <w:rPr>
          <w:sz w:val="24"/>
          <w:szCs w:val="24"/>
        </w:rPr>
        <w:t>w</w:t>
      </w:r>
      <w:r w:rsidR="00B72131">
        <w:rPr>
          <w:sz w:val="24"/>
          <w:szCs w:val="24"/>
        </w:rPr>
        <w:t>-</w:t>
      </w:r>
      <w:r w:rsidR="004B47D8">
        <w:rPr>
          <w:sz w:val="24"/>
          <w:szCs w:val="24"/>
        </w:rPr>
        <w:t>income families who reside in a participating public school attendance area.</w:t>
      </w:r>
      <w:r>
        <w:rPr>
          <w:sz w:val="24"/>
          <w:szCs w:val="24"/>
        </w:rPr>
        <w:t xml:space="preserve">    </w:t>
      </w:r>
    </w:p>
    <w:p w:rsidR="002B08E7" w:rsidRDefault="002B08E7" w:rsidP="002B08E7">
      <w:pPr>
        <w:pStyle w:val="Heading2"/>
        <w:numPr>
          <w:ilvl w:val="0"/>
          <w:numId w:val="0"/>
        </w:numPr>
      </w:pPr>
    </w:p>
    <w:p w:rsidR="001B0C13" w:rsidRPr="00B90510" w:rsidRDefault="00013466" w:rsidP="00153779">
      <w:pPr>
        <w:pStyle w:val="Heading2"/>
        <w:numPr>
          <w:ilvl w:val="0"/>
          <w:numId w:val="0"/>
        </w:numPr>
        <w:ind w:left="446" w:hanging="446"/>
      </w:pPr>
      <w:bookmarkStart w:id="109" w:name="_Toc414355060"/>
      <w:r>
        <w:t>23a.</w:t>
      </w:r>
      <w:r w:rsidR="0030164C">
        <w:t xml:space="preserve"> </w:t>
      </w:r>
      <w:r w:rsidRPr="00F90BDE">
        <w:t>Under what circumstances may an LEA use Title I, Part A funds to conduct a local survey to identify students from low-income families?</w:t>
      </w:r>
      <w:r w:rsidR="0032433F">
        <w:t xml:space="preserve">  </w:t>
      </w:r>
      <w:r w:rsidR="0032433F">
        <w:rPr>
          <w:i/>
        </w:rPr>
        <w:t>(</w:t>
      </w:r>
      <w:r w:rsidR="00D1227F">
        <w:rPr>
          <w:i/>
        </w:rPr>
        <w:t xml:space="preserve">Added </w:t>
      </w:r>
      <w:r w:rsidR="00376636">
        <w:rPr>
          <w:i/>
        </w:rPr>
        <w:t>March</w:t>
      </w:r>
      <w:r w:rsidR="00633B8D">
        <w:rPr>
          <w:i/>
        </w:rPr>
        <w:t xml:space="preserve"> 2015</w:t>
      </w:r>
      <w:r w:rsidR="0032433F" w:rsidRPr="0060014E">
        <w:rPr>
          <w:i/>
        </w:rPr>
        <w:t>)</w:t>
      </w:r>
      <w:bookmarkEnd w:id="109"/>
      <w:r w:rsidRPr="00F90BDE">
        <w:t xml:space="preserve"> </w:t>
      </w:r>
      <w:r w:rsidR="003C2BCA">
        <w:t xml:space="preserve"> </w:t>
      </w:r>
    </w:p>
    <w:p w:rsidR="001B0C13" w:rsidRPr="00153779" w:rsidRDefault="001B0C13" w:rsidP="00153779">
      <w:pPr>
        <w:spacing w:after="0"/>
        <w:rPr>
          <w:sz w:val="24"/>
          <w:szCs w:val="24"/>
          <w:lang w:eastAsia="zh-CN"/>
        </w:rPr>
      </w:pPr>
    </w:p>
    <w:p w:rsidR="00732EFC" w:rsidRPr="00732EFC" w:rsidRDefault="00732EFC" w:rsidP="00732EFC">
      <w:pPr>
        <w:spacing w:after="0" w:line="240" w:lineRule="auto"/>
        <w:rPr>
          <w:sz w:val="24"/>
          <w:szCs w:val="24"/>
          <w:lang w:eastAsia="zh-CN"/>
        </w:rPr>
      </w:pPr>
      <w:r w:rsidRPr="00732EFC">
        <w:rPr>
          <w:sz w:val="24"/>
          <w:szCs w:val="24"/>
          <w:lang w:eastAsia="zh-CN"/>
        </w:rPr>
        <w:t xml:space="preserve">An LEA must consider several factors before it uses Title I funds to pay for a local survey.  First, in accordance with section 1120A(b) of the ESEA, the LEA must ensure that the use of Title I funds for a local survey is supplemental.  If individual student data are required for State or local purposes, such as State funding formulas, and a survey is the only means of obtaining such data, use of Title I funds to pay for the survey would constitute supplanting.  Under these circumstances, an LEA may not use Title I funds to pay for all, or even a proportionate share, of the costs of conducting the survey because, in the absence of Title I funds, the LEA would need to use non-Federal funds for the survey.  To the extent that a survey is not required to meet State or local requirements, use of Title I funds to pay for the survey would be considered supplemental.  </w:t>
      </w:r>
    </w:p>
    <w:p w:rsidR="00732EFC" w:rsidRPr="00732EFC" w:rsidRDefault="00732EFC" w:rsidP="00732EFC">
      <w:pPr>
        <w:spacing w:after="0" w:line="240" w:lineRule="auto"/>
        <w:rPr>
          <w:sz w:val="24"/>
          <w:szCs w:val="24"/>
          <w:lang w:eastAsia="zh-CN"/>
        </w:rPr>
      </w:pPr>
    </w:p>
    <w:p w:rsidR="00732EFC" w:rsidRDefault="004D4BE7" w:rsidP="00732EFC">
      <w:pPr>
        <w:spacing w:after="0" w:line="240" w:lineRule="auto"/>
        <w:rPr>
          <w:sz w:val="24"/>
          <w:szCs w:val="24"/>
          <w:lang w:eastAsia="zh-CN"/>
        </w:rPr>
      </w:pPr>
      <w:r w:rsidRPr="00732EFC">
        <w:rPr>
          <w:sz w:val="24"/>
          <w:szCs w:val="24"/>
          <w:lang w:eastAsia="zh-CN"/>
        </w:rPr>
        <w:t>Second, Office of Management and Budget (OMB) Circular A-87 (codified at 2 C.F.R. Part 225) requires, among other things, that the use of Title I funds be “necessary and reasonable for proper and efficient performance and administration” of Title I a</w:t>
      </w:r>
      <w:r>
        <w:rPr>
          <w:sz w:val="24"/>
          <w:szCs w:val="24"/>
          <w:lang w:eastAsia="zh-CN"/>
        </w:rPr>
        <w:t>nd “be allocable” to Title I.  (</w:t>
      </w:r>
      <w:r w:rsidRPr="00732EFC">
        <w:rPr>
          <w:sz w:val="24"/>
          <w:szCs w:val="24"/>
          <w:lang w:eastAsia="zh-CN"/>
        </w:rPr>
        <w:t xml:space="preserve">This requirement is also contained in OMB’s new </w:t>
      </w:r>
      <w:r w:rsidRPr="00D64361">
        <w:rPr>
          <w:sz w:val="24"/>
          <w:szCs w:val="24"/>
          <w:lang w:eastAsia="zh-CN"/>
        </w:rPr>
        <w:t xml:space="preserve">Uniform Administrative Requirements, Cost Principles, and Audit Requirements for Federal Awards </w:t>
      </w:r>
      <w:r w:rsidRPr="00732EFC">
        <w:rPr>
          <w:sz w:val="24"/>
          <w:szCs w:val="24"/>
          <w:lang w:eastAsia="zh-CN"/>
        </w:rPr>
        <w:t>at 2 C.F.R. §</w:t>
      </w:r>
      <w:r w:rsidR="00876368">
        <w:rPr>
          <w:sz w:val="24"/>
          <w:szCs w:val="24"/>
          <w:lang w:eastAsia="zh-CN"/>
        </w:rPr>
        <w:t xml:space="preserve"> </w:t>
      </w:r>
      <w:r w:rsidRPr="00732EFC">
        <w:rPr>
          <w:sz w:val="24"/>
          <w:szCs w:val="24"/>
          <w:lang w:eastAsia="zh-CN"/>
        </w:rPr>
        <w:t>200.403(a)</w:t>
      </w:r>
      <w:r>
        <w:rPr>
          <w:sz w:val="24"/>
          <w:szCs w:val="24"/>
          <w:lang w:eastAsia="zh-CN"/>
        </w:rPr>
        <w:t xml:space="preserve">, which applies to Title I awards made by ED on or after July 1, 2015.)  </w:t>
      </w:r>
      <w:r w:rsidRPr="00732EFC">
        <w:rPr>
          <w:sz w:val="24"/>
          <w:szCs w:val="24"/>
          <w:lang w:eastAsia="zh-CN"/>
        </w:rPr>
        <w:t xml:space="preserve">Whether a local survey is necessary to properly operate a Title I program depends on the factual circumstances within an LEA.  As noted in Question 12, </w:t>
      </w:r>
      <w:r>
        <w:rPr>
          <w:sz w:val="24"/>
          <w:szCs w:val="24"/>
          <w:lang w:eastAsia="zh-CN"/>
        </w:rPr>
        <w:t>SNAP</w:t>
      </w:r>
      <w:r w:rsidRPr="00732EFC">
        <w:rPr>
          <w:sz w:val="24"/>
          <w:szCs w:val="24"/>
          <w:lang w:eastAsia="zh-CN"/>
        </w:rPr>
        <w:t xml:space="preserve"> data are available for every school, regardless of whether the school participates in CEP.  Those data, however, may not always fully or accurately represent the </w:t>
      </w:r>
      <w:r w:rsidRPr="00732EFC">
        <w:rPr>
          <w:sz w:val="24"/>
          <w:szCs w:val="24"/>
          <w:lang w:eastAsia="zh-CN"/>
        </w:rPr>
        <w:lastRenderedPageBreak/>
        <w:t xml:space="preserve">concentration of poverty for all schools in an LEA.  For example, if a school traditionally has had a disproportionately high number of students who are identified for </w:t>
      </w:r>
      <w:r>
        <w:rPr>
          <w:sz w:val="24"/>
          <w:szCs w:val="24"/>
          <w:lang w:eastAsia="zh-CN"/>
        </w:rPr>
        <w:t>NSLP</w:t>
      </w:r>
      <w:r w:rsidRPr="00732EFC">
        <w:rPr>
          <w:sz w:val="24"/>
          <w:szCs w:val="24"/>
          <w:lang w:eastAsia="zh-CN"/>
        </w:rPr>
        <w:t xml:space="preserve"> participation through an annual household application instead of direct certification when compared to other school attendance areas in the LEA, a local survey in place of the annual household survey may be necessary to produce the most accurate poverty count for the school and prevent the school from losing Title I funds without any actual changes to the concentration of poverty in that school attendance area.  In such circumstances, the LEA may be able to demonstrate that the use of Title I funds to conduct a local survey is necessary to the operation of its Title I program.  The LEA must </w:t>
      </w:r>
      <w:r>
        <w:rPr>
          <w:sz w:val="24"/>
          <w:szCs w:val="24"/>
          <w:lang w:eastAsia="zh-CN"/>
        </w:rPr>
        <w:t xml:space="preserve">also </w:t>
      </w:r>
      <w:r w:rsidRPr="00732EFC">
        <w:rPr>
          <w:sz w:val="24"/>
          <w:szCs w:val="24"/>
          <w:lang w:eastAsia="zh-CN"/>
        </w:rPr>
        <w:t>demonstrate that the costs of conducting a local survey are reasonable.</w:t>
      </w:r>
    </w:p>
    <w:p w:rsidR="004D4BE7" w:rsidRPr="00732EFC" w:rsidRDefault="004D4BE7" w:rsidP="00732EFC">
      <w:pPr>
        <w:spacing w:after="0" w:line="240" w:lineRule="auto"/>
        <w:rPr>
          <w:sz w:val="24"/>
          <w:szCs w:val="24"/>
          <w:lang w:eastAsia="zh-CN"/>
        </w:rPr>
      </w:pPr>
    </w:p>
    <w:p w:rsidR="0030164C" w:rsidRDefault="00732EFC" w:rsidP="00252B8A">
      <w:pPr>
        <w:spacing w:after="0" w:line="240" w:lineRule="auto"/>
        <w:rPr>
          <w:sz w:val="24"/>
          <w:szCs w:val="24"/>
          <w:lang w:eastAsia="zh-CN"/>
        </w:rPr>
      </w:pPr>
      <w:r w:rsidRPr="00732EFC">
        <w:rPr>
          <w:sz w:val="24"/>
          <w:szCs w:val="24"/>
          <w:lang w:eastAsia="zh-CN"/>
        </w:rPr>
        <w:t xml:space="preserve">To the extent an LEA demonstrates it is necessary and reasonable to conduct a local survey for Title I purposes and uses only Title I funds for the survey, the LEA may not use data from the survey for non-Title I purposes, unless such non-Title I use is incidental (e.g., identifying students for exemption from Advance Placement testing fees).  If an LEA has substantial or multiple local needs for poverty data from a local survey in addition to its Title I needs, </w:t>
      </w:r>
      <w:r w:rsidR="004D4BE7" w:rsidRPr="00732EFC">
        <w:rPr>
          <w:sz w:val="24"/>
          <w:szCs w:val="24"/>
          <w:lang w:eastAsia="zh-CN"/>
        </w:rPr>
        <w:t>the LEA must allocate its survey costs between Title I funds and non-Federal sources so that the costs assigned to Title I are allocable.</w:t>
      </w:r>
      <w:r w:rsidR="003C2BCA">
        <w:rPr>
          <w:sz w:val="24"/>
          <w:szCs w:val="24"/>
          <w:lang w:eastAsia="zh-CN"/>
        </w:rPr>
        <w:t xml:space="preserve">  </w:t>
      </w:r>
    </w:p>
    <w:p w:rsidR="004C722B" w:rsidRPr="00252B8A" w:rsidRDefault="00B90510" w:rsidP="00252B8A">
      <w:pPr>
        <w:spacing w:after="0" w:line="240" w:lineRule="auto"/>
        <w:rPr>
          <w:lang w:eastAsia="zh-CN"/>
        </w:rPr>
      </w:pPr>
      <w:r>
        <w:rPr>
          <w:sz w:val="24"/>
          <w:szCs w:val="24"/>
          <w:lang w:eastAsia="zh-CN"/>
        </w:rPr>
        <w:t xml:space="preserve">  </w:t>
      </w:r>
      <w:r w:rsidR="003422BE">
        <w:rPr>
          <w:sz w:val="24"/>
          <w:szCs w:val="24"/>
          <w:lang w:eastAsia="zh-CN"/>
        </w:rPr>
        <w:t xml:space="preserve">  </w:t>
      </w:r>
    </w:p>
    <w:p w:rsidR="00997A69" w:rsidRDefault="00997A69" w:rsidP="00153779">
      <w:pPr>
        <w:pStyle w:val="Heading2"/>
        <w:numPr>
          <w:ilvl w:val="0"/>
          <w:numId w:val="37"/>
        </w:numPr>
        <w:ind w:left="360"/>
      </w:pPr>
      <w:bookmarkStart w:id="110" w:name="_Toc414355061"/>
      <w:r>
        <w:t xml:space="preserve">USDA guidance indicates that the identified students’ count and reimbursement rate for </w:t>
      </w:r>
      <w:r w:rsidR="003D7973">
        <w:t>CEP</w:t>
      </w:r>
      <w:r>
        <w:t xml:space="preserve"> purposes should be </w:t>
      </w:r>
      <w:r w:rsidRPr="0062784E">
        <w:t>determined based on data from April 1 of the previous school year</w:t>
      </w:r>
      <w:r w:rsidR="00AF53F6" w:rsidRPr="0062784E">
        <w:t>, unless an LEA chooses to use the identified students’ count from an earlier year within the permitted four-year period</w:t>
      </w:r>
      <w:r w:rsidRPr="0062784E">
        <w:t xml:space="preserve">.  How should an LEA with </w:t>
      </w:r>
      <w:r w:rsidR="003D7973" w:rsidRPr="0062784E">
        <w:t>CEP</w:t>
      </w:r>
      <w:r w:rsidRPr="0062784E">
        <w:t xml:space="preserve"> and non-</w:t>
      </w:r>
      <w:r w:rsidR="003D7973" w:rsidRPr="0062784E">
        <w:t>CEP</w:t>
      </w:r>
      <w:r w:rsidRPr="0062784E">
        <w:t xml:space="preserve"> schools that collects NSLP household applications for non-</w:t>
      </w:r>
      <w:r w:rsidR="003D7973" w:rsidRPr="0062784E">
        <w:t>CEP</w:t>
      </w:r>
      <w:r w:rsidRPr="0062784E">
        <w:t xml:space="preserve"> schools at a different point during the year take</w:t>
      </w:r>
      <w:r>
        <w:t xml:space="preserve"> into account this difference in timing?</w:t>
      </w:r>
      <w:r w:rsidR="00CD709E">
        <w:t xml:space="preserve">  </w:t>
      </w:r>
      <w:r w:rsidR="00CD709E">
        <w:rPr>
          <w:i/>
        </w:rPr>
        <w:t>(Modified March 2015)</w:t>
      </w:r>
      <w:bookmarkEnd w:id="110"/>
    </w:p>
    <w:p w:rsidR="00997A69" w:rsidRDefault="00997A69" w:rsidP="00060BE1">
      <w:pPr>
        <w:spacing w:after="0" w:line="240" w:lineRule="auto"/>
      </w:pPr>
    </w:p>
    <w:p w:rsidR="00997A69" w:rsidRDefault="00997A69" w:rsidP="004629D5">
      <w:pPr>
        <w:spacing w:after="0" w:line="240" w:lineRule="auto"/>
        <w:rPr>
          <w:sz w:val="24"/>
          <w:szCs w:val="24"/>
        </w:rPr>
      </w:pPr>
      <w:r>
        <w:rPr>
          <w:sz w:val="24"/>
          <w:szCs w:val="24"/>
        </w:rPr>
        <w:t xml:space="preserve">An LEA in this situation has three options.  </w:t>
      </w:r>
    </w:p>
    <w:p w:rsidR="00997A69" w:rsidRDefault="00997A69" w:rsidP="004629D5">
      <w:pPr>
        <w:spacing w:after="0" w:line="240" w:lineRule="auto"/>
        <w:rPr>
          <w:sz w:val="24"/>
          <w:szCs w:val="24"/>
        </w:rPr>
      </w:pPr>
    </w:p>
    <w:p w:rsidR="00997A69" w:rsidRDefault="00997A69" w:rsidP="004629D5">
      <w:pPr>
        <w:spacing w:after="0" w:line="240" w:lineRule="auto"/>
        <w:rPr>
          <w:sz w:val="24"/>
          <w:szCs w:val="24"/>
        </w:rPr>
      </w:pPr>
      <w:r>
        <w:rPr>
          <w:sz w:val="24"/>
          <w:szCs w:val="24"/>
        </w:rPr>
        <w:t xml:space="preserve">First, the LEA might use </w:t>
      </w:r>
      <w:r w:rsidR="003D7973">
        <w:rPr>
          <w:sz w:val="24"/>
          <w:szCs w:val="24"/>
        </w:rPr>
        <w:t>CEP</w:t>
      </w:r>
      <w:r>
        <w:rPr>
          <w:sz w:val="24"/>
          <w:szCs w:val="24"/>
        </w:rPr>
        <w:t xml:space="preserve"> data from April 1 for the </w:t>
      </w:r>
      <w:r w:rsidR="003D7973">
        <w:rPr>
          <w:sz w:val="24"/>
          <w:szCs w:val="24"/>
        </w:rPr>
        <w:t>CEP</w:t>
      </w:r>
      <w:r>
        <w:rPr>
          <w:sz w:val="24"/>
          <w:szCs w:val="24"/>
        </w:rPr>
        <w:t xml:space="preserve"> schools and NSLP data for the non-</w:t>
      </w:r>
      <w:r w:rsidR="003D7973">
        <w:rPr>
          <w:sz w:val="24"/>
          <w:szCs w:val="24"/>
        </w:rPr>
        <w:t>CEP</w:t>
      </w:r>
      <w:r>
        <w:rPr>
          <w:sz w:val="24"/>
          <w:szCs w:val="24"/>
        </w:rPr>
        <w:t xml:space="preserve"> schools from another time as long as both periods occur in the same school year.  (As </w:t>
      </w:r>
      <w:r w:rsidR="00ED01F8">
        <w:rPr>
          <w:sz w:val="24"/>
          <w:szCs w:val="24"/>
        </w:rPr>
        <w:t xml:space="preserve">referenced </w:t>
      </w:r>
      <w:r w:rsidRPr="000D486B">
        <w:rPr>
          <w:sz w:val="24"/>
          <w:szCs w:val="24"/>
        </w:rPr>
        <w:t xml:space="preserve">in </w:t>
      </w:r>
      <w:r w:rsidRPr="00D51748">
        <w:rPr>
          <w:sz w:val="24"/>
          <w:szCs w:val="24"/>
        </w:rPr>
        <w:t>Question</w:t>
      </w:r>
      <w:r w:rsidR="00624045" w:rsidRPr="00D51748">
        <w:rPr>
          <w:sz w:val="24"/>
          <w:szCs w:val="24"/>
        </w:rPr>
        <w:t>s</w:t>
      </w:r>
      <w:r w:rsidRPr="00D51748">
        <w:rPr>
          <w:sz w:val="24"/>
          <w:szCs w:val="24"/>
        </w:rPr>
        <w:t xml:space="preserve"> 2</w:t>
      </w:r>
      <w:r w:rsidR="00ED01F8" w:rsidRPr="00D51748">
        <w:rPr>
          <w:sz w:val="24"/>
          <w:szCs w:val="24"/>
        </w:rPr>
        <w:t xml:space="preserve"> and 12</w:t>
      </w:r>
      <w:r w:rsidRPr="000D486B">
        <w:rPr>
          <w:sz w:val="24"/>
          <w:szCs w:val="24"/>
        </w:rPr>
        <w:t>,</w:t>
      </w:r>
      <w:r>
        <w:rPr>
          <w:sz w:val="24"/>
          <w:szCs w:val="24"/>
        </w:rPr>
        <w:t xml:space="preserve"> the non-</w:t>
      </w:r>
      <w:r w:rsidR="003D7973">
        <w:rPr>
          <w:sz w:val="24"/>
          <w:szCs w:val="24"/>
        </w:rPr>
        <w:t>CEP</w:t>
      </w:r>
      <w:r>
        <w:rPr>
          <w:sz w:val="24"/>
          <w:szCs w:val="24"/>
        </w:rPr>
        <w:t xml:space="preserve"> school’s data generally include a combination of directly certified students and students who are eligible through the household application.)  </w:t>
      </w:r>
    </w:p>
    <w:p w:rsidR="00997A69" w:rsidRDefault="00997A69" w:rsidP="004629D5">
      <w:pPr>
        <w:spacing w:after="0" w:line="240" w:lineRule="auto"/>
        <w:rPr>
          <w:sz w:val="24"/>
          <w:szCs w:val="24"/>
        </w:rPr>
      </w:pPr>
    </w:p>
    <w:p w:rsidR="00997A69" w:rsidRDefault="00997A69" w:rsidP="004629D5">
      <w:pPr>
        <w:spacing w:after="0" w:line="240" w:lineRule="auto"/>
        <w:rPr>
          <w:sz w:val="24"/>
          <w:szCs w:val="24"/>
        </w:rPr>
      </w:pPr>
      <w:r>
        <w:rPr>
          <w:sz w:val="24"/>
          <w:szCs w:val="24"/>
        </w:rPr>
        <w:t>Second, if compatible with the implementation of NSLP and the timing of submitting a Title I plan to its SEA for the following school year, an LEA might use its count of household applications and access direct certification data for a non-</w:t>
      </w:r>
      <w:r w:rsidR="003D7973">
        <w:rPr>
          <w:sz w:val="24"/>
          <w:szCs w:val="24"/>
        </w:rPr>
        <w:t>CEP</w:t>
      </w:r>
      <w:r>
        <w:rPr>
          <w:sz w:val="24"/>
          <w:szCs w:val="24"/>
        </w:rPr>
        <w:t xml:space="preserve"> school on approximately April 1.  </w:t>
      </w:r>
    </w:p>
    <w:p w:rsidR="00997A69" w:rsidRDefault="00997A69" w:rsidP="004629D5">
      <w:pPr>
        <w:spacing w:after="0" w:line="240" w:lineRule="auto"/>
        <w:rPr>
          <w:sz w:val="24"/>
          <w:szCs w:val="24"/>
        </w:rPr>
      </w:pPr>
    </w:p>
    <w:p w:rsidR="00997A69" w:rsidRPr="0062784E" w:rsidRDefault="00997A69" w:rsidP="004629D5">
      <w:pPr>
        <w:spacing w:line="240" w:lineRule="auto"/>
        <w:rPr>
          <w:sz w:val="24"/>
          <w:szCs w:val="24"/>
        </w:rPr>
      </w:pPr>
      <w:r>
        <w:rPr>
          <w:sz w:val="24"/>
          <w:szCs w:val="24"/>
        </w:rPr>
        <w:t xml:space="preserve">Third, for Title I purposes only, an LEA might access direct certification data for </w:t>
      </w:r>
      <w:r w:rsidR="003D7973">
        <w:rPr>
          <w:sz w:val="24"/>
          <w:szCs w:val="24"/>
        </w:rPr>
        <w:t>CEP</w:t>
      </w:r>
      <w:r>
        <w:rPr>
          <w:sz w:val="24"/>
          <w:szCs w:val="24"/>
        </w:rPr>
        <w:t xml:space="preserve"> schools on approximately the same date during the school year as it accesses these data for, and collects household applications from, non-</w:t>
      </w:r>
      <w:r w:rsidR="003D7973">
        <w:rPr>
          <w:sz w:val="24"/>
          <w:szCs w:val="24"/>
        </w:rPr>
        <w:t>CEP</w:t>
      </w:r>
      <w:r>
        <w:rPr>
          <w:sz w:val="24"/>
          <w:szCs w:val="24"/>
        </w:rPr>
        <w:t xml:space="preserve"> schools (while also still accessing the direct certification </w:t>
      </w:r>
      <w:r w:rsidR="002D3714">
        <w:rPr>
          <w:sz w:val="24"/>
          <w:szCs w:val="24"/>
        </w:rPr>
        <w:t xml:space="preserve">data </w:t>
      </w:r>
      <w:r>
        <w:rPr>
          <w:sz w:val="24"/>
          <w:szCs w:val="24"/>
        </w:rPr>
        <w:t xml:space="preserve">on April 1 for </w:t>
      </w:r>
      <w:r w:rsidR="002D3714">
        <w:rPr>
          <w:sz w:val="24"/>
          <w:szCs w:val="24"/>
        </w:rPr>
        <w:t>USDA purposes</w:t>
      </w:r>
      <w:r>
        <w:rPr>
          <w:sz w:val="24"/>
          <w:szCs w:val="24"/>
        </w:rPr>
        <w:t xml:space="preserve">).  Thus, under this third option, the LEA would still use April 1 as the date for calculating a </w:t>
      </w:r>
      <w:r w:rsidR="003D7973">
        <w:rPr>
          <w:sz w:val="24"/>
          <w:szCs w:val="24"/>
        </w:rPr>
        <w:t>CEP</w:t>
      </w:r>
      <w:r>
        <w:rPr>
          <w:sz w:val="24"/>
          <w:szCs w:val="24"/>
        </w:rPr>
        <w:t xml:space="preserve"> school’s USDA reimbursement rate but would use the date when the data were accessed for Title I to establish the school’s poverty percentage and number of low-income students</w:t>
      </w:r>
      <w:r w:rsidR="00D05F16">
        <w:rPr>
          <w:sz w:val="24"/>
          <w:szCs w:val="24"/>
        </w:rPr>
        <w:t xml:space="preserve"> for Title I purposes</w:t>
      </w:r>
      <w:r>
        <w:rPr>
          <w:sz w:val="24"/>
          <w:szCs w:val="24"/>
        </w:rPr>
        <w:t>.  For example, if on October 31, 2012 (the date the school’s LEA collects NSLP data for non-</w:t>
      </w:r>
      <w:r w:rsidR="003D7973">
        <w:rPr>
          <w:sz w:val="24"/>
          <w:szCs w:val="24"/>
        </w:rPr>
        <w:t>CEP</w:t>
      </w:r>
      <w:r>
        <w:rPr>
          <w:sz w:val="24"/>
          <w:szCs w:val="24"/>
        </w:rPr>
        <w:t xml:space="preserve"> schools), 60 percent of a </w:t>
      </w:r>
      <w:r w:rsidR="003D7973">
        <w:rPr>
          <w:sz w:val="24"/>
          <w:szCs w:val="24"/>
        </w:rPr>
        <w:t>CEP</w:t>
      </w:r>
      <w:r>
        <w:rPr>
          <w:sz w:val="24"/>
          <w:szCs w:val="24"/>
        </w:rPr>
        <w:t xml:space="preserve"> school’s students are directly certified and then on April 1, 2013, 62.5 percent of a </w:t>
      </w:r>
      <w:r w:rsidR="003D7973">
        <w:rPr>
          <w:sz w:val="24"/>
          <w:szCs w:val="24"/>
        </w:rPr>
        <w:t>CEP</w:t>
      </w:r>
      <w:r>
        <w:rPr>
          <w:sz w:val="24"/>
          <w:szCs w:val="24"/>
        </w:rPr>
        <w:t xml:space="preserve"> school’s students are directly certified, the school’s poverty percentage for Title I within-district allocations would </w:t>
      </w:r>
      <w:r>
        <w:rPr>
          <w:sz w:val="24"/>
          <w:szCs w:val="24"/>
        </w:rPr>
        <w:lastRenderedPageBreak/>
        <w:t xml:space="preserve">be 96 percent (60.0 percent x the 1.6 multiplier) whereas its USDA NSLP reimbursement at the free rate </w:t>
      </w:r>
      <w:r w:rsidRPr="0062784E">
        <w:rPr>
          <w:sz w:val="24"/>
          <w:szCs w:val="24"/>
        </w:rPr>
        <w:t>would be 100 percent (62.5 percent x the 1.6 multiplier)</w:t>
      </w:r>
      <w:r w:rsidR="000D486B" w:rsidRPr="0062784E">
        <w:rPr>
          <w:sz w:val="24"/>
          <w:szCs w:val="24"/>
        </w:rPr>
        <w:t>.</w:t>
      </w:r>
    </w:p>
    <w:p w:rsidR="00CD709E" w:rsidRPr="0062784E" w:rsidRDefault="003D057B" w:rsidP="00B137B5">
      <w:pPr>
        <w:spacing w:after="0" w:line="240" w:lineRule="auto"/>
        <w:rPr>
          <w:sz w:val="24"/>
          <w:szCs w:val="24"/>
        </w:rPr>
      </w:pPr>
      <w:r>
        <w:rPr>
          <w:sz w:val="24"/>
          <w:szCs w:val="24"/>
        </w:rPr>
        <w:t>In following any of the above options, i</w:t>
      </w:r>
      <w:r w:rsidR="00CD709E" w:rsidRPr="0062784E">
        <w:rPr>
          <w:sz w:val="24"/>
          <w:szCs w:val="24"/>
        </w:rPr>
        <w:t>f an LEA uses the identified students’ count from an earlier year within the permitted four-year period for NSLP reimbursement</w:t>
      </w:r>
      <w:r w:rsidR="00B137B5" w:rsidRPr="0062784E">
        <w:rPr>
          <w:sz w:val="24"/>
          <w:szCs w:val="24"/>
        </w:rPr>
        <w:t xml:space="preserve"> for CEP schools</w:t>
      </w:r>
      <w:r w:rsidR="00CD709E" w:rsidRPr="0062784E">
        <w:rPr>
          <w:sz w:val="24"/>
          <w:szCs w:val="24"/>
        </w:rPr>
        <w:t xml:space="preserve">, </w:t>
      </w:r>
      <w:r>
        <w:rPr>
          <w:sz w:val="24"/>
          <w:szCs w:val="24"/>
        </w:rPr>
        <w:t>the LEA</w:t>
      </w:r>
      <w:r w:rsidR="004040BC">
        <w:rPr>
          <w:sz w:val="24"/>
          <w:szCs w:val="24"/>
        </w:rPr>
        <w:t xml:space="preserve"> </w:t>
      </w:r>
      <w:r w:rsidR="00AB3208">
        <w:rPr>
          <w:sz w:val="24"/>
          <w:szCs w:val="24"/>
        </w:rPr>
        <w:t xml:space="preserve">would </w:t>
      </w:r>
      <w:r w:rsidR="004040BC">
        <w:rPr>
          <w:sz w:val="24"/>
          <w:szCs w:val="24"/>
        </w:rPr>
        <w:t xml:space="preserve">not be required to change </w:t>
      </w:r>
      <w:r w:rsidR="00CD709E" w:rsidRPr="0062784E">
        <w:rPr>
          <w:sz w:val="24"/>
          <w:szCs w:val="24"/>
        </w:rPr>
        <w:t xml:space="preserve">the poverty percentages of the CEP schools during this time period </w:t>
      </w:r>
      <w:r w:rsidR="00B137B5" w:rsidRPr="0062784E">
        <w:rPr>
          <w:sz w:val="24"/>
          <w:szCs w:val="24"/>
        </w:rPr>
        <w:t xml:space="preserve">for Title I purposes </w:t>
      </w:r>
      <w:r w:rsidR="00CD709E" w:rsidRPr="0062784E">
        <w:rPr>
          <w:sz w:val="24"/>
          <w:szCs w:val="24"/>
        </w:rPr>
        <w:t>unless the LEA were to use a different</w:t>
      </w:r>
      <w:r w:rsidR="00B137B5" w:rsidRPr="0062784E">
        <w:rPr>
          <w:sz w:val="24"/>
          <w:szCs w:val="24"/>
        </w:rPr>
        <w:t xml:space="preserve"> poverty measure to</w:t>
      </w:r>
      <w:r w:rsidR="00CD709E" w:rsidRPr="0062784E">
        <w:rPr>
          <w:sz w:val="24"/>
          <w:szCs w:val="24"/>
        </w:rPr>
        <w:t xml:space="preserve"> all</w:t>
      </w:r>
      <w:r w:rsidR="00B137B5" w:rsidRPr="0062784E">
        <w:rPr>
          <w:sz w:val="24"/>
          <w:szCs w:val="24"/>
        </w:rPr>
        <w:t>ocate</w:t>
      </w:r>
      <w:r w:rsidR="00CD709E" w:rsidRPr="0062784E">
        <w:rPr>
          <w:sz w:val="24"/>
          <w:szCs w:val="24"/>
        </w:rPr>
        <w:t xml:space="preserve"> Title I funds.  During this time the poverty percentages of the non-CEP schools </w:t>
      </w:r>
      <w:r w:rsidR="00B137B5" w:rsidRPr="0062784E">
        <w:rPr>
          <w:sz w:val="24"/>
          <w:szCs w:val="24"/>
        </w:rPr>
        <w:t>for Title I purposes will likely</w:t>
      </w:r>
      <w:r w:rsidR="00CD709E" w:rsidRPr="0062784E">
        <w:rPr>
          <w:sz w:val="24"/>
          <w:szCs w:val="24"/>
        </w:rPr>
        <w:t xml:space="preserve"> change due </w:t>
      </w:r>
      <w:r w:rsidR="0062784E">
        <w:rPr>
          <w:sz w:val="24"/>
          <w:szCs w:val="24"/>
        </w:rPr>
        <w:t xml:space="preserve">to the availability of updated </w:t>
      </w:r>
      <w:r w:rsidR="00CD709E" w:rsidRPr="0062784E">
        <w:rPr>
          <w:sz w:val="24"/>
          <w:szCs w:val="24"/>
        </w:rPr>
        <w:t xml:space="preserve">household application and identified students’ data. </w:t>
      </w:r>
    </w:p>
    <w:p w:rsidR="00CD709E" w:rsidRPr="0062784E" w:rsidRDefault="00CD709E" w:rsidP="00B137B5">
      <w:pPr>
        <w:spacing w:after="0" w:line="240" w:lineRule="auto"/>
      </w:pPr>
    </w:p>
    <w:p w:rsidR="00997A69" w:rsidRDefault="00997A69" w:rsidP="00153779">
      <w:pPr>
        <w:pStyle w:val="Heading2"/>
        <w:numPr>
          <w:ilvl w:val="0"/>
          <w:numId w:val="37"/>
        </w:numPr>
        <w:ind w:left="360"/>
      </w:pPr>
      <w:bookmarkStart w:id="111" w:name="_Toc414355062"/>
      <w:r w:rsidRPr="0062784E">
        <w:t>If an LEA uses NSLP data to allocate Title I funds</w:t>
      </w:r>
      <w:r w:rsidRPr="00A0305C">
        <w:t xml:space="preserve"> to schools</w:t>
      </w:r>
      <w:r>
        <w:t xml:space="preserve"> and is concerned about </w:t>
      </w:r>
      <w:r w:rsidR="003D7973">
        <w:t>CEP</w:t>
      </w:r>
      <w:r>
        <w:t xml:space="preserve">’s effect on these data, may the LEA use older data (i.e., data collected prior to </w:t>
      </w:r>
      <w:r w:rsidR="003D7973">
        <w:t>CEP</w:t>
      </w:r>
      <w:r>
        <w:t>) to allocate Title I funds to schools?</w:t>
      </w:r>
      <w:bookmarkEnd w:id="111"/>
    </w:p>
    <w:p w:rsidR="00997A69" w:rsidRDefault="00997A69" w:rsidP="004629D5">
      <w:pPr>
        <w:spacing w:after="0" w:line="240" w:lineRule="auto"/>
      </w:pPr>
    </w:p>
    <w:p w:rsidR="00997A69" w:rsidRPr="00FB27E1" w:rsidRDefault="00997A69" w:rsidP="00912BBA">
      <w:pPr>
        <w:spacing w:line="240" w:lineRule="auto"/>
      </w:pPr>
      <w:r>
        <w:rPr>
          <w:sz w:val="24"/>
          <w:szCs w:val="24"/>
        </w:rPr>
        <w:t>No.  An LEA must allocate Title I funds based on data from the most recent school year (e.g., for 2013</w:t>
      </w:r>
      <w:r>
        <w:rPr>
          <w:rFonts w:ascii="Calibri" w:hAnsi="Calibri" w:cs="Calibri"/>
          <w:sz w:val="24"/>
          <w:szCs w:val="24"/>
        </w:rPr>
        <w:t>–</w:t>
      </w:r>
      <w:r>
        <w:rPr>
          <w:sz w:val="24"/>
          <w:szCs w:val="24"/>
        </w:rPr>
        <w:t>2014 school year allocations, the data, with the exception of newly opened or significantly expanded charter schools, would be from the 2012</w:t>
      </w:r>
      <w:r>
        <w:rPr>
          <w:rFonts w:ascii="Calibri" w:hAnsi="Calibri" w:cs="Calibri"/>
          <w:sz w:val="24"/>
          <w:szCs w:val="24"/>
        </w:rPr>
        <w:t>–</w:t>
      </w:r>
      <w:r>
        <w:rPr>
          <w:sz w:val="24"/>
          <w:szCs w:val="24"/>
        </w:rPr>
        <w:t xml:space="preserve">2013 school year).  </w:t>
      </w:r>
      <w:r w:rsidRPr="007D0FE1">
        <w:rPr>
          <w:sz w:val="24"/>
          <w:szCs w:val="24"/>
        </w:rPr>
        <w:t xml:space="preserve">As noted in </w:t>
      </w:r>
      <w:r w:rsidRPr="00D51748">
        <w:rPr>
          <w:sz w:val="24"/>
          <w:szCs w:val="24"/>
        </w:rPr>
        <w:t>Question 1</w:t>
      </w:r>
      <w:r w:rsidR="00D05F16" w:rsidRPr="00D51748">
        <w:rPr>
          <w:sz w:val="24"/>
          <w:szCs w:val="24"/>
        </w:rPr>
        <w:t>7</w:t>
      </w:r>
      <w:r w:rsidRPr="000D486B">
        <w:rPr>
          <w:sz w:val="24"/>
          <w:szCs w:val="24"/>
        </w:rPr>
        <w:t>,</w:t>
      </w:r>
      <w:r w:rsidRPr="007D0FE1">
        <w:rPr>
          <w:sz w:val="24"/>
          <w:szCs w:val="24"/>
        </w:rPr>
        <w:t xml:space="preserve"> the first year in which </w:t>
      </w:r>
      <w:r w:rsidR="003D7973">
        <w:rPr>
          <w:sz w:val="24"/>
          <w:szCs w:val="24"/>
        </w:rPr>
        <w:t>CEP</w:t>
      </w:r>
      <w:r w:rsidRPr="007D0FE1">
        <w:rPr>
          <w:sz w:val="24"/>
          <w:szCs w:val="24"/>
        </w:rPr>
        <w:t xml:space="preserve"> data would most likely be used for Title I allocations would be in the school’s second year of electing </w:t>
      </w:r>
      <w:r w:rsidR="003D7973">
        <w:rPr>
          <w:sz w:val="24"/>
          <w:szCs w:val="24"/>
        </w:rPr>
        <w:t>CEP</w:t>
      </w:r>
      <w:r w:rsidRPr="007D0FE1">
        <w:rPr>
          <w:sz w:val="24"/>
          <w:szCs w:val="24"/>
        </w:rPr>
        <w:t>.</w:t>
      </w:r>
      <w:r>
        <w:rPr>
          <w:sz w:val="24"/>
          <w:szCs w:val="24"/>
        </w:rPr>
        <w:t xml:space="preserve"> </w:t>
      </w:r>
      <w:r w:rsidRPr="007D0FE1">
        <w:rPr>
          <w:sz w:val="24"/>
          <w:szCs w:val="24"/>
        </w:rPr>
        <w:t xml:space="preserve"> This provides LEAs and schools time to review this guidance and determine the best method </w:t>
      </w:r>
      <w:r>
        <w:rPr>
          <w:sz w:val="24"/>
          <w:szCs w:val="24"/>
        </w:rPr>
        <w:t xml:space="preserve">among allowable options </w:t>
      </w:r>
      <w:r w:rsidRPr="007D0FE1">
        <w:rPr>
          <w:sz w:val="24"/>
          <w:szCs w:val="24"/>
        </w:rPr>
        <w:t>for future Title I allocations.</w:t>
      </w:r>
    </w:p>
    <w:p w:rsidR="00997A69" w:rsidRPr="00AF1377" w:rsidRDefault="00997A69" w:rsidP="00AF1377">
      <w:pPr>
        <w:pStyle w:val="Heading1"/>
        <w:numPr>
          <w:ilvl w:val="0"/>
          <w:numId w:val="0"/>
        </w:numPr>
        <w:rPr>
          <w:i/>
          <w:u w:val="single"/>
        </w:rPr>
      </w:pPr>
      <w:bookmarkStart w:id="112" w:name="_Toc414355063"/>
      <w:r w:rsidRPr="00AF1377">
        <w:rPr>
          <w:i/>
          <w:u w:val="single"/>
        </w:rPr>
        <w:t>Equitable Services</w:t>
      </w:r>
      <w:bookmarkEnd w:id="112"/>
    </w:p>
    <w:p w:rsidR="00997A69" w:rsidRPr="00AF1377" w:rsidRDefault="00997A69" w:rsidP="00AF1377">
      <w:pPr>
        <w:spacing w:after="0"/>
      </w:pPr>
    </w:p>
    <w:p w:rsidR="00997A69" w:rsidRPr="00A0305C" w:rsidRDefault="00997A69" w:rsidP="00153779">
      <w:pPr>
        <w:pStyle w:val="Heading2"/>
        <w:numPr>
          <w:ilvl w:val="0"/>
          <w:numId w:val="37"/>
        </w:numPr>
        <w:ind w:left="360"/>
      </w:pPr>
      <w:bookmarkStart w:id="113" w:name="_Toc414355064"/>
      <w:r w:rsidRPr="00043065">
        <w:t xml:space="preserve">Has ED </w:t>
      </w:r>
      <w:r>
        <w:t xml:space="preserve">previously </w:t>
      </w:r>
      <w:r w:rsidRPr="00043065">
        <w:t xml:space="preserve">provided </w:t>
      </w:r>
      <w:r>
        <w:t>guidance</w:t>
      </w:r>
      <w:r w:rsidRPr="00043065">
        <w:t xml:space="preserve"> on how a</w:t>
      </w:r>
      <w:r>
        <w:t>n</w:t>
      </w:r>
      <w:r w:rsidRPr="00043065">
        <w:t xml:space="preserve"> LEA allocates Title I funds </w:t>
      </w:r>
      <w:r>
        <w:t>to provide</w:t>
      </w:r>
      <w:r w:rsidRPr="00043065">
        <w:t xml:space="preserve"> equitable services to eligible private school students?</w:t>
      </w:r>
      <w:bookmarkEnd w:id="113"/>
    </w:p>
    <w:p w:rsidR="00997A69" w:rsidRPr="00A0305C" w:rsidRDefault="00997A69" w:rsidP="00AB0BCF">
      <w:pPr>
        <w:spacing w:after="0" w:line="240" w:lineRule="auto"/>
        <w:rPr>
          <w:sz w:val="24"/>
          <w:szCs w:val="24"/>
        </w:rPr>
      </w:pPr>
    </w:p>
    <w:p w:rsidR="00997A69" w:rsidRDefault="00997A69" w:rsidP="00131380">
      <w:pPr>
        <w:spacing w:after="0" w:line="240" w:lineRule="auto"/>
        <w:rPr>
          <w:sz w:val="24"/>
          <w:szCs w:val="24"/>
        </w:rPr>
      </w:pPr>
      <w:r w:rsidRPr="00043065">
        <w:rPr>
          <w:sz w:val="24"/>
          <w:szCs w:val="24"/>
        </w:rPr>
        <w:t xml:space="preserve">Yes.  This information is available in </w:t>
      </w:r>
      <w:r>
        <w:rPr>
          <w:sz w:val="24"/>
          <w:szCs w:val="24"/>
        </w:rPr>
        <w:t xml:space="preserve">Section A (Consultation) and </w:t>
      </w:r>
      <w:r w:rsidRPr="00043065">
        <w:rPr>
          <w:sz w:val="24"/>
          <w:szCs w:val="24"/>
        </w:rPr>
        <w:t>Section B</w:t>
      </w:r>
      <w:r>
        <w:rPr>
          <w:sz w:val="24"/>
          <w:szCs w:val="24"/>
        </w:rPr>
        <w:t xml:space="preserve"> (Allocating Funds)</w:t>
      </w:r>
      <w:r w:rsidRPr="00043065">
        <w:rPr>
          <w:sz w:val="24"/>
          <w:szCs w:val="24"/>
        </w:rPr>
        <w:t xml:space="preserve"> of the following guidance: </w:t>
      </w:r>
      <w:r>
        <w:rPr>
          <w:sz w:val="24"/>
          <w:szCs w:val="24"/>
        </w:rPr>
        <w:t xml:space="preserve"> </w:t>
      </w:r>
      <w:r w:rsidRPr="00E9267A">
        <w:rPr>
          <w:i/>
          <w:sz w:val="24"/>
          <w:szCs w:val="24"/>
        </w:rPr>
        <w:t>Title I Services to Eligible Private School Children</w:t>
      </w:r>
      <w:r>
        <w:rPr>
          <w:sz w:val="24"/>
          <w:szCs w:val="24"/>
        </w:rPr>
        <w:t xml:space="preserve"> </w:t>
      </w:r>
      <w:r w:rsidR="00D05F16">
        <w:rPr>
          <w:sz w:val="24"/>
          <w:szCs w:val="24"/>
        </w:rPr>
        <w:t>(Oct. 17, 2003)</w:t>
      </w:r>
      <w:r w:rsidR="000D486B">
        <w:rPr>
          <w:sz w:val="24"/>
          <w:szCs w:val="24"/>
        </w:rPr>
        <w:t xml:space="preserve"> </w:t>
      </w:r>
      <w:r>
        <w:rPr>
          <w:sz w:val="24"/>
          <w:szCs w:val="24"/>
        </w:rPr>
        <w:t xml:space="preserve">(Title I Equitable Services Guidance).  The document is </w:t>
      </w:r>
      <w:r w:rsidRPr="00043065">
        <w:rPr>
          <w:sz w:val="24"/>
          <w:szCs w:val="24"/>
        </w:rPr>
        <w:t>available at:</w:t>
      </w:r>
      <w:r>
        <w:rPr>
          <w:sz w:val="24"/>
          <w:szCs w:val="24"/>
        </w:rPr>
        <w:t xml:space="preserve">  </w:t>
      </w:r>
      <w:r w:rsidRPr="005057AF">
        <w:rPr>
          <w:color w:val="000000"/>
          <w:sz w:val="24"/>
          <w:u w:val="single"/>
        </w:rPr>
        <w:t>www.ed.gov/programs/titleiparta/psguidance.doc</w:t>
      </w:r>
      <w:r>
        <w:rPr>
          <w:color w:val="000000"/>
          <w:sz w:val="24"/>
        </w:rPr>
        <w:t>.</w:t>
      </w:r>
      <w:r w:rsidRPr="00A0305C">
        <w:rPr>
          <w:sz w:val="24"/>
          <w:szCs w:val="24"/>
        </w:rPr>
        <w:t xml:space="preserve">  </w:t>
      </w:r>
    </w:p>
    <w:p w:rsidR="00997A69" w:rsidRDefault="00997A69" w:rsidP="00AB0BCF">
      <w:pPr>
        <w:spacing w:after="0" w:line="240" w:lineRule="auto"/>
        <w:rPr>
          <w:sz w:val="24"/>
          <w:szCs w:val="24"/>
        </w:rPr>
      </w:pPr>
    </w:p>
    <w:p w:rsidR="00997A69" w:rsidRPr="00A0305C" w:rsidRDefault="00997A69" w:rsidP="00153779">
      <w:pPr>
        <w:pStyle w:val="Heading2"/>
        <w:numPr>
          <w:ilvl w:val="0"/>
          <w:numId w:val="37"/>
        </w:numPr>
        <w:ind w:left="360"/>
      </w:pPr>
      <w:bookmarkStart w:id="114" w:name="_Toc414355065"/>
      <w:r>
        <w:t xml:space="preserve">Does </w:t>
      </w:r>
      <w:r w:rsidR="003D7973">
        <w:t>CEP</w:t>
      </w:r>
      <w:r>
        <w:t xml:space="preserve"> change that guidance</w:t>
      </w:r>
      <w:r w:rsidRPr="00043065">
        <w:t>?</w:t>
      </w:r>
      <w:bookmarkEnd w:id="114"/>
    </w:p>
    <w:p w:rsidR="00997A69" w:rsidRPr="00A0305C" w:rsidRDefault="00997A69" w:rsidP="00774C58">
      <w:pPr>
        <w:spacing w:after="0" w:line="240" w:lineRule="auto"/>
        <w:rPr>
          <w:sz w:val="24"/>
          <w:szCs w:val="24"/>
        </w:rPr>
      </w:pPr>
    </w:p>
    <w:p w:rsidR="00997A69" w:rsidRPr="00A0305C" w:rsidRDefault="00997A69" w:rsidP="00774C58">
      <w:pPr>
        <w:spacing w:after="0" w:line="240" w:lineRule="auto"/>
        <w:rPr>
          <w:sz w:val="24"/>
          <w:szCs w:val="24"/>
        </w:rPr>
      </w:pPr>
      <w:r>
        <w:rPr>
          <w:sz w:val="24"/>
          <w:szCs w:val="24"/>
        </w:rPr>
        <w:t>No</w:t>
      </w:r>
      <w:r w:rsidRPr="00043065">
        <w:rPr>
          <w:sz w:val="24"/>
          <w:szCs w:val="24"/>
        </w:rPr>
        <w:t xml:space="preserve">.  </w:t>
      </w:r>
      <w:r w:rsidRPr="008F2F0D">
        <w:rPr>
          <w:sz w:val="24"/>
          <w:szCs w:val="24"/>
        </w:rPr>
        <w:t>The requirements described in that guidance</w:t>
      </w:r>
      <w:r>
        <w:rPr>
          <w:sz w:val="24"/>
          <w:szCs w:val="24"/>
        </w:rPr>
        <w:t xml:space="preserve"> have not changed</w:t>
      </w:r>
      <w:r w:rsidRPr="00043065">
        <w:rPr>
          <w:sz w:val="24"/>
          <w:szCs w:val="24"/>
        </w:rPr>
        <w:t>.</w:t>
      </w:r>
      <w:r>
        <w:rPr>
          <w:sz w:val="24"/>
          <w:szCs w:val="24"/>
        </w:rPr>
        <w:t xml:space="preserve">  This guidance describes how the requirements can be met </w:t>
      </w:r>
      <w:r w:rsidRPr="00BA1AE2">
        <w:rPr>
          <w:sz w:val="24"/>
          <w:szCs w:val="24"/>
        </w:rPr>
        <w:t xml:space="preserve">when </w:t>
      </w:r>
      <w:r>
        <w:rPr>
          <w:sz w:val="24"/>
          <w:szCs w:val="24"/>
        </w:rPr>
        <w:t>NSLP</w:t>
      </w:r>
      <w:r w:rsidRPr="00BA1AE2">
        <w:rPr>
          <w:sz w:val="24"/>
          <w:szCs w:val="24"/>
        </w:rPr>
        <w:t xml:space="preserve"> data are comprised in whole or in part of </w:t>
      </w:r>
      <w:r w:rsidR="003D7973">
        <w:rPr>
          <w:sz w:val="24"/>
          <w:szCs w:val="24"/>
        </w:rPr>
        <w:t>CEP</w:t>
      </w:r>
      <w:r w:rsidRPr="00BA1AE2">
        <w:rPr>
          <w:sz w:val="24"/>
          <w:szCs w:val="24"/>
        </w:rPr>
        <w:t xml:space="preserve"> data</w:t>
      </w:r>
      <w:r>
        <w:rPr>
          <w:sz w:val="24"/>
          <w:szCs w:val="24"/>
        </w:rPr>
        <w:t>.</w:t>
      </w:r>
    </w:p>
    <w:p w:rsidR="00997A69" w:rsidRPr="00A0305C" w:rsidRDefault="00997A69" w:rsidP="00AB0BCF">
      <w:pPr>
        <w:spacing w:after="0" w:line="240" w:lineRule="auto"/>
        <w:rPr>
          <w:sz w:val="24"/>
          <w:szCs w:val="24"/>
        </w:rPr>
      </w:pPr>
    </w:p>
    <w:p w:rsidR="00997A69" w:rsidRPr="00A0305C" w:rsidRDefault="00997A69" w:rsidP="00153779">
      <w:pPr>
        <w:pStyle w:val="Heading2"/>
        <w:numPr>
          <w:ilvl w:val="0"/>
          <w:numId w:val="37"/>
        </w:numPr>
        <w:ind w:left="360"/>
      </w:pPr>
      <w:bookmarkStart w:id="115" w:name="_Toc255819938"/>
      <w:bookmarkStart w:id="116" w:name="_Toc414355066"/>
      <w:r>
        <w:t>Is</w:t>
      </w:r>
      <w:r w:rsidRPr="00043065">
        <w:t xml:space="preserve"> an LEA’s collection of poverty data</w:t>
      </w:r>
      <w:r>
        <w:t xml:space="preserve"> on</w:t>
      </w:r>
      <w:r w:rsidRPr="00043065">
        <w:t xml:space="preserve"> private school students </w:t>
      </w:r>
      <w:r>
        <w:t>affect</w:t>
      </w:r>
      <w:r w:rsidRPr="00043065">
        <w:t xml:space="preserve">ed by </w:t>
      </w:r>
      <w:r w:rsidR="003D7973">
        <w:t>CEP</w:t>
      </w:r>
      <w:r>
        <w:t xml:space="preserve"> data</w:t>
      </w:r>
      <w:r w:rsidRPr="00043065">
        <w:t>?</w:t>
      </w:r>
      <w:r w:rsidR="00E07892">
        <w:t xml:space="preserve">  </w:t>
      </w:r>
      <w:r w:rsidR="00E07892">
        <w:rPr>
          <w:i/>
        </w:rPr>
        <w:t xml:space="preserve">(Modified </w:t>
      </w:r>
      <w:r w:rsidR="00376636">
        <w:rPr>
          <w:i/>
        </w:rPr>
        <w:t>March</w:t>
      </w:r>
      <w:r w:rsidR="00687190">
        <w:rPr>
          <w:i/>
        </w:rPr>
        <w:t xml:space="preserve"> 2015</w:t>
      </w:r>
      <w:r w:rsidR="00E07892">
        <w:rPr>
          <w:i/>
        </w:rPr>
        <w:t>)</w:t>
      </w:r>
      <w:bookmarkEnd w:id="116"/>
    </w:p>
    <w:p w:rsidR="00997A69" w:rsidRPr="00A0305C" w:rsidRDefault="00997A69" w:rsidP="00484791">
      <w:pPr>
        <w:spacing w:after="0" w:line="240" w:lineRule="auto"/>
        <w:rPr>
          <w:sz w:val="24"/>
          <w:szCs w:val="24"/>
        </w:rPr>
      </w:pPr>
    </w:p>
    <w:p w:rsidR="009B2984" w:rsidRDefault="00816C8F" w:rsidP="00484791">
      <w:pPr>
        <w:spacing w:after="0" w:line="240" w:lineRule="auto"/>
        <w:rPr>
          <w:sz w:val="24"/>
          <w:szCs w:val="24"/>
        </w:rPr>
      </w:pPr>
      <w:r w:rsidRPr="009C5664">
        <w:rPr>
          <w:sz w:val="24"/>
          <w:szCs w:val="24"/>
        </w:rPr>
        <w:t xml:space="preserve">Possibly.  </w:t>
      </w:r>
      <w:r>
        <w:rPr>
          <w:sz w:val="24"/>
          <w:szCs w:val="24"/>
        </w:rPr>
        <w:t xml:space="preserve">It is an LEA’s responsibility to identify </w:t>
      </w:r>
      <w:r w:rsidRPr="009C5664">
        <w:rPr>
          <w:sz w:val="24"/>
          <w:szCs w:val="24"/>
        </w:rPr>
        <w:t>the method it will use to determine the number of private school children from low-income families who reside in participating public school attendance areas</w:t>
      </w:r>
      <w:r>
        <w:rPr>
          <w:sz w:val="24"/>
          <w:szCs w:val="24"/>
        </w:rPr>
        <w:t xml:space="preserve">.  </w:t>
      </w:r>
      <w:r w:rsidR="003B0E3D">
        <w:rPr>
          <w:sz w:val="24"/>
          <w:szCs w:val="24"/>
        </w:rPr>
        <w:t>As part of the process for identifying a method</w:t>
      </w:r>
      <w:r>
        <w:rPr>
          <w:sz w:val="24"/>
          <w:szCs w:val="24"/>
        </w:rPr>
        <w:t>, u</w:t>
      </w:r>
      <w:r w:rsidRPr="00873806">
        <w:rPr>
          <w:sz w:val="24"/>
          <w:szCs w:val="24"/>
        </w:rPr>
        <w:t xml:space="preserve">nder </w:t>
      </w:r>
      <w:r>
        <w:rPr>
          <w:sz w:val="24"/>
          <w:szCs w:val="24"/>
        </w:rPr>
        <w:t xml:space="preserve">34 C.F.R. </w:t>
      </w:r>
      <w:r w:rsidRPr="00873806">
        <w:rPr>
          <w:sz w:val="24"/>
          <w:szCs w:val="24"/>
        </w:rPr>
        <w:t>§</w:t>
      </w:r>
      <w:r w:rsidR="00D46F95">
        <w:rPr>
          <w:sz w:val="24"/>
          <w:szCs w:val="24"/>
        </w:rPr>
        <w:t xml:space="preserve"> </w:t>
      </w:r>
      <w:r w:rsidRPr="00873806">
        <w:rPr>
          <w:sz w:val="24"/>
          <w:szCs w:val="24"/>
        </w:rPr>
        <w:t>200.63</w:t>
      </w:r>
      <w:r>
        <w:rPr>
          <w:sz w:val="24"/>
          <w:szCs w:val="24"/>
        </w:rPr>
        <w:t>, the LEA must consult with and consider the views of private school officials</w:t>
      </w:r>
      <w:r w:rsidRPr="009C5664">
        <w:rPr>
          <w:sz w:val="24"/>
          <w:szCs w:val="24"/>
        </w:rPr>
        <w:t>.  Th</w:t>
      </w:r>
      <w:r>
        <w:rPr>
          <w:sz w:val="24"/>
          <w:szCs w:val="24"/>
        </w:rPr>
        <w:t>e available</w:t>
      </w:r>
      <w:r w:rsidRPr="009C5664">
        <w:rPr>
          <w:sz w:val="24"/>
          <w:szCs w:val="24"/>
        </w:rPr>
        <w:t xml:space="preserve"> methods </w:t>
      </w:r>
      <w:r w:rsidR="003B0E3D">
        <w:rPr>
          <w:sz w:val="24"/>
          <w:szCs w:val="24"/>
        </w:rPr>
        <w:t>for an LEA to discuss with private school officials are</w:t>
      </w:r>
      <w:r w:rsidRPr="009C5664">
        <w:rPr>
          <w:sz w:val="24"/>
          <w:szCs w:val="24"/>
        </w:rPr>
        <w:t xml:space="preserve">:  (1) using the same poverty measure </w:t>
      </w:r>
      <w:r>
        <w:rPr>
          <w:sz w:val="24"/>
          <w:szCs w:val="24"/>
        </w:rPr>
        <w:t xml:space="preserve">as </w:t>
      </w:r>
      <w:r w:rsidRPr="009C5664">
        <w:rPr>
          <w:sz w:val="24"/>
          <w:szCs w:val="24"/>
        </w:rPr>
        <w:t xml:space="preserve">used by the LEA to count public school students </w:t>
      </w:r>
      <w:r w:rsidR="00997A69" w:rsidRPr="009C5664">
        <w:rPr>
          <w:sz w:val="24"/>
          <w:szCs w:val="24"/>
        </w:rPr>
        <w:t xml:space="preserve">(e.g., </w:t>
      </w:r>
      <w:r w:rsidR="00997A69">
        <w:rPr>
          <w:sz w:val="24"/>
          <w:szCs w:val="24"/>
        </w:rPr>
        <w:t>NSLP</w:t>
      </w:r>
      <w:r w:rsidR="00997A69" w:rsidRPr="009C5664">
        <w:rPr>
          <w:sz w:val="24"/>
          <w:szCs w:val="24"/>
        </w:rPr>
        <w:t xml:space="preserve"> data</w:t>
      </w:r>
      <w:r w:rsidR="00611969">
        <w:rPr>
          <w:sz w:val="24"/>
          <w:szCs w:val="24"/>
        </w:rPr>
        <w:t xml:space="preserve"> or </w:t>
      </w:r>
      <w:r w:rsidR="00B56DFA">
        <w:rPr>
          <w:sz w:val="24"/>
          <w:szCs w:val="24"/>
        </w:rPr>
        <w:t xml:space="preserve">LEA </w:t>
      </w:r>
      <w:r w:rsidR="00611969">
        <w:rPr>
          <w:sz w:val="24"/>
          <w:szCs w:val="24"/>
        </w:rPr>
        <w:t xml:space="preserve">survey data such as </w:t>
      </w:r>
      <w:r w:rsidR="00611969">
        <w:rPr>
          <w:sz w:val="24"/>
          <w:szCs w:val="24"/>
        </w:rPr>
        <w:lastRenderedPageBreak/>
        <w:t>those discussed in Question 23</w:t>
      </w:r>
      <w:r w:rsidR="00997A69" w:rsidRPr="009C5664">
        <w:rPr>
          <w:sz w:val="24"/>
          <w:szCs w:val="24"/>
        </w:rPr>
        <w:t>); (2) using comparable poverty data from a survey of private school families and extrapolating the results from a representative sample if complete actual data are unavailable; (3) using comparabl</w:t>
      </w:r>
      <w:r w:rsidR="00997A69">
        <w:rPr>
          <w:sz w:val="24"/>
          <w:szCs w:val="24"/>
        </w:rPr>
        <w:t>e poverty data from a different</w:t>
      </w:r>
      <w:r w:rsidR="00997A69" w:rsidRPr="009C5664">
        <w:rPr>
          <w:sz w:val="24"/>
          <w:szCs w:val="24"/>
        </w:rPr>
        <w:t xml:space="preserve"> source; (4) applying the low-income percentage of each participating public school attendance area to the number of private school students who reside in each area</w:t>
      </w:r>
      <w:r w:rsidR="00997A69">
        <w:rPr>
          <w:sz w:val="24"/>
          <w:szCs w:val="24"/>
        </w:rPr>
        <w:t xml:space="preserve"> (i.e., proportionality)</w:t>
      </w:r>
      <w:r w:rsidR="00997A69" w:rsidRPr="009C5664">
        <w:rPr>
          <w:sz w:val="24"/>
          <w:szCs w:val="24"/>
        </w:rPr>
        <w:t xml:space="preserve">; and (5) using an equated measure of low income correlated with the measure of low income used to count public school students.  (See section 1120(c)(1) of the ESEA; 34 C.F.R. § 200.78(a)(2).)  </w:t>
      </w:r>
      <w:r w:rsidR="005C197B">
        <w:rPr>
          <w:sz w:val="24"/>
          <w:szCs w:val="24"/>
        </w:rPr>
        <w:t xml:space="preserve">In determining the method, the LEA should also take into consideration the private school’s ability to access direct certification data and the extent to which accessing such data </w:t>
      </w:r>
      <w:r w:rsidR="0082592F">
        <w:rPr>
          <w:sz w:val="24"/>
          <w:szCs w:val="24"/>
        </w:rPr>
        <w:t>im</w:t>
      </w:r>
      <w:r w:rsidR="005C197B">
        <w:rPr>
          <w:sz w:val="24"/>
          <w:szCs w:val="24"/>
        </w:rPr>
        <w:t xml:space="preserve">poses administrative burden on the school.  </w:t>
      </w:r>
      <w:r w:rsidRPr="009C5664">
        <w:rPr>
          <w:sz w:val="24"/>
          <w:szCs w:val="24"/>
        </w:rPr>
        <w:t xml:space="preserve">The method an LEA selects, after consultation with private school officials, will determine whether </w:t>
      </w:r>
      <w:r>
        <w:rPr>
          <w:sz w:val="24"/>
          <w:szCs w:val="24"/>
        </w:rPr>
        <w:t>CEP</w:t>
      </w:r>
      <w:r w:rsidRPr="009C5664">
        <w:rPr>
          <w:sz w:val="24"/>
          <w:szCs w:val="24"/>
        </w:rPr>
        <w:t xml:space="preserve"> data are relevant.  </w:t>
      </w:r>
    </w:p>
    <w:p w:rsidR="009B2984" w:rsidRDefault="009B2984" w:rsidP="00484791">
      <w:pPr>
        <w:spacing w:after="0" w:line="240" w:lineRule="auto"/>
        <w:rPr>
          <w:sz w:val="24"/>
          <w:szCs w:val="24"/>
        </w:rPr>
      </w:pPr>
    </w:p>
    <w:p w:rsidR="00997A69" w:rsidRDefault="009B2984" w:rsidP="00484791">
      <w:pPr>
        <w:spacing w:after="0" w:line="240" w:lineRule="auto"/>
        <w:rPr>
          <w:sz w:val="24"/>
          <w:szCs w:val="24"/>
        </w:rPr>
      </w:pPr>
      <w:r>
        <w:rPr>
          <w:sz w:val="24"/>
          <w:szCs w:val="24"/>
        </w:rPr>
        <w:t>I</w:t>
      </w:r>
      <w:r w:rsidR="00816C8F" w:rsidRPr="009C5664">
        <w:rPr>
          <w:sz w:val="24"/>
          <w:szCs w:val="24"/>
        </w:rPr>
        <w:t>f</w:t>
      </w:r>
      <w:r w:rsidR="00816C8F">
        <w:rPr>
          <w:sz w:val="24"/>
          <w:szCs w:val="24"/>
        </w:rPr>
        <w:t xml:space="preserve"> </w:t>
      </w:r>
      <w:r w:rsidR="00816C8F" w:rsidRPr="009C5664">
        <w:rPr>
          <w:sz w:val="24"/>
          <w:szCs w:val="24"/>
        </w:rPr>
        <w:t xml:space="preserve">an LEA uses </w:t>
      </w:r>
      <w:r w:rsidR="00816C8F">
        <w:rPr>
          <w:sz w:val="24"/>
          <w:szCs w:val="24"/>
        </w:rPr>
        <w:t>NSLP</w:t>
      </w:r>
      <w:r w:rsidR="00816C8F" w:rsidRPr="009C5664">
        <w:rPr>
          <w:sz w:val="24"/>
          <w:szCs w:val="24"/>
        </w:rPr>
        <w:t xml:space="preserve"> data that include a mix of </w:t>
      </w:r>
      <w:r w:rsidR="00816C8F">
        <w:rPr>
          <w:sz w:val="24"/>
          <w:szCs w:val="24"/>
        </w:rPr>
        <w:t>CEP</w:t>
      </w:r>
      <w:r w:rsidR="00816C8F" w:rsidRPr="009C5664">
        <w:rPr>
          <w:sz w:val="24"/>
          <w:szCs w:val="24"/>
        </w:rPr>
        <w:t xml:space="preserve"> data and </w:t>
      </w:r>
      <w:r w:rsidR="00816C8F">
        <w:rPr>
          <w:sz w:val="24"/>
          <w:szCs w:val="24"/>
        </w:rPr>
        <w:t>free and reduced-price meals</w:t>
      </w:r>
      <w:r w:rsidR="00816C8F" w:rsidRPr="009C5664">
        <w:rPr>
          <w:sz w:val="24"/>
          <w:szCs w:val="24"/>
        </w:rPr>
        <w:t xml:space="preserve"> data</w:t>
      </w:r>
      <w:r w:rsidR="002A018F">
        <w:rPr>
          <w:sz w:val="24"/>
          <w:szCs w:val="24"/>
        </w:rPr>
        <w:t xml:space="preserve"> to </w:t>
      </w:r>
      <w:r w:rsidR="002A018F" w:rsidRPr="009C5664">
        <w:rPr>
          <w:sz w:val="24"/>
          <w:szCs w:val="24"/>
        </w:rPr>
        <w:t>allocate Title I funds to public school attendance are</w:t>
      </w:r>
      <w:r w:rsidR="002A018F">
        <w:rPr>
          <w:sz w:val="24"/>
          <w:szCs w:val="24"/>
        </w:rPr>
        <w:t>as and schools</w:t>
      </w:r>
      <w:r w:rsidR="00816C8F">
        <w:rPr>
          <w:sz w:val="24"/>
          <w:szCs w:val="24"/>
        </w:rPr>
        <w:t>, and such data are</w:t>
      </w:r>
      <w:r w:rsidR="00816C8F" w:rsidRPr="009C5664">
        <w:rPr>
          <w:sz w:val="24"/>
          <w:szCs w:val="24"/>
        </w:rPr>
        <w:t xml:space="preserve"> also available for private school students,</w:t>
      </w:r>
      <w:r w:rsidR="00816C8F">
        <w:rPr>
          <w:sz w:val="24"/>
          <w:szCs w:val="24"/>
        </w:rPr>
        <w:t xml:space="preserve"> then,</w:t>
      </w:r>
      <w:r w:rsidR="00816C8F" w:rsidRPr="009C5664">
        <w:rPr>
          <w:sz w:val="24"/>
          <w:szCs w:val="24"/>
        </w:rPr>
        <w:t xml:space="preserve"> </w:t>
      </w:r>
      <w:r w:rsidR="00816C8F">
        <w:rPr>
          <w:sz w:val="24"/>
          <w:szCs w:val="24"/>
        </w:rPr>
        <w:t xml:space="preserve">after consultation with private school officials, the LEA would most likely </w:t>
      </w:r>
      <w:r w:rsidR="00816C8F" w:rsidRPr="009C5664">
        <w:rPr>
          <w:sz w:val="24"/>
          <w:szCs w:val="24"/>
        </w:rPr>
        <w:t xml:space="preserve">use the </w:t>
      </w:r>
      <w:r w:rsidR="00816C8F">
        <w:rPr>
          <w:sz w:val="24"/>
          <w:szCs w:val="24"/>
        </w:rPr>
        <w:t>NSLP</w:t>
      </w:r>
      <w:r w:rsidR="00816C8F" w:rsidRPr="009C5664">
        <w:rPr>
          <w:sz w:val="24"/>
          <w:szCs w:val="24"/>
        </w:rPr>
        <w:t xml:space="preserve"> data as the poverty measure it uses when calculating the amount of funds </w:t>
      </w:r>
      <w:r w:rsidR="00816C8F">
        <w:rPr>
          <w:sz w:val="24"/>
          <w:szCs w:val="24"/>
        </w:rPr>
        <w:t xml:space="preserve">available </w:t>
      </w:r>
      <w:r w:rsidR="00816C8F" w:rsidRPr="009C5664">
        <w:rPr>
          <w:sz w:val="24"/>
          <w:szCs w:val="24"/>
        </w:rPr>
        <w:t>for equitable services</w:t>
      </w:r>
      <w:r w:rsidR="00816C8F">
        <w:rPr>
          <w:sz w:val="24"/>
          <w:szCs w:val="24"/>
        </w:rPr>
        <w:t xml:space="preserve"> because the same data source is available for public and private school students</w:t>
      </w:r>
      <w:r w:rsidR="00816C8F" w:rsidRPr="009C5664">
        <w:rPr>
          <w:sz w:val="24"/>
          <w:szCs w:val="24"/>
        </w:rPr>
        <w:t xml:space="preserve">.  </w:t>
      </w:r>
      <w:r w:rsidR="00997A69" w:rsidRPr="009C5664">
        <w:rPr>
          <w:sz w:val="24"/>
          <w:szCs w:val="24"/>
        </w:rPr>
        <w:t xml:space="preserve">(If a private school is a </w:t>
      </w:r>
      <w:r w:rsidR="003D7973">
        <w:rPr>
          <w:sz w:val="24"/>
          <w:szCs w:val="24"/>
        </w:rPr>
        <w:t>CEP</w:t>
      </w:r>
      <w:r w:rsidR="00997A69" w:rsidRPr="009C5664">
        <w:rPr>
          <w:sz w:val="24"/>
          <w:szCs w:val="24"/>
        </w:rPr>
        <w:t xml:space="preserve"> school, </w:t>
      </w:r>
      <w:r w:rsidR="00997A69" w:rsidRPr="00D51748">
        <w:rPr>
          <w:sz w:val="24"/>
          <w:szCs w:val="24"/>
        </w:rPr>
        <w:t>see Question</w:t>
      </w:r>
      <w:r w:rsidR="00352455">
        <w:rPr>
          <w:sz w:val="24"/>
          <w:szCs w:val="24"/>
        </w:rPr>
        <w:t>s</w:t>
      </w:r>
      <w:r w:rsidR="00997A69" w:rsidRPr="00D51748">
        <w:rPr>
          <w:sz w:val="24"/>
          <w:szCs w:val="24"/>
        </w:rPr>
        <w:t xml:space="preserve"> 29</w:t>
      </w:r>
      <w:r w:rsidR="00352455">
        <w:rPr>
          <w:sz w:val="24"/>
          <w:szCs w:val="24"/>
        </w:rPr>
        <w:t xml:space="preserve"> and 29a</w:t>
      </w:r>
      <w:r w:rsidR="00997A69" w:rsidRPr="009C5664">
        <w:rPr>
          <w:sz w:val="24"/>
          <w:szCs w:val="24"/>
        </w:rPr>
        <w:t xml:space="preserve">.)  </w:t>
      </w:r>
      <w:r w:rsidR="005C197B" w:rsidRPr="009C5664">
        <w:rPr>
          <w:sz w:val="24"/>
          <w:szCs w:val="24"/>
        </w:rPr>
        <w:t xml:space="preserve">If the same measures </w:t>
      </w:r>
      <w:r w:rsidR="005C197B">
        <w:rPr>
          <w:sz w:val="24"/>
          <w:szCs w:val="24"/>
        </w:rPr>
        <w:t xml:space="preserve">(e.g., CEP data and free and reduced-price meals data) </w:t>
      </w:r>
      <w:r w:rsidR="005C197B" w:rsidRPr="009C5664">
        <w:rPr>
          <w:sz w:val="24"/>
          <w:szCs w:val="24"/>
        </w:rPr>
        <w:t>are not available</w:t>
      </w:r>
      <w:r w:rsidR="005C197B">
        <w:rPr>
          <w:sz w:val="24"/>
          <w:szCs w:val="24"/>
        </w:rPr>
        <w:t xml:space="preserve"> for private school students</w:t>
      </w:r>
      <w:r w:rsidR="005C197B" w:rsidRPr="009C5664">
        <w:rPr>
          <w:sz w:val="24"/>
          <w:szCs w:val="24"/>
        </w:rPr>
        <w:t xml:space="preserve">, the LEA </w:t>
      </w:r>
      <w:r w:rsidR="005C197B">
        <w:rPr>
          <w:sz w:val="24"/>
          <w:szCs w:val="24"/>
        </w:rPr>
        <w:t xml:space="preserve">might </w:t>
      </w:r>
      <w:r w:rsidR="005C197B" w:rsidRPr="009C5664">
        <w:rPr>
          <w:sz w:val="24"/>
          <w:szCs w:val="24"/>
        </w:rPr>
        <w:t>use a survey</w:t>
      </w:r>
      <w:r w:rsidR="005C197B">
        <w:rPr>
          <w:sz w:val="24"/>
          <w:szCs w:val="24"/>
        </w:rPr>
        <w:t xml:space="preserve"> or comparable data from another source.  With respect to a survey, if, for example, an LEA allocates Title I funds to all of its schools (CEP and non-CEP) based on their direct certification counts multiplied by 1.6, the LEA could conduct a survey to identify </w:t>
      </w:r>
      <w:r w:rsidR="002A018F">
        <w:rPr>
          <w:sz w:val="24"/>
          <w:szCs w:val="24"/>
        </w:rPr>
        <w:t>the number of</w:t>
      </w:r>
      <w:r w:rsidR="00A66068">
        <w:rPr>
          <w:sz w:val="24"/>
          <w:szCs w:val="24"/>
        </w:rPr>
        <w:t xml:space="preserve"> </w:t>
      </w:r>
      <w:r w:rsidR="0054707A">
        <w:rPr>
          <w:sz w:val="24"/>
          <w:szCs w:val="24"/>
        </w:rPr>
        <w:t xml:space="preserve">private school students </w:t>
      </w:r>
      <w:r w:rsidR="00136DBE">
        <w:rPr>
          <w:sz w:val="24"/>
          <w:szCs w:val="24"/>
        </w:rPr>
        <w:t xml:space="preserve">residing </w:t>
      </w:r>
      <w:r w:rsidR="0054707A">
        <w:rPr>
          <w:sz w:val="24"/>
          <w:szCs w:val="24"/>
        </w:rPr>
        <w:t>in a Title I attendance area who would have been directly certified</w:t>
      </w:r>
      <w:r w:rsidR="00A66068" w:rsidRPr="00A66068">
        <w:rPr>
          <w:sz w:val="24"/>
          <w:szCs w:val="24"/>
        </w:rPr>
        <w:t xml:space="preserve"> </w:t>
      </w:r>
      <w:r w:rsidR="00A66068">
        <w:rPr>
          <w:sz w:val="24"/>
          <w:szCs w:val="24"/>
        </w:rPr>
        <w:t xml:space="preserve">if the private schools were participating in </w:t>
      </w:r>
      <w:r w:rsidR="00136DBE">
        <w:rPr>
          <w:sz w:val="24"/>
          <w:szCs w:val="24"/>
        </w:rPr>
        <w:t>CEP</w:t>
      </w:r>
      <w:r w:rsidR="0054707A">
        <w:rPr>
          <w:sz w:val="24"/>
          <w:szCs w:val="24"/>
        </w:rPr>
        <w:t xml:space="preserve"> </w:t>
      </w:r>
      <w:r w:rsidR="00A66068">
        <w:rPr>
          <w:sz w:val="24"/>
          <w:szCs w:val="24"/>
        </w:rPr>
        <w:t>multiplied by 1.6</w:t>
      </w:r>
      <w:r w:rsidR="0054707A">
        <w:rPr>
          <w:sz w:val="24"/>
          <w:szCs w:val="24"/>
        </w:rPr>
        <w:t xml:space="preserve">. </w:t>
      </w:r>
      <w:r w:rsidR="0054707A" w:rsidRPr="009C5664">
        <w:rPr>
          <w:sz w:val="24"/>
          <w:szCs w:val="24"/>
        </w:rPr>
        <w:t xml:space="preserve"> </w:t>
      </w:r>
      <w:r w:rsidR="00136DBE">
        <w:rPr>
          <w:sz w:val="24"/>
          <w:szCs w:val="24"/>
        </w:rPr>
        <w:t xml:space="preserve">The LEA might also conduct a survey to identify the number of private school students residing in a Title I attendance area based on the poverty cutoff for free and reduced-price meals.  </w:t>
      </w:r>
      <w:r w:rsidR="005C197B">
        <w:rPr>
          <w:sz w:val="24"/>
          <w:szCs w:val="24"/>
        </w:rPr>
        <w:t>Regarding data from another source, an LEA could, for instance, use</w:t>
      </w:r>
      <w:r w:rsidR="005C197B" w:rsidRPr="009C5664">
        <w:rPr>
          <w:sz w:val="24"/>
          <w:szCs w:val="24"/>
        </w:rPr>
        <w:t xml:space="preserve"> data from a scholarship application that uses the poverty cutoff for </w:t>
      </w:r>
      <w:r w:rsidR="005C197B">
        <w:rPr>
          <w:sz w:val="24"/>
          <w:szCs w:val="24"/>
        </w:rPr>
        <w:t>free and reduced-price meals</w:t>
      </w:r>
      <w:r w:rsidR="005C197B" w:rsidRPr="009C5664">
        <w:rPr>
          <w:sz w:val="24"/>
          <w:szCs w:val="24"/>
        </w:rPr>
        <w:t xml:space="preserve">.  Similarly, the LEA </w:t>
      </w:r>
      <w:r w:rsidR="005C197B">
        <w:rPr>
          <w:sz w:val="24"/>
          <w:szCs w:val="24"/>
        </w:rPr>
        <w:t>might</w:t>
      </w:r>
      <w:r w:rsidR="005C197B" w:rsidRPr="009C5664">
        <w:rPr>
          <w:sz w:val="24"/>
          <w:szCs w:val="24"/>
        </w:rPr>
        <w:t xml:space="preserve"> use “proportionality” and apply the low-income percentage of each </w:t>
      </w:r>
      <w:r w:rsidR="001206D7">
        <w:rPr>
          <w:sz w:val="24"/>
          <w:szCs w:val="24"/>
        </w:rPr>
        <w:t xml:space="preserve">Title I </w:t>
      </w:r>
      <w:r w:rsidR="005C197B" w:rsidRPr="009C5664">
        <w:rPr>
          <w:sz w:val="24"/>
          <w:szCs w:val="24"/>
        </w:rPr>
        <w:t>participating public school attendance area to the number of private school students who reside in each area.  Whatever measure is used, an LEA should not require that the private school officials give the names of students or their families.  (See Question B-4 in the Title I Equitable Services Guidance.)</w:t>
      </w:r>
    </w:p>
    <w:p w:rsidR="005366F7" w:rsidRDefault="005366F7" w:rsidP="00484791">
      <w:pPr>
        <w:spacing w:after="0" w:line="240" w:lineRule="auto"/>
        <w:rPr>
          <w:sz w:val="24"/>
          <w:szCs w:val="24"/>
        </w:rPr>
      </w:pPr>
    </w:p>
    <w:p w:rsidR="0062784E" w:rsidRDefault="0062784E" w:rsidP="00484791">
      <w:pPr>
        <w:spacing w:after="0" w:line="240" w:lineRule="auto"/>
        <w:rPr>
          <w:sz w:val="24"/>
          <w:szCs w:val="24"/>
        </w:rPr>
        <w:sectPr w:rsidR="0062784E" w:rsidSect="00F93BBF">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288" w:gutter="0"/>
          <w:cols w:space="720"/>
          <w:titlePg/>
          <w:docGrid w:linePitch="360"/>
        </w:sectPr>
      </w:pPr>
      <w:r>
        <w:rPr>
          <w:sz w:val="24"/>
          <w:szCs w:val="24"/>
        </w:rPr>
        <w:t>The following example</w:t>
      </w:r>
      <w:r w:rsidRPr="0062784E">
        <w:rPr>
          <w:sz w:val="24"/>
          <w:szCs w:val="24"/>
        </w:rPr>
        <w:t xml:space="preserve"> describe</w:t>
      </w:r>
      <w:r>
        <w:rPr>
          <w:sz w:val="24"/>
          <w:szCs w:val="24"/>
        </w:rPr>
        <w:t>s</w:t>
      </w:r>
      <w:r w:rsidRPr="0062784E">
        <w:rPr>
          <w:sz w:val="24"/>
          <w:szCs w:val="24"/>
        </w:rPr>
        <w:t xml:space="preserve"> how</w:t>
      </w:r>
      <w:r w:rsidR="00A23DBE">
        <w:rPr>
          <w:sz w:val="24"/>
          <w:szCs w:val="24"/>
        </w:rPr>
        <w:t>, following consultation with private school officials,</w:t>
      </w:r>
      <w:r w:rsidRPr="0062784E">
        <w:rPr>
          <w:sz w:val="24"/>
          <w:szCs w:val="24"/>
        </w:rPr>
        <w:t xml:space="preserve"> an LEA might determine the amount of funds generated to provide equitable services for eligible private school students if </w:t>
      </w:r>
      <w:r>
        <w:rPr>
          <w:sz w:val="24"/>
          <w:szCs w:val="24"/>
        </w:rPr>
        <w:t xml:space="preserve">the LEA participates in CEP but </w:t>
      </w:r>
      <w:r w:rsidRPr="0062784E">
        <w:rPr>
          <w:sz w:val="24"/>
          <w:szCs w:val="24"/>
        </w:rPr>
        <w:t xml:space="preserve">a private school with students who reside in a Title I-participating public school attendance area of the LEA </w:t>
      </w:r>
      <w:r>
        <w:rPr>
          <w:sz w:val="24"/>
          <w:szCs w:val="24"/>
        </w:rPr>
        <w:t>does not participate</w:t>
      </w:r>
      <w:r w:rsidRPr="0062784E">
        <w:rPr>
          <w:sz w:val="24"/>
          <w:szCs w:val="24"/>
        </w:rPr>
        <w:t xml:space="preserve"> in CEP.</w:t>
      </w:r>
      <w:r>
        <w:rPr>
          <w:sz w:val="24"/>
          <w:szCs w:val="24"/>
        </w:rPr>
        <w:t xml:space="preserve">  </w:t>
      </w:r>
      <w:r w:rsidR="00A23DBE">
        <w:rPr>
          <w:sz w:val="24"/>
          <w:szCs w:val="24"/>
        </w:rPr>
        <w:t>In this example, the LEA uses direct certification multiplied by the 1.6 multiplier for its CEP public schools and free and reduced-price meal</w:t>
      </w:r>
      <w:r w:rsidR="00136DBE">
        <w:rPr>
          <w:sz w:val="24"/>
          <w:szCs w:val="24"/>
        </w:rPr>
        <w:t>s</w:t>
      </w:r>
      <w:r w:rsidR="00A23DBE">
        <w:rPr>
          <w:sz w:val="24"/>
          <w:szCs w:val="24"/>
        </w:rPr>
        <w:t xml:space="preserve"> eligibility (i.e., </w:t>
      </w:r>
      <w:r w:rsidR="00A23DBE">
        <w:rPr>
          <w:rFonts w:cs="Calibri"/>
          <w:color w:val="000000"/>
          <w:sz w:val="24"/>
          <w:szCs w:val="24"/>
        </w:rPr>
        <w:t xml:space="preserve">a combination of direct certification data and household applications) </w:t>
      </w:r>
      <w:r w:rsidR="00A23DBE">
        <w:rPr>
          <w:sz w:val="24"/>
          <w:szCs w:val="24"/>
        </w:rPr>
        <w:t>for it</w:t>
      </w:r>
      <w:r w:rsidR="000C3F2B">
        <w:rPr>
          <w:sz w:val="24"/>
          <w:szCs w:val="24"/>
        </w:rPr>
        <w:t>s</w:t>
      </w:r>
      <w:r w:rsidR="00A23DBE">
        <w:rPr>
          <w:sz w:val="24"/>
          <w:szCs w:val="24"/>
        </w:rPr>
        <w:t xml:space="preserve"> non-CEP public schools.</w:t>
      </w:r>
    </w:p>
    <w:p w:rsidR="0062784E" w:rsidRDefault="0062784E" w:rsidP="00484791">
      <w:pPr>
        <w:spacing w:after="0" w:line="240" w:lineRule="auto"/>
        <w:rPr>
          <w:sz w:val="24"/>
          <w:szCs w:val="24"/>
        </w:rPr>
      </w:pPr>
    </w:p>
    <w:tbl>
      <w:tblPr>
        <w:tblpPr w:leftFromText="180" w:rightFromText="180" w:vertAnchor="page" w:horzAnchor="margin" w:tblpXSpec="center" w:tblpY="2893"/>
        <w:tblW w:w="12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65" w:type="dxa"/>
          <w:right w:w="165" w:type="dxa"/>
        </w:tblCellMar>
        <w:tblLook w:val="0000" w:firstRow="0" w:lastRow="0" w:firstColumn="0" w:lastColumn="0" w:noHBand="0" w:noVBand="0"/>
      </w:tblPr>
      <w:tblGrid>
        <w:gridCol w:w="1305"/>
        <w:gridCol w:w="1440"/>
        <w:gridCol w:w="1620"/>
        <w:gridCol w:w="1620"/>
        <w:gridCol w:w="1606"/>
        <w:gridCol w:w="1507"/>
        <w:gridCol w:w="1507"/>
        <w:gridCol w:w="1411"/>
      </w:tblGrid>
      <w:tr w:rsidR="0062784E" w:rsidRPr="00CC58F6" w:rsidTr="00F06817">
        <w:tc>
          <w:tcPr>
            <w:tcW w:w="1305" w:type="dxa"/>
            <w:vAlign w:val="center"/>
          </w:tcPr>
          <w:p w:rsidR="0062784E" w:rsidRPr="00BA0CC5" w:rsidRDefault="0062784E" w:rsidP="00F06817">
            <w:pPr>
              <w:spacing w:after="0" w:line="240" w:lineRule="auto"/>
              <w:jc w:val="center"/>
              <w:rPr>
                <w:iCs/>
                <w:sz w:val="20"/>
                <w:szCs w:val="20"/>
              </w:rPr>
            </w:pPr>
            <w:r w:rsidRPr="00BA0CC5">
              <w:rPr>
                <w:iCs/>
                <w:sz w:val="20"/>
                <w:szCs w:val="20"/>
              </w:rPr>
              <w:t>Column 1</w:t>
            </w:r>
          </w:p>
        </w:tc>
        <w:tc>
          <w:tcPr>
            <w:tcW w:w="1440" w:type="dxa"/>
            <w:vAlign w:val="center"/>
          </w:tcPr>
          <w:p w:rsidR="0062784E" w:rsidRPr="00BA0CC5" w:rsidRDefault="0062784E" w:rsidP="00F06817">
            <w:pPr>
              <w:spacing w:after="0" w:line="240" w:lineRule="auto"/>
              <w:jc w:val="center"/>
              <w:rPr>
                <w:iCs/>
                <w:sz w:val="20"/>
                <w:szCs w:val="20"/>
              </w:rPr>
            </w:pPr>
            <w:r w:rsidRPr="00BA0CC5">
              <w:rPr>
                <w:iCs/>
                <w:sz w:val="20"/>
                <w:szCs w:val="20"/>
              </w:rPr>
              <w:t>Column 2</w:t>
            </w:r>
          </w:p>
        </w:tc>
        <w:tc>
          <w:tcPr>
            <w:tcW w:w="1620" w:type="dxa"/>
            <w:vAlign w:val="center"/>
          </w:tcPr>
          <w:p w:rsidR="0062784E" w:rsidRPr="00BA0CC5" w:rsidRDefault="0062784E" w:rsidP="00F06817">
            <w:pPr>
              <w:spacing w:after="0" w:line="240" w:lineRule="auto"/>
              <w:jc w:val="center"/>
              <w:rPr>
                <w:iCs/>
                <w:sz w:val="20"/>
                <w:szCs w:val="20"/>
              </w:rPr>
            </w:pPr>
            <w:r w:rsidRPr="00BA0CC5">
              <w:rPr>
                <w:iCs/>
                <w:sz w:val="20"/>
                <w:szCs w:val="20"/>
              </w:rPr>
              <w:t>Column 3</w:t>
            </w:r>
          </w:p>
        </w:tc>
        <w:tc>
          <w:tcPr>
            <w:tcW w:w="1620" w:type="dxa"/>
            <w:vAlign w:val="center"/>
          </w:tcPr>
          <w:p w:rsidR="0062784E" w:rsidRPr="00BA0CC5" w:rsidRDefault="0062784E" w:rsidP="00F06817">
            <w:pPr>
              <w:spacing w:after="0" w:line="240" w:lineRule="auto"/>
              <w:jc w:val="center"/>
              <w:rPr>
                <w:iCs/>
                <w:sz w:val="20"/>
                <w:szCs w:val="20"/>
              </w:rPr>
            </w:pPr>
            <w:r w:rsidRPr="00BA0CC5">
              <w:rPr>
                <w:iCs/>
                <w:sz w:val="20"/>
                <w:szCs w:val="20"/>
              </w:rPr>
              <w:t>Column 4</w:t>
            </w:r>
          </w:p>
        </w:tc>
        <w:tc>
          <w:tcPr>
            <w:tcW w:w="1606" w:type="dxa"/>
            <w:vAlign w:val="center"/>
          </w:tcPr>
          <w:p w:rsidR="0062784E" w:rsidRPr="00BA0CC5" w:rsidRDefault="0062784E" w:rsidP="00F06817">
            <w:pPr>
              <w:spacing w:after="0" w:line="240" w:lineRule="auto"/>
              <w:jc w:val="center"/>
              <w:rPr>
                <w:iCs/>
                <w:sz w:val="20"/>
                <w:szCs w:val="20"/>
              </w:rPr>
            </w:pPr>
            <w:r w:rsidRPr="00BA0CC5">
              <w:rPr>
                <w:iCs/>
                <w:sz w:val="20"/>
                <w:szCs w:val="20"/>
              </w:rPr>
              <w:t>Column 5</w:t>
            </w:r>
          </w:p>
        </w:tc>
        <w:tc>
          <w:tcPr>
            <w:tcW w:w="1507" w:type="dxa"/>
            <w:vAlign w:val="center"/>
          </w:tcPr>
          <w:p w:rsidR="0062784E" w:rsidRPr="00BA0CC5" w:rsidRDefault="0062784E" w:rsidP="00F06817">
            <w:pPr>
              <w:spacing w:after="0" w:line="240" w:lineRule="auto"/>
              <w:jc w:val="center"/>
              <w:rPr>
                <w:iCs/>
                <w:sz w:val="20"/>
                <w:szCs w:val="20"/>
              </w:rPr>
            </w:pPr>
            <w:r w:rsidRPr="00BA0CC5">
              <w:rPr>
                <w:iCs/>
                <w:sz w:val="20"/>
                <w:szCs w:val="20"/>
              </w:rPr>
              <w:t>Column 6</w:t>
            </w:r>
          </w:p>
        </w:tc>
        <w:tc>
          <w:tcPr>
            <w:tcW w:w="1507" w:type="dxa"/>
            <w:vAlign w:val="center"/>
          </w:tcPr>
          <w:p w:rsidR="0062784E" w:rsidRPr="00BA0CC5" w:rsidRDefault="0062784E" w:rsidP="00F06817">
            <w:pPr>
              <w:spacing w:after="0" w:line="240" w:lineRule="auto"/>
              <w:jc w:val="center"/>
              <w:rPr>
                <w:iCs/>
                <w:sz w:val="20"/>
                <w:szCs w:val="20"/>
              </w:rPr>
            </w:pPr>
            <w:r w:rsidRPr="00BA0CC5">
              <w:rPr>
                <w:iCs/>
                <w:sz w:val="20"/>
                <w:szCs w:val="20"/>
              </w:rPr>
              <w:t>Column 7</w:t>
            </w:r>
          </w:p>
        </w:tc>
        <w:tc>
          <w:tcPr>
            <w:tcW w:w="1411" w:type="dxa"/>
            <w:vAlign w:val="center"/>
          </w:tcPr>
          <w:p w:rsidR="0062784E" w:rsidRPr="00BA0CC5" w:rsidRDefault="0062784E" w:rsidP="00F06817">
            <w:pPr>
              <w:spacing w:after="0" w:line="240" w:lineRule="auto"/>
              <w:jc w:val="center"/>
              <w:rPr>
                <w:iCs/>
                <w:sz w:val="20"/>
                <w:szCs w:val="20"/>
              </w:rPr>
            </w:pPr>
            <w:r w:rsidRPr="00BA0CC5">
              <w:rPr>
                <w:iCs/>
                <w:sz w:val="20"/>
                <w:szCs w:val="20"/>
              </w:rPr>
              <w:t>Column 8</w:t>
            </w:r>
          </w:p>
        </w:tc>
      </w:tr>
      <w:tr w:rsidR="0062784E" w:rsidRPr="00CC58F6" w:rsidTr="00F06817">
        <w:tc>
          <w:tcPr>
            <w:tcW w:w="1305" w:type="dxa"/>
            <w:vAlign w:val="bottom"/>
          </w:tcPr>
          <w:p w:rsidR="0062784E" w:rsidRPr="001643C3" w:rsidRDefault="0062784E" w:rsidP="00F06817">
            <w:pPr>
              <w:spacing w:after="0" w:line="240" w:lineRule="auto"/>
              <w:rPr>
                <w:b/>
                <w:sz w:val="18"/>
                <w:szCs w:val="18"/>
              </w:rPr>
            </w:pPr>
          </w:p>
          <w:p w:rsidR="0062784E" w:rsidRDefault="0062784E" w:rsidP="00F06817">
            <w:pPr>
              <w:spacing w:after="0" w:line="240" w:lineRule="auto"/>
              <w:rPr>
                <w:b/>
                <w:sz w:val="18"/>
                <w:szCs w:val="18"/>
              </w:rPr>
            </w:pPr>
          </w:p>
          <w:p w:rsidR="0062784E" w:rsidRPr="001643C3" w:rsidRDefault="0062784E" w:rsidP="00F06817">
            <w:pPr>
              <w:spacing w:after="0" w:line="240" w:lineRule="auto"/>
              <w:rPr>
                <w:b/>
                <w:sz w:val="18"/>
                <w:szCs w:val="18"/>
              </w:rPr>
            </w:pPr>
            <w:r w:rsidRPr="001643C3">
              <w:rPr>
                <w:b/>
                <w:sz w:val="18"/>
                <w:szCs w:val="18"/>
              </w:rPr>
              <w:t>Public School</w:t>
            </w:r>
          </w:p>
          <w:p w:rsidR="0062784E" w:rsidRPr="001643C3" w:rsidRDefault="0062784E" w:rsidP="00F06817">
            <w:pPr>
              <w:spacing w:after="0" w:line="240" w:lineRule="auto"/>
              <w:rPr>
                <w:b/>
                <w:sz w:val="18"/>
                <w:szCs w:val="18"/>
              </w:rPr>
            </w:pPr>
            <w:r w:rsidRPr="001643C3">
              <w:rPr>
                <w:b/>
                <w:sz w:val="18"/>
                <w:szCs w:val="18"/>
              </w:rPr>
              <w:t>Attendance Area</w:t>
            </w:r>
          </w:p>
        </w:tc>
        <w:tc>
          <w:tcPr>
            <w:tcW w:w="1440" w:type="dxa"/>
            <w:vAlign w:val="bottom"/>
          </w:tcPr>
          <w:p w:rsidR="0062784E" w:rsidRPr="001643C3" w:rsidRDefault="0062784E" w:rsidP="00F06817">
            <w:pPr>
              <w:spacing w:after="0" w:line="240" w:lineRule="auto"/>
              <w:jc w:val="right"/>
              <w:rPr>
                <w:b/>
                <w:sz w:val="18"/>
                <w:szCs w:val="18"/>
              </w:rPr>
            </w:pPr>
            <w:r w:rsidRPr="001643C3">
              <w:rPr>
                <w:b/>
                <w:sz w:val="18"/>
                <w:szCs w:val="18"/>
              </w:rPr>
              <w:t>Per</w:t>
            </w:r>
            <w:r>
              <w:rPr>
                <w:b/>
                <w:sz w:val="18"/>
                <w:szCs w:val="18"/>
              </w:rPr>
              <w:t xml:space="preserve"> </w:t>
            </w:r>
            <w:r w:rsidRPr="001643C3">
              <w:rPr>
                <w:b/>
                <w:sz w:val="18"/>
                <w:szCs w:val="18"/>
              </w:rPr>
              <w:t>Pupil Allocation by Attendance Area</w:t>
            </w:r>
          </w:p>
        </w:tc>
        <w:tc>
          <w:tcPr>
            <w:tcW w:w="1620" w:type="dxa"/>
            <w:vAlign w:val="bottom"/>
          </w:tcPr>
          <w:p w:rsidR="0062784E" w:rsidRPr="001643C3" w:rsidRDefault="0062784E" w:rsidP="00F06817">
            <w:pPr>
              <w:spacing w:after="0" w:line="240" w:lineRule="auto"/>
              <w:jc w:val="right"/>
              <w:rPr>
                <w:b/>
                <w:sz w:val="18"/>
                <w:szCs w:val="18"/>
              </w:rPr>
            </w:pPr>
            <w:r>
              <w:rPr>
                <w:b/>
                <w:sz w:val="18"/>
                <w:szCs w:val="18"/>
              </w:rPr>
              <w:t>NSLP Count</w:t>
            </w:r>
            <w:r>
              <w:rPr>
                <w:b/>
                <w:sz w:val="18"/>
                <w:szCs w:val="18"/>
                <w:vertAlign w:val="superscript"/>
              </w:rPr>
              <w:t>1</w:t>
            </w:r>
          </w:p>
        </w:tc>
        <w:tc>
          <w:tcPr>
            <w:tcW w:w="1620" w:type="dxa"/>
            <w:vAlign w:val="bottom"/>
          </w:tcPr>
          <w:p w:rsidR="0062784E" w:rsidRPr="001643C3" w:rsidRDefault="0062784E" w:rsidP="00F06817">
            <w:pPr>
              <w:spacing w:after="0" w:line="240" w:lineRule="auto"/>
              <w:jc w:val="right"/>
              <w:rPr>
                <w:b/>
                <w:sz w:val="18"/>
                <w:szCs w:val="18"/>
              </w:rPr>
            </w:pPr>
            <w:r w:rsidRPr="001643C3">
              <w:rPr>
                <w:b/>
                <w:sz w:val="18"/>
                <w:szCs w:val="18"/>
              </w:rPr>
              <w:t xml:space="preserve">Number of  Public School  </w:t>
            </w:r>
            <w:r>
              <w:rPr>
                <w:b/>
                <w:sz w:val="18"/>
                <w:szCs w:val="18"/>
              </w:rPr>
              <w:t>Identified Students (</w:t>
            </w:r>
            <w:r w:rsidRPr="001643C3">
              <w:rPr>
                <w:b/>
                <w:sz w:val="18"/>
                <w:szCs w:val="18"/>
              </w:rPr>
              <w:t>IS</w:t>
            </w:r>
            <w:r>
              <w:rPr>
                <w:b/>
                <w:sz w:val="18"/>
                <w:szCs w:val="18"/>
              </w:rPr>
              <w:t>)</w:t>
            </w:r>
            <w:r w:rsidRPr="001643C3">
              <w:rPr>
                <w:b/>
                <w:sz w:val="18"/>
                <w:szCs w:val="18"/>
              </w:rPr>
              <w:t xml:space="preserve"> Multiplied by 1.6</w:t>
            </w:r>
          </w:p>
        </w:tc>
        <w:tc>
          <w:tcPr>
            <w:tcW w:w="1606" w:type="dxa"/>
            <w:vAlign w:val="bottom"/>
          </w:tcPr>
          <w:p w:rsidR="0062784E" w:rsidRPr="001643C3" w:rsidRDefault="0062784E" w:rsidP="00F06817">
            <w:pPr>
              <w:spacing w:after="0" w:line="240" w:lineRule="auto"/>
              <w:jc w:val="right"/>
              <w:rPr>
                <w:b/>
                <w:sz w:val="18"/>
                <w:szCs w:val="18"/>
              </w:rPr>
            </w:pPr>
            <w:r w:rsidRPr="001643C3">
              <w:rPr>
                <w:b/>
                <w:sz w:val="18"/>
                <w:szCs w:val="18"/>
              </w:rPr>
              <w:t xml:space="preserve">Number of Public School Low-Income </w:t>
            </w:r>
            <w:r>
              <w:rPr>
                <w:b/>
                <w:sz w:val="18"/>
                <w:szCs w:val="18"/>
              </w:rPr>
              <w:t>Students</w:t>
            </w:r>
            <w:r w:rsidRPr="001643C3">
              <w:rPr>
                <w:b/>
                <w:sz w:val="18"/>
                <w:szCs w:val="18"/>
              </w:rPr>
              <w:t xml:space="preserve"> by Attendance Area for Title I Allocation Purpose </w:t>
            </w:r>
            <w:r w:rsidRPr="00911917">
              <w:rPr>
                <w:b/>
                <w:sz w:val="18"/>
                <w:szCs w:val="18"/>
              </w:rPr>
              <w:t>(lesser of Column 3 and Column 4)</w:t>
            </w:r>
            <w:r w:rsidRPr="00911917">
              <w:rPr>
                <w:b/>
                <w:sz w:val="18"/>
                <w:szCs w:val="18"/>
                <w:vertAlign w:val="superscript"/>
              </w:rPr>
              <w:t>2</w:t>
            </w:r>
            <w:r w:rsidRPr="001643C3">
              <w:rPr>
                <w:b/>
                <w:sz w:val="18"/>
                <w:szCs w:val="18"/>
              </w:rPr>
              <w:t xml:space="preserve"> </w:t>
            </w:r>
          </w:p>
        </w:tc>
        <w:tc>
          <w:tcPr>
            <w:tcW w:w="1507" w:type="dxa"/>
            <w:vAlign w:val="bottom"/>
          </w:tcPr>
          <w:p w:rsidR="0062784E" w:rsidRPr="001643C3" w:rsidRDefault="0062784E" w:rsidP="00F06817">
            <w:pPr>
              <w:spacing w:after="0" w:line="240" w:lineRule="auto"/>
              <w:jc w:val="right"/>
              <w:rPr>
                <w:b/>
                <w:sz w:val="18"/>
                <w:szCs w:val="18"/>
              </w:rPr>
            </w:pPr>
            <w:r w:rsidRPr="001643C3">
              <w:rPr>
                <w:b/>
                <w:sz w:val="18"/>
                <w:szCs w:val="18"/>
              </w:rPr>
              <w:t xml:space="preserve">Number of Low-Income Private School </w:t>
            </w:r>
            <w:r>
              <w:rPr>
                <w:b/>
                <w:sz w:val="18"/>
                <w:szCs w:val="18"/>
              </w:rPr>
              <w:t>Students</w:t>
            </w:r>
            <w:r w:rsidRPr="001643C3">
              <w:rPr>
                <w:b/>
                <w:sz w:val="18"/>
                <w:szCs w:val="18"/>
              </w:rPr>
              <w:t xml:space="preserve"> by Attendance Area</w:t>
            </w:r>
            <w:r>
              <w:rPr>
                <w:b/>
                <w:sz w:val="18"/>
                <w:szCs w:val="18"/>
                <w:vertAlign w:val="superscript"/>
              </w:rPr>
              <w:t>3</w:t>
            </w:r>
            <w:r w:rsidRPr="001643C3">
              <w:rPr>
                <w:b/>
                <w:sz w:val="18"/>
                <w:szCs w:val="18"/>
              </w:rPr>
              <w:t xml:space="preserve"> </w:t>
            </w:r>
          </w:p>
        </w:tc>
        <w:tc>
          <w:tcPr>
            <w:tcW w:w="1507" w:type="dxa"/>
            <w:vAlign w:val="bottom"/>
          </w:tcPr>
          <w:p w:rsidR="0062784E" w:rsidRPr="001643C3" w:rsidRDefault="0062784E" w:rsidP="00F06817">
            <w:pPr>
              <w:spacing w:after="0" w:line="240" w:lineRule="auto"/>
              <w:jc w:val="right"/>
              <w:rPr>
                <w:b/>
                <w:sz w:val="18"/>
                <w:szCs w:val="18"/>
              </w:rPr>
            </w:pPr>
            <w:r w:rsidRPr="001643C3">
              <w:rPr>
                <w:b/>
                <w:sz w:val="18"/>
                <w:szCs w:val="18"/>
              </w:rPr>
              <w:t xml:space="preserve">Total Allocation for Each Public School </w:t>
            </w:r>
            <w:r w:rsidRPr="00911917">
              <w:rPr>
                <w:b/>
                <w:sz w:val="18"/>
                <w:szCs w:val="18"/>
              </w:rPr>
              <w:t>(Column 2 x   Column 5)</w:t>
            </w:r>
            <w:r w:rsidRPr="001643C3">
              <w:rPr>
                <w:b/>
                <w:sz w:val="18"/>
                <w:szCs w:val="18"/>
              </w:rPr>
              <w:t xml:space="preserve"> </w:t>
            </w:r>
          </w:p>
        </w:tc>
        <w:tc>
          <w:tcPr>
            <w:tcW w:w="1411" w:type="dxa"/>
            <w:vAlign w:val="bottom"/>
          </w:tcPr>
          <w:p w:rsidR="0062784E" w:rsidRPr="001643C3" w:rsidRDefault="0062784E" w:rsidP="00F06817">
            <w:pPr>
              <w:spacing w:after="0" w:line="240" w:lineRule="auto"/>
              <w:jc w:val="right"/>
              <w:rPr>
                <w:b/>
                <w:sz w:val="18"/>
                <w:szCs w:val="18"/>
              </w:rPr>
            </w:pPr>
            <w:r w:rsidRPr="001643C3">
              <w:rPr>
                <w:b/>
                <w:sz w:val="18"/>
                <w:szCs w:val="18"/>
              </w:rPr>
              <w:t xml:space="preserve">Amount Available for Title I Services to Private School </w:t>
            </w:r>
            <w:r>
              <w:rPr>
                <w:b/>
                <w:sz w:val="18"/>
                <w:szCs w:val="18"/>
              </w:rPr>
              <w:t>Students</w:t>
            </w:r>
            <w:r w:rsidRPr="001643C3">
              <w:rPr>
                <w:b/>
                <w:sz w:val="18"/>
                <w:szCs w:val="18"/>
              </w:rPr>
              <w:t xml:space="preserve"> </w:t>
            </w:r>
            <w:r w:rsidRPr="00911917">
              <w:rPr>
                <w:b/>
                <w:sz w:val="18"/>
                <w:szCs w:val="18"/>
              </w:rPr>
              <w:t>(Column 2 x Column 6)</w:t>
            </w:r>
          </w:p>
        </w:tc>
      </w:tr>
      <w:tr w:rsidR="0062784E" w:rsidRPr="00FF20EA" w:rsidTr="00F06817">
        <w:tc>
          <w:tcPr>
            <w:tcW w:w="1305" w:type="dxa"/>
            <w:vAlign w:val="bottom"/>
          </w:tcPr>
          <w:p w:rsidR="0062784E" w:rsidRPr="001643C3" w:rsidRDefault="0062784E" w:rsidP="00F06817">
            <w:pPr>
              <w:spacing w:after="0" w:line="240" w:lineRule="auto"/>
              <w:rPr>
                <w:sz w:val="18"/>
                <w:szCs w:val="18"/>
              </w:rPr>
            </w:pPr>
          </w:p>
          <w:p w:rsidR="0062784E" w:rsidRPr="001643C3" w:rsidRDefault="0062784E" w:rsidP="00F06817">
            <w:pPr>
              <w:spacing w:after="0" w:line="240" w:lineRule="auto"/>
              <w:rPr>
                <w:sz w:val="18"/>
                <w:szCs w:val="18"/>
              </w:rPr>
            </w:pPr>
            <w:r w:rsidRPr="001643C3">
              <w:rPr>
                <w:sz w:val="18"/>
                <w:szCs w:val="18"/>
              </w:rPr>
              <w:t>A (</w:t>
            </w:r>
            <w:r>
              <w:rPr>
                <w:sz w:val="18"/>
                <w:szCs w:val="18"/>
              </w:rPr>
              <w:t>CEP</w:t>
            </w:r>
            <w:r w:rsidRPr="001643C3">
              <w:rPr>
                <w:sz w:val="18"/>
                <w:szCs w:val="18"/>
              </w:rPr>
              <w:t xml:space="preserve"> school)</w:t>
            </w:r>
          </w:p>
        </w:tc>
        <w:tc>
          <w:tcPr>
            <w:tcW w:w="1440"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 xml:space="preserve">    $800</w:t>
            </w:r>
          </w:p>
        </w:tc>
        <w:tc>
          <w:tcPr>
            <w:tcW w:w="1620" w:type="dxa"/>
            <w:vAlign w:val="bottom"/>
          </w:tcPr>
          <w:p w:rsidR="0062784E" w:rsidRPr="001643C3" w:rsidRDefault="0062784E" w:rsidP="00F06817">
            <w:pPr>
              <w:spacing w:after="0" w:line="240" w:lineRule="auto"/>
              <w:jc w:val="center"/>
              <w:rPr>
                <w:sz w:val="18"/>
                <w:szCs w:val="18"/>
              </w:rPr>
            </w:pPr>
          </w:p>
          <w:p w:rsidR="0062784E" w:rsidRPr="001643C3" w:rsidRDefault="0062784E" w:rsidP="00F06817">
            <w:pPr>
              <w:spacing w:after="0" w:line="240" w:lineRule="auto"/>
              <w:jc w:val="right"/>
              <w:rPr>
                <w:sz w:val="18"/>
                <w:szCs w:val="18"/>
              </w:rPr>
            </w:pPr>
            <w:r w:rsidRPr="001643C3">
              <w:rPr>
                <w:sz w:val="18"/>
                <w:szCs w:val="18"/>
              </w:rPr>
              <w:t>Enrollment: 450</w:t>
            </w:r>
          </w:p>
          <w:p w:rsidR="0062784E" w:rsidRPr="001643C3" w:rsidRDefault="0062784E" w:rsidP="00F06817">
            <w:pPr>
              <w:spacing w:after="0" w:line="240" w:lineRule="auto"/>
              <w:jc w:val="right"/>
              <w:rPr>
                <w:sz w:val="18"/>
                <w:szCs w:val="18"/>
              </w:rPr>
            </w:pPr>
            <w:r w:rsidRPr="001643C3">
              <w:rPr>
                <w:sz w:val="18"/>
                <w:szCs w:val="18"/>
              </w:rPr>
              <w:t>IS: 300</w:t>
            </w:r>
          </w:p>
        </w:tc>
        <w:tc>
          <w:tcPr>
            <w:tcW w:w="1620"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300 x 1.6 = 480</w:t>
            </w:r>
          </w:p>
        </w:tc>
        <w:tc>
          <w:tcPr>
            <w:tcW w:w="1606"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 xml:space="preserve">  450</w:t>
            </w:r>
          </w:p>
        </w:tc>
        <w:tc>
          <w:tcPr>
            <w:tcW w:w="1507"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100</w:t>
            </w:r>
          </w:p>
        </w:tc>
        <w:tc>
          <w:tcPr>
            <w:tcW w:w="1507"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$360,000</w:t>
            </w:r>
          </w:p>
        </w:tc>
        <w:tc>
          <w:tcPr>
            <w:tcW w:w="1411"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$80,000</w:t>
            </w:r>
          </w:p>
        </w:tc>
      </w:tr>
      <w:tr w:rsidR="0062784E" w:rsidRPr="00FF20EA" w:rsidTr="00F06817">
        <w:tc>
          <w:tcPr>
            <w:tcW w:w="1305" w:type="dxa"/>
            <w:vAlign w:val="bottom"/>
          </w:tcPr>
          <w:p w:rsidR="0062784E" w:rsidRPr="001643C3" w:rsidRDefault="0062784E" w:rsidP="00F06817">
            <w:pPr>
              <w:spacing w:after="0" w:line="240" w:lineRule="auto"/>
              <w:rPr>
                <w:sz w:val="18"/>
                <w:szCs w:val="18"/>
              </w:rPr>
            </w:pPr>
          </w:p>
          <w:p w:rsidR="0062784E" w:rsidRPr="001643C3" w:rsidRDefault="0062784E" w:rsidP="00F06817">
            <w:pPr>
              <w:spacing w:after="0" w:line="240" w:lineRule="auto"/>
              <w:rPr>
                <w:sz w:val="18"/>
                <w:szCs w:val="18"/>
              </w:rPr>
            </w:pPr>
            <w:r w:rsidRPr="001643C3">
              <w:rPr>
                <w:sz w:val="18"/>
                <w:szCs w:val="18"/>
              </w:rPr>
              <w:t>B (non-</w:t>
            </w:r>
            <w:r>
              <w:rPr>
                <w:sz w:val="18"/>
                <w:szCs w:val="18"/>
              </w:rPr>
              <w:t>CEP</w:t>
            </w:r>
            <w:r w:rsidRPr="001643C3">
              <w:rPr>
                <w:sz w:val="18"/>
                <w:szCs w:val="18"/>
              </w:rPr>
              <w:t xml:space="preserve"> school)</w:t>
            </w:r>
          </w:p>
        </w:tc>
        <w:tc>
          <w:tcPr>
            <w:tcW w:w="1440"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 xml:space="preserve">    $700</w:t>
            </w:r>
          </w:p>
        </w:tc>
        <w:tc>
          <w:tcPr>
            <w:tcW w:w="1620"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Enrollment: 450</w:t>
            </w:r>
          </w:p>
          <w:p w:rsidR="0062784E" w:rsidRPr="001643C3" w:rsidRDefault="0062784E" w:rsidP="00F06817">
            <w:pPr>
              <w:spacing w:after="0" w:line="240" w:lineRule="auto"/>
              <w:jc w:val="right"/>
              <w:rPr>
                <w:sz w:val="18"/>
                <w:szCs w:val="18"/>
              </w:rPr>
            </w:pPr>
            <w:r>
              <w:rPr>
                <w:sz w:val="18"/>
                <w:szCs w:val="18"/>
              </w:rPr>
              <w:t>ES</w:t>
            </w:r>
            <w:r w:rsidRPr="001643C3">
              <w:rPr>
                <w:sz w:val="18"/>
                <w:szCs w:val="18"/>
              </w:rPr>
              <w:t>: 300</w:t>
            </w:r>
          </w:p>
        </w:tc>
        <w:tc>
          <w:tcPr>
            <w:tcW w:w="1620"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N/A</w:t>
            </w:r>
          </w:p>
        </w:tc>
        <w:tc>
          <w:tcPr>
            <w:tcW w:w="1606"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 xml:space="preserve">  300</w:t>
            </w:r>
          </w:p>
        </w:tc>
        <w:tc>
          <w:tcPr>
            <w:tcW w:w="1507"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16</w:t>
            </w:r>
          </w:p>
        </w:tc>
        <w:tc>
          <w:tcPr>
            <w:tcW w:w="1507"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$210,000</w:t>
            </w:r>
          </w:p>
        </w:tc>
        <w:tc>
          <w:tcPr>
            <w:tcW w:w="1411"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$11,200</w:t>
            </w:r>
          </w:p>
        </w:tc>
      </w:tr>
      <w:tr w:rsidR="0062784E" w:rsidRPr="00FF20EA" w:rsidTr="00F06817">
        <w:tc>
          <w:tcPr>
            <w:tcW w:w="1305" w:type="dxa"/>
            <w:vAlign w:val="bottom"/>
          </w:tcPr>
          <w:p w:rsidR="0062784E" w:rsidRPr="001643C3" w:rsidRDefault="0062784E" w:rsidP="00F06817">
            <w:pPr>
              <w:spacing w:after="0" w:line="240" w:lineRule="auto"/>
              <w:rPr>
                <w:sz w:val="18"/>
                <w:szCs w:val="18"/>
              </w:rPr>
            </w:pPr>
          </w:p>
          <w:p w:rsidR="0062784E" w:rsidRPr="001643C3" w:rsidRDefault="0062784E" w:rsidP="00F06817">
            <w:pPr>
              <w:spacing w:after="0" w:line="240" w:lineRule="auto"/>
              <w:rPr>
                <w:sz w:val="18"/>
                <w:szCs w:val="18"/>
              </w:rPr>
            </w:pPr>
            <w:r w:rsidRPr="001643C3">
              <w:rPr>
                <w:sz w:val="18"/>
                <w:szCs w:val="18"/>
              </w:rPr>
              <w:t>C (</w:t>
            </w:r>
            <w:r>
              <w:rPr>
                <w:sz w:val="18"/>
                <w:szCs w:val="18"/>
              </w:rPr>
              <w:t>CEP</w:t>
            </w:r>
            <w:r w:rsidRPr="001643C3">
              <w:rPr>
                <w:sz w:val="18"/>
                <w:szCs w:val="18"/>
              </w:rPr>
              <w:t xml:space="preserve"> school)</w:t>
            </w:r>
          </w:p>
        </w:tc>
        <w:tc>
          <w:tcPr>
            <w:tcW w:w="1440"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 xml:space="preserve">    $0 (</w:t>
            </w:r>
            <w:r w:rsidRPr="00C134BA">
              <w:rPr>
                <w:sz w:val="18"/>
                <w:szCs w:val="18"/>
              </w:rPr>
              <w:t>public school does not receive a Title I allocation</w:t>
            </w:r>
            <w:r w:rsidRPr="001643C3">
              <w:rPr>
                <w:sz w:val="18"/>
                <w:szCs w:val="18"/>
              </w:rPr>
              <w:t>)</w:t>
            </w:r>
          </w:p>
        </w:tc>
        <w:tc>
          <w:tcPr>
            <w:tcW w:w="1620"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Enrollment: 300</w:t>
            </w:r>
          </w:p>
          <w:p w:rsidR="0062784E" w:rsidRPr="001643C3" w:rsidRDefault="0062784E" w:rsidP="00F06817">
            <w:pPr>
              <w:spacing w:after="0" w:line="240" w:lineRule="auto"/>
              <w:jc w:val="right"/>
              <w:rPr>
                <w:sz w:val="18"/>
                <w:szCs w:val="18"/>
              </w:rPr>
            </w:pPr>
            <w:r w:rsidRPr="001643C3">
              <w:rPr>
                <w:sz w:val="18"/>
                <w:szCs w:val="18"/>
              </w:rPr>
              <w:t xml:space="preserve">IS: </w:t>
            </w:r>
            <w:r>
              <w:rPr>
                <w:sz w:val="18"/>
                <w:szCs w:val="18"/>
              </w:rPr>
              <w:t>120</w:t>
            </w:r>
          </w:p>
        </w:tc>
        <w:tc>
          <w:tcPr>
            <w:tcW w:w="1620"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Pr>
                <w:sz w:val="18"/>
                <w:szCs w:val="18"/>
              </w:rPr>
              <w:t>120</w:t>
            </w:r>
            <w:r w:rsidRPr="001643C3">
              <w:rPr>
                <w:sz w:val="18"/>
                <w:szCs w:val="18"/>
              </w:rPr>
              <w:t xml:space="preserve"> x 1.6 = </w:t>
            </w:r>
            <w:r>
              <w:rPr>
                <w:sz w:val="18"/>
                <w:szCs w:val="18"/>
              </w:rPr>
              <w:t>192</w:t>
            </w:r>
          </w:p>
        </w:tc>
        <w:tc>
          <w:tcPr>
            <w:tcW w:w="1606"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 xml:space="preserve">  </w:t>
            </w:r>
            <w:r>
              <w:rPr>
                <w:sz w:val="18"/>
                <w:szCs w:val="18"/>
              </w:rPr>
              <w:t>192</w:t>
            </w:r>
          </w:p>
        </w:tc>
        <w:tc>
          <w:tcPr>
            <w:tcW w:w="1507"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8</w:t>
            </w:r>
          </w:p>
        </w:tc>
        <w:tc>
          <w:tcPr>
            <w:tcW w:w="1507"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 xml:space="preserve">$0 </w:t>
            </w:r>
          </w:p>
        </w:tc>
        <w:tc>
          <w:tcPr>
            <w:tcW w:w="1411" w:type="dxa"/>
            <w:vAlign w:val="bottom"/>
          </w:tcPr>
          <w:p w:rsidR="0062784E" w:rsidRPr="001643C3" w:rsidRDefault="0062784E" w:rsidP="00F06817">
            <w:pPr>
              <w:spacing w:after="0" w:line="240" w:lineRule="auto"/>
              <w:jc w:val="right"/>
              <w:rPr>
                <w:sz w:val="18"/>
                <w:szCs w:val="18"/>
              </w:rPr>
            </w:pPr>
          </w:p>
          <w:p w:rsidR="0062784E" w:rsidRPr="001643C3" w:rsidRDefault="0062784E" w:rsidP="00F06817">
            <w:pPr>
              <w:spacing w:after="0" w:line="240" w:lineRule="auto"/>
              <w:jc w:val="right"/>
              <w:rPr>
                <w:sz w:val="18"/>
                <w:szCs w:val="18"/>
              </w:rPr>
            </w:pPr>
            <w:r w:rsidRPr="001643C3">
              <w:rPr>
                <w:sz w:val="18"/>
                <w:szCs w:val="18"/>
              </w:rPr>
              <w:t>$0 (</w:t>
            </w:r>
            <w:r w:rsidRPr="00C134BA">
              <w:rPr>
                <w:sz w:val="18"/>
                <w:szCs w:val="18"/>
              </w:rPr>
              <w:t xml:space="preserve">The 8 students in Column </w:t>
            </w:r>
            <w:r>
              <w:rPr>
                <w:sz w:val="18"/>
                <w:szCs w:val="18"/>
              </w:rPr>
              <w:t>6</w:t>
            </w:r>
            <w:r w:rsidRPr="00C134BA">
              <w:rPr>
                <w:sz w:val="18"/>
                <w:szCs w:val="18"/>
              </w:rPr>
              <w:t xml:space="preserve"> reside in a non-participating Title I public school attendance area and therefore generate $0</w:t>
            </w:r>
            <w:r>
              <w:rPr>
                <w:sz w:val="18"/>
                <w:szCs w:val="18"/>
              </w:rPr>
              <w:t>.</w:t>
            </w:r>
            <w:r w:rsidRPr="001643C3">
              <w:rPr>
                <w:sz w:val="18"/>
                <w:szCs w:val="18"/>
              </w:rPr>
              <w:t>)</w:t>
            </w:r>
          </w:p>
        </w:tc>
      </w:tr>
    </w:tbl>
    <w:p w:rsidR="0062784E" w:rsidRDefault="0062784E" w:rsidP="0062784E">
      <w:pPr>
        <w:spacing w:after="0" w:line="240" w:lineRule="auto"/>
        <w:jc w:val="center"/>
        <w:rPr>
          <w:b/>
          <w:sz w:val="24"/>
          <w:szCs w:val="24"/>
          <w:u w:val="single"/>
        </w:rPr>
      </w:pPr>
      <w:r w:rsidRPr="00592D3E">
        <w:rPr>
          <w:b/>
          <w:sz w:val="24"/>
          <w:szCs w:val="24"/>
          <w:u w:val="single"/>
        </w:rPr>
        <w:t>Example</w:t>
      </w:r>
    </w:p>
    <w:p w:rsidR="00A37E61" w:rsidRPr="00592D3E" w:rsidRDefault="00A37E61" w:rsidP="0062784E">
      <w:pPr>
        <w:spacing w:after="0" w:line="240" w:lineRule="auto"/>
        <w:jc w:val="center"/>
        <w:rPr>
          <w:b/>
          <w:sz w:val="24"/>
          <w:szCs w:val="24"/>
          <w:u w:val="single"/>
        </w:rPr>
      </w:pPr>
    </w:p>
    <w:p w:rsidR="0062784E" w:rsidRPr="0062784E" w:rsidRDefault="0062784E" w:rsidP="0062784E">
      <w:pPr>
        <w:spacing w:after="0" w:line="240" w:lineRule="auto"/>
        <w:jc w:val="center"/>
        <w:rPr>
          <w:rFonts w:cs="Calibri"/>
          <w:b/>
          <w:color w:val="000000"/>
          <w:sz w:val="24"/>
          <w:szCs w:val="24"/>
        </w:rPr>
      </w:pPr>
      <w:r w:rsidRPr="0062784E">
        <w:rPr>
          <w:rFonts w:cs="Calibri"/>
          <w:b/>
          <w:color w:val="000000"/>
          <w:sz w:val="24"/>
          <w:szCs w:val="24"/>
        </w:rPr>
        <w:t xml:space="preserve">Calculating Funding for Equitable Services where a Private School </w:t>
      </w:r>
      <w:r>
        <w:rPr>
          <w:rFonts w:cs="Calibri"/>
          <w:b/>
          <w:color w:val="000000"/>
          <w:sz w:val="24"/>
          <w:szCs w:val="24"/>
        </w:rPr>
        <w:t>Does Not Participate</w:t>
      </w:r>
      <w:r w:rsidRPr="0062784E">
        <w:rPr>
          <w:rFonts w:cs="Calibri"/>
          <w:b/>
          <w:color w:val="000000"/>
          <w:sz w:val="24"/>
          <w:szCs w:val="24"/>
        </w:rPr>
        <w:t xml:space="preserve"> in CEP</w:t>
      </w:r>
    </w:p>
    <w:p w:rsidR="0062784E" w:rsidRPr="0062784E" w:rsidRDefault="0062784E" w:rsidP="0062784E">
      <w:pPr>
        <w:spacing w:after="0" w:line="240" w:lineRule="auto"/>
        <w:jc w:val="center"/>
        <w:rPr>
          <w:sz w:val="20"/>
          <w:szCs w:val="20"/>
          <w:vertAlign w:val="superscript"/>
        </w:rPr>
      </w:pPr>
      <w:r w:rsidRPr="0062784E">
        <w:rPr>
          <w:rFonts w:cs="Calibri"/>
          <w:color w:val="000000"/>
          <w:sz w:val="20"/>
          <w:szCs w:val="20"/>
        </w:rPr>
        <w:t>(LEA has $661,200 to allocate to school attendance areas:  Column 7 + Column 8)</w:t>
      </w:r>
    </w:p>
    <w:p w:rsidR="0062784E" w:rsidRDefault="0062784E" w:rsidP="0062784E">
      <w:pPr>
        <w:spacing w:after="0" w:line="240" w:lineRule="auto"/>
        <w:rPr>
          <w:sz w:val="16"/>
          <w:szCs w:val="16"/>
          <w:vertAlign w:val="superscript"/>
        </w:rPr>
      </w:pPr>
    </w:p>
    <w:p w:rsidR="0062784E" w:rsidRPr="00911917" w:rsidRDefault="0062784E" w:rsidP="00C362E1">
      <w:pPr>
        <w:spacing w:after="0" w:line="240" w:lineRule="auto"/>
        <w:ind w:left="450"/>
        <w:rPr>
          <w:sz w:val="16"/>
          <w:szCs w:val="16"/>
        </w:rPr>
      </w:pPr>
      <w:r>
        <w:rPr>
          <w:sz w:val="16"/>
          <w:szCs w:val="16"/>
          <w:vertAlign w:val="superscript"/>
        </w:rPr>
        <w:t xml:space="preserve">1  </w:t>
      </w:r>
      <w:r>
        <w:rPr>
          <w:sz w:val="16"/>
          <w:szCs w:val="16"/>
        </w:rPr>
        <w:t>NSLP count refers to identified students (IS) in a CEP school and school lunch eligible students (ES) in a non-CEP school.</w:t>
      </w:r>
    </w:p>
    <w:p w:rsidR="0062784E" w:rsidRDefault="0062784E" w:rsidP="00C362E1">
      <w:pPr>
        <w:spacing w:after="0" w:line="240" w:lineRule="auto"/>
        <w:ind w:left="450"/>
        <w:rPr>
          <w:sz w:val="16"/>
          <w:szCs w:val="16"/>
        </w:rPr>
      </w:pPr>
      <w:r>
        <w:rPr>
          <w:sz w:val="16"/>
          <w:szCs w:val="16"/>
          <w:vertAlign w:val="superscript"/>
        </w:rPr>
        <w:t>2</w:t>
      </w:r>
      <w:r w:rsidRPr="00DC2A8A">
        <w:rPr>
          <w:sz w:val="16"/>
          <w:szCs w:val="16"/>
        </w:rPr>
        <w:t xml:space="preserve"> </w:t>
      </w:r>
      <w:r>
        <w:rPr>
          <w:sz w:val="16"/>
          <w:szCs w:val="16"/>
        </w:rPr>
        <w:t>The figure in Column 5 may not exceed the number of enrolled public school students (Column 3).</w:t>
      </w:r>
    </w:p>
    <w:p w:rsidR="0062784E" w:rsidRPr="0062784E" w:rsidRDefault="0062784E" w:rsidP="00C362E1">
      <w:pPr>
        <w:spacing w:after="0" w:line="240" w:lineRule="auto"/>
        <w:ind w:left="450"/>
        <w:rPr>
          <w:rFonts w:cs="Calibri"/>
          <w:color w:val="000000"/>
          <w:sz w:val="24"/>
          <w:szCs w:val="24"/>
        </w:rPr>
      </w:pPr>
      <w:r>
        <w:rPr>
          <w:sz w:val="16"/>
          <w:szCs w:val="16"/>
          <w:vertAlign w:val="superscript"/>
        </w:rPr>
        <w:t>3</w:t>
      </w:r>
      <w:r w:rsidRPr="00FF20EA">
        <w:rPr>
          <w:sz w:val="16"/>
          <w:szCs w:val="16"/>
        </w:rPr>
        <w:t xml:space="preserve"> </w:t>
      </w:r>
      <w:r>
        <w:rPr>
          <w:sz w:val="16"/>
          <w:szCs w:val="16"/>
        </w:rPr>
        <w:t xml:space="preserve">After consultation, the LEA determines the figures </w:t>
      </w:r>
      <w:r w:rsidRPr="007E5DB5">
        <w:rPr>
          <w:sz w:val="16"/>
          <w:szCs w:val="16"/>
        </w:rPr>
        <w:t xml:space="preserve">by using one of the </w:t>
      </w:r>
      <w:r w:rsidRPr="00FF20EA">
        <w:rPr>
          <w:sz w:val="16"/>
          <w:szCs w:val="16"/>
        </w:rPr>
        <w:t xml:space="preserve">methods described in </w:t>
      </w:r>
      <w:r>
        <w:rPr>
          <w:sz w:val="16"/>
          <w:szCs w:val="16"/>
        </w:rPr>
        <w:t xml:space="preserve">Question </w:t>
      </w:r>
      <w:r w:rsidRPr="00FF20EA">
        <w:rPr>
          <w:sz w:val="16"/>
          <w:szCs w:val="16"/>
        </w:rPr>
        <w:t>B-4</w:t>
      </w:r>
      <w:r>
        <w:rPr>
          <w:sz w:val="16"/>
          <w:szCs w:val="16"/>
        </w:rPr>
        <w:t xml:space="preserve"> of the Title I Equitable Services Guidance.</w:t>
      </w:r>
    </w:p>
    <w:p w:rsidR="0062784E" w:rsidRDefault="0062784E" w:rsidP="0062784E">
      <w:pPr>
        <w:spacing w:after="0" w:line="240" w:lineRule="auto"/>
        <w:rPr>
          <w:sz w:val="24"/>
          <w:szCs w:val="24"/>
        </w:rPr>
        <w:sectPr w:rsidR="0062784E" w:rsidSect="0062784E">
          <w:pgSz w:w="15840" w:h="12240" w:orient="landscape" w:code="1"/>
          <w:pgMar w:top="1440" w:right="1440" w:bottom="1440" w:left="1440" w:header="720" w:footer="288" w:gutter="0"/>
          <w:cols w:space="720"/>
          <w:titlePg/>
          <w:docGrid w:linePitch="360"/>
        </w:sectPr>
      </w:pPr>
    </w:p>
    <w:p w:rsidR="0062784E" w:rsidRDefault="0062784E" w:rsidP="00484791">
      <w:pPr>
        <w:spacing w:after="0" w:line="240" w:lineRule="auto"/>
        <w:rPr>
          <w:sz w:val="24"/>
          <w:szCs w:val="24"/>
        </w:rPr>
      </w:pPr>
    </w:p>
    <w:p w:rsidR="00997A69" w:rsidRPr="00043065" w:rsidRDefault="00997A69" w:rsidP="00043065">
      <w:pPr>
        <w:spacing w:after="0" w:line="240" w:lineRule="auto"/>
        <w:rPr>
          <w:sz w:val="24"/>
          <w:szCs w:val="24"/>
        </w:rPr>
      </w:pPr>
    </w:p>
    <w:p w:rsidR="00997A69" w:rsidRPr="00A0305C" w:rsidRDefault="00997A69" w:rsidP="00153779">
      <w:pPr>
        <w:pStyle w:val="Heading2"/>
        <w:numPr>
          <w:ilvl w:val="0"/>
          <w:numId w:val="37"/>
        </w:numPr>
        <w:ind w:left="360"/>
      </w:pPr>
      <w:bookmarkStart w:id="117" w:name="_Toc414355067"/>
      <w:r>
        <w:t xml:space="preserve">If a private school is a </w:t>
      </w:r>
      <w:r w:rsidR="003D7973">
        <w:t>CEP</w:t>
      </w:r>
      <w:r>
        <w:t xml:space="preserve"> school, does every child in the private school automatically generate Title I funds for equitable services</w:t>
      </w:r>
      <w:r w:rsidRPr="00043065">
        <w:t>?</w:t>
      </w:r>
      <w:r w:rsidR="0032433F">
        <w:t xml:space="preserve">  </w:t>
      </w:r>
      <w:r w:rsidR="0032433F">
        <w:rPr>
          <w:i/>
        </w:rPr>
        <w:t>(</w:t>
      </w:r>
      <w:r w:rsidR="00D1227F">
        <w:rPr>
          <w:i/>
        </w:rPr>
        <w:t xml:space="preserve">Modified </w:t>
      </w:r>
      <w:r w:rsidR="00376636">
        <w:rPr>
          <w:i/>
        </w:rPr>
        <w:t>March</w:t>
      </w:r>
      <w:r w:rsidR="00DC434C">
        <w:rPr>
          <w:i/>
        </w:rPr>
        <w:t xml:space="preserve"> </w:t>
      </w:r>
      <w:r w:rsidR="00687190">
        <w:rPr>
          <w:i/>
        </w:rPr>
        <w:t>2015</w:t>
      </w:r>
      <w:r w:rsidR="0032433F">
        <w:rPr>
          <w:i/>
        </w:rPr>
        <w:t>)</w:t>
      </w:r>
      <w:bookmarkEnd w:id="117"/>
    </w:p>
    <w:p w:rsidR="00997A69" w:rsidRPr="00A0305C" w:rsidRDefault="00997A69" w:rsidP="001A40AC">
      <w:pPr>
        <w:spacing w:after="0" w:line="240" w:lineRule="auto"/>
        <w:rPr>
          <w:sz w:val="24"/>
          <w:szCs w:val="24"/>
        </w:rPr>
      </w:pPr>
    </w:p>
    <w:p w:rsidR="00397BB9" w:rsidRDefault="0054707A" w:rsidP="0054707A">
      <w:pPr>
        <w:spacing w:after="0" w:line="240" w:lineRule="auto"/>
        <w:rPr>
          <w:sz w:val="24"/>
          <w:szCs w:val="24"/>
        </w:rPr>
      </w:pPr>
      <w:r>
        <w:rPr>
          <w:sz w:val="24"/>
          <w:szCs w:val="24"/>
        </w:rPr>
        <w:t>No.  Title I funds are generated to provide equitable services to eligible private school students on the basis of private school students from low-income families who reside in participating public school attendance areas and not on the basis of all students in a private school (</w:t>
      </w:r>
      <w:r w:rsidRPr="00F449E9">
        <w:rPr>
          <w:sz w:val="24"/>
          <w:szCs w:val="24"/>
        </w:rPr>
        <w:t>see</w:t>
      </w:r>
      <w:r>
        <w:rPr>
          <w:sz w:val="24"/>
          <w:szCs w:val="24"/>
        </w:rPr>
        <w:t xml:space="preserve"> Section B of the Title I Equitable Services Guidance).  Accordingly, even if a private school is a CEP school, and all students in the school </w:t>
      </w:r>
      <w:r w:rsidR="00397BB9">
        <w:rPr>
          <w:sz w:val="24"/>
          <w:szCs w:val="24"/>
        </w:rPr>
        <w:t>are from low-income families</w:t>
      </w:r>
      <w:r>
        <w:rPr>
          <w:sz w:val="24"/>
          <w:szCs w:val="24"/>
        </w:rPr>
        <w:t xml:space="preserve">, only those students who reside in a participating public school attendance area would generate funds </w:t>
      </w:r>
      <w:r w:rsidR="00847D21">
        <w:rPr>
          <w:sz w:val="24"/>
          <w:szCs w:val="24"/>
        </w:rPr>
        <w:t>for Title I</w:t>
      </w:r>
      <w:r>
        <w:rPr>
          <w:sz w:val="24"/>
          <w:szCs w:val="24"/>
        </w:rPr>
        <w:t xml:space="preserve"> equitable services.  </w:t>
      </w:r>
    </w:p>
    <w:p w:rsidR="00997A69" w:rsidRDefault="00997A69" w:rsidP="00A009BF">
      <w:pPr>
        <w:spacing w:after="0" w:line="240" w:lineRule="auto"/>
        <w:rPr>
          <w:sz w:val="24"/>
          <w:szCs w:val="24"/>
        </w:rPr>
      </w:pPr>
    </w:p>
    <w:p w:rsidR="00397BB9" w:rsidRPr="00397BB9" w:rsidRDefault="00397BB9" w:rsidP="00C26228">
      <w:pPr>
        <w:pStyle w:val="Heading2"/>
        <w:numPr>
          <w:ilvl w:val="0"/>
          <w:numId w:val="0"/>
        </w:numPr>
        <w:ind w:left="446" w:hanging="446"/>
      </w:pPr>
      <w:bookmarkStart w:id="118" w:name="_Toc414355068"/>
      <w:r w:rsidRPr="00397BB9">
        <w:t xml:space="preserve">29a. </w:t>
      </w:r>
      <w:r w:rsidR="00C26228">
        <w:t xml:space="preserve">How does an LEA determine the amount </w:t>
      </w:r>
      <w:r w:rsidR="00330C00">
        <w:t xml:space="preserve">of Title I funds </w:t>
      </w:r>
      <w:r w:rsidR="00C26228">
        <w:t>generated to provide equitable services for eligible private school students if a private school participates in CEP</w:t>
      </w:r>
      <w:r w:rsidRPr="00397BB9">
        <w:t xml:space="preserve">?  </w:t>
      </w:r>
      <w:r w:rsidRPr="00397BB9">
        <w:rPr>
          <w:i/>
        </w:rPr>
        <w:t>(</w:t>
      </w:r>
      <w:r w:rsidR="00C26228">
        <w:rPr>
          <w:i/>
        </w:rPr>
        <w:t xml:space="preserve">Added </w:t>
      </w:r>
      <w:r w:rsidR="00376636">
        <w:rPr>
          <w:i/>
        </w:rPr>
        <w:t>March</w:t>
      </w:r>
      <w:r w:rsidR="00C26228">
        <w:rPr>
          <w:i/>
        </w:rPr>
        <w:t xml:space="preserve"> 2015</w:t>
      </w:r>
      <w:r w:rsidRPr="00397BB9">
        <w:rPr>
          <w:i/>
        </w:rPr>
        <w:t>)</w:t>
      </w:r>
      <w:bookmarkEnd w:id="118"/>
    </w:p>
    <w:p w:rsidR="00397BB9" w:rsidRDefault="00397BB9" w:rsidP="00A009BF">
      <w:pPr>
        <w:spacing w:after="0" w:line="240" w:lineRule="auto"/>
        <w:rPr>
          <w:sz w:val="24"/>
          <w:szCs w:val="24"/>
        </w:rPr>
      </w:pPr>
    </w:p>
    <w:p w:rsidR="009B2984" w:rsidRDefault="009B2984" w:rsidP="00A009BF">
      <w:pPr>
        <w:spacing w:after="0" w:line="240" w:lineRule="auto"/>
        <w:rPr>
          <w:sz w:val="24"/>
          <w:szCs w:val="24"/>
        </w:rPr>
      </w:pPr>
      <w:r>
        <w:rPr>
          <w:sz w:val="24"/>
          <w:szCs w:val="24"/>
        </w:rPr>
        <w:t xml:space="preserve">If </w:t>
      </w:r>
      <w:r w:rsidR="00FD557B">
        <w:rPr>
          <w:sz w:val="24"/>
          <w:szCs w:val="24"/>
        </w:rPr>
        <w:t xml:space="preserve">a private school participates in CEP and </w:t>
      </w:r>
      <w:r>
        <w:rPr>
          <w:sz w:val="24"/>
          <w:szCs w:val="24"/>
        </w:rPr>
        <w:t>an LEA uses NSLP data to allocate Title I funds to public schools</w:t>
      </w:r>
      <w:r w:rsidR="00413CF3">
        <w:rPr>
          <w:sz w:val="24"/>
          <w:szCs w:val="24"/>
        </w:rPr>
        <w:t>,</w:t>
      </w:r>
      <w:r>
        <w:rPr>
          <w:sz w:val="24"/>
          <w:szCs w:val="24"/>
        </w:rPr>
        <w:t xml:space="preserve"> </w:t>
      </w:r>
      <w:r w:rsidR="00FD557B">
        <w:rPr>
          <w:sz w:val="24"/>
          <w:szCs w:val="24"/>
        </w:rPr>
        <w:t>but</w:t>
      </w:r>
      <w:r>
        <w:rPr>
          <w:sz w:val="24"/>
          <w:szCs w:val="24"/>
        </w:rPr>
        <w:t xml:space="preserve"> </w:t>
      </w:r>
      <w:r w:rsidR="00413CF3">
        <w:rPr>
          <w:sz w:val="24"/>
          <w:szCs w:val="24"/>
        </w:rPr>
        <w:t xml:space="preserve">has </w:t>
      </w:r>
      <w:r>
        <w:rPr>
          <w:sz w:val="24"/>
          <w:szCs w:val="24"/>
        </w:rPr>
        <w:t xml:space="preserve">no public CEP schools, </w:t>
      </w:r>
      <w:r w:rsidR="00413CF3">
        <w:rPr>
          <w:sz w:val="24"/>
          <w:szCs w:val="24"/>
        </w:rPr>
        <w:t xml:space="preserve">the LEA would most likely calculate </w:t>
      </w:r>
      <w:r w:rsidR="00C25C57">
        <w:rPr>
          <w:sz w:val="24"/>
          <w:szCs w:val="24"/>
        </w:rPr>
        <w:t>fund</w:t>
      </w:r>
      <w:r w:rsidR="00703CF6">
        <w:rPr>
          <w:sz w:val="24"/>
          <w:szCs w:val="24"/>
        </w:rPr>
        <w:t>ing</w:t>
      </w:r>
      <w:r w:rsidR="00C25C57">
        <w:rPr>
          <w:sz w:val="24"/>
          <w:szCs w:val="24"/>
        </w:rPr>
        <w:t xml:space="preserve"> for </w:t>
      </w:r>
      <w:r w:rsidR="00413CF3">
        <w:rPr>
          <w:sz w:val="24"/>
          <w:szCs w:val="24"/>
        </w:rPr>
        <w:t xml:space="preserve">equitable services by multiplying the number of directly certified students who live in a </w:t>
      </w:r>
      <w:r w:rsidR="001206D7">
        <w:rPr>
          <w:sz w:val="24"/>
          <w:szCs w:val="24"/>
        </w:rPr>
        <w:t xml:space="preserve">Title I </w:t>
      </w:r>
      <w:r w:rsidR="00413CF3">
        <w:rPr>
          <w:sz w:val="24"/>
          <w:szCs w:val="24"/>
        </w:rPr>
        <w:t>participating public school attendance</w:t>
      </w:r>
      <w:r w:rsidR="0082592F">
        <w:rPr>
          <w:sz w:val="24"/>
          <w:szCs w:val="24"/>
        </w:rPr>
        <w:t xml:space="preserve"> area</w:t>
      </w:r>
      <w:r w:rsidR="00413CF3">
        <w:rPr>
          <w:sz w:val="24"/>
          <w:szCs w:val="24"/>
        </w:rPr>
        <w:t xml:space="preserve"> and are enrolled in the private school by the 1.6 multiplier.</w:t>
      </w:r>
    </w:p>
    <w:p w:rsidR="00FD557B" w:rsidRDefault="00FD557B" w:rsidP="00A009BF">
      <w:pPr>
        <w:spacing w:after="0" w:line="240" w:lineRule="auto"/>
        <w:rPr>
          <w:sz w:val="24"/>
          <w:szCs w:val="24"/>
        </w:rPr>
      </w:pPr>
    </w:p>
    <w:p w:rsidR="00352455" w:rsidRDefault="00FD557B" w:rsidP="00A009BF">
      <w:pPr>
        <w:spacing w:after="0" w:line="240" w:lineRule="auto"/>
        <w:rPr>
          <w:sz w:val="24"/>
          <w:szCs w:val="24"/>
        </w:rPr>
      </w:pPr>
      <w:r>
        <w:rPr>
          <w:sz w:val="24"/>
          <w:szCs w:val="24"/>
        </w:rPr>
        <w:t xml:space="preserve">If, however, a private school participates in CEP and the LEA uses NSLP data to allocate Title I funds to public schools, with some or all public schools participating in CEP, the method for calculating funding for equitable services </w:t>
      </w:r>
      <w:r w:rsidR="00C52183">
        <w:rPr>
          <w:sz w:val="24"/>
          <w:szCs w:val="24"/>
        </w:rPr>
        <w:t xml:space="preserve">in the private school </w:t>
      </w:r>
      <w:r>
        <w:rPr>
          <w:sz w:val="24"/>
          <w:szCs w:val="24"/>
        </w:rPr>
        <w:t>would vary dep</w:t>
      </w:r>
      <w:r w:rsidR="00413CF3">
        <w:rPr>
          <w:sz w:val="24"/>
          <w:szCs w:val="24"/>
        </w:rPr>
        <w:t xml:space="preserve">ending upon the specific method used to allocate funds to public schools.  For example, if </w:t>
      </w:r>
      <w:r w:rsidR="00373BB7">
        <w:rPr>
          <w:sz w:val="24"/>
          <w:szCs w:val="24"/>
        </w:rPr>
        <w:t>an</w:t>
      </w:r>
      <w:r w:rsidR="00413CF3">
        <w:rPr>
          <w:sz w:val="24"/>
          <w:szCs w:val="24"/>
        </w:rPr>
        <w:t xml:space="preserve"> LEA uses direct certification data multiplied by 1.6 for its public schools, it would use the same method for private CEP schools.  Similarly, if </w:t>
      </w:r>
      <w:r w:rsidR="00373BB7">
        <w:rPr>
          <w:sz w:val="24"/>
          <w:szCs w:val="24"/>
        </w:rPr>
        <w:t>an</w:t>
      </w:r>
      <w:r w:rsidR="00413CF3">
        <w:rPr>
          <w:sz w:val="24"/>
          <w:szCs w:val="24"/>
        </w:rPr>
        <w:t xml:space="preserve"> LEA uses direct certification data alone</w:t>
      </w:r>
      <w:r w:rsidR="00352455">
        <w:rPr>
          <w:sz w:val="24"/>
          <w:szCs w:val="24"/>
        </w:rPr>
        <w:t xml:space="preserve"> for its public schools, it would do the same for calculating </w:t>
      </w:r>
      <w:r w:rsidR="00C25C57">
        <w:rPr>
          <w:sz w:val="24"/>
          <w:szCs w:val="24"/>
        </w:rPr>
        <w:t>fund</w:t>
      </w:r>
      <w:r w:rsidR="00703CF6">
        <w:rPr>
          <w:sz w:val="24"/>
          <w:szCs w:val="24"/>
        </w:rPr>
        <w:t>ing</w:t>
      </w:r>
      <w:r w:rsidR="00C25C57">
        <w:rPr>
          <w:sz w:val="24"/>
          <w:szCs w:val="24"/>
        </w:rPr>
        <w:t xml:space="preserve"> for </w:t>
      </w:r>
      <w:r w:rsidR="00352455">
        <w:rPr>
          <w:sz w:val="24"/>
          <w:szCs w:val="24"/>
        </w:rPr>
        <w:t xml:space="preserve">equitable services for </w:t>
      </w:r>
      <w:r w:rsidR="00F52C7B">
        <w:rPr>
          <w:sz w:val="24"/>
          <w:szCs w:val="24"/>
        </w:rPr>
        <w:t xml:space="preserve">eligible students in </w:t>
      </w:r>
      <w:r w:rsidR="00352455">
        <w:rPr>
          <w:sz w:val="24"/>
          <w:szCs w:val="24"/>
        </w:rPr>
        <w:t xml:space="preserve">private CEP schools.  </w:t>
      </w:r>
    </w:p>
    <w:p w:rsidR="00352455" w:rsidRDefault="00352455" w:rsidP="00A009BF">
      <w:pPr>
        <w:spacing w:after="0" w:line="240" w:lineRule="auto"/>
        <w:rPr>
          <w:sz w:val="24"/>
          <w:szCs w:val="24"/>
        </w:rPr>
      </w:pPr>
    </w:p>
    <w:p w:rsidR="00FD557B" w:rsidRDefault="00352455" w:rsidP="00A009BF">
      <w:pPr>
        <w:spacing w:after="0" w:line="240" w:lineRule="auto"/>
        <w:rPr>
          <w:sz w:val="24"/>
          <w:szCs w:val="24"/>
        </w:rPr>
      </w:pPr>
      <w:r>
        <w:rPr>
          <w:sz w:val="24"/>
          <w:szCs w:val="24"/>
        </w:rPr>
        <w:t xml:space="preserve">Under any of the above scenarios, if </w:t>
      </w:r>
      <w:r w:rsidR="00B74569">
        <w:rPr>
          <w:sz w:val="24"/>
          <w:szCs w:val="24"/>
        </w:rPr>
        <w:t xml:space="preserve">providing </w:t>
      </w:r>
      <w:r>
        <w:rPr>
          <w:sz w:val="24"/>
          <w:szCs w:val="24"/>
        </w:rPr>
        <w:t>direct certification data</w:t>
      </w:r>
      <w:r w:rsidR="00B74569">
        <w:rPr>
          <w:sz w:val="24"/>
          <w:szCs w:val="24"/>
        </w:rPr>
        <w:t xml:space="preserve"> is administratively burdensome</w:t>
      </w:r>
      <w:r>
        <w:rPr>
          <w:sz w:val="24"/>
          <w:szCs w:val="24"/>
        </w:rPr>
        <w:t xml:space="preserve"> </w:t>
      </w:r>
      <w:r w:rsidR="00B74569">
        <w:rPr>
          <w:sz w:val="24"/>
          <w:szCs w:val="24"/>
        </w:rPr>
        <w:t>for</w:t>
      </w:r>
      <w:r>
        <w:rPr>
          <w:sz w:val="24"/>
          <w:szCs w:val="24"/>
        </w:rPr>
        <w:t xml:space="preserve"> a CEP private school, the LEA instead could obtain comparable data through </w:t>
      </w:r>
      <w:r w:rsidR="00B74569">
        <w:rPr>
          <w:sz w:val="24"/>
          <w:szCs w:val="24"/>
        </w:rPr>
        <w:t>other means</w:t>
      </w:r>
      <w:r w:rsidR="00A37E61">
        <w:rPr>
          <w:sz w:val="24"/>
          <w:szCs w:val="24"/>
        </w:rPr>
        <w:t>, such as a survey</w:t>
      </w:r>
      <w:r w:rsidR="00B74569">
        <w:rPr>
          <w:sz w:val="24"/>
          <w:szCs w:val="24"/>
        </w:rPr>
        <w:t xml:space="preserve"> (see Question 28)</w:t>
      </w:r>
      <w:r>
        <w:rPr>
          <w:sz w:val="24"/>
          <w:szCs w:val="24"/>
        </w:rPr>
        <w:t>.</w:t>
      </w:r>
    </w:p>
    <w:p w:rsidR="008D7579" w:rsidRDefault="008D7579" w:rsidP="00A009BF">
      <w:pPr>
        <w:spacing w:after="0" w:line="240" w:lineRule="auto"/>
        <w:rPr>
          <w:sz w:val="24"/>
          <w:szCs w:val="24"/>
        </w:rPr>
      </w:pPr>
    </w:p>
    <w:p w:rsidR="008D7579" w:rsidRPr="00B137B5" w:rsidRDefault="008D7579" w:rsidP="008D7579">
      <w:pPr>
        <w:spacing w:after="0" w:line="240" w:lineRule="auto"/>
        <w:rPr>
          <w:sz w:val="24"/>
          <w:szCs w:val="24"/>
          <w:highlight w:val="yellow"/>
        </w:rPr>
      </w:pPr>
      <w:r w:rsidRPr="0062784E">
        <w:rPr>
          <w:sz w:val="24"/>
          <w:szCs w:val="24"/>
        </w:rPr>
        <w:t xml:space="preserve">The following examples describe how an LEA </w:t>
      </w:r>
      <w:r w:rsidR="0062784E" w:rsidRPr="0062784E">
        <w:rPr>
          <w:sz w:val="24"/>
          <w:szCs w:val="24"/>
        </w:rPr>
        <w:t>might</w:t>
      </w:r>
      <w:r w:rsidRPr="0062784E">
        <w:rPr>
          <w:sz w:val="24"/>
          <w:szCs w:val="24"/>
        </w:rPr>
        <w:t xml:space="preserve"> determine the amount of funds generated to provide equitable services for eligible private school students if a private school with students who reside in a Title I-participating public school attendance area of the LEA participates in CEP.  Example A shows how an LEA might, after consultation, calculate funding for equitable services where it uses NSLP data to allocate Title I funds to public schools, but has no public CEP schools.  Example B show</w:t>
      </w:r>
      <w:r w:rsidR="0082592F">
        <w:rPr>
          <w:sz w:val="24"/>
          <w:szCs w:val="24"/>
        </w:rPr>
        <w:t>s</w:t>
      </w:r>
      <w:r w:rsidRPr="0062784E">
        <w:rPr>
          <w:sz w:val="24"/>
          <w:szCs w:val="24"/>
        </w:rPr>
        <w:t xml:space="preserve"> how an LEA might, after consultation, calculate funding for equitable services where it uses NSLP data to allocate Title I funds to public schools, has </w:t>
      </w:r>
      <w:r w:rsidR="0082592F">
        <w:rPr>
          <w:sz w:val="24"/>
          <w:szCs w:val="24"/>
        </w:rPr>
        <w:t xml:space="preserve">a </w:t>
      </w:r>
      <w:r w:rsidRPr="0062784E">
        <w:rPr>
          <w:sz w:val="24"/>
          <w:szCs w:val="24"/>
        </w:rPr>
        <w:t>mix of CEP and non-CEP public schools, and uses the 1.6 multiplier for its CEP public schools.</w:t>
      </w:r>
      <w:r w:rsidRPr="00B137B5">
        <w:rPr>
          <w:sz w:val="24"/>
          <w:szCs w:val="24"/>
          <w:highlight w:val="yellow"/>
        </w:rPr>
        <w:t xml:space="preserve">  </w:t>
      </w:r>
    </w:p>
    <w:p w:rsidR="008D7579" w:rsidRPr="00B137B5" w:rsidRDefault="008D7579" w:rsidP="008D7579">
      <w:pPr>
        <w:spacing w:after="0" w:line="240" w:lineRule="auto"/>
        <w:rPr>
          <w:sz w:val="24"/>
          <w:szCs w:val="24"/>
          <w:highlight w:val="yellow"/>
        </w:rPr>
      </w:pPr>
    </w:p>
    <w:p w:rsidR="008D7579" w:rsidRPr="00B137B5" w:rsidRDefault="008D7579" w:rsidP="008D7579">
      <w:pPr>
        <w:spacing w:after="0" w:line="240" w:lineRule="auto"/>
        <w:rPr>
          <w:sz w:val="24"/>
          <w:szCs w:val="24"/>
          <w:highlight w:val="yellow"/>
        </w:rPr>
      </w:pPr>
    </w:p>
    <w:p w:rsidR="008D7579" w:rsidRPr="00B137B5" w:rsidRDefault="008D7579" w:rsidP="008D7579">
      <w:pPr>
        <w:spacing w:after="0" w:line="240" w:lineRule="auto"/>
        <w:rPr>
          <w:sz w:val="24"/>
          <w:szCs w:val="24"/>
          <w:highlight w:val="yellow"/>
        </w:rPr>
        <w:sectPr w:rsidR="008D7579" w:rsidRPr="00B137B5" w:rsidSect="00F93BBF">
          <w:pgSz w:w="12240" w:h="15840" w:code="1"/>
          <w:pgMar w:top="1440" w:right="1440" w:bottom="1440" w:left="1440" w:header="720" w:footer="288" w:gutter="0"/>
          <w:cols w:space="720"/>
          <w:titlePg/>
          <w:docGrid w:linePitch="360"/>
        </w:sectPr>
      </w:pPr>
    </w:p>
    <w:p w:rsidR="008D7579" w:rsidRPr="00B137B5" w:rsidRDefault="008D7579" w:rsidP="008D7579">
      <w:pPr>
        <w:spacing w:after="0" w:line="240" w:lineRule="auto"/>
        <w:rPr>
          <w:sz w:val="24"/>
          <w:szCs w:val="24"/>
          <w:highlight w:val="yellow"/>
        </w:rPr>
      </w:pPr>
    </w:p>
    <w:p w:rsidR="008D7579" w:rsidRPr="00B137B5" w:rsidRDefault="008D7579" w:rsidP="008D7579">
      <w:pPr>
        <w:spacing w:after="0" w:line="240" w:lineRule="auto"/>
        <w:rPr>
          <w:sz w:val="24"/>
          <w:szCs w:val="24"/>
          <w:highlight w:val="yellow"/>
        </w:rPr>
      </w:pPr>
    </w:p>
    <w:p w:rsidR="008D7579" w:rsidRDefault="008D7579" w:rsidP="008D7579">
      <w:pPr>
        <w:spacing w:after="0" w:line="240" w:lineRule="auto"/>
        <w:jc w:val="center"/>
        <w:rPr>
          <w:b/>
          <w:sz w:val="24"/>
          <w:szCs w:val="24"/>
          <w:u w:val="single"/>
        </w:rPr>
      </w:pPr>
      <w:r w:rsidRPr="000C3F2B">
        <w:rPr>
          <w:b/>
          <w:sz w:val="24"/>
          <w:szCs w:val="24"/>
          <w:u w:val="single"/>
        </w:rPr>
        <w:t>Example A</w:t>
      </w:r>
    </w:p>
    <w:p w:rsidR="00A37E61" w:rsidRPr="000C3F2B" w:rsidRDefault="00A37E61" w:rsidP="008D7579">
      <w:pPr>
        <w:spacing w:after="0" w:line="240" w:lineRule="auto"/>
        <w:jc w:val="center"/>
        <w:rPr>
          <w:b/>
          <w:sz w:val="24"/>
          <w:szCs w:val="24"/>
          <w:u w:val="single"/>
        </w:rPr>
      </w:pPr>
    </w:p>
    <w:p w:rsidR="002A1314" w:rsidRPr="0062784E" w:rsidRDefault="002A1314" w:rsidP="002A1314">
      <w:pPr>
        <w:spacing w:after="0" w:line="240" w:lineRule="auto"/>
        <w:jc w:val="center"/>
        <w:rPr>
          <w:rFonts w:cs="Calibri"/>
          <w:color w:val="000000"/>
          <w:sz w:val="24"/>
          <w:szCs w:val="24"/>
        </w:rPr>
      </w:pPr>
      <w:r w:rsidRPr="0062784E">
        <w:rPr>
          <w:rFonts w:cs="Calibri"/>
          <w:b/>
          <w:color w:val="000000"/>
          <w:sz w:val="24"/>
          <w:szCs w:val="24"/>
        </w:rPr>
        <w:t xml:space="preserve">Calculating Funding for Equitable Services where a Private School Participates in CEP and an LEA </w:t>
      </w:r>
      <w:r w:rsidR="00B137B5" w:rsidRPr="0062784E">
        <w:rPr>
          <w:rFonts w:cs="Calibri"/>
          <w:b/>
          <w:color w:val="000000"/>
          <w:sz w:val="24"/>
          <w:szCs w:val="24"/>
        </w:rPr>
        <w:t>Does Not Participate</w:t>
      </w:r>
    </w:p>
    <w:p w:rsidR="008D7579" w:rsidRPr="0062784E" w:rsidRDefault="008D7579" w:rsidP="008D7579">
      <w:pPr>
        <w:spacing w:after="0" w:line="240" w:lineRule="auto"/>
        <w:jc w:val="center"/>
        <w:rPr>
          <w:sz w:val="20"/>
          <w:szCs w:val="20"/>
        </w:rPr>
      </w:pPr>
      <w:r w:rsidRPr="0062784E">
        <w:rPr>
          <w:sz w:val="20"/>
          <w:szCs w:val="20"/>
        </w:rPr>
        <w:t>(LEA has $701,200 to allocate to school attendance areas:  Column 7 + Column 8)</w:t>
      </w:r>
    </w:p>
    <w:p w:rsidR="008D7579" w:rsidRPr="0062784E" w:rsidRDefault="008D7579" w:rsidP="008D7579">
      <w:pPr>
        <w:spacing w:after="0" w:line="240" w:lineRule="auto"/>
        <w:rPr>
          <w:sz w:val="24"/>
          <w:szCs w:val="24"/>
        </w:rPr>
      </w:pPr>
    </w:p>
    <w:tbl>
      <w:tblPr>
        <w:tblW w:w="121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65" w:type="dxa"/>
          <w:right w:w="165" w:type="dxa"/>
        </w:tblCellMar>
        <w:tblLook w:val="0000" w:firstRow="0" w:lastRow="0" w:firstColumn="0" w:lastColumn="0" w:noHBand="0" w:noVBand="0"/>
      </w:tblPr>
      <w:tblGrid>
        <w:gridCol w:w="1490"/>
        <w:gridCol w:w="1776"/>
        <w:gridCol w:w="1620"/>
        <w:gridCol w:w="1341"/>
        <w:gridCol w:w="1459"/>
        <w:gridCol w:w="1507"/>
        <w:gridCol w:w="1507"/>
        <w:gridCol w:w="1411"/>
      </w:tblGrid>
      <w:tr w:rsidR="008D7579" w:rsidRPr="0062784E" w:rsidTr="000C3D8B">
        <w:trPr>
          <w:jc w:val="center"/>
        </w:trPr>
        <w:tc>
          <w:tcPr>
            <w:tcW w:w="1490" w:type="dxa"/>
            <w:vAlign w:val="center"/>
          </w:tcPr>
          <w:p w:rsidR="008D7579" w:rsidRPr="0062784E" w:rsidRDefault="008D7579" w:rsidP="000C3D8B">
            <w:pPr>
              <w:spacing w:after="0" w:line="240" w:lineRule="auto"/>
              <w:jc w:val="center"/>
              <w:rPr>
                <w:iCs/>
                <w:sz w:val="20"/>
                <w:szCs w:val="20"/>
              </w:rPr>
            </w:pPr>
            <w:r w:rsidRPr="0062784E">
              <w:rPr>
                <w:iCs/>
                <w:sz w:val="20"/>
                <w:szCs w:val="20"/>
              </w:rPr>
              <w:t>Column 1</w:t>
            </w:r>
          </w:p>
        </w:tc>
        <w:tc>
          <w:tcPr>
            <w:tcW w:w="1776" w:type="dxa"/>
            <w:vAlign w:val="center"/>
          </w:tcPr>
          <w:p w:rsidR="008D7579" w:rsidRPr="0062784E" w:rsidRDefault="008D7579" w:rsidP="000C3D8B">
            <w:pPr>
              <w:spacing w:after="0" w:line="240" w:lineRule="auto"/>
              <w:jc w:val="center"/>
              <w:rPr>
                <w:iCs/>
                <w:sz w:val="20"/>
                <w:szCs w:val="20"/>
              </w:rPr>
            </w:pPr>
            <w:r w:rsidRPr="0062784E">
              <w:rPr>
                <w:iCs/>
                <w:sz w:val="20"/>
                <w:szCs w:val="20"/>
              </w:rPr>
              <w:t>Column 2</w:t>
            </w:r>
          </w:p>
        </w:tc>
        <w:tc>
          <w:tcPr>
            <w:tcW w:w="1620" w:type="dxa"/>
            <w:vAlign w:val="center"/>
          </w:tcPr>
          <w:p w:rsidR="008D7579" w:rsidRPr="0062784E" w:rsidRDefault="008D7579" w:rsidP="000C3D8B">
            <w:pPr>
              <w:spacing w:after="0" w:line="240" w:lineRule="auto"/>
              <w:jc w:val="center"/>
              <w:rPr>
                <w:iCs/>
                <w:sz w:val="20"/>
                <w:szCs w:val="20"/>
              </w:rPr>
            </w:pPr>
            <w:r w:rsidRPr="0062784E">
              <w:rPr>
                <w:iCs/>
                <w:sz w:val="20"/>
                <w:szCs w:val="20"/>
              </w:rPr>
              <w:t>Column 3</w:t>
            </w:r>
          </w:p>
        </w:tc>
        <w:tc>
          <w:tcPr>
            <w:tcW w:w="1341" w:type="dxa"/>
            <w:vAlign w:val="center"/>
          </w:tcPr>
          <w:p w:rsidR="008D7579" w:rsidRPr="0062784E" w:rsidRDefault="008D7579" w:rsidP="000C3D8B">
            <w:pPr>
              <w:spacing w:after="0" w:line="240" w:lineRule="auto"/>
              <w:jc w:val="center"/>
              <w:rPr>
                <w:iCs/>
                <w:sz w:val="20"/>
                <w:szCs w:val="20"/>
              </w:rPr>
            </w:pPr>
            <w:r w:rsidRPr="0062784E">
              <w:rPr>
                <w:iCs/>
                <w:sz w:val="20"/>
                <w:szCs w:val="20"/>
              </w:rPr>
              <w:t>Column 4</w:t>
            </w:r>
          </w:p>
        </w:tc>
        <w:tc>
          <w:tcPr>
            <w:tcW w:w="1459" w:type="dxa"/>
            <w:vAlign w:val="center"/>
          </w:tcPr>
          <w:p w:rsidR="008D7579" w:rsidRPr="0062784E" w:rsidRDefault="008D7579" w:rsidP="000C3D8B">
            <w:pPr>
              <w:spacing w:after="0" w:line="240" w:lineRule="auto"/>
              <w:jc w:val="center"/>
              <w:rPr>
                <w:iCs/>
                <w:sz w:val="20"/>
                <w:szCs w:val="20"/>
              </w:rPr>
            </w:pPr>
            <w:r w:rsidRPr="0062784E">
              <w:rPr>
                <w:iCs/>
                <w:sz w:val="20"/>
                <w:szCs w:val="20"/>
              </w:rPr>
              <w:t>Column 5</w:t>
            </w:r>
          </w:p>
        </w:tc>
        <w:tc>
          <w:tcPr>
            <w:tcW w:w="1507" w:type="dxa"/>
            <w:vAlign w:val="center"/>
          </w:tcPr>
          <w:p w:rsidR="008D7579" w:rsidRPr="0062784E" w:rsidRDefault="008D7579" w:rsidP="000C3D8B">
            <w:pPr>
              <w:spacing w:after="0" w:line="240" w:lineRule="auto"/>
              <w:jc w:val="center"/>
              <w:rPr>
                <w:iCs/>
                <w:sz w:val="20"/>
                <w:szCs w:val="20"/>
              </w:rPr>
            </w:pPr>
            <w:r w:rsidRPr="0062784E">
              <w:rPr>
                <w:iCs/>
                <w:sz w:val="20"/>
                <w:szCs w:val="20"/>
              </w:rPr>
              <w:t>Column 6</w:t>
            </w:r>
          </w:p>
        </w:tc>
        <w:tc>
          <w:tcPr>
            <w:tcW w:w="1507" w:type="dxa"/>
            <w:vAlign w:val="center"/>
          </w:tcPr>
          <w:p w:rsidR="008D7579" w:rsidRPr="0062784E" w:rsidRDefault="008D7579" w:rsidP="000C3D8B">
            <w:pPr>
              <w:spacing w:after="0" w:line="240" w:lineRule="auto"/>
              <w:jc w:val="center"/>
              <w:rPr>
                <w:iCs/>
                <w:sz w:val="20"/>
                <w:szCs w:val="20"/>
              </w:rPr>
            </w:pPr>
            <w:r w:rsidRPr="0062784E">
              <w:rPr>
                <w:iCs/>
                <w:sz w:val="20"/>
                <w:szCs w:val="20"/>
              </w:rPr>
              <w:t>Column 7</w:t>
            </w:r>
          </w:p>
        </w:tc>
        <w:tc>
          <w:tcPr>
            <w:tcW w:w="1411" w:type="dxa"/>
            <w:vAlign w:val="center"/>
          </w:tcPr>
          <w:p w:rsidR="008D7579" w:rsidRPr="0062784E" w:rsidRDefault="008D7579" w:rsidP="000C3D8B">
            <w:pPr>
              <w:spacing w:after="0" w:line="240" w:lineRule="auto"/>
              <w:jc w:val="center"/>
              <w:rPr>
                <w:iCs/>
                <w:sz w:val="20"/>
                <w:szCs w:val="20"/>
              </w:rPr>
            </w:pPr>
            <w:r w:rsidRPr="0062784E">
              <w:rPr>
                <w:iCs/>
                <w:sz w:val="20"/>
                <w:szCs w:val="20"/>
              </w:rPr>
              <w:t>Column 8</w:t>
            </w:r>
          </w:p>
        </w:tc>
      </w:tr>
      <w:tr w:rsidR="008D7579" w:rsidRPr="0062784E" w:rsidTr="000C3D8B">
        <w:trPr>
          <w:jc w:val="center"/>
        </w:trPr>
        <w:tc>
          <w:tcPr>
            <w:tcW w:w="1490" w:type="dxa"/>
            <w:vAlign w:val="bottom"/>
          </w:tcPr>
          <w:p w:rsidR="008D7579" w:rsidRPr="0062784E" w:rsidRDefault="008D7579" w:rsidP="000C3D8B">
            <w:pPr>
              <w:spacing w:after="0" w:line="240" w:lineRule="auto"/>
              <w:jc w:val="right"/>
              <w:rPr>
                <w:b/>
                <w:sz w:val="20"/>
                <w:szCs w:val="20"/>
              </w:rPr>
            </w:pPr>
            <w:r w:rsidRPr="0062784E">
              <w:rPr>
                <w:b/>
                <w:sz w:val="20"/>
                <w:szCs w:val="20"/>
              </w:rPr>
              <w:t>Public School</w:t>
            </w:r>
          </w:p>
          <w:p w:rsidR="008D7579" w:rsidRPr="0062784E" w:rsidRDefault="008D7579" w:rsidP="000C3D8B">
            <w:pPr>
              <w:spacing w:after="0" w:line="240" w:lineRule="auto"/>
              <w:jc w:val="right"/>
              <w:rPr>
                <w:b/>
                <w:sz w:val="20"/>
                <w:szCs w:val="20"/>
              </w:rPr>
            </w:pPr>
            <w:r w:rsidRPr="0062784E">
              <w:rPr>
                <w:b/>
                <w:sz w:val="20"/>
                <w:szCs w:val="20"/>
              </w:rPr>
              <w:t>Attendance Area</w:t>
            </w:r>
          </w:p>
        </w:tc>
        <w:tc>
          <w:tcPr>
            <w:tcW w:w="1776" w:type="dxa"/>
            <w:vAlign w:val="bottom"/>
          </w:tcPr>
          <w:p w:rsidR="008D7579" w:rsidRPr="0062784E" w:rsidRDefault="008D7579" w:rsidP="000C3D8B">
            <w:pPr>
              <w:spacing w:after="0" w:line="240" w:lineRule="auto"/>
              <w:jc w:val="right"/>
              <w:rPr>
                <w:b/>
                <w:sz w:val="20"/>
                <w:szCs w:val="20"/>
              </w:rPr>
            </w:pPr>
            <w:r w:rsidRPr="0062784E">
              <w:rPr>
                <w:b/>
                <w:sz w:val="20"/>
                <w:szCs w:val="20"/>
              </w:rPr>
              <w:t>Per-Pupil Allocation by Attendance Area</w:t>
            </w:r>
          </w:p>
        </w:tc>
        <w:tc>
          <w:tcPr>
            <w:tcW w:w="1620" w:type="dxa"/>
            <w:vAlign w:val="bottom"/>
          </w:tcPr>
          <w:p w:rsidR="008D7579" w:rsidRPr="0062784E" w:rsidRDefault="008D7579" w:rsidP="000C3D8B">
            <w:pPr>
              <w:spacing w:after="0" w:line="240" w:lineRule="auto"/>
              <w:jc w:val="right"/>
              <w:rPr>
                <w:b/>
                <w:sz w:val="20"/>
                <w:szCs w:val="20"/>
              </w:rPr>
            </w:pPr>
          </w:p>
          <w:p w:rsidR="008D7579" w:rsidRPr="0062784E" w:rsidRDefault="008D7579" w:rsidP="000C3D8B">
            <w:pPr>
              <w:spacing w:after="0" w:line="240" w:lineRule="auto"/>
              <w:jc w:val="right"/>
              <w:rPr>
                <w:b/>
                <w:sz w:val="20"/>
                <w:szCs w:val="20"/>
              </w:rPr>
            </w:pPr>
            <w:r w:rsidRPr="0062784E">
              <w:rPr>
                <w:b/>
                <w:sz w:val="20"/>
                <w:szCs w:val="20"/>
              </w:rPr>
              <w:t xml:space="preserve">Number of </w:t>
            </w:r>
            <w:smartTag w:uri="urn:schemas-microsoft-com:office:smarttags" w:element="place">
              <w:smartTag w:uri="urn:schemas-microsoft-com:office:smarttags" w:element="PlaceName">
                <w:r w:rsidRPr="0062784E">
                  <w:rPr>
                    <w:b/>
                    <w:sz w:val="20"/>
                    <w:szCs w:val="20"/>
                  </w:rPr>
                  <w:t>NSLP</w:t>
                </w:r>
              </w:smartTag>
              <w:r w:rsidRPr="0062784E">
                <w:rPr>
                  <w:b/>
                  <w:sz w:val="20"/>
                  <w:szCs w:val="20"/>
                </w:rPr>
                <w:t xml:space="preserve"> </w:t>
              </w:r>
              <w:smartTag w:uri="urn:schemas-microsoft-com:office:smarttags" w:element="PlaceType">
                <w:r w:rsidRPr="0062784E">
                  <w:rPr>
                    <w:b/>
                    <w:sz w:val="20"/>
                    <w:szCs w:val="20"/>
                  </w:rPr>
                  <w:t>Public School</w:t>
                </w:r>
              </w:smartTag>
            </w:smartTag>
            <w:r w:rsidRPr="0062784E">
              <w:rPr>
                <w:b/>
                <w:sz w:val="20"/>
                <w:szCs w:val="20"/>
              </w:rPr>
              <w:t xml:space="preserve"> Students by Attendance Area</w:t>
            </w:r>
          </w:p>
        </w:tc>
        <w:tc>
          <w:tcPr>
            <w:tcW w:w="1341" w:type="dxa"/>
            <w:vAlign w:val="bottom"/>
          </w:tcPr>
          <w:p w:rsidR="008D7579" w:rsidRPr="0062784E" w:rsidRDefault="008D7579" w:rsidP="000C3D8B">
            <w:pPr>
              <w:spacing w:after="0" w:line="240" w:lineRule="auto"/>
              <w:jc w:val="right"/>
              <w:rPr>
                <w:b/>
                <w:sz w:val="20"/>
                <w:szCs w:val="20"/>
              </w:rPr>
            </w:pPr>
            <w:r w:rsidRPr="0062784E">
              <w:rPr>
                <w:b/>
                <w:sz w:val="20"/>
                <w:szCs w:val="20"/>
              </w:rPr>
              <w:t>Number of Private School Students by Attendance Area</w:t>
            </w:r>
          </w:p>
        </w:tc>
        <w:tc>
          <w:tcPr>
            <w:tcW w:w="1459" w:type="dxa"/>
            <w:vAlign w:val="bottom"/>
          </w:tcPr>
          <w:p w:rsidR="008D7579" w:rsidRPr="0062784E" w:rsidRDefault="008D7579" w:rsidP="000C3D8B">
            <w:pPr>
              <w:spacing w:after="0" w:line="240" w:lineRule="auto"/>
              <w:jc w:val="right"/>
              <w:rPr>
                <w:b/>
                <w:sz w:val="20"/>
                <w:szCs w:val="20"/>
              </w:rPr>
            </w:pPr>
            <w:r w:rsidRPr="0062784E">
              <w:rPr>
                <w:b/>
                <w:sz w:val="20"/>
                <w:szCs w:val="20"/>
              </w:rPr>
              <w:t>Number of Identified Students (IS) in Private School by Attendance Area Multiplied by 1.6</w:t>
            </w:r>
          </w:p>
        </w:tc>
        <w:tc>
          <w:tcPr>
            <w:tcW w:w="1507" w:type="dxa"/>
            <w:vAlign w:val="bottom"/>
          </w:tcPr>
          <w:p w:rsidR="008D7579" w:rsidRPr="0062784E" w:rsidRDefault="008D7579" w:rsidP="000C3D8B">
            <w:pPr>
              <w:spacing w:after="0" w:line="240" w:lineRule="auto"/>
              <w:jc w:val="right"/>
              <w:rPr>
                <w:b/>
                <w:sz w:val="20"/>
                <w:szCs w:val="20"/>
              </w:rPr>
            </w:pPr>
            <w:r w:rsidRPr="0062784E">
              <w:rPr>
                <w:b/>
                <w:sz w:val="20"/>
                <w:szCs w:val="20"/>
              </w:rPr>
              <w:t>Derived Number of Low-Income Private School Students by Attendance Area (lesser of Column 4 and Column 5)</w:t>
            </w:r>
            <w:r w:rsidRPr="0062784E">
              <w:rPr>
                <w:b/>
                <w:sz w:val="20"/>
                <w:szCs w:val="20"/>
                <w:vertAlign w:val="superscript"/>
              </w:rPr>
              <w:t>1</w:t>
            </w:r>
          </w:p>
        </w:tc>
        <w:tc>
          <w:tcPr>
            <w:tcW w:w="1507" w:type="dxa"/>
            <w:vAlign w:val="bottom"/>
          </w:tcPr>
          <w:p w:rsidR="008D7579" w:rsidRPr="0062784E" w:rsidRDefault="008D7579" w:rsidP="000C3D8B">
            <w:pPr>
              <w:spacing w:after="0" w:line="240" w:lineRule="auto"/>
              <w:jc w:val="right"/>
              <w:rPr>
                <w:b/>
                <w:sz w:val="20"/>
                <w:szCs w:val="20"/>
              </w:rPr>
            </w:pPr>
            <w:r w:rsidRPr="0062784E">
              <w:rPr>
                <w:b/>
                <w:sz w:val="20"/>
                <w:szCs w:val="20"/>
              </w:rPr>
              <w:t>Total Allocation for Each Public School (Column 2 x Column 3)</w:t>
            </w:r>
          </w:p>
        </w:tc>
        <w:tc>
          <w:tcPr>
            <w:tcW w:w="1411" w:type="dxa"/>
            <w:vAlign w:val="bottom"/>
          </w:tcPr>
          <w:p w:rsidR="008D7579" w:rsidRPr="0062784E" w:rsidRDefault="008D7579" w:rsidP="000C3D8B">
            <w:pPr>
              <w:spacing w:after="0" w:line="240" w:lineRule="auto"/>
              <w:jc w:val="right"/>
              <w:rPr>
                <w:b/>
                <w:sz w:val="20"/>
                <w:szCs w:val="20"/>
              </w:rPr>
            </w:pPr>
            <w:r w:rsidRPr="0062784E">
              <w:rPr>
                <w:b/>
                <w:sz w:val="20"/>
                <w:szCs w:val="20"/>
              </w:rPr>
              <w:t>Amount Available to Provide Title I Services to Private School Students (Column 2 x Column 6)</w:t>
            </w:r>
          </w:p>
        </w:tc>
      </w:tr>
      <w:tr w:rsidR="008D7579" w:rsidRPr="0062784E" w:rsidTr="000C3D8B">
        <w:trPr>
          <w:jc w:val="center"/>
        </w:trPr>
        <w:tc>
          <w:tcPr>
            <w:tcW w:w="1490"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A</w:t>
            </w:r>
          </w:p>
        </w:tc>
        <w:tc>
          <w:tcPr>
            <w:tcW w:w="1776"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$800</w:t>
            </w:r>
          </w:p>
        </w:tc>
        <w:tc>
          <w:tcPr>
            <w:tcW w:w="1620"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500</w:t>
            </w:r>
          </w:p>
        </w:tc>
        <w:tc>
          <w:tcPr>
            <w:tcW w:w="1341"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100</w:t>
            </w:r>
          </w:p>
        </w:tc>
        <w:tc>
          <w:tcPr>
            <w:tcW w:w="1459"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80 x 1.6 = 128</w:t>
            </w:r>
          </w:p>
        </w:tc>
        <w:tc>
          <w:tcPr>
            <w:tcW w:w="1507"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100</w:t>
            </w:r>
          </w:p>
        </w:tc>
        <w:tc>
          <w:tcPr>
            <w:tcW w:w="1507"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$400,000</w:t>
            </w:r>
          </w:p>
        </w:tc>
        <w:tc>
          <w:tcPr>
            <w:tcW w:w="1411"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$80,000</w:t>
            </w:r>
          </w:p>
        </w:tc>
      </w:tr>
      <w:tr w:rsidR="008D7579" w:rsidRPr="0062784E" w:rsidTr="000C3D8B">
        <w:trPr>
          <w:jc w:val="center"/>
        </w:trPr>
        <w:tc>
          <w:tcPr>
            <w:tcW w:w="1490"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B</w:t>
            </w:r>
          </w:p>
        </w:tc>
        <w:tc>
          <w:tcPr>
            <w:tcW w:w="1776"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$700</w:t>
            </w:r>
          </w:p>
        </w:tc>
        <w:tc>
          <w:tcPr>
            <w:tcW w:w="1620"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300</w:t>
            </w:r>
          </w:p>
        </w:tc>
        <w:tc>
          <w:tcPr>
            <w:tcW w:w="1341"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30</w:t>
            </w:r>
          </w:p>
        </w:tc>
        <w:tc>
          <w:tcPr>
            <w:tcW w:w="1459"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10 x 1.6 = 16</w:t>
            </w:r>
          </w:p>
        </w:tc>
        <w:tc>
          <w:tcPr>
            <w:tcW w:w="1507"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16</w:t>
            </w:r>
          </w:p>
        </w:tc>
        <w:tc>
          <w:tcPr>
            <w:tcW w:w="1507"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$210,000</w:t>
            </w:r>
          </w:p>
        </w:tc>
        <w:tc>
          <w:tcPr>
            <w:tcW w:w="1411"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$11,200</w:t>
            </w:r>
          </w:p>
        </w:tc>
      </w:tr>
      <w:tr w:rsidR="008D7579" w:rsidRPr="0062784E" w:rsidTr="000C3D8B">
        <w:trPr>
          <w:jc w:val="center"/>
        </w:trPr>
        <w:tc>
          <w:tcPr>
            <w:tcW w:w="1490"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C</w:t>
            </w:r>
          </w:p>
        </w:tc>
        <w:tc>
          <w:tcPr>
            <w:tcW w:w="1776"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$0 (public school does not receive a Title I allocation)</w:t>
            </w:r>
          </w:p>
        </w:tc>
        <w:tc>
          <w:tcPr>
            <w:tcW w:w="1620"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  50</w:t>
            </w:r>
          </w:p>
        </w:tc>
        <w:tc>
          <w:tcPr>
            <w:tcW w:w="1341"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15</w:t>
            </w:r>
          </w:p>
        </w:tc>
        <w:tc>
          <w:tcPr>
            <w:tcW w:w="1459"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5 x 1.6 =   8</w:t>
            </w:r>
          </w:p>
        </w:tc>
        <w:tc>
          <w:tcPr>
            <w:tcW w:w="1507"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8</w:t>
            </w:r>
          </w:p>
        </w:tc>
        <w:tc>
          <w:tcPr>
            <w:tcW w:w="1507"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 xml:space="preserve">$0 </w:t>
            </w:r>
          </w:p>
        </w:tc>
        <w:tc>
          <w:tcPr>
            <w:tcW w:w="1411" w:type="dxa"/>
            <w:vAlign w:val="bottom"/>
          </w:tcPr>
          <w:p w:rsidR="008D7579" w:rsidRPr="0062784E" w:rsidRDefault="008D7579" w:rsidP="000C3D8B">
            <w:pPr>
              <w:spacing w:after="0" w:line="240" w:lineRule="auto"/>
              <w:jc w:val="right"/>
              <w:rPr>
                <w:sz w:val="20"/>
                <w:szCs w:val="20"/>
              </w:rPr>
            </w:pPr>
          </w:p>
          <w:p w:rsidR="008D7579" w:rsidRPr="0062784E" w:rsidRDefault="008D7579" w:rsidP="000C3D8B">
            <w:pPr>
              <w:spacing w:after="0" w:line="240" w:lineRule="auto"/>
              <w:jc w:val="right"/>
              <w:rPr>
                <w:sz w:val="20"/>
                <w:szCs w:val="20"/>
              </w:rPr>
            </w:pPr>
            <w:r w:rsidRPr="0062784E">
              <w:rPr>
                <w:sz w:val="20"/>
                <w:szCs w:val="20"/>
              </w:rPr>
              <w:t>$0 (The 8 students in Column 5 reside in a non-participating Title I public school attendance area and therefore generate $0.)</w:t>
            </w:r>
          </w:p>
        </w:tc>
      </w:tr>
    </w:tbl>
    <w:p w:rsidR="008D7579" w:rsidRPr="0062784E" w:rsidRDefault="008D7579" w:rsidP="008D7579">
      <w:pPr>
        <w:spacing w:after="0" w:line="240" w:lineRule="auto"/>
        <w:rPr>
          <w:sz w:val="24"/>
          <w:szCs w:val="24"/>
        </w:rPr>
      </w:pPr>
      <w:r w:rsidRPr="0062784E">
        <w:rPr>
          <w:sz w:val="24"/>
          <w:szCs w:val="24"/>
        </w:rPr>
        <w:t xml:space="preserve">  </w:t>
      </w:r>
    </w:p>
    <w:p w:rsidR="008D7579" w:rsidRPr="0062784E" w:rsidRDefault="008D7579" w:rsidP="000C3F2B">
      <w:pPr>
        <w:spacing w:after="0" w:line="240" w:lineRule="auto"/>
        <w:ind w:left="360"/>
        <w:rPr>
          <w:sz w:val="16"/>
          <w:szCs w:val="16"/>
        </w:rPr>
      </w:pPr>
      <w:r w:rsidRPr="0062784E">
        <w:rPr>
          <w:sz w:val="16"/>
          <w:szCs w:val="16"/>
          <w:vertAlign w:val="superscript"/>
        </w:rPr>
        <w:t xml:space="preserve">1 </w:t>
      </w:r>
      <w:r w:rsidRPr="0062784E">
        <w:rPr>
          <w:sz w:val="16"/>
          <w:szCs w:val="16"/>
        </w:rPr>
        <w:t>The figure in Column 6 may not exceed the number of private school students who reside in the attendance area (Column 4).</w:t>
      </w:r>
    </w:p>
    <w:p w:rsidR="008D7579" w:rsidRPr="0062784E" w:rsidRDefault="008D7579" w:rsidP="008D7579">
      <w:pPr>
        <w:spacing w:after="0" w:line="240" w:lineRule="auto"/>
        <w:rPr>
          <w:sz w:val="24"/>
          <w:szCs w:val="24"/>
        </w:rPr>
        <w:sectPr w:rsidR="008D7579" w:rsidRPr="0062784E" w:rsidSect="008D7579">
          <w:pgSz w:w="15840" w:h="12240" w:orient="landscape"/>
          <w:pgMar w:top="1440" w:right="1440" w:bottom="1440" w:left="1440" w:header="720" w:footer="288" w:gutter="0"/>
          <w:cols w:space="720"/>
          <w:docGrid w:linePitch="360"/>
        </w:sectPr>
      </w:pPr>
    </w:p>
    <w:tbl>
      <w:tblPr>
        <w:tblpPr w:leftFromText="187" w:rightFromText="187" w:vertAnchor="page" w:horzAnchor="margin" w:tblpY="2626"/>
        <w:tblW w:w="14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65" w:type="dxa"/>
          <w:right w:w="165" w:type="dxa"/>
        </w:tblCellMar>
        <w:tblLook w:val="0000" w:firstRow="0" w:lastRow="0" w:firstColumn="0" w:lastColumn="0" w:noHBand="0" w:noVBand="0"/>
      </w:tblPr>
      <w:tblGrid>
        <w:gridCol w:w="1335"/>
        <w:gridCol w:w="1260"/>
        <w:gridCol w:w="1800"/>
        <w:gridCol w:w="1620"/>
        <w:gridCol w:w="1606"/>
        <w:gridCol w:w="1364"/>
        <w:gridCol w:w="1440"/>
        <w:gridCol w:w="1621"/>
        <w:gridCol w:w="1169"/>
        <w:gridCol w:w="1350"/>
      </w:tblGrid>
      <w:tr w:rsidR="008D7579" w:rsidRPr="0062784E" w:rsidTr="000C3F2B">
        <w:tc>
          <w:tcPr>
            <w:tcW w:w="1335" w:type="dxa"/>
            <w:vAlign w:val="center"/>
          </w:tcPr>
          <w:p w:rsidR="008D7579" w:rsidRPr="0062784E" w:rsidRDefault="008D7579" w:rsidP="00A37E61">
            <w:pPr>
              <w:spacing w:after="0" w:line="240" w:lineRule="auto"/>
              <w:jc w:val="center"/>
              <w:rPr>
                <w:iCs/>
                <w:sz w:val="18"/>
                <w:szCs w:val="18"/>
              </w:rPr>
            </w:pPr>
            <w:r w:rsidRPr="0062784E">
              <w:rPr>
                <w:iCs/>
                <w:sz w:val="18"/>
                <w:szCs w:val="18"/>
              </w:rPr>
              <w:lastRenderedPageBreak/>
              <w:t>Column 1</w:t>
            </w:r>
          </w:p>
        </w:tc>
        <w:tc>
          <w:tcPr>
            <w:tcW w:w="1260" w:type="dxa"/>
            <w:vAlign w:val="center"/>
          </w:tcPr>
          <w:p w:rsidR="008D7579" w:rsidRPr="0062784E" w:rsidRDefault="008D7579" w:rsidP="00A37E61">
            <w:pPr>
              <w:spacing w:after="0" w:line="240" w:lineRule="auto"/>
              <w:jc w:val="center"/>
              <w:rPr>
                <w:iCs/>
                <w:sz w:val="18"/>
                <w:szCs w:val="18"/>
              </w:rPr>
            </w:pPr>
            <w:r w:rsidRPr="0062784E">
              <w:rPr>
                <w:iCs/>
                <w:sz w:val="18"/>
                <w:szCs w:val="18"/>
              </w:rPr>
              <w:t>Column 2</w:t>
            </w:r>
          </w:p>
        </w:tc>
        <w:tc>
          <w:tcPr>
            <w:tcW w:w="1800" w:type="dxa"/>
            <w:vAlign w:val="center"/>
          </w:tcPr>
          <w:p w:rsidR="008D7579" w:rsidRPr="0062784E" w:rsidRDefault="008D7579" w:rsidP="00A37E61">
            <w:pPr>
              <w:spacing w:after="0" w:line="240" w:lineRule="auto"/>
              <w:jc w:val="center"/>
              <w:rPr>
                <w:iCs/>
                <w:sz w:val="18"/>
                <w:szCs w:val="18"/>
              </w:rPr>
            </w:pPr>
            <w:r w:rsidRPr="0062784E">
              <w:rPr>
                <w:iCs/>
                <w:sz w:val="18"/>
                <w:szCs w:val="18"/>
              </w:rPr>
              <w:t>Column 3</w:t>
            </w:r>
          </w:p>
        </w:tc>
        <w:tc>
          <w:tcPr>
            <w:tcW w:w="1620" w:type="dxa"/>
            <w:vAlign w:val="center"/>
          </w:tcPr>
          <w:p w:rsidR="008D7579" w:rsidRPr="0062784E" w:rsidRDefault="008D7579" w:rsidP="00A37E61">
            <w:pPr>
              <w:spacing w:after="0" w:line="240" w:lineRule="auto"/>
              <w:jc w:val="center"/>
              <w:rPr>
                <w:iCs/>
                <w:sz w:val="18"/>
                <w:szCs w:val="18"/>
              </w:rPr>
            </w:pPr>
            <w:r w:rsidRPr="0062784E">
              <w:rPr>
                <w:iCs/>
                <w:sz w:val="18"/>
                <w:szCs w:val="18"/>
              </w:rPr>
              <w:t>Column 4</w:t>
            </w:r>
          </w:p>
        </w:tc>
        <w:tc>
          <w:tcPr>
            <w:tcW w:w="1606" w:type="dxa"/>
            <w:vAlign w:val="center"/>
          </w:tcPr>
          <w:p w:rsidR="008D7579" w:rsidRPr="0062784E" w:rsidRDefault="008D7579" w:rsidP="00A37E61">
            <w:pPr>
              <w:spacing w:after="0" w:line="240" w:lineRule="auto"/>
              <w:jc w:val="center"/>
              <w:rPr>
                <w:iCs/>
                <w:sz w:val="18"/>
                <w:szCs w:val="18"/>
              </w:rPr>
            </w:pPr>
            <w:r w:rsidRPr="0062784E">
              <w:rPr>
                <w:iCs/>
                <w:sz w:val="18"/>
                <w:szCs w:val="18"/>
              </w:rPr>
              <w:t>Column 5</w:t>
            </w:r>
          </w:p>
        </w:tc>
        <w:tc>
          <w:tcPr>
            <w:tcW w:w="1364" w:type="dxa"/>
            <w:vAlign w:val="center"/>
          </w:tcPr>
          <w:p w:rsidR="008D7579" w:rsidRPr="0062784E" w:rsidRDefault="008D7579" w:rsidP="00A37E61">
            <w:pPr>
              <w:spacing w:after="0" w:line="240" w:lineRule="auto"/>
              <w:jc w:val="center"/>
              <w:rPr>
                <w:iCs/>
                <w:sz w:val="18"/>
                <w:szCs w:val="18"/>
              </w:rPr>
            </w:pPr>
            <w:r w:rsidRPr="0062784E">
              <w:rPr>
                <w:iCs/>
                <w:sz w:val="18"/>
                <w:szCs w:val="18"/>
              </w:rPr>
              <w:t>Column 6</w:t>
            </w:r>
          </w:p>
        </w:tc>
        <w:tc>
          <w:tcPr>
            <w:tcW w:w="1440" w:type="dxa"/>
            <w:vAlign w:val="center"/>
          </w:tcPr>
          <w:p w:rsidR="008D7579" w:rsidRPr="0062784E" w:rsidRDefault="008D7579" w:rsidP="00A37E61">
            <w:pPr>
              <w:spacing w:after="0" w:line="240" w:lineRule="auto"/>
              <w:jc w:val="center"/>
              <w:rPr>
                <w:iCs/>
                <w:sz w:val="18"/>
                <w:szCs w:val="18"/>
              </w:rPr>
            </w:pPr>
            <w:r w:rsidRPr="0062784E">
              <w:rPr>
                <w:iCs/>
                <w:sz w:val="18"/>
                <w:szCs w:val="18"/>
              </w:rPr>
              <w:t>Column 7</w:t>
            </w:r>
          </w:p>
        </w:tc>
        <w:tc>
          <w:tcPr>
            <w:tcW w:w="1621" w:type="dxa"/>
            <w:vAlign w:val="center"/>
          </w:tcPr>
          <w:p w:rsidR="008D7579" w:rsidRPr="0062784E" w:rsidRDefault="008D7579" w:rsidP="00A37E61">
            <w:pPr>
              <w:spacing w:after="0" w:line="240" w:lineRule="auto"/>
              <w:jc w:val="center"/>
              <w:rPr>
                <w:iCs/>
                <w:sz w:val="18"/>
                <w:szCs w:val="18"/>
              </w:rPr>
            </w:pPr>
            <w:r w:rsidRPr="0062784E">
              <w:rPr>
                <w:iCs/>
                <w:sz w:val="18"/>
                <w:szCs w:val="18"/>
              </w:rPr>
              <w:t>Column 8</w:t>
            </w:r>
          </w:p>
        </w:tc>
        <w:tc>
          <w:tcPr>
            <w:tcW w:w="1169" w:type="dxa"/>
          </w:tcPr>
          <w:p w:rsidR="008D7579" w:rsidRPr="0062784E" w:rsidRDefault="008D7579" w:rsidP="00A37E61">
            <w:pPr>
              <w:spacing w:after="0" w:line="240" w:lineRule="auto"/>
              <w:jc w:val="center"/>
              <w:rPr>
                <w:sz w:val="18"/>
                <w:szCs w:val="18"/>
              </w:rPr>
            </w:pPr>
            <w:r w:rsidRPr="0062784E">
              <w:rPr>
                <w:sz w:val="18"/>
                <w:szCs w:val="18"/>
              </w:rPr>
              <w:t>Column 9</w:t>
            </w:r>
          </w:p>
        </w:tc>
        <w:tc>
          <w:tcPr>
            <w:tcW w:w="1350" w:type="dxa"/>
          </w:tcPr>
          <w:p w:rsidR="008D7579" w:rsidRPr="0062784E" w:rsidRDefault="008D7579" w:rsidP="00A37E61">
            <w:pPr>
              <w:spacing w:after="0" w:line="240" w:lineRule="auto"/>
              <w:jc w:val="center"/>
              <w:rPr>
                <w:sz w:val="18"/>
                <w:szCs w:val="18"/>
              </w:rPr>
            </w:pPr>
            <w:r w:rsidRPr="0062784E">
              <w:rPr>
                <w:sz w:val="18"/>
                <w:szCs w:val="18"/>
              </w:rPr>
              <w:t>Column 10</w:t>
            </w:r>
          </w:p>
        </w:tc>
      </w:tr>
      <w:tr w:rsidR="008D7579" w:rsidRPr="0062784E" w:rsidTr="000C3F2B">
        <w:tc>
          <w:tcPr>
            <w:tcW w:w="1335" w:type="dxa"/>
            <w:vAlign w:val="bottom"/>
          </w:tcPr>
          <w:p w:rsidR="008D7579" w:rsidRPr="0062784E" w:rsidRDefault="008D7579" w:rsidP="00A37E61">
            <w:pPr>
              <w:spacing w:after="0" w:line="240" w:lineRule="auto"/>
              <w:rPr>
                <w:b/>
                <w:sz w:val="18"/>
                <w:szCs w:val="18"/>
              </w:rPr>
            </w:pPr>
          </w:p>
          <w:p w:rsidR="008D7579" w:rsidRPr="0062784E" w:rsidRDefault="008D7579" w:rsidP="00A37E61">
            <w:pPr>
              <w:spacing w:after="0" w:line="240" w:lineRule="auto"/>
              <w:rPr>
                <w:b/>
                <w:sz w:val="18"/>
                <w:szCs w:val="18"/>
              </w:rPr>
            </w:pPr>
          </w:p>
          <w:p w:rsidR="008D7579" w:rsidRPr="0062784E" w:rsidRDefault="008D7579" w:rsidP="00A37E61">
            <w:pPr>
              <w:spacing w:after="0" w:line="240" w:lineRule="auto"/>
              <w:rPr>
                <w:b/>
                <w:sz w:val="18"/>
                <w:szCs w:val="18"/>
              </w:rPr>
            </w:pPr>
          </w:p>
          <w:p w:rsidR="008D7579" w:rsidRPr="0062784E" w:rsidRDefault="008D7579" w:rsidP="00A37E61">
            <w:pPr>
              <w:spacing w:after="0" w:line="240" w:lineRule="auto"/>
              <w:rPr>
                <w:b/>
                <w:sz w:val="18"/>
                <w:szCs w:val="18"/>
              </w:rPr>
            </w:pPr>
          </w:p>
          <w:p w:rsidR="008D7579" w:rsidRPr="0062784E" w:rsidRDefault="008D7579" w:rsidP="00A37E61">
            <w:pPr>
              <w:spacing w:after="0" w:line="240" w:lineRule="auto"/>
              <w:rPr>
                <w:b/>
                <w:sz w:val="18"/>
                <w:szCs w:val="18"/>
              </w:rPr>
            </w:pPr>
            <w:r w:rsidRPr="0062784E">
              <w:rPr>
                <w:b/>
                <w:sz w:val="18"/>
                <w:szCs w:val="18"/>
              </w:rPr>
              <w:t>Public School</w:t>
            </w:r>
          </w:p>
          <w:p w:rsidR="008D7579" w:rsidRPr="0062784E" w:rsidRDefault="008D7579" w:rsidP="00A37E61">
            <w:pPr>
              <w:spacing w:after="0" w:line="240" w:lineRule="auto"/>
              <w:rPr>
                <w:b/>
                <w:sz w:val="18"/>
                <w:szCs w:val="18"/>
              </w:rPr>
            </w:pPr>
            <w:r w:rsidRPr="0062784E">
              <w:rPr>
                <w:b/>
                <w:sz w:val="18"/>
                <w:szCs w:val="18"/>
              </w:rPr>
              <w:t>Attendance Area</w:t>
            </w:r>
          </w:p>
        </w:tc>
        <w:tc>
          <w:tcPr>
            <w:tcW w:w="1260" w:type="dxa"/>
            <w:vAlign w:val="bottom"/>
          </w:tcPr>
          <w:p w:rsidR="008D7579" w:rsidRPr="0062784E" w:rsidRDefault="008D7579" w:rsidP="00A37E61">
            <w:pPr>
              <w:spacing w:after="0" w:line="240" w:lineRule="auto"/>
              <w:jc w:val="right"/>
              <w:rPr>
                <w:b/>
                <w:sz w:val="18"/>
                <w:szCs w:val="18"/>
              </w:rPr>
            </w:pPr>
            <w:r w:rsidRPr="0062784E">
              <w:rPr>
                <w:b/>
                <w:sz w:val="18"/>
                <w:szCs w:val="18"/>
              </w:rPr>
              <w:t>Per Pupil Allocation by Attendance Area</w:t>
            </w:r>
          </w:p>
        </w:tc>
        <w:tc>
          <w:tcPr>
            <w:tcW w:w="1800" w:type="dxa"/>
            <w:vAlign w:val="bottom"/>
          </w:tcPr>
          <w:p w:rsidR="008D7579" w:rsidRPr="0062784E" w:rsidRDefault="008D7579" w:rsidP="00A37E61">
            <w:pPr>
              <w:spacing w:after="0" w:line="240" w:lineRule="auto"/>
              <w:jc w:val="right"/>
              <w:rPr>
                <w:b/>
                <w:sz w:val="18"/>
                <w:szCs w:val="18"/>
                <w:vertAlign w:val="superscript"/>
              </w:rPr>
            </w:pPr>
            <w:r w:rsidRPr="0062784E">
              <w:rPr>
                <w:b/>
                <w:sz w:val="18"/>
                <w:szCs w:val="18"/>
              </w:rPr>
              <w:t>NSLP Count</w:t>
            </w:r>
            <w:r w:rsidRPr="0062784E">
              <w:rPr>
                <w:b/>
                <w:sz w:val="18"/>
                <w:szCs w:val="18"/>
                <w:vertAlign w:val="superscript"/>
              </w:rPr>
              <w:t>1</w:t>
            </w:r>
          </w:p>
        </w:tc>
        <w:tc>
          <w:tcPr>
            <w:tcW w:w="1620" w:type="dxa"/>
            <w:vAlign w:val="bottom"/>
          </w:tcPr>
          <w:p w:rsidR="008D7579" w:rsidRPr="0062784E" w:rsidRDefault="008D7579" w:rsidP="00A37E61">
            <w:pPr>
              <w:spacing w:after="0" w:line="240" w:lineRule="auto"/>
              <w:jc w:val="right"/>
              <w:rPr>
                <w:b/>
                <w:sz w:val="18"/>
                <w:szCs w:val="18"/>
              </w:rPr>
            </w:pPr>
            <w:r w:rsidRPr="0062784E">
              <w:rPr>
                <w:b/>
                <w:sz w:val="18"/>
                <w:szCs w:val="18"/>
              </w:rPr>
              <w:t>Number of  Public School Identified Students (IS) Multiplied by 1.6</w:t>
            </w:r>
          </w:p>
        </w:tc>
        <w:tc>
          <w:tcPr>
            <w:tcW w:w="1606" w:type="dxa"/>
            <w:vAlign w:val="bottom"/>
          </w:tcPr>
          <w:p w:rsidR="008D7579" w:rsidRPr="0062784E" w:rsidRDefault="008D7579" w:rsidP="00A37E61">
            <w:pPr>
              <w:spacing w:after="0" w:line="240" w:lineRule="auto"/>
              <w:jc w:val="right"/>
              <w:rPr>
                <w:b/>
                <w:sz w:val="18"/>
                <w:szCs w:val="18"/>
              </w:rPr>
            </w:pPr>
            <w:r w:rsidRPr="0062784E">
              <w:rPr>
                <w:b/>
                <w:sz w:val="18"/>
                <w:szCs w:val="18"/>
              </w:rPr>
              <w:t>Number of Public School Low-Income Students by Attendance Area for Title I Allocation Purpose (for CEP schools, lesser of Column 3 and Column 4)</w:t>
            </w:r>
            <w:r w:rsidRPr="0062784E">
              <w:rPr>
                <w:b/>
                <w:sz w:val="18"/>
                <w:szCs w:val="18"/>
                <w:vertAlign w:val="superscript"/>
              </w:rPr>
              <w:t>2</w:t>
            </w:r>
          </w:p>
        </w:tc>
        <w:tc>
          <w:tcPr>
            <w:tcW w:w="1364" w:type="dxa"/>
            <w:vAlign w:val="bottom"/>
          </w:tcPr>
          <w:p w:rsidR="008D7579" w:rsidRPr="0062784E" w:rsidRDefault="008D7579" w:rsidP="00A37E61">
            <w:pPr>
              <w:spacing w:after="0" w:line="240" w:lineRule="auto"/>
              <w:jc w:val="right"/>
              <w:rPr>
                <w:b/>
                <w:sz w:val="18"/>
                <w:szCs w:val="18"/>
              </w:rPr>
            </w:pPr>
            <w:r w:rsidRPr="0062784E">
              <w:rPr>
                <w:b/>
                <w:sz w:val="18"/>
                <w:szCs w:val="18"/>
              </w:rPr>
              <w:t>Number of Private School Students by Attendance Area</w:t>
            </w:r>
          </w:p>
        </w:tc>
        <w:tc>
          <w:tcPr>
            <w:tcW w:w="1440" w:type="dxa"/>
            <w:vAlign w:val="bottom"/>
          </w:tcPr>
          <w:p w:rsidR="008D7579" w:rsidRPr="0062784E" w:rsidRDefault="008D7579" w:rsidP="00A37E61">
            <w:pPr>
              <w:spacing w:after="0" w:line="240" w:lineRule="auto"/>
              <w:jc w:val="right"/>
              <w:rPr>
                <w:b/>
                <w:sz w:val="18"/>
                <w:szCs w:val="18"/>
              </w:rPr>
            </w:pPr>
            <w:r w:rsidRPr="0062784E">
              <w:rPr>
                <w:b/>
                <w:sz w:val="18"/>
                <w:szCs w:val="18"/>
              </w:rPr>
              <w:t>Number of  Private School IS by Attendance Area Multiplied by 1.6</w:t>
            </w:r>
          </w:p>
        </w:tc>
        <w:tc>
          <w:tcPr>
            <w:tcW w:w="1621" w:type="dxa"/>
            <w:vAlign w:val="bottom"/>
          </w:tcPr>
          <w:p w:rsidR="008D7579" w:rsidRPr="0062784E" w:rsidRDefault="008D7579" w:rsidP="00A37E61">
            <w:pPr>
              <w:spacing w:after="0" w:line="240" w:lineRule="auto"/>
              <w:jc w:val="right"/>
              <w:rPr>
                <w:b/>
                <w:sz w:val="18"/>
                <w:szCs w:val="18"/>
                <w:vertAlign w:val="superscript"/>
              </w:rPr>
            </w:pPr>
            <w:r w:rsidRPr="0062784E">
              <w:rPr>
                <w:b/>
                <w:sz w:val="18"/>
                <w:szCs w:val="18"/>
              </w:rPr>
              <w:t>Derived Number of Low-Income Private School Students by Attendance Area (lesser of Column 6 and Column 7)</w:t>
            </w:r>
            <w:r w:rsidRPr="0062784E">
              <w:rPr>
                <w:b/>
                <w:sz w:val="18"/>
                <w:szCs w:val="18"/>
                <w:vertAlign w:val="superscript"/>
              </w:rPr>
              <w:t>2</w:t>
            </w:r>
          </w:p>
        </w:tc>
        <w:tc>
          <w:tcPr>
            <w:tcW w:w="1169" w:type="dxa"/>
            <w:vAlign w:val="bottom"/>
          </w:tcPr>
          <w:p w:rsidR="008D7579" w:rsidRPr="0062784E" w:rsidRDefault="008D7579" w:rsidP="00A37E61">
            <w:pPr>
              <w:spacing w:after="0" w:line="240" w:lineRule="auto"/>
              <w:jc w:val="right"/>
              <w:rPr>
                <w:b/>
                <w:sz w:val="18"/>
                <w:szCs w:val="18"/>
              </w:rPr>
            </w:pPr>
          </w:p>
          <w:p w:rsidR="008D7579" w:rsidRPr="0062784E" w:rsidRDefault="008D7579" w:rsidP="00A37E61">
            <w:pPr>
              <w:spacing w:after="0" w:line="240" w:lineRule="auto"/>
              <w:jc w:val="right"/>
              <w:rPr>
                <w:b/>
                <w:sz w:val="18"/>
                <w:szCs w:val="18"/>
              </w:rPr>
            </w:pPr>
            <w:r w:rsidRPr="0062784E">
              <w:rPr>
                <w:b/>
                <w:sz w:val="18"/>
                <w:szCs w:val="18"/>
              </w:rPr>
              <w:t xml:space="preserve">Total Allocation for Each Public School (Column 2 x Column 5) </w:t>
            </w:r>
          </w:p>
        </w:tc>
        <w:tc>
          <w:tcPr>
            <w:tcW w:w="1350" w:type="dxa"/>
            <w:vAlign w:val="bottom"/>
          </w:tcPr>
          <w:p w:rsidR="008D7579" w:rsidRPr="0062784E" w:rsidRDefault="008D7579" w:rsidP="00A37E61">
            <w:pPr>
              <w:spacing w:after="0" w:line="240" w:lineRule="auto"/>
              <w:jc w:val="right"/>
              <w:rPr>
                <w:b/>
                <w:sz w:val="18"/>
                <w:szCs w:val="18"/>
              </w:rPr>
            </w:pPr>
            <w:r w:rsidRPr="0062784E">
              <w:rPr>
                <w:b/>
                <w:sz w:val="18"/>
                <w:szCs w:val="18"/>
              </w:rPr>
              <w:t>Amount Available for Title I Services to Private School Students (Column 2 x Column 8)</w:t>
            </w:r>
          </w:p>
        </w:tc>
      </w:tr>
      <w:tr w:rsidR="008D7579" w:rsidRPr="0062784E" w:rsidTr="000C3F2B">
        <w:tc>
          <w:tcPr>
            <w:tcW w:w="1335" w:type="dxa"/>
            <w:vAlign w:val="bottom"/>
          </w:tcPr>
          <w:p w:rsidR="008D7579" w:rsidRPr="0062784E" w:rsidRDefault="008D7579" w:rsidP="00A37E61">
            <w:pPr>
              <w:spacing w:after="0" w:line="240" w:lineRule="auto"/>
              <w:rPr>
                <w:sz w:val="18"/>
                <w:szCs w:val="18"/>
              </w:rPr>
            </w:pPr>
          </w:p>
          <w:p w:rsidR="008D7579" w:rsidRPr="0062784E" w:rsidRDefault="008D7579" w:rsidP="00A37E61">
            <w:pPr>
              <w:spacing w:after="0" w:line="240" w:lineRule="auto"/>
              <w:rPr>
                <w:sz w:val="18"/>
                <w:szCs w:val="18"/>
              </w:rPr>
            </w:pPr>
            <w:r w:rsidRPr="0062784E">
              <w:rPr>
                <w:sz w:val="18"/>
                <w:szCs w:val="18"/>
              </w:rPr>
              <w:t>A (CEP school)</w:t>
            </w:r>
          </w:p>
        </w:tc>
        <w:tc>
          <w:tcPr>
            <w:tcW w:w="126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 xml:space="preserve">    $800</w:t>
            </w:r>
          </w:p>
        </w:tc>
        <w:tc>
          <w:tcPr>
            <w:tcW w:w="180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Enrollment: 450</w:t>
            </w:r>
          </w:p>
          <w:p w:rsidR="008D7579" w:rsidRPr="0062784E" w:rsidRDefault="008D7579" w:rsidP="00A37E61">
            <w:pPr>
              <w:spacing w:after="0" w:line="240" w:lineRule="auto"/>
              <w:jc w:val="right"/>
              <w:rPr>
                <w:sz w:val="18"/>
                <w:szCs w:val="18"/>
              </w:rPr>
            </w:pPr>
            <w:r w:rsidRPr="0062784E">
              <w:rPr>
                <w:sz w:val="18"/>
                <w:szCs w:val="18"/>
              </w:rPr>
              <w:t>IS: 300</w:t>
            </w:r>
          </w:p>
        </w:tc>
        <w:tc>
          <w:tcPr>
            <w:tcW w:w="162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300 x 1.6 = 480</w:t>
            </w:r>
          </w:p>
        </w:tc>
        <w:tc>
          <w:tcPr>
            <w:tcW w:w="1606"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 xml:space="preserve">  450</w:t>
            </w:r>
          </w:p>
        </w:tc>
        <w:tc>
          <w:tcPr>
            <w:tcW w:w="1364"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100</w:t>
            </w:r>
          </w:p>
        </w:tc>
        <w:tc>
          <w:tcPr>
            <w:tcW w:w="144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80 x 1.6= 128</w:t>
            </w:r>
          </w:p>
        </w:tc>
        <w:tc>
          <w:tcPr>
            <w:tcW w:w="1621"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100</w:t>
            </w:r>
          </w:p>
        </w:tc>
        <w:tc>
          <w:tcPr>
            <w:tcW w:w="1169"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$360,000</w:t>
            </w:r>
          </w:p>
        </w:tc>
        <w:tc>
          <w:tcPr>
            <w:tcW w:w="135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$80,000</w:t>
            </w:r>
          </w:p>
        </w:tc>
      </w:tr>
      <w:tr w:rsidR="008D7579" w:rsidRPr="0062784E" w:rsidTr="000C3F2B">
        <w:tc>
          <w:tcPr>
            <w:tcW w:w="1335" w:type="dxa"/>
            <w:vAlign w:val="bottom"/>
          </w:tcPr>
          <w:p w:rsidR="008D7579" w:rsidRPr="0062784E" w:rsidRDefault="008D7579" w:rsidP="00A37E61">
            <w:pPr>
              <w:spacing w:after="0" w:line="240" w:lineRule="auto"/>
              <w:rPr>
                <w:sz w:val="18"/>
                <w:szCs w:val="18"/>
              </w:rPr>
            </w:pPr>
          </w:p>
          <w:p w:rsidR="008D7579" w:rsidRPr="0062784E" w:rsidRDefault="008D7579" w:rsidP="00A37E61">
            <w:pPr>
              <w:spacing w:after="0" w:line="240" w:lineRule="auto"/>
              <w:rPr>
                <w:sz w:val="18"/>
                <w:szCs w:val="18"/>
              </w:rPr>
            </w:pPr>
            <w:r w:rsidRPr="0062784E">
              <w:rPr>
                <w:sz w:val="18"/>
                <w:szCs w:val="18"/>
              </w:rPr>
              <w:t>B (non-CEP school)</w:t>
            </w:r>
          </w:p>
        </w:tc>
        <w:tc>
          <w:tcPr>
            <w:tcW w:w="126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 xml:space="preserve">    $700</w:t>
            </w:r>
          </w:p>
        </w:tc>
        <w:tc>
          <w:tcPr>
            <w:tcW w:w="180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Enrollment: 450</w:t>
            </w:r>
          </w:p>
          <w:p w:rsidR="008D7579" w:rsidRPr="0062784E" w:rsidRDefault="008D7579" w:rsidP="00A37E61">
            <w:pPr>
              <w:spacing w:after="0" w:line="240" w:lineRule="auto"/>
              <w:jc w:val="right"/>
              <w:rPr>
                <w:sz w:val="18"/>
                <w:szCs w:val="18"/>
              </w:rPr>
            </w:pPr>
            <w:r w:rsidRPr="0062784E">
              <w:rPr>
                <w:sz w:val="18"/>
                <w:szCs w:val="18"/>
              </w:rPr>
              <w:t>ES: 300</w:t>
            </w:r>
          </w:p>
        </w:tc>
        <w:tc>
          <w:tcPr>
            <w:tcW w:w="162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N/A</w:t>
            </w:r>
          </w:p>
        </w:tc>
        <w:tc>
          <w:tcPr>
            <w:tcW w:w="1606"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 xml:space="preserve">  300</w:t>
            </w:r>
          </w:p>
        </w:tc>
        <w:tc>
          <w:tcPr>
            <w:tcW w:w="1364"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30</w:t>
            </w:r>
          </w:p>
        </w:tc>
        <w:tc>
          <w:tcPr>
            <w:tcW w:w="144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10 x 1.6 = 16</w:t>
            </w:r>
          </w:p>
        </w:tc>
        <w:tc>
          <w:tcPr>
            <w:tcW w:w="1621"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16</w:t>
            </w:r>
          </w:p>
        </w:tc>
        <w:tc>
          <w:tcPr>
            <w:tcW w:w="1169"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$210,000</w:t>
            </w:r>
          </w:p>
        </w:tc>
        <w:tc>
          <w:tcPr>
            <w:tcW w:w="135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$11,200</w:t>
            </w:r>
          </w:p>
        </w:tc>
      </w:tr>
      <w:tr w:rsidR="008D7579" w:rsidRPr="0062784E" w:rsidTr="000C3F2B">
        <w:tc>
          <w:tcPr>
            <w:tcW w:w="1335" w:type="dxa"/>
            <w:vAlign w:val="bottom"/>
          </w:tcPr>
          <w:p w:rsidR="008D7579" w:rsidRPr="0062784E" w:rsidRDefault="008D7579" w:rsidP="00A37E61">
            <w:pPr>
              <w:spacing w:after="0" w:line="240" w:lineRule="auto"/>
              <w:rPr>
                <w:sz w:val="18"/>
                <w:szCs w:val="18"/>
              </w:rPr>
            </w:pPr>
          </w:p>
          <w:p w:rsidR="008D7579" w:rsidRPr="0062784E" w:rsidRDefault="008D7579" w:rsidP="00A37E61">
            <w:pPr>
              <w:spacing w:after="0" w:line="240" w:lineRule="auto"/>
              <w:rPr>
                <w:sz w:val="18"/>
                <w:szCs w:val="18"/>
              </w:rPr>
            </w:pPr>
            <w:r w:rsidRPr="0062784E">
              <w:rPr>
                <w:sz w:val="18"/>
                <w:szCs w:val="18"/>
              </w:rPr>
              <w:t>C (CEP school)</w:t>
            </w:r>
          </w:p>
        </w:tc>
        <w:tc>
          <w:tcPr>
            <w:tcW w:w="126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 xml:space="preserve">    $0 (public school does not receive a Title I allocation)</w:t>
            </w:r>
          </w:p>
        </w:tc>
        <w:tc>
          <w:tcPr>
            <w:tcW w:w="180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Enrollment: 300</w:t>
            </w:r>
          </w:p>
          <w:p w:rsidR="008D7579" w:rsidRPr="0062784E" w:rsidRDefault="008D7579" w:rsidP="00A37E61">
            <w:pPr>
              <w:spacing w:after="0" w:line="240" w:lineRule="auto"/>
              <w:jc w:val="right"/>
              <w:rPr>
                <w:sz w:val="18"/>
                <w:szCs w:val="18"/>
              </w:rPr>
            </w:pPr>
            <w:r w:rsidRPr="0062784E">
              <w:rPr>
                <w:sz w:val="18"/>
                <w:szCs w:val="18"/>
              </w:rPr>
              <w:t>IS: 120</w:t>
            </w:r>
          </w:p>
        </w:tc>
        <w:tc>
          <w:tcPr>
            <w:tcW w:w="162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120 x 1.6 = 192</w:t>
            </w:r>
          </w:p>
        </w:tc>
        <w:tc>
          <w:tcPr>
            <w:tcW w:w="1606"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 xml:space="preserve">  192</w:t>
            </w:r>
          </w:p>
        </w:tc>
        <w:tc>
          <w:tcPr>
            <w:tcW w:w="1364"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15</w:t>
            </w:r>
          </w:p>
        </w:tc>
        <w:tc>
          <w:tcPr>
            <w:tcW w:w="144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5 x 1.6 =   8</w:t>
            </w:r>
          </w:p>
        </w:tc>
        <w:tc>
          <w:tcPr>
            <w:tcW w:w="1621"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8</w:t>
            </w:r>
          </w:p>
        </w:tc>
        <w:tc>
          <w:tcPr>
            <w:tcW w:w="1169"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 xml:space="preserve">$0 </w:t>
            </w:r>
          </w:p>
        </w:tc>
        <w:tc>
          <w:tcPr>
            <w:tcW w:w="1350" w:type="dxa"/>
            <w:vAlign w:val="bottom"/>
          </w:tcPr>
          <w:p w:rsidR="008D7579" w:rsidRPr="0062784E" w:rsidRDefault="008D7579" w:rsidP="00A37E61">
            <w:pPr>
              <w:spacing w:after="0" w:line="240" w:lineRule="auto"/>
              <w:jc w:val="right"/>
              <w:rPr>
                <w:sz w:val="18"/>
                <w:szCs w:val="18"/>
              </w:rPr>
            </w:pPr>
          </w:p>
          <w:p w:rsidR="008D7579" w:rsidRPr="0062784E" w:rsidRDefault="008D7579" w:rsidP="00A37E61">
            <w:pPr>
              <w:spacing w:after="0" w:line="240" w:lineRule="auto"/>
              <w:jc w:val="right"/>
              <w:rPr>
                <w:sz w:val="18"/>
                <w:szCs w:val="18"/>
              </w:rPr>
            </w:pPr>
            <w:r w:rsidRPr="0062784E">
              <w:rPr>
                <w:sz w:val="18"/>
                <w:szCs w:val="18"/>
              </w:rPr>
              <w:t>$0 (The 8 students in Column 5 reside in a non-participating Title I public school attendance area and therefore generate $0.)</w:t>
            </w:r>
          </w:p>
        </w:tc>
      </w:tr>
    </w:tbl>
    <w:p w:rsidR="008D7579" w:rsidRDefault="008D7579" w:rsidP="008D7579">
      <w:pPr>
        <w:spacing w:after="0" w:line="240" w:lineRule="auto"/>
        <w:jc w:val="center"/>
        <w:rPr>
          <w:b/>
          <w:sz w:val="24"/>
          <w:szCs w:val="24"/>
          <w:u w:val="single"/>
        </w:rPr>
      </w:pPr>
      <w:r w:rsidRPr="000C3F2B">
        <w:rPr>
          <w:b/>
          <w:sz w:val="24"/>
          <w:szCs w:val="24"/>
          <w:u w:val="single"/>
        </w:rPr>
        <w:t>Example B</w:t>
      </w:r>
    </w:p>
    <w:p w:rsidR="00A37E61" w:rsidRPr="000C3F2B" w:rsidRDefault="00A37E61" w:rsidP="008D7579">
      <w:pPr>
        <w:spacing w:after="0" w:line="240" w:lineRule="auto"/>
        <w:jc w:val="center"/>
        <w:rPr>
          <w:b/>
          <w:sz w:val="24"/>
          <w:szCs w:val="24"/>
          <w:u w:val="single"/>
        </w:rPr>
      </w:pPr>
    </w:p>
    <w:p w:rsidR="00B137B5" w:rsidRPr="0062784E" w:rsidRDefault="002A1314" w:rsidP="00B137B5">
      <w:pPr>
        <w:spacing w:after="0" w:line="240" w:lineRule="auto"/>
        <w:jc w:val="center"/>
        <w:rPr>
          <w:rFonts w:cs="Calibri"/>
          <w:b/>
          <w:color w:val="000000"/>
          <w:sz w:val="24"/>
          <w:szCs w:val="24"/>
        </w:rPr>
      </w:pPr>
      <w:r w:rsidRPr="0062784E">
        <w:rPr>
          <w:rFonts w:cs="Calibri"/>
          <w:b/>
          <w:color w:val="000000"/>
          <w:sz w:val="24"/>
          <w:szCs w:val="24"/>
        </w:rPr>
        <w:t xml:space="preserve">Calculating Funding for Equitable Services where a Private School and LEA Participate in CEP </w:t>
      </w:r>
    </w:p>
    <w:p w:rsidR="00B137B5" w:rsidRDefault="00B137B5" w:rsidP="00B137B5">
      <w:pPr>
        <w:spacing w:after="0" w:line="240" w:lineRule="auto"/>
        <w:jc w:val="center"/>
        <w:rPr>
          <w:sz w:val="20"/>
          <w:szCs w:val="20"/>
        </w:rPr>
      </w:pPr>
      <w:r w:rsidRPr="0062784E">
        <w:rPr>
          <w:sz w:val="20"/>
          <w:szCs w:val="20"/>
        </w:rPr>
        <w:t xml:space="preserve"> (LEA has $661,200 to allocate to school attendance areas:  Column 9 + Column 10)</w:t>
      </w:r>
    </w:p>
    <w:p w:rsidR="00A37E61" w:rsidRPr="0062784E" w:rsidRDefault="00A37E61" w:rsidP="00B137B5">
      <w:pPr>
        <w:spacing w:after="0" w:line="240" w:lineRule="auto"/>
        <w:jc w:val="center"/>
        <w:rPr>
          <w:rFonts w:cs="Calibri"/>
          <w:b/>
          <w:color w:val="000000"/>
          <w:sz w:val="24"/>
          <w:szCs w:val="24"/>
        </w:rPr>
      </w:pPr>
    </w:p>
    <w:p w:rsidR="008D7579" w:rsidRPr="0062784E" w:rsidRDefault="008D7579" w:rsidP="008D7579">
      <w:pPr>
        <w:spacing w:after="0" w:line="240" w:lineRule="auto"/>
        <w:rPr>
          <w:sz w:val="16"/>
          <w:szCs w:val="16"/>
          <w:vertAlign w:val="superscript"/>
        </w:rPr>
      </w:pPr>
    </w:p>
    <w:p w:rsidR="008D7579" w:rsidRPr="0062784E" w:rsidRDefault="008D7579" w:rsidP="008D7579">
      <w:pPr>
        <w:spacing w:after="0" w:line="240" w:lineRule="auto"/>
        <w:rPr>
          <w:sz w:val="16"/>
          <w:szCs w:val="16"/>
          <w:vertAlign w:val="superscript"/>
        </w:rPr>
      </w:pPr>
    </w:p>
    <w:p w:rsidR="008D7579" w:rsidRPr="0062784E" w:rsidRDefault="008D7579" w:rsidP="008D7579">
      <w:pPr>
        <w:spacing w:after="0" w:line="240" w:lineRule="auto"/>
        <w:rPr>
          <w:sz w:val="16"/>
          <w:szCs w:val="16"/>
        </w:rPr>
      </w:pPr>
      <w:r w:rsidRPr="0062784E">
        <w:rPr>
          <w:sz w:val="16"/>
          <w:szCs w:val="16"/>
          <w:vertAlign w:val="superscript"/>
        </w:rPr>
        <w:t xml:space="preserve">1 </w:t>
      </w:r>
      <w:r w:rsidRPr="0062784E">
        <w:rPr>
          <w:sz w:val="16"/>
          <w:szCs w:val="16"/>
        </w:rPr>
        <w:t>NSLP count refers to identified students (IS) in a CEP school and school lunch eligible students (ES) in a non-CEP school.</w:t>
      </w:r>
    </w:p>
    <w:p w:rsidR="008D7579" w:rsidRPr="00043065" w:rsidRDefault="008D7579" w:rsidP="008D7579">
      <w:pPr>
        <w:spacing w:after="0" w:line="240" w:lineRule="auto"/>
        <w:rPr>
          <w:sz w:val="16"/>
          <w:szCs w:val="16"/>
        </w:rPr>
        <w:sectPr w:rsidR="008D7579" w:rsidRPr="00043065" w:rsidSect="00F93BBF">
          <w:pgSz w:w="15840" w:h="12240" w:orient="landscape"/>
          <w:pgMar w:top="720" w:right="720" w:bottom="720" w:left="720" w:header="720" w:footer="288" w:gutter="0"/>
          <w:cols w:space="720"/>
          <w:docGrid w:linePitch="360"/>
        </w:sectPr>
      </w:pPr>
      <w:r w:rsidRPr="0062784E">
        <w:rPr>
          <w:sz w:val="16"/>
          <w:szCs w:val="16"/>
          <w:vertAlign w:val="superscript"/>
        </w:rPr>
        <w:t xml:space="preserve">2 </w:t>
      </w:r>
      <w:r w:rsidRPr="0062784E">
        <w:rPr>
          <w:sz w:val="16"/>
          <w:szCs w:val="16"/>
        </w:rPr>
        <w:t>The figure in Column 5 may not exceed the public school’s enrollment (Column 3) and the figure in Column 8 may not exceed the number of private school students who reside in the attendance area (Column 6).</w:t>
      </w:r>
      <w:r w:rsidRPr="00043065">
        <w:rPr>
          <w:sz w:val="16"/>
          <w:szCs w:val="16"/>
        </w:rPr>
        <w:t xml:space="preserve"> </w:t>
      </w:r>
    </w:p>
    <w:p w:rsidR="008D7579" w:rsidRDefault="008D7579" w:rsidP="00A009BF">
      <w:pPr>
        <w:spacing w:after="0" w:line="240" w:lineRule="auto"/>
        <w:rPr>
          <w:sz w:val="24"/>
          <w:szCs w:val="24"/>
        </w:rPr>
      </w:pPr>
    </w:p>
    <w:p w:rsidR="009B2984" w:rsidRDefault="009B2984" w:rsidP="00A009BF">
      <w:pPr>
        <w:spacing w:after="0" w:line="240" w:lineRule="auto"/>
        <w:rPr>
          <w:sz w:val="24"/>
          <w:szCs w:val="24"/>
        </w:rPr>
      </w:pPr>
    </w:p>
    <w:p w:rsidR="00997A69" w:rsidRPr="00A0305C" w:rsidRDefault="00997A69" w:rsidP="00153779">
      <w:pPr>
        <w:pStyle w:val="Heading2"/>
        <w:numPr>
          <w:ilvl w:val="0"/>
          <w:numId w:val="37"/>
        </w:numPr>
        <w:ind w:left="360"/>
      </w:pPr>
      <w:bookmarkStart w:id="119" w:name="_Toc412104329"/>
      <w:bookmarkStart w:id="120" w:name="_Toc412104330"/>
      <w:bookmarkStart w:id="121" w:name="_Toc412104331"/>
      <w:bookmarkStart w:id="122" w:name="_Toc412104332"/>
      <w:bookmarkStart w:id="123" w:name="_Toc412104337"/>
      <w:bookmarkStart w:id="124" w:name="_Toc412104338"/>
      <w:bookmarkStart w:id="125" w:name="_Toc412104339"/>
      <w:bookmarkStart w:id="126" w:name="_Toc412104340"/>
      <w:bookmarkStart w:id="127" w:name="_Toc412104341"/>
      <w:bookmarkStart w:id="128" w:name="_Toc412104342"/>
      <w:bookmarkStart w:id="129" w:name="_Toc412104363"/>
      <w:bookmarkStart w:id="130" w:name="_Toc412104380"/>
      <w:bookmarkStart w:id="131" w:name="_Toc412104397"/>
      <w:bookmarkStart w:id="132" w:name="_Toc412104414"/>
      <w:bookmarkStart w:id="133" w:name="_Toc412104415"/>
      <w:bookmarkStart w:id="134" w:name="_Toc412104416"/>
      <w:bookmarkStart w:id="135" w:name="_Toc412104432"/>
      <w:bookmarkStart w:id="136" w:name="_Toc412104449"/>
      <w:bookmarkStart w:id="137" w:name="_Toc412104471"/>
      <w:bookmarkStart w:id="138" w:name="_Toc412104493"/>
      <w:bookmarkStart w:id="139" w:name="_Toc412104516"/>
      <w:bookmarkStart w:id="140" w:name="_Toc412104517"/>
      <w:bookmarkStart w:id="141" w:name="_Toc412104518"/>
      <w:bookmarkStart w:id="142" w:name="_Toc412104519"/>
      <w:bookmarkStart w:id="143" w:name="_Toc412104520"/>
      <w:bookmarkStart w:id="144" w:name="_Toc412104521"/>
      <w:bookmarkStart w:id="145" w:name="_Toc412104522"/>
      <w:bookmarkStart w:id="146" w:name="_Toc412104530"/>
      <w:bookmarkStart w:id="147" w:name="_Toc412104540"/>
      <w:bookmarkStart w:id="148" w:name="_Toc412104552"/>
      <w:bookmarkStart w:id="149" w:name="_Toc412104570"/>
      <w:bookmarkStart w:id="150" w:name="_Toc412104588"/>
      <w:bookmarkStart w:id="151" w:name="_Toc412104606"/>
      <w:bookmarkStart w:id="152" w:name="_Toc412104607"/>
      <w:bookmarkStart w:id="153" w:name="_Toc412104608"/>
      <w:bookmarkStart w:id="154" w:name="_Toc412104609"/>
      <w:bookmarkStart w:id="155" w:name="_Toc412104610"/>
      <w:bookmarkStart w:id="156" w:name="_Toc412104611"/>
      <w:bookmarkStart w:id="157" w:name="_Toc412104612"/>
      <w:bookmarkStart w:id="158" w:name="_Toc412104613"/>
      <w:bookmarkStart w:id="159" w:name="_Toc412104614"/>
      <w:bookmarkStart w:id="160" w:name="_Toc412104615"/>
      <w:bookmarkStart w:id="161" w:name="_Toc412104616"/>
      <w:bookmarkStart w:id="162" w:name="_Toc412104617"/>
      <w:bookmarkStart w:id="163" w:name="_Toc412104618"/>
      <w:bookmarkStart w:id="164" w:name="_Toc412104619"/>
      <w:bookmarkStart w:id="165" w:name="_Toc412104620"/>
      <w:bookmarkStart w:id="166" w:name="_Toc412104621"/>
      <w:bookmarkStart w:id="167" w:name="_Toc412104622"/>
      <w:bookmarkStart w:id="168" w:name="_Toc412104623"/>
      <w:bookmarkStart w:id="169" w:name="_Toc412104624"/>
      <w:bookmarkStart w:id="170" w:name="_Toc412104625"/>
      <w:bookmarkStart w:id="171" w:name="_Toc412104626"/>
      <w:bookmarkStart w:id="172" w:name="_Toc412104627"/>
      <w:bookmarkStart w:id="173" w:name="_Toc412104628"/>
      <w:bookmarkStart w:id="174" w:name="_Toc412104629"/>
      <w:bookmarkStart w:id="175" w:name="_Toc412104630"/>
      <w:bookmarkStart w:id="176" w:name="_Toc412104631"/>
      <w:bookmarkStart w:id="177" w:name="_Toc412104632"/>
      <w:bookmarkStart w:id="178" w:name="_Toc412104633"/>
      <w:bookmarkStart w:id="179" w:name="_Toc412104634"/>
      <w:bookmarkStart w:id="180" w:name="_Toc412104635"/>
      <w:bookmarkStart w:id="181" w:name="_Toc412104636"/>
      <w:bookmarkStart w:id="182" w:name="_Toc412104637"/>
      <w:bookmarkStart w:id="183" w:name="_Toc412104638"/>
      <w:bookmarkStart w:id="184" w:name="_Toc412104639"/>
      <w:bookmarkStart w:id="185" w:name="_Toc412104640"/>
      <w:bookmarkStart w:id="186" w:name="_Toc412104641"/>
      <w:bookmarkStart w:id="187" w:name="_Toc412104642"/>
      <w:bookmarkStart w:id="188" w:name="_Toc412104643"/>
      <w:bookmarkStart w:id="189" w:name="_Toc412104644"/>
      <w:bookmarkStart w:id="190" w:name="_Toc412104646"/>
      <w:bookmarkStart w:id="191" w:name="_Toc412104647"/>
      <w:bookmarkStart w:id="192" w:name="_Toc412104648"/>
      <w:bookmarkStart w:id="193" w:name="_Toc412104649"/>
      <w:bookmarkStart w:id="194" w:name="_Toc412104650"/>
      <w:bookmarkStart w:id="195" w:name="_Toc412104657"/>
      <w:bookmarkStart w:id="196" w:name="_Toc412104658"/>
      <w:bookmarkStart w:id="197" w:name="_Toc412104659"/>
      <w:bookmarkStart w:id="198" w:name="_Toc412104660"/>
      <w:bookmarkStart w:id="199" w:name="_Toc412104661"/>
      <w:bookmarkStart w:id="200" w:name="_Toc412104662"/>
      <w:bookmarkStart w:id="201" w:name="_Toc412104673"/>
      <w:bookmarkStart w:id="202" w:name="_Toc412104687"/>
      <w:bookmarkStart w:id="203" w:name="_Toc412104707"/>
      <w:bookmarkStart w:id="204" w:name="_Toc412104727"/>
      <w:bookmarkStart w:id="205" w:name="_Toc412104747"/>
      <w:bookmarkStart w:id="206" w:name="_Toc412104748"/>
      <w:bookmarkStart w:id="207" w:name="_Toc412104749"/>
      <w:bookmarkStart w:id="208" w:name="_Toc412104750"/>
      <w:bookmarkStart w:id="209" w:name="_Toc412104751"/>
      <w:bookmarkStart w:id="210" w:name="_Toc412104752"/>
      <w:bookmarkStart w:id="211" w:name="_Toc412104753"/>
      <w:bookmarkStart w:id="212" w:name="_Toc412104754"/>
      <w:bookmarkStart w:id="213" w:name="_Toc412104755"/>
      <w:bookmarkStart w:id="214" w:name="_Toc412104756"/>
      <w:bookmarkStart w:id="215" w:name="_Toc412104757"/>
      <w:bookmarkStart w:id="216" w:name="_Toc412104758"/>
      <w:bookmarkStart w:id="217" w:name="_Toc412104759"/>
      <w:bookmarkStart w:id="218" w:name="_Toc412104760"/>
      <w:bookmarkStart w:id="219" w:name="_Toc412104761"/>
      <w:bookmarkStart w:id="220" w:name="_Toc412104762"/>
      <w:bookmarkStart w:id="221" w:name="_Toc412104763"/>
      <w:bookmarkStart w:id="222" w:name="_Toc412104764"/>
      <w:bookmarkStart w:id="223" w:name="_Toc412104765"/>
      <w:bookmarkStart w:id="224" w:name="_Toc412104766"/>
      <w:bookmarkStart w:id="225" w:name="_Toc412104767"/>
      <w:bookmarkStart w:id="226" w:name="_Toc412104768"/>
      <w:bookmarkStart w:id="227" w:name="_Toc412104769"/>
      <w:bookmarkStart w:id="228" w:name="_Toc412104770"/>
      <w:bookmarkStart w:id="229" w:name="_Toc412104771"/>
      <w:bookmarkStart w:id="230" w:name="_Toc412104772"/>
      <w:bookmarkStart w:id="231" w:name="_Toc412104773"/>
      <w:bookmarkStart w:id="232" w:name="_Toc412104774"/>
      <w:bookmarkStart w:id="233" w:name="_Toc412104775"/>
      <w:bookmarkStart w:id="234" w:name="_Toc412104776"/>
      <w:bookmarkStart w:id="235" w:name="_Toc412104777"/>
      <w:bookmarkStart w:id="236" w:name="_Toc412104778"/>
      <w:bookmarkStart w:id="237" w:name="_Toc412104779"/>
      <w:bookmarkStart w:id="238" w:name="_Toc412104780"/>
      <w:bookmarkStart w:id="239" w:name="_Toc412104781"/>
      <w:bookmarkStart w:id="240" w:name="_Toc412104782"/>
      <w:bookmarkStart w:id="241" w:name="_Toc412104783"/>
      <w:bookmarkStart w:id="242" w:name="_Toc412104785"/>
      <w:bookmarkStart w:id="243" w:name="_Toc412104786"/>
      <w:bookmarkStart w:id="244" w:name="_Toc412104787"/>
      <w:bookmarkStart w:id="245" w:name="_Toc412104788"/>
      <w:bookmarkStart w:id="246" w:name="_Toc41435506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t xml:space="preserve">After consultation with private school officials, if an LEA chooses to use proportionality to calculate the amount generated for equitable services and a </w:t>
      </w:r>
      <w:r w:rsidR="003D7973">
        <w:t>CEP</w:t>
      </w:r>
      <w:r>
        <w:t xml:space="preserve"> public school’s poverty percentage for within-district Title I allocations is 100 percent, will every student in the private school that resides within the school’s attendance area generate funds for equitable services</w:t>
      </w:r>
      <w:r w:rsidRPr="00A0305C">
        <w:t>?</w:t>
      </w:r>
      <w:bookmarkEnd w:id="115"/>
      <w:bookmarkEnd w:id="246"/>
    </w:p>
    <w:p w:rsidR="00997A69" w:rsidRPr="00A0305C" w:rsidRDefault="00997A69" w:rsidP="00AB0BCF">
      <w:pPr>
        <w:spacing w:after="0" w:line="240" w:lineRule="auto"/>
        <w:rPr>
          <w:sz w:val="24"/>
          <w:szCs w:val="24"/>
        </w:rPr>
      </w:pPr>
    </w:p>
    <w:p w:rsidR="00997A69" w:rsidRDefault="00997A69" w:rsidP="00AB0BCF">
      <w:pPr>
        <w:spacing w:after="0" w:line="240" w:lineRule="auto"/>
        <w:rPr>
          <w:sz w:val="24"/>
          <w:szCs w:val="24"/>
        </w:rPr>
      </w:pPr>
      <w:r>
        <w:rPr>
          <w:sz w:val="24"/>
          <w:szCs w:val="24"/>
        </w:rPr>
        <w:t xml:space="preserve">Yes.  </w:t>
      </w:r>
    </w:p>
    <w:p w:rsidR="00997A69" w:rsidRDefault="00997A69" w:rsidP="00AB0BCF">
      <w:pPr>
        <w:spacing w:after="0" w:line="240" w:lineRule="auto"/>
        <w:rPr>
          <w:sz w:val="24"/>
          <w:szCs w:val="24"/>
        </w:rPr>
      </w:pPr>
    </w:p>
    <w:p w:rsidR="00997A69" w:rsidRPr="003646F8" w:rsidRDefault="00997A69" w:rsidP="003646F8">
      <w:pPr>
        <w:pStyle w:val="Heading1"/>
        <w:numPr>
          <w:ilvl w:val="0"/>
          <w:numId w:val="0"/>
        </w:numPr>
        <w:rPr>
          <w:b w:val="0"/>
          <w:i/>
          <w:u w:val="single"/>
        </w:rPr>
      </w:pPr>
      <w:bookmarkStart w:id="247" w:name="_Toc414355070"/>
      <w:r w:rsidRPr="003770B8">
        <w:rPr>
          <w:i/>
          <w:u w:val="single"/>
        </w:rPr>
        <w:t>Within-</w:t>
      </w:r>
      <w:r w:rsidRPr="003646F8">
        <w:rPr>
          <w:i/>
          <w:u w:val="single"/>
        </w:rPr>
        <w:t>State</w:t>
      </w:r>
      <w:r w:rsidRPr="003770B8">
        <w:rPr>
          <w:i/>
          <w:u w:val="single"/>
        </w:rPr>
        <w:t xml:space="preserve"> Allocations</w:t>
      </w:r>
      <w:bookmarkEnd w:id="247"/>
    </w:p>
    <w:p w:rsidR="00997A69" w:rsidRDefault="00997A69" w:rsidP="00AB0BCF">
      <w:pPr>
        <w:spacing w:after="0" w:line="240" w:lineRule="auto"/>
        <w:rPr>
          <w:sz w:val="24"/>
          <w:szCs w:val="24"/>
        </w:rPr>
      </w:pPr>
    </w:p>
    <w:p w:rsidR="00997A69" w:rsidRPr="00A0305C" w:rsidRDefault="00997A69" w:rsidP="00153779">
      <w:pPr>
        <w:pStyle w:val="Heading2"/>
        <w:numPr>
          <w:ilvl w:val="0"/>
          <w:numId w:val="37"/>
        </w:numPr>
        <w:ind w:left="360"/>
      </w:pPr>
      <w:bookmarkStart w:id="248" w:name="_Toc414355071"/>
      <w:r>
        <w:t xml:space="preserve">When might an SEA need to use </w:t>
      </w:r>
      <w:r w:rsidR="003D7973">
        <w:t>CEP</w:t>
      </w:r>
      <w:r>
        <w:t xml:space="preserve"> data to help calculate final LEA Title I allocations</w:t>
      </w:r>
      <w:r w:rsidRPr="00043065">
        <w:t>?</w:t>
      </w:r>
      <w:r w:rsidR="00D1227F">
        <w:t xml:space="preserve"> (</w:t>
      </w:r>
      <w:r w:rsidR="00D1227F">
        <w:rPr>
          <w:i/>
        </w:rPr>
        <w:t xml:space="preserve">Modified </w:t>
      </w:r>
      <w:r w:rsidR="00376636">
        <w:rPr>
          <w:i/>
        </w:rPr>
        <w:t>March</w:t>
      </w:r>
      <w:r w:rsidR="00615A07">
        <w:rPr>
          <w:i/>
        </w:rPr>
        <w:t xml:space="preserve"> 2015</w:t>
      </w:r>
      <w:r w:rsidR="00D1227F">
        <w:rPr>
          <w:i/>
        </w:rPr>
        <w:t>)</w:t>
      </w:r>
      <w:bookmarkEnd w:id="248"/>
    </w:p>
    <w:p w:rsidR="00997A69" w:rsidRPr="00A0305C" w:rsidRDefault="00997A69" w:rsidP="003770B8">
      <w:pPr>
        <w:spacing w:after="0" w:line="240" w:lineRule="auto"/>
        <w:rPr>
          <w:sz w:val="24"/>
          <w:szCs w:val="24"/>
        </w:rPr>
      </w:pPr>
    </w:p>
    <w:p w:rsidR="0054707A" w:rsidRPr="00BB26C7" w:rsidRDefault="0054707A" w:rsidP="0054707A">
      <w:pPr>
        <w:spacing w:after="0" w:line="240" w:lineRule="auto"/>
        <w:rPr>
          <w:sz w:val="24"/>
          <w:szCs w:val="24"/>
        </w:rPr>
      </w:pPr>
      <w:r w:rsidRPr="00BB26C7">
        <w:rPr>
          <w:sz w:val="24"/>
          <w:szCs w:val="24"/>
        </w:rPr>
        <w:t>ED calculates Title I allocations using a list of LEAs provided by the Census Bureau, which includes poverty and population data for the LEAs.  ED determines the eligibility of each LEA for Basic, Concentration, Targeted, and Education Finance Incentive Grants and calculates allocations (ED-determined LEA allocations) using the number of “formula children” ages 5 through 17 years counted under section 1124(c) of the ESEA.</w:t>
      </w:r>
      <w:r>
        <w:rPr>
          <w:rStyle w:val="FootnoteReference"/>
        </w:rPr>
        <w:footnoteReference w:id="11"/>
      </w:r>
      <w:r w:rsidRPr="00BB26C7">
        <w:rPr>
          <w:sz w:val="24"/>
          <w:szCs w:val="24"/>
        </w:rPr>
        <w:t xml:space="preserve">  </w:t>
      </w:r>
    </w:p>
    <w:p w:rsidR="0054707A" w:rsidRPr="00BB26C7" w:rsidRDefault="0054707A" w:rsidP="0054707A">
      <w:pPr>
        <w:spacing w:after="0" w:line="240" w:lineRule="auto"/>
        <w:rPr>
          <w:sz w:val="24"/>
          <w:szCs w:val="24"/>
        </w:rPr>
      </w:pPr>
    </w:p>
    <w:p w:rsidR="00997A69" w:rsidRPr="00BB26C7" w:rsidRDefault="0054707A" w:rsidP="0054707A">
      <w:pPr>
        <w:spacing w:after="0" w:line="240" w:lineRule="auto"/>
        <w:rPr>
          <w:sz w:val="24"/>
          <w:szCs w:val="24"/>
        </w:rPr>
      </w:pPr>
      <w:r>
        <w:rPr>
          <w:sz w:val="24"/>
          <w:szCs w:val="24"/>
        </w:rPr>
        <w:t xml:space="preserve">There are likely two situations in which an SEA </w:t>
      </w:r>
      <w:r w:rsidRPr="00B170FF">
        <w:rPr>
          <w:sz w:val="24"/>
          <w:szCs w:val="24"/>
        </w:rPr>
        <w:t xml:space="preserve">might need to use </w:t>
      </w:r>
      <w:r>
        <w:rPr>
          <w:sz w:val="24"/>
          <w:szCs w:val="24"/>
        </w:rPr>
        <w:t>CEP</w:t>
      </w:r>
      <w:r w:rsidRPr="00B170FF">
        <w:rPr>
          <w:sz w:val="24"/>
          <w:szCs w:val="24"/>
        </w:rPr>
        <w:t xml:space="preserve"> data to help calculate final LEA Title I allocations</w:t>
      </w:r>
      <w:r>
        <w:rPr>
          <w:sz w:val="24"/>
          <w:szCs w:val="24"/>
        </w:rPr>
        <w:t xml:space="preserve">.  First, </w:t>
      </w:r>
      <w:r w:rsidRPr="00BB26C7">
        <w:rPr>
          <w:sz w:val="24"/>
          <w:szCs w:val="24"/>
        </w:rPr>
        <w:t>ED’s list of LEAs</w:t>
      </w:r>
      <w:r>
        <w:rPr>
          <w:sz w:val="24"/>
          <w:szCs w:val="24"/>
        </w:rPr>
        <w:t xml:space="preserve"> </w:t>
      </w:r>
      <w:r w:rsidRPr="00BB26C7">
        <w:rPr>
          <w:sz w:val="24"/>
          <w:szCs w:val="24"/>
        </w:rPr>
        <w:t xml:space="preserve">does not match the current universe of LEAs for many States.  Consequently, </w:t>
      </w:r>
      <w:r>
        <w:rPr>
          <w:sz w:val="24"/>
          <w:szCs w:val="24"/>
        </w:rPr>
        <w:t>an SEA</w:t>
      </w:r>
      <w:r w:rsidRPr="00BB26C7">
        <w:rPr>
          <w:sz w:val="24"/>
          <w:szCs w:val="24"/>
        </w:rPr>
        <w:t xml:space="preserve"> must adjust ED’s Title I allocations to account for, among other things, LEA boundary changes and eligible LEAs, such as charter schools, that are not included on ED’s list of LEAs provided by the Census Bureau</w:t>
      </w:r>
      <w:r>
        <w:rPr>
          <w:sz w:val="24"/>
          <w:szCs w:val="24"/>
        </w:rPr>
        <w:t xml:space="preserve"> (special LEAs)</w:t>
      </w:r>
      <w:r w:rsidRPr="00BB26C7">
        <w:rPr>
          <w:sz w:val="24"/>
          <w:szCs w:val="24"/>
        </w:rPr>
        <w:t>.  Specific ESEA regulations (34 C</w:t>
      </w:r>
      <w:r>
        <w:rPr>
          <w:sz w:val="24"/>
          <w:szCs w:val="24"/>
        </w:rPr>
        <w:t>.</w:t>
      </w:r>
      <w:r w:rsidRPr="00BB26C7">
        <w:rPr>
          <w:sz w:val="24"/>
          <w:szCs w:val="24"/>
        </w:rPr>
        <w:t>F</w:t>
      </w:r>
      <w:r>
        <w:rPr>
          <w:sz w:val="24"/>
          <w:szCs w:val="24"/>
        </w:rPr>
        <w:t>.</w:t>
      </w:r>
      <w:r w:rsidRPr="00BB26C7">
        <w:rPr>
          <w:sz w:val="24"/>
          <w:szCs w:val="24"/>
        </w:rPr>
        <w:t>R</w:t>
      </w:r>
      <w:r>
        <w:rPr>
          <w:sz w:val="24"/>
          <w:szCs w:val="24"/>
        </w:rPr>
        <w:t>.</w:t>
      </w:r>
      <w:r w:rsidRPr="00BB26C7">
        <w:rPr>
          <w:sz w:val="24"/>
          <w:szCs w:val="24"/>
        </w:rPr>
        <w:t xml:space="preserve"> §§ 200.70 through 200.75 and §</w:t>
      </w:r>
      <w:r>
        <w:rPr>
          <w:sz w:val="24"/>
          <w:szCs w:val="24"/>
        </w:rPr>
        <w:t xml:space="preserve"> </w:t>
      </w:r>
      <w:r w:rsidRPr="00BB26C7">
        <w:rPr>
          <w:sz w:val="24"/>
          <w:szCs w:val="24"/>
        </w:rPr>
        <w:t>200.100) address the basic rules that an SEA must follow in adjusting ED-determined LEA allocations.  In addition, ED has issued guidance</w:t>
      </w:r>
      <w:r>
        <w:rPr>
          <w:sz w:val="24"/>
          <w:szCs w:val="24"/>
        </w:rPr>
        <w:t xml:space="preserve"> (</w:t>
      </w:r>
      <w:r w:rsidRPr="003D2494">
        <w:rPr>
          <w:i/>
          <w:sz w:val="24"/>
          <w:szCs w:val="24"/>
        </w:rPr>
        <w:t xml:space="preserve">State Educational Agency Procedures for </w:t>
      </w:r>
      <w:r w:rsidRPr="009F3334">
        <w:rPr>
          <w:i/>
          <w:sz w:val="24"/>
          <w:szCs w:val="24"/>
        </w:rPr>
        <w:t xml:space="preserve">Adjusting </w:t>
      </w:r>
      <w:r w:rsidRPr="003D2494">
        <w:rPr>
          <w:i/>
          <w:sz w:val="24"/>
          <w:szCs w:val="24"/>
        </w:rPr>
        <w:t xml:space="preserve">Basic, Concentration, Targeted, and Education Finance Incentive Grant </w:t>
      </w:r>
      <w:r w:rsidRPr="009F3334">
        <w:rPr>
          <w:i/>
          <w:sz w:val="24"/>
          <w:szCs w:val="24"/>
        </w:rPr>
        <w:t>Allocations</w:t>
      </w:r>
      <w:r>
        <w:rPr>
          <w:sz w:val="24"/>
          <w:szCs w:val="24"/>
        </w:rPr>
        <w:t xml:space="preserve"> </w:t>
      </w:r>
      <w:r w:rsidRPr="003D2494">
        <w:rPr>
          <w:i/>
          <w:sz w:val="24"/>
          <w:szCs w:val="24"/>
        </w:rPr>
        <w:t>Determine</w:t>
      </w:r>
      <w:r>
        <w:rPr>
          <w:i/>
          <w:sz w:val="24"/>
          <w:szCs w:val="24"/>
        </w:rPr>
        <w:t>d</w:t>
      </w:r>
      <w:r w:rsidRPr="003D2494">
        <w:rPr>
          <w:i/>
          <w:sz w:val="24"/>
          <w:szCs w:val="24"/>
        </w:rPr>
        <w:t xml:space="preserve"> by the U.S. Department of Education</w:t>
      </w:r>
      <w:r>
        <w:rPr>
          <w:i/>
          <w:sz w:val="24"/>
          <w:szCs w:val="24"/>
        </w:rPr>
        <w:t xml:space="preserve"> </w:t>
      </w:r>
      <w:r>
        <w:rPr>
          <w:sz w:val="24"/>
          <w:szCs w:val="24"/>
        </w:rPr>
        <w:t>(May 23, 2003) (Adjusting Allocations Guidance))</w:t>
      </w:r>
      <w:r w:rsidRPr="00BB26C7">
        <w:rPr>
          <w:sz w:val="24"/>
          <w:szCs w:val="24"/>
        </w:rPr>
        <w:t xml:space="preserve"> that elaborates on the regulations by providing examples of how </w:t>
      </w:r>
      <w:r>
        <w:rPr>
          <w:sz w:val="24"/>
          <w:szCs w:val="24"/>
        </w:rPr>
        <w:t xml:space="preserve">an </w:t>
      </w:r>
      <w:r w:rsidRPr="00BB26C7">
        <w:rPr>
          <w:sz w:val="24"/>
          <w:szCs w:val="24"/>
        </w:rPr>
        <w:t>SEA adjust</w:t>
      </w:r>
      <w:r>
        <w:rPr>
          <w:sz w:val="24"/>
          <w:szCs w:val="24"/>
        </w:rPr>
        <w:t>s</w:t>
      </w:r>
      <w:r w:rsidRPr="00BB26C7">
        <w:rPr>
          <w:sz w:val="24"/>
          <w:szCs w:val="24"/>
        </w:rPr>
        <w:t xml:space="preserve"> </w:t>
      </w:r>
      <w:r>
        <w:rPr>
          <w:sz w:val="24"/>
          <w:szCs w:val="24"/>
        </w:rPr>
        <w:t>its</w:t>
      </w:r>
      <w:r w:rsidRPr="00BB26C7">
        <w:rPr>
          <w:sz w:val="24"/>
          <w:szCs w:val="24"/>
        </w:rPr>
        <w:t xml:space="preserve"> Title I allocations to account for the existence of eligible LEAs that were not included in the ED-determined LEA allocations [available at: </w:t>
      </w:r>
      <w:r w:rsidRPr="005057AF">
        <w:rPr>
          <w:sz w:val="24"/>
          <w:szCs w:val="24"/>
          <w:u w:val="single"/>
        </w:rPr>
        <w:t>www2.ed.gov/programs/titleiparta/seaguidanceforadjustingallocations.doc</w:t>
      </w:r>
      <w:r w:rsidRPr="00BB26C7">
        <w:rPr>
          <w:sz w:val="24"/>
          <w:szCs w:val="24"/>
        </w:rPr>
        <w:t>].</w:t>
      </w:r>
    </w:p>
    <w:p w:rsidR="00997A69" w:rsidRPr="00BB26C7" w:rsidRDefault="00997A69" w:rsidP="003770B8">
      <w:pPr>
        <w:spacing w:after="0" w:line="240" w:lineRule="auto"/>
        <w:rPr>
          <w:sz w:val="24"/>
          <w:szCs w:val="24"/>
        </w:rPr>
      </w:pPr>
    </w:p>
    <w:p w:rsidR="00997A69" w:rsidRDefault="00997A69" w:rsidP="003770B8">
      <w:pPr>
        <w:spacing w:after="0" w:line="240" w:lineRule="auto"/>
        <w:rPr>
          <w:sz w:val="24"/>
          <w:szCs w:val="24"/>
        </w:rPr>
      </w:pPr>
      <w:r w:rsidRPr="00BB26C7">
        <w:rPr>
          <w:sz w:val="24"/>
          <w:szCs w:val="24"/>
        </w:rPr>
        <w:t>In the case of an LEA that is not on the Census list of LEAs</w:t>
      </w:r>
      <w:r>
        <w:rPr>
          <w:sz w:val="24"/>
          <w:szCs w:val="24"/>
        </w:rPr>
        <w:t>,</w:t>
      </w:r>
      <w:r w:rsidRPr="00BB26C7">
        <w:rPr>
          <w:sz w:val="24"/>
          <w:szCs w:val="24"/>
        </w:rPr>
        <w:t xml:space="preserve"> an SEA must determine the number of formula children and children ages 5</w:t>
      </w:r>
      <w:r>
        <w:rPr>
          <w:sz w:val="24"/>
          <w:szCs w:val="24"/>
        </w:rPr>
        <w:t xml:space="preserve"> through </w:t>
      </w:r>
      <w:r w:rsidRPr="00BB26C7">
        <w:rPr>
          <w:sz w:val="24"/>
          <w:szCs w:val="24"/>
        </w:rPr>
        <w:t xml:space="preserve">17 for each special LEA and subtract these counts from each sending LEA (i.e., the LEA in which the student who attends a special LEA lives).  As Census poverty data are not available for special LEAs, an SEA must derive an estimate of Census poverty children for each special LEA by using alternative poverty data that </w:t>
      </w:r>
      <w:r w:rsidR="00532577">
        <w:rPr>
          <w:sz w:val="24"/>
          <w:szCs w:val="24"/>
        </w:rPr>
        <w:t>are</w:t>
      </w:r>
      <w:r w:rsidRPr="00BB26C7">
        <w:rPr>
          <w:sz w:val="24"/>
          <w:szCs w:val="24"/>
        </w:rPr>
        <w:t xml:space="preserve"> available for both the sending and special LEAs to determine the proportion of poverty in each LEA.  </w:t>
      </w:r>
    </w:p>
    <w:p w:rsidR="00997A69" w:rsidRDefault="00997A69" w:rsidP="003770B8">
      <w:pPr>
        <w:spacing w:after="0" w:line="240" w:lineRule="auto"/>
        <w:rPr>
          <w:sz w:val="24"/>
          <w:szCs w:val="24"/>
        </w:rPr>
      </w:pPr>
    </w:p>
    <w:p w:rsidR="00997A69" w:rsidRDefault="00997A69" w:rsidP="003770B8">
      <w:pPr>
        <w:spacing w:after="0" w:line="240" w:lineRule="auto"/>
        <w:rPr>
          <w:sz w:val="24"/>
          <w:szCs w:val="24"/>
        </w:rPr>
      </w:pPr>
      <w:r>
        <w:rPr>
          <w:sz w:val="24"/>
          <w:szCs w:val="24"/>
        </w:rPr>
        <w:t>In many cases</w:t>
      </w:r>
      <w:r w:rsidR="00713D1C">
        <w:rPr>
          <w:sz w:val="24"/>
          <w:szCs w:val="24"/>
        </w:rPr>
        <w:t>,</w:t>
      </w:r>
      <w:r>
        <w:rPr>
          <w:sz w:val="24"/>
          <w:szCs w:val="24"/>
        </w:rPr>
        <w:t xml:space="preserve"> NSLP data may be the most commonly available alternate poverty data for this purpose.  If a special LEA participates in </w:t>
      </w:r>
      <w:r w:rsidR="003D7973">
        <w:rPr>
          <w:sz w:val="24"/>
          <w:szCs w:val="24"/>
        </w:rPr>
        <w:t>CEP</w:t>
      </w:r>
      <w:r>
        <w:rPr>
          <w:sz w:val="24"/>
          <w:szCs w:val="24"/>
        </w:rPr>
        <w:t xml:space="preserve"> and an SEA derives the LEA’s Census poverty count by using NSLP data as alternate poverty data, then the SEA would by necessity be using </w:t>
      </w:r>
      <w:r w:rsidR="003D7973">
        <w:rPr>
          <w:sz w:val="24"/>
          <w:szCs w:val="24"/>
        </w:rPr>
        <w:t>CEP</w:t>
      </w:r>
      <w:r>
        <w:rPr>
          <w:sz w:val="24"/>
          <w:szCs w:val="24"/>
        </w:rPr>
        <w:t xml:space="preserve"> data.</w:t>
      </w:r>
      <w:r w:rsidR="00532577">
        <w:rPr>
          <w:sz w:val="24"/>
          <w:szCs w:val="24"/>
        </w:rPr>
        <w:t xml:space="preserve">  In doing so, the SEA must ensure that the count of children identified through direct certification that is accessed for this purpose includes only children ages 5 to 17.</w:t>
      </w:r>
    </w:p>
    <w:p w:rsidR="00B170FF" w:rsidRDefault="00B170FF" w:rsidP="003770B8">
      <w:pPr>
        <w:spacing w:after="0" w:line="240" w:lineRule="auto"/>
        <w:rPr>
          <w:sz w:val="24"/>
          <w:szCs w:val="24"/>
        </w:rPr>
      </w:pPr>
    </w:p>
    <w:p w:rsidR="00A97BC6" w:rsidRDefault="00A97BC6" w:rsidP="00A97BC6">
      <w:pPr>
        <w:spacing w:after="0" w:line="240" w:lineRule="auto"/>
        <w:rPr>
          <w:sz w:val="24"/>
          <w:szCs w:val="24"/>
        </w:rPr>
      </w:pPr>
      <w:r>
        <w:rPr>
          <w:sz w:val="24"/>
          <w:szCs w:val="24"/>
        </w:rPr>
        <w:t>Second, under the ESEA,</w:t>
      </w:r>
      <w:r w:rsidRPr="00E26F25">
        <w:rPr>
          <w:sz w:val="24"/>
          <w:szCs w:val="24"/>
        </w:rPr>
        <w:t xml:space="preserve"> an SEA </w:t>
      </w:r>
      <w:r>
        <w:rPr>
          <w:sz w:val="24"/>
          <w:szCs w:val="24"/>
        </w:rPr>
        <w:t>may</w:t>
      </w:r>
      <w:r w:rsidRPr="00E26F25">
        <w:rPr>
          <w:sz w:val="24"/>
          <w:szCs w:val="24"/>
        </w:rPr>
        <w:t xml:space="preserve"> combine the </w:t>
      </w:r>
      <w:r>
        <w:rPr>
          <w:sz w:val="24"/>
          <w:szCs w:val="24"/>
        </w:rPr>
        <w:t xml:space="preserve">Title I </w:t>
      </w:r>
      <w:r w:rsidRPr="00E26F25">
        <w:rPr>
          <w:sz w:val="24"/>
          <w:szCs w:val="24"/>
        </w:rPr>
        <w:t xml:space="preserve">allocations </w:t>
      </w:r>
      <w:r>
        <w:rPr>
          <w:sz w:val="24"/>
          <w:szCs w:val="24"/>
        </w:rPr>
        <w:t>from</w:t>
      </w:r>
      <w:r w:rsidRPr="00E26F25">
        <w:rPr>
          <w:sz w:val="24"/>
          <w:szCs w:val="24"/>
        </w:rPr>
        <w:t xml:space="preserve"> </w:t>
      </w:r>
      <w:r>
        <w:rPr>
          <w:sz w:val="24"/>
          <w:szCs w:val="24"/>
        </w:rPr>
        <w:t>the four Title I</w:t>
      </w:r>
      <w:r w:rsidRPr="00E26F25">
        <w:rPr>
          <w:sz w:val="24"/>
          <w:szCs w:val="24"/>
        </w:rPr>
        <w:t xml:space="preserve"> formulas for LEAs with </w:t>
      </w:r>
      <w:r>
        <w:rPr>
          <w:sz w:val="24"/>
          <w:szCs w:val="24"/>
        </w:rPr>
        <w:t>less</w:t>
      </w:r>
      <w:r w:rsidRPr="00E26F25">
        <w:rPr>
          <w:sz w:val="24"/>
          <w:szCs w:val="24"/>
        </w:rPr>
        <w:t xml:space="preserve"> than</w:t>
      </w:r>
      <w:r>
        <w:rPr>
          <w:sz w:val="24"/>
          <w:szCs w:val="24"/>
        </w:rPr>
        <w:t xml:space="preserve"> 20,000 total residents ("small</w:t>
      </w:r>
      <w:r w:rsidRPr="00E26F25">
        <w:rPr>
          <w:sz w:val="24"/>
          <w:szCs w:val="24"/>
        </w:rPr>
        <w:t xml:space="preserve"> LEAs</w:t>
      </w:r>
      <w:r>
        <w:rPr>
          <w:sz w:val="24"/>
          <w:szCs w:val="24"/>
        </w:rPr>
        <w:t>”</w:t>
      </w:r>
      <w:r w:rsidRPr="00E26F25">
        <w:rPr>
          <w:sz w:val="24"/>
          <w:szCs w:val="24"/>
        </w:rPr>
        <w:t xml:space="preserve">) and use alternative </w:t>
      </w:r>
      <w:r>
        <w:rPr>
          <w:sz w:val="24"/>
          <w:szCs w:val="24"/>
        </w:rPr>
        <w:t>poverty data</w:t>
      </w:r>
      <w:r w:rsidRPr="00E26F25">
        <w:rPr>
          <w:sz w:val="24"/>
          <w:szCs w:val="24"/>
        </w:rPr>
        <w:t xml:space="preserve"> approved by ED to</w:t>
      </w:r>
      <w:r>
        <w:rPr>
          <w:sz w:val="24"/>
          <w:szCs w:val="24"/>
        </w:rPr>
        <w:t xml:space="preserve">: </w:t>
      </w:r>
      <w:r w:rsidRPr="00E26F25">
        <w:rPr>
          <w:sz w:val="24"/>
          <w:szCs w:val="24"/>
        </w:rPr>
        <w:t xml:space="preserve"> </w:t>
      </w:r>
      <w:r>
        <w:rPr>
          <w:sz w:val="24"/>
          <w:szCs w:val="24"/>
        </w:rPr>
        <w:t xml:space="preserve">(1) </w:t>
      </w:r>
      <w:r w:rsidRPr="00E26F25">
        <w:rPr>
          <w:sz w:val="24"/>
          <w:szCs w:val="24"/>
        </w:rPr>
        <w:t>redetermine each small LEA’s eligibility</w:t>
      </w:r>
      <w:r>
        <w:rPr>
          <w:sz w:val="24"/>
          <w:szCs w:val="24"/>
        </w:rPr>
        <w:t>;</w:t>
      </w:r>
      <w:r w:rsidRPr="00E26F25">
        <w:rPr>
          <w:sz w:val="24"/>
          <w:szCs w:val="24"/>
        </w:rPr>
        <w:t xml:space="preserve"> and </w:t>
      </w:r>
      <w:r>
        <w:rPr>
          <w:sz w:val="24"/>
          <w:szCs w:val="24"/>
        </w:rPr>
        <w:t>(2) redistribute funds among the eligible small</w:t>
      </w:r>
      <w:r w:rsidRPr="00E26F25">
        <w:rPr>
          <w:sz w:val="24"/>
          <w:szCs w:val="24"/>
        </w:rPr>
        <w:t xml:space="preserve"> LEAs based on </w:t>
      </w:r>
      <w:r>
        <w:rPr>
          <w:sz w:val="24"/>
          <w:szCs w:val="24"/>
        </w:rPr>
        <w:t>the</w:t>
      </w:r>
      <w:r w:rsidRPr="00E26F25">
        <w:rPr>
          <w:sz w:val="24"/>
          <w:szCs w:val="24"/>
        </w:rPr>
        <w:t xml:space="preserve"> alternative data.</w:t>
      </w:r>
      <w:r>
        <w:rPr>
          <w:sz w:val="24"/>
          <w:szCs w:val="24"/>
        </w:rPr>
        <w:t xml:space="preserve">  Most SEAs that use alternative poverty data for small LEAs weight NSLP data and other alternative data to produce a poverty count for each small LEA.  To derive the number of NSLP students in a small LEA with schools that participate in CEP, an SEA could use the 1.6 multiplier method (count of children ages 5 to17</w:t>
      </w:r>
      <w:r w:rsidR="00173398">
        <w:rPr>
          <w:sz w:val="24"/>
          <w:szCs w:val="24"/>
        </w:rPr>
        <w:t xml:space="preserve"> identified through direct certification</w:t>
      </w:r>
      <w:r>
        <w:rPr>
          <w:sz w:val="24"/>
          <w:szCs w:val="24"/>
        </w:rPr>
        <w:t xml:space="preserve"> x 1.6) or the direct certification count of children ages 5 to 17 only method.  Under the 1.6 multiplier method, the portion of a small LEA’s NSLP count that comes from </w:t>
      </w:r>
      <w:r w:rsidRPr="00153779">
        <w:rPr>
          <w:sz w:val="24"/>
          <w:szCs w:val="24"/>
          <w:u w:val="single"/>
        </w:rPr>
        <w:t>non-</w:t>
      </w:r>
      <w:r>
        <w:rPr>
          <w:sz w:val="24"/>
          <w:szCs w:val="24"/>
          <w:u w:val="single"/>
        </w:rPr>
        <w:t>CEP</w:t>
      </w:r>
      <w:r w:rsidRPr="00153779">
        <w:rPr>
          <w:sz w:val="24"/>
          <w:szCs w:val="24"/>
          <w:u w:val="single"/>
        </w:rPr>
        <w:t xml:space="preserve"> schools</w:t>
      </w:r>
      <w:r>
        <w:rPr>
          <w:sz w:val="24"/>
          <w:szCs w:val="24"/>
        </w:rPr>
        <w:t xml:space="preserve"> would be either (1) the sum of children ages 5 to17 identified through direct certification and household applications or (2) the product of children ages 5 to17 identified through direct certification and 1.6.  The portion of a small LEA’s NSLP count that comes from </w:t>
      </w:r>
      <w:r>
        <w:rPr>
          <w:sz w:val="24"/>
          <w:szCs w:val="24"/>
          <w:u w:val="single"/>
        </w:rPr>
        <w:t>CEP</w:t>
      </w:r>
      <w:r w:rsidRPr="00153779">
        <w:rPr>
          <w:sz w:val="24"/>
          <w:szCs w:val="24"/>
          <w:u w:val="single"/>
        </w:rPr>
        <w:t xml:space="preserve"> schools</w:t>
      </w:r>
      <w:r>
        <w:rPr>
          <w:sz w:val="24"/>
          <w:szCs w:val="24"/>
        </w:rPr>
        <w:t xml:space="preserve"> would be the product of children ages 5 to17 identified through direct certification and 1.6.  Under either of these methods, each LEA’s derived NSLP count may not exceed its enrollment.  If an SEA uses the direct certification only method (i.e., the 1.6 multiplier is not used at all), the SEA must use direct certification counts from all LEAs, regardless of whether the LEAs participate in CEP.    </w:t>
      </w:r>
    </w:p>
    <w:p w:rsidR="00615A07" w:rsidRDefault="00615A07" w:rsidP="007835B7">
      <w:pPr>
        <w:spacing w:after="0" w:line="240" w:lineRule="auto"/>
        <w:jc w:val="right"/>
        <w:rPr>
          <w:sz w:val="24"/>
          <w:szCs w:val="24"/>
        </w:rPr>
      </w:pPr>
    </w:p>
    <w:p w:rsidR="00997A69" w:rsidRPr="00A0305C" w:rsidRDefault="00997A69" w:rsidP="00153779">
      <w:pPr>
        <w:pStyle w:val="Heading2"/>
        <w:numPr>
          <w:ilvl w:val="0"/>
          <w:numId w:val="37"/>
        </w:numPr>
        <w:ind w:left="360"/>
      </w:pPr>
      <w:bookmarkStart w:id="249" w:name="_Toc414355072"/>
      <w:r>
        <w:t xml:space="preserve">In using NSLP data that incorporate </w:t>
      </w:r>
      <w:r w:rsidR="003D7973">
        <w:t>CEP</w:t>
      </w:r>
      <w:r>
        <w:t xml:space="preserve"> data to derive a Census poverty count, does an SEA need to apply the 1.6 multiplier to the</w:t>
      </w:r>
      <w:r w:rsidRPr="0004547C">
        <w:t xml:space="preserve"> </w:t>
      </w:r>
      <w:r>
        <w:t>number of</w:t>
      </w:r>
      <w:r w:rsidRPr="0004547C">
        <w:t xml:space="preserve"> identified students</w:t>
      </w:r>
      <w:r>
        <w:t xml:space="preserve"> through SNAP</w:t>
      </w:r>
      <w:r w:rsidRPr="00043065">
        <w:t>?</w:t>
      </w:r>
      <w:bookmarkEnd w:id="249"/>
    </w:p>
    <w:p w:rsidR="00997A69" w:rsidRPr="00A0305C" w:rsidRDefault="00997A69" w:rsidP="003770B8">
      <w:pPr>
        <w:spacing w:after="0" w:line="240" w:lineRule="auto"/>
        <w:rPr>
          <w:sz w:val="24"/>
          <w:szCs w:val="24"/>
        </w:rPr>
      </w:pPr>
    </w:p>
    <w:p w:rsidR="00997A69" w:rsidRPr="003770B8" w:rsidRDefault="00997A69" w:rsidP="003770B8">
      <w:pPr>
        <w:spacing w:after="0" w:line="240" w:lineRule="auto"/>
        <w:rPr>
          <w:sz w:val="24"/>
          <w:szCs w:val="24"/>
        </w:rPr>
      </w:pPr>
      <w:r w:rsidRPr="003770B8">
        <w:rPr>
          <w:sz w:val="24"/>
          <w:szCs w:val="24"/>
        </w:rPr>
        <w:t xml:space="preserve">Generally, no.  As shown in Example 5 of the Adjusting Allocations </w:t>
      </w:r>
      <w:r>
        <w:rPr>
          <w:sz w:val="24"/>
          <w:szCs w:val="24"/>
        </w:rPr>
        <w:t>Guidance (link provided in Question 3</w:t>
      </w:r>
      <w:r w:rsidR="00770037">
        <w:rPr>
          <w:sz w:val="24"/>
          <w:szCs w:val="24"/>
        </w:rPr>
        <w:t>1</w:t>
      </w:r>
      <w:r w:rsidRPr="003770B8">
        <w:rPr>
          <w:sz w:val="24"/>
          <w:szCs w:val="24"/>
        </w:rPr>
        <w:t xml:space="preserve">), an SEA needs to have the same alternate poverty data from special LEAs and the LEAs on ED’s list of LEAs from the Census Bureau (sending LEAs) to derive an accurate Census poverty count for children that transferred from </w:t>
      </w:r>
      <w:r w:rsidR="00770037">
        <w:rPr>
          <w:sz w:val="24"/>
          <w:szCs w:val="24"/>
        </w:rPr>
        <w:t>a</w:t>
      </w:r>
      <w:r w:rsidR="00770037" w:rsidRPr="003770B8">
        <w:rPr>
          <w:sz w:val="24"/>
          <w:szCs w:val="24"/>
        </w:rPr>
        <w:t xml:space="preserve"> </w:t>
      </w:r>
      <w:r w:rsidRPr="003770B8">
        <w:rPr>
          <w:sz w:val="24"/>
          <w:szCs w:val="24"/>
        </w:rPr>
        <w:t xml:space="preserve">regular LEA to </w:t>
      </w:r>
      <w:r w:rsidR="00770037">
        <w:rPr>
          <w:sz w:val="24"/>
          <w:szCs w:val="24"/>
        </w:rPr>
        <w:t xml:space="preserve">a </w:t>
      </w:r>
      <w:r w:rsidRPr="003770B8">
        <w:rPr>
          <w:sz w:val="24"/>
          <w:szCs w:val="24"/>
        </w:rPr>
        <w:t xml:space="preserve">special LEA.  </w:t>
      </w:r>
    </w:p>
    <w:p w:rsidR="00997A69" w:rsidRPr="003770B8" w:rsidRDefault="00997A69" w:rsidP="003770B8">
      <w:pPr>
        <w:spacing w:after="0" w:line="240" w:lineRule="auto"/>
        <w:rPr>
          <w:sz w:val="24"/>
          <w:szCs w:val="24"/>
        </w:rPr>
      </w:pPr>
    </w:p>
    <w:p w:rsidR="00997A69" w:rsidRDefault="00997A69" w:rsidP="003770B8">
      <w:pPr>
        <w:spacing w:after="0" w:line="240" w:lineRule="auto"/>
        <w:rPr>
          <w:sz w:val="24"/>
          <w:szCs w:val="24"/>
        </w:rPr>
      </w:pPr>
      <w:r w:rsidRPr="003770B8">
        <w:rPr>
          <w:sz w:val="24"/>
          <w:szCs w:val="24"/>
        </w:rPr>
        <w:t xml:space="preserve">Because all </w:t>
      </w:r>
      <w:r>
        <w:rPr>
          <w:sz w:val="24"/>
          <w:szCs w:val="24"/>
        </w:rPr>
        <w:t>LEAs</w:t>
      </w:r>
      <w:r w:rsidRPr="003770B8">
        <w:rPr>
          <w:sz w:val="24"/>
          <w:szCs w:val="24"/>
        </w:rPr>
        <w:t xml:space="preserve"> that participate in the </w:t>
      </w:r>
      <w:r>
        <w:rPr>
          <w:sz w:val="24"/>
          <w:szCs w:val="24"/>
        </w:rPr>
        <w:t>NSLP</w:t>
      </w:r>
      <w:r w:rsidRPr="003770B8">
        <w:rPr>
          <w:sz w:val="24"/>
          <w:szCs w:val="24"/>
        </w:rPr>
        <w:t xml:space="preserve"> </w:t>
      </w:r>
      <w:r>
        <w:rPr>
          <w:sz w:val="24"/>
          <w:szCs w:val="24"/>
        </w:rPr>
        <w:t xml:space="preserve">have access to SNAP data regardless of whether their schools elect </w:t>
      </w:r>
      <w:r w:rsidR="003D7973">
        <w:rPr>
          <w:sz w:val="24"/>
          <w:szCs w:val="24"/>
        </w:rPr>
        <w:t>CEP</w:t>
      </w:r>
      <w:r w:rsidRPr="003770B8">
        <w:rPr>
          <w:sz w:val="24"/>
          <w:szCs w:val="24"/>
        </w:rPr>
        <w:t xml:space="preserve">, an SEA should </w:t>
      </w:r>
      <w:r w:rsidR="00770037">
        <w:rPr>
          <w:sz w:val="24"/>
          <w:szCs w:val="24"/>
        </w:rPr>
        <w:t xml:space="preserve">at least </w:t>
      </w:r>
      <w:r w:rsidRPr="003770B8">
        <w:rPr>
          <w:sz w:val="24"/>
          <w:szCs w:val="24"/>
        </w:rPr>
        <w:t xml:space="preserve">be able to use </w:t>
      </w:r>
      <w:r>
        <w:rPr>
          <w:sz w:val="24"/>
          <w:szCs w:val="24"/>
        </w:rPr>
        <w:t xml:space="preserve">SNAP </w:t>
      </w:r>
      <w:r w:rsidRPr="003770B8">
        <w:rPr>
          <w:sz w:val="24"/>
          <w:szCs w:val="24"/>
        </w:rPr>
        <w:t xml:space="preserve">direct certification data to derive the Census poverty count for </w:t>
      </w:r>
      <w:r>
        <w:rPr>
          <w:sz w:val="24"/>
          <w:szCs w:val="24"/>
        </w:rPr>
        <w:t xml:space="preserve">all </w:t>
      </w:r>
      <w:r w:rsidRPr="003770B8">
        <w:rPr>
          <w:sz w:val="24"/>
          <w:szCs w:val="24"/>
        </w:rPr>
        <w:t>special LEA</w:t>
      </w:r>
      <w:r>
        <w:rPr>
          <w:sz w:val="24"/>
          <w:szCs w:val="24"/>
        </w:rPr>
        <w:t>s and regular LEAs that participate in the NSLP</w:t>
      </w:r>
      <w:r w:rsidRPr="003770B8">
        <w:rPr>
          <w:sz w:val="24"/>
          <w:szCs w:val="24"/>
        </w:rPr>
        <w:t xml:space="preserve">.  </w:t>
      </w:r>
      <w:r>
        <w:rPr>
          <w:sz w:val="24"/>
          <w:szCs w:val="24"/>
        </w:rPr>
        <w:t xml:space="preserve">Therefore, the 1.6 multiplier </w:t>
      </w:r>
      <w:r w:rsidR="00C95C04">
        <w:rPr>
          <w:sz w:val="24"/>
          <w:szCs w:val="24"/>
        </w:rPr>
        <w:t>is not required</w:t>
      </w:r>
      <w:r>
        <w:rPr>
          <w:sz w:val="24"/>
          <w:szCs w:val="24"/>
        </w:rPr>
        <w:t xml:space="preserve"> in this calculation.  </w:t>
      </w:r>
      <w:r w:rsidRPr="003770B8">
        <w:rPr>
          <w:sz w:val="24"/>
          <w:szCs w:val="24"/>
        </w:rPr>
        <w:t xml:space="preserve">If a special LEA does not participate in the </w:t>
      </w:r>
      <w:r>
        <w:rPr>
          <w:sz w:val="24"/>
          <w:szCs w:val="24"/>
        </w:rPr>
        <w:t>NSLP,</w:t>
      </w:r>
      <w:r w:rsidRPr="003770B8">
        <w:rPr>
          <w:sz w:val="24"/>
          <w:szCs w:val="24"/>
        </w:rPr>
        <w:t xml:space="preserve"> the SEA </w:t>
      </w:r>
      <w:r>
        <w:rPr>
          <w:sz w:val="24"/>
          <w:szCs w:val="24"/>
        </w:rPr>
        <w:t>could use</w:t>
      </w:r>
      <w:r w:rsidRPr="003770B8">
        <w:rPr>
          <w:sz w:val="24"/>
          <w:szCs w:val="24"/>
        </w:rPr>
        <w:t xml:space="preserve"> a survey to collect the equivalent of </w:t>
      </w:r>
      <w:r>
        <w:rPr>
          <w:sz w:val="24"/>
          <w:szCs w:val="24"/>
        </w:rPr>
        <w:t>SNAP</w:t>
      </w:r>
      <w:r w:rsidRPr="003770B8">
        <w:rPr>
          <w:sz w:val="24"/>
          <w:szCs w:val="24"/>
        </w:rPr>
        <w:t xml:space="preserve"> eligibility data from </w:t>
      </w:r>
      <w:r>
        <w:rPr>
          <w:sz w:val="24"/>
          <w:szCs w:val="24"/>
        </w:rPr>
        <w:t>that</w:t>
      </w:r>
      <w:r w:rsidRPr="003770B8">
        <w:rPr>
          <w:sz w:val="24"/>
          <w:szCs w:val="24"/>
        </w:rPr>
        <w:t xml:space="preserve"> special LEA</w:t>
      </w:r>
      <w:r>
        <w:rPr>
          <w:sz w:val="24"/>
          <w:szCs w:val="24"/>
        </w:rPr>
        <w:t xml:space="preserve"> or use another poverty data source that could be equated to SNAP data, before deriving the Census poverty count for the special LEAs based on SNAP data</w:t>
      </w:r>
      <w:r w:rsidRPr="003770B8">
        <w:rPr>
          <w:sz w:val="24"/>
          <w:szCs w:val="24"/>
        </w:rPr>
        <w:t>.</w:t>
      </w:r>
    </w:p>
    <w:p w:rsidR="00997A69" w:rsidRDefault="00997A69" w:rsidP="003770B8">
      <w:pPr>
        <w:spacing w:after="0" w:line="240" w:lineRule="auto"/>
        <w:rPr>
          <w:sz w:val="24"/>
          <w:szCs w:val="24"/>
        </w:rPr>
      </w:pPr>
    </w:p>
    <w:p w:rsidR="00997A69" w:rsidRPr="00A0305C" w:rsidRDefault="00A37E61" w:rsidP="004C561A">
      <w:pPr>
        <w:pStyle w:val="Heading1"/>
        <w:numPr>
          <w:ilvl w:val="0"/>
          <w:numId w:val="0"/>
        </w:numPr>
        <w:rPr>
          <w:i/>
          <w:u w:val="single"/>
        </w:rPr>
      </w:pPr>
      <w:r>
        <w:rPr>
          <w:i/>
          <w:u w:val="single"/>
        </w:rPr>
        <w:br w:type="page"/>
      </w:r>
      <w:bookmarkStart w:id="250" w:name="_Toc414355073"/>
      <w:r w:rsidR="00997A69">
        <w:rPr>
          <w:i/>
          <w:u w:val="single"/>
        </w:rPr>
        <w:lastRenderedPageBreak/>
        <w:t xml:space="preserve">Title I </w:t>
      </w:r>
      <w:r w:rsidR="00997A69" w:rsidRPr="00A0305C">
        <w:rPr>
          <w:i/>
          <w:u w:val="single"/>
        </w:rPr>
        <w:t>Accountability</w:t>
      </w:r>
      <w:bookmarkEnd w:id="250"/>
    </w:p>
    <w:p w:rsidR="00997A69" w:rsidRPr="00A0305C" w:rsidRDefault="00997A69" w:rsidP="004C561A">
      <w:pPr>
        <w:spacing w:after="0" w:line="240" w:lineRule="auto"/>
        <w:rPr>
          <w:iCs/>
          <w:sz w:val="24"/>
          <w:szCs w:val="24"/>
        </w:rPr>
      </w:pPr>
    </w:p>
    <w:p w:rsidR="00997A69" w:rsidRDefault="00997A69" w:rsidP="00153779">
      <w:pPr>
        <w:pStyle w:val="Heading2"/>
        <w:numPr>
          <w:ilvl w:val="0"/>
          <w:numId w:val="37"/>
        </w:numPr>
        <w:ind w:left="360"/>
      </w:pPr>
      <w:bookmarkStart w:id="251" w:name="_Toc414355074"/>
      <w:r>
        <w:t xml:space="preserve">How does </w:t>
      </w:r>
      <w:r w:rsidR="003D7973">
        <w:t>CEP</w:t>
      </w:r>
      <w:r>
        <w:t xml:space="preserve"> affect Title I accountability?</w:t>
      </w:r>
      <w:bookmarkEnd w:id="251"/>
    </w:p>
    <w:p w:rsidR="00997A69" w:rsidRDefault="00997A69" w:rsidP="004C561A">
      <w:pPr>
        <w:spacing w:after="0" w:line="240" w:lineRule="auto"/>
        <w:rPr>
          <w:sz w:val="24"/>
          <w:szCs w:val="24"/>
        </w:rPr>
      </w:pPr>
    </w:p>
    <w:p w:rsidR="00997A69" w:rsidRDefault="00997A69" w:rsidP="004C561A">
      <w:pPr>
        <w:spacing w:after="0" w:line="240" w:lineRule="auto"/>
        <w:rPr>
          <w:sz w:val="24"/>
          <w:szCs w:val="24"/>
        </w:rPr>
      </w:pPr>
      <w:r>
        <w:rPr>
          <w:sz w:val="24"/>
          <w:szCs w:val="24"/>
        </w:rPr>
        <w:t xml:space="preserve">To meet some reporting and accountability requirements, an SEA or LEA must have </w:t>
      </w:r>
      <w:r w:rsidRPr="008852F0">
        <w:rPr>
          <w:sz w:val="24"/>
          <w:szCs w:val="24"/>
        </w:rPr>
        <w:t>data on individual economically disadvantaged students.</w:t>
      </w:r>
      <w:r>
        <w:rPr>
          <w:sz w:val="24"/>
          <w:szCs w:val="24"/>
        </w:rPr>
        <w:t xml:space="preserve">  For example, e</w:t>
      </w:r>
      <w:r w:rsidRPr="00A0305C">
        <w:rPr>
          <w:sz w:val="24"/>
          <w:szCs w:val="24"/>
        </w:rPr>
        <w:t xml:space="preserve">ach SEA and LEA that receives funding under Title I must assess and report annually on the extent to which </w:t>
      </w:r>
      <w:r>
        <w:rPr>
          <w:sz w:val="24"/>
          <w:szCs w:val="24"/>
        </w:rPr>
        <w:t xml:space="preserve">the subgroup of economically disadvantaged </w:t>
      </w:r>
      <w:r w:rsidRPr="00A0305C">
        <w:rPr>
          <w:sz w:val="24"/>
          <w:szCs w:val="24"/>
        </w:rPr>
        <w:t xml:space="preserve">students </w:t>
      </w:r>
      <w:r>
        <w:rPr>
          <w:sz w:val="24"/>
          <w:szCs w:val="24"/>
        </w:rPr>
        <w:t>is</w:t>
      </w:r>
      <w:r w:rsidRPr="00A0305C">
        <w:rPr>
          <w:sz w:val="24"/>
          <w:szCs w:val="24"/>
        </w:rPr>
        <w:t xml:space="preserve"> making progress toward meeting </w:t>
      </w:r>
      <w:r>
        <w:rPr>
          <w:sz w:val="24"/>
          <w:szCs w:val="24"/>
        </w:rPr>
        <w:t xml:space="preserve">the </w:t>
      </w:r>
      <w:r w:rsidRPr="00A0305C">
        <w:rPr>
          <w:sz w:val="24"/>
          <w:szCs w:val="24"/>
        </w:rPr>
        <w:t>State</w:t>
      </w:r>
      <w:r>
        <w:rPr>
          <w:sz w:val="24"/>
          <w:szCs w:val="24"/>
        </w:rPr>
        <w:t>’s</w:t>
      </w:r>
      <w:r w:rsidRPr="00A0305C">
        <w:rPr>
          <w:sz w:val="24"/>
          <w:szCs w:val="24"/>
        </w:rPr>
        <w:t xml:space="preserve"> academic achievement standards in reading</w:t>
      </w:r>
      <w:r>
        <w:rPr>
          <w:sz w:val="24"/>
          <w:szCs w:val="24"/>
        </w:rPr>
        <w:t>/</w:t>
      </w:r>
      <w:r w:rsidRPr="00A0305C">
        <w:rPr>
          <w:sz w:val="24"/>
          <w:szCs w:val="24"/>
        </w:rPr>
        <w:t>language arts</w:t>
      </w:r>
      <w:r>
        <w:rPr>
          <w:sz w:val="24"/>
          <w:szCs w:val="24"/>
        </w:rPr>
        <w:t>,</w:t>
      </w:r>
      <w:r w:rsidRPr="00A0305C">
        <w:rPr>
          <w:sz w:val="24"/>
          <w:szCs w:val="24"/>
        </w:rPr>
        <w:t xml:space="preserve"> mathematics</w:t>
      </w:r>
      <w:r>
        <w:rPr>
          <w:sz w:val="24"/>
          <w:szCs w:val="24"/>
        </w:rPr>
        <w:t>, and science</w:t>
      </w:r>
      <w:r w:rsidRPr="00A0305C">
        <w:rPr>
          <w:sz w:val="24"/>
          <w:szCs w:val="24"/>
        </w:rPr>
        <w:t xml:space="preserve">.  Moreover, an LEA must hold schools accountable for the achievement of </w:t>
      </w:r>
      <w:r>
        <w:rPr>
          <w:sz w:val="24"/>
          <w:szCs w:val="24"/>
        </w:rPr>
        <w:t xml:space="preserve">this </w:t>
      </w:r>
      <w:r w:rsidRPr="00A0305C">
        <w:rPr>
          <w:sz w:val="24"/>
          <w:szCs w:val="24"/>
        </w:rPr>
        <w:t xml:space="preserve">subgroup, whether under section 1116 of the ESEA or under ESEA flexibility for those States with an approved ESEA flexibility request.  </w:t>
      </w:r>
      <w:r>
        <w:rPr>
          <w:sz w:val="24"/>
          <w:szCs w:val="24"/>
        </w:rPr>
        <w:t>Finally, under section 1116 of the ESEA, an LEA must offer priority for public school choice to economically disadvantaged students in any school identified for improvement, corrective action, or restructuring and supplemental educational services</w:t>
      </w:r>
      <w:r w:rsidR="003F3F02">
        <w:rPr>
          <w:sz w:val="24"/>
          <w:szCs w:val="24"/>
        </w:rPr>
        <w:t xml:space="preserve"> (SES)</w:t>
      </w:r>
      <w:r>
        <w:rPr>
          <w:sz w:val="24"/>
          <w:szCs w:val="24"/>
        </w:rPr>
        <w:t xml:space="preserve"> to any economically disadvantaged student who attends a school that is in the second year of school improvement, in corrective action, or in restructuring (these requirements have been waived under ESEA flexibility).  </w:t>
      </w:r>
      <w:r w:rsidRPr="00A0305C">
        <w:rPr>
          <w:sz w:val="24"/>
          <w:szCs w:val="24"/>
        </w:rPr>
        <w:t xml:space="preserve">For </w:t>
      </w:r>
      <w:r>
        <w:rPr>
          <w:sz w:val="24"/>
          <w:szCs w:val="24"/>
        </w:rPr>
        <w:t>most</w:t>
      </w:r>
      <w:r w:rsidRPr="00A0305C">
        <w:rPr>
          <w:sz w:val="24"/>
          <w:szCs w:val="24"/>
        </w:rPr>
        <w:t xml:space="preserve"> LEAs, </w:t>
      </w:r>
      <w:r>
        <w:rPr>
          <w:sz w:val="24"/>
          <w:szCs w:val="24"/>
        </w:rPr>
        <w:t xml:space="preserve">NSLP data, including </w:t>
      </w:r>
      <w:r w:rsidR="003D7973">
        <w:rPr>
          <w:sz w:val="24"/>
          <w:szCs w:val="24"/>
        </w:rPr>
        <w:t>CEP</w:t>
      </w:r>
      <w:r>
        <w:rPr>
          <w:sz w:val="24"/>
          <w:szCs w:val="24"/>
        </w:rPr>
        <w:t xml:space="preserve"> data,</w:t>
      </w:r>
      <w:r w:rsidRPr="00A0305C">
        <w:rPr>
          <w:sz w:val="24"/>
          <w:szCs w:val="24"/>
        </w:rPr>
        <w:t xml:space="preserve"> </w:t>
      </w:r>
      <w:r>
        <w:rPr>
          <w:sz w:val="24"/>
          <w:szCs w:val="24"/>
        </w:rPr>
        <w:t>may</w:t>
      </w:r>
      <w:r w:rsidRPr="00A0305C">
        <w:rPr>
          <w:sz w:val="24"/>
          <w:szCs w:val="24"/>
        </w:rPr>
        <w:t xml:space="preserve"> be the best source to identify </w:t>
      </w:r>
      <w:r>
        <w:rPr>
          <w:sz w:val="24"/>
          <w:szCs w:val="24"/>
        </w:rPr>
        <w:t xml:space="preserve">individual economically disadvantaged </w:t>
      </w:r>
      <w:r w:rsidRPr="00A0305C">
        <w:rPr>
          <w:sz w:val="24"/>
          <w:szCs w:val="24"/>
        </w:rPr>
        <w:t>students.</w:t>
      </w:r>
      <w:r w:rsidRPr="008852F0">
        <w:rPr>
          <w:sz w:val="24"/>
          <w:szCs w:val="24"/>
        </w:rPr>
        <w:t xml:space="preserve">  </w:t>
      </w:r>
    </w:p>
    <w:p w:rsidR="00997A69" w:rsidRDefault="00997A69" w:rsidP="004C561A">
      <w:pPr>
        <w:spacing w:after="0" w:line="240" w:lineRule="auto"/>
        <w:rPr>
          <w:sz w:val="24"/>
          <w:szCs w:val="24"/>
        </w:rPr>
      </w:pPr>
    </w:p>
    <w:p w:rsidR="00997A69" w:rsidRPr="00645A2A" w:rsidRDefault="00997A69" w:rsidP="00153779">
      <w:pPr>
        <w:pStyle w:val="Heading2"/>
        <w:numPr>
          <w:ilvl w:val="0"/>
          <w:numId w:val="37"/>
        </w:numPr>
        <w:ind w:left="360"/>
      </w:pPr>
      <w:bookmarkStart w:id="252" w:name="_Toc414355075"/>
      <w:r w:rsidRPr="00645A2A">
        <w:t xml:space="preserve">How may economically disadvantaged students in a </w:t>
      </w:r>
      <w:r w:rsidR="003D7973">
        <w:t>CEP</w:t>
      </w:r>
      <w:r w:rsidRPr="00645A2A">
        <w:t xml:space="preserve"> school be identified for accountability?</w:t>
      </w:r>
      <w:r w:rsidR="00A97BC6">
        <w:t xml:space="preserve"> </w:t>
      </w:r>
      <w:r w:rsidR="00D1227F">
        <w:t>(</w:t>
      </w:r>
      <w:r w:rsidR="00D1227F">
        <w:rPr>
          <w:i/>
        </w:rPr>
        <w:t xml:space="preserve">Modified </w:t>
      </w:r>
      <w:r w:rsidR="00376636">
        <w:rPr>
          <w:i/>
        </w:rPr>
        <w:t>March</w:t>
      </w:r>
      <w:r w:rsidR="007835B7">
        <w:rPr>
          <w:i/>
        </w:rPr>
        <w:t xml:space="preserve"> 2015</w:t>
      </w:r>
      <w:r w:rsidR="00D1227F">
        <w:rPr>
          <w:i/>
        </w:rPr>
        <w:t>)</w:t>
      </w:r>
      <w:bookmarkEnd w:id="252"/>
    </w:p>
    <w:p w:rsidR="00997A69" w:rsidRPr="00A0305C" w:rsidRDefault="00997A69" w:rsidP="004C561A">
      <w:pPr>
        <w:spacing w:after="0" w:line="240" w:lineRule="auto"/>
        <w:rPr>
          <w:sz w:val="24"/>
          <w:szCs w:val="24"/>
        </w:rPr>
      </w:pPr>
    </w:p>
    <w:p w:rsidR="00A97BC6" w:rsidRDefault="00A97BC6" w:rsidP="00A97BC6">
      <w:pPr>
        <w:spacing w:after="0" w:line="240" w:lineRule="auto"/>
        <w:rPr>
          <w:sz w:val="24"/>
          <w:szCs w:val="24"/>
        </w:rPr>
      </w:pPr>
      <w:r>
        <w:rPr>
          <w:sz w:val="24"/>
          <w:szCs w:val="24"/>
        </w:rPr>
        <w:t>Although for NSLP purposes a CEP school may maintain the same reimbursement rate for up to four years and therefore would not need to update its direct certification count, an SEA may wish its LEAs to use the most recently available direct certification data for other purposes, such as Title I.  One such Title I purpose is the disaggregation of a</w:t>
      </w:r>
      <w:r w:rsidRPr="00ED674A">
        <w:rPr>
          <w:sz w:val="24"/>
          <w:szCs w:val="24"/>
        </w:rPr>
        <w:t>ssessment data by the economically disadvantaged subgroup for reporting and accountability</w:t>
      </w:r>
      <w:r>
        <w:rPr>
          <w:sz w:val="24"/>
          <w:szCs w:val="24"/>
        </w:rPr>
        <w:t xml:space="preserve">.  </w:t>
      </w:r>
    </w:p>
    <w:p w:rsidR="00A97BC6" w:rsidRDefault="00A97BC6" w:rsidP="00A97BC6">
      <w:pPr>
        <w:spacing w:after="0" w:line="240" w:lineRule="auto"/>
        <w:rPr>
          <w:sz w:val="24"/>
          <w:szCs w:val="24"/>
        </w:rPr>
      </w:pPr>
    </w:p>
    <w:p w:rsidR="00997A69" w:rsidRPr="00645A2A" w:rsidRDefault="00A97BC6" w:rsidP="00A97BC6">
      <w:pPr>
        <w:spacing w:after="0" w:line="240" w:lineRule="auto"/>
      </w:pPr>
      <w:r>
        <w:rPr>
          <w:sz w:val="24"/>
          <w:szCs w:val="24"/>
        </w:rPr>
        <w:t>With respect to</w:t>
      </w:r>
      <w:r w:rsidRPr="00ED674A">
        <w:rPr>
          <w:sz w:val="24"/>
          <w:szCs w:val="24"/>
        </w:rPr>
        <w:t xml:space="preserve"> </w:t>
      </w:r>
      <w:r>
        <w:rPr>
          <w:sz w:val="24"/>
          <w:szCs w:val="24"/>
        </w:rPr>
        <w:t xml:space="preserve">this disaggregation, an SEA may prefer to include only identified students to ensure that the subgroup includes only students who are economically disadvantaged. </w:t>
      </w:r>
      <w:r w:rsidRPr="00ED674A">
        <w:rPr>
          <w:sz w:val="24"/>
          <w:szCs w:val="24"/>
        </w:rPr>
        <w:t xml:space="preserve"> </w:t>
      </w:r>
      <w:r>
        <w:rPr>
          <w:sz w:val="24"/>
          <w:szCs w:val="24"/>
        </w:rPr>
        <w:t>Accordingly, an SEA may decide that</w:t>
      </w:r>
      <w:r w:rsidRPr="00ED674A">
        <w:rPr>
          <w:sz w:val="24"/>
          <w:szCs w:val="24"/>
        </w:rPr>
        <w:t xml:space="preserve"> </w:t>
      </w:r>
      <w:r>
        <w:rPr>
          <w:sz w:val="24"/>
          <w:szCs w:val="24"/>
        </w:rPr>
        <w:t xml:space="preserve">only directly certified students would be </w:t>
      </w:r>
      <w:r w:rsidRPr="00ED674A">
        <w:rPr>
          <w:sz w:val="24"/>
          <w:szCs w:val="24"/>
        </w:rPr>
        <w:t xml:space="preserve">eligible for any services for which eligibility is based on poverty (such as </w:t>
      </w:r>
      <w:r>
        <w:rPr>
          <w:sz w:val="24"/>
          <w:szCs w:val="24"/>
        </w:rPr>
        <w:t>SES</w:t>
      </w:r>
      <w:r w:rsidRPr="00ED674A">
        <w:rPr>
          <w:sz w:val="24"/>
          <w:szCs w:val="24"/>
        </w:rPr>
        <w:t xml:space="preserve"> under section 1116 of the ESEA)</w:t>
      </w:r>
      <w:r>
        <w:rPr>
          <w:sz w:val="24"/>
          <w:szCs w:val="24"/>
        </w:rPr>
        <w:t xml:space="preserve">.  To the extent that survey data are available (see Question 23), the SEA may also use those data to identify students in the economically disadvantaged subgroup.  Finally, because CEP schools generally have higher poverty levels than other schools, and consequently have a smaller number of students who would not be deemed economically disadvantaged if poverty data were available for each student in the school, an SEA may elect to base reporting and accountability on all students in a CEP school.  In this situation, the economically disadvantaged subgroup would be the same as the “all students” group, and </w:t>
      </w:r>
      <w:r w:rsidRPr="00ED674A">
        <w:rPr>
          <w:sz w:val="24"/>
          <w:szCs w:val="24"/>
        </w:rPr>
        <w:t>all students in</w:t>
      </w:r>
      <w:r>
        <w:rPr>
          <w:sz w:val="24"/>
          <w:szCs w:val="24"/>
        </w:rPr>
        <w:t xml:space="preserve"> the </w:t>
      </w:r>
      <w:r w:rsidRPr="00ED674A">
        <w:rPr>
          <w:sz w:val="24"/>
          <w:szCs w:val="24"/>
        </w:rPr>
        <w:t xml:space="preserve">school would </w:t>
      </w:r>
      <w:r>
        <w:rPr>
          <w:sz w:val="24"/>
          <w:szCs w:val="24"/>
        </w:rPr>
        <w:t xml:space="preserve">then </w:t>
      </w:r>
      <w:r w:rsidRPr="00ED674A">
        <w:rPr>
          <w:sz w:val="24"/>
          <w:szCs w:val="24"/>
        </w:rPr>
        <w:t>be eligible for any services for which eligibility is based on poverty</w:t>
      </w:r>
      <w:r>
        <w:rPr>
          <w:sz w:val="24"/>
          <w:szCs w:val="24"/>
        </w:rPr>
        <w:t>.  Regardless of how an SEA defines this subgroup in a CEP school, the SEA should use the same definition for all LEAs with one or more CEP schools.</w:t>
      </w:r>
      <w:r w:rsidR="003F3F02">
        <w:rPr>
          <w:sz w:val="24"/>
          <w:szCs w:val="24"/>
        </w:rPr>
        <w:t xml:space="preserve">  </w:t>
      </w:r>
      <w:r w:rsidR="00997A69">
        <w:rPr>
          <w:sz w:val="24"/>
          <w:szCs w:val="24"/>
        </w:rPr>
        <w:t xml:space="preserve">   </w:t>
      </w:r>
      <w:r w:rsidR="00997A69" w:rsidRPr="009348EA">
        <w:t xml:space="preserve">  </w:t>
      </w:r>
      <w:r w:rsidR="00997A69" w:rsidRPr="00A0305C" w:rsidDel="00973048">
        <w:rPr>
          <w:sz w:val="24"/>
          <w:szCs w:val="24"/>
        </w:rPr>
        <w:t xml:space="preserve"> </w:t>
      </w:r>
    </w:p>
    <w:p w:rsidR="00877AD8" w:rsidRDefault="00877AD8" w:rsidP="00877AD8">
      <w:pPr>
        <w:spacing w:after="0" w:line="240" w:lineRule="auto"/>
        <w:rPr>
          <w:sz w:val="24"/>
          <w:szCs w:val="24"/>
        </w:rPr>
      </w:pPr>
    </w:p>
    <w:p w:rsidR="00877AD8" w:rsidRPr="00645A2A" w:rsidRDefault="00A37E61" w:rsidP="00153779">
      <w:pPr>
        <w:pStyle w:val="Heading2"/>
        <w:numPr>
          <w:ilvl w:val="0"/>
          <w:numId w:val="37"/>
        </w:numPr>
        <w:ind w:left="360"/>
      </w:pPr>
      <w:r>
        <w:br w:type="page"/>
      </w:r>
      <w:bookmarkStart w:id="253" w:name="_Toc414355076"/>
      <w:r w:rsidR="006A1412">
        <w:lastRenderedPageBreak/>
        <w:t>How may an SEA that uses NSLP data</w:t>
      </w:r>
      <w:r w:rsidR="00877AD8">
        <w:t xml:space="preserve"> </w:t>
      </w:r>
      <w:r w:rsidR="006A1412">
        <w:t>to meet</w:t>
      </w:r>
      <w:r w:rsidR="00877AD8">
        <w:t xml:space="preserve"> the reporting requirements in section 1116(h)(1)(C)(viii) of ESEA regarding the professional qualifications of teachers in schools in the top and bottom quartiles of poverty calculate poverty in a </w:t>
      </w:r>
      <w:r w:rsidR="003D7973">
        <w:t>CEP</w:t>
      </w:r>
      <w:r w:rsidR="00877AD8">
        <w:t xml:space="preserve"> school</w:t>
      </w:r>
      <w:r w:rsidR="00877AD8" w:rsidRPr="00645A2A">
        <w:t>?</w:t>
      </w:r>
      <w:r w:rsidR="0032433F">
        <w:t xml:space="preserve">  </w:t>
      </w:r>
      <w:r w:rsidR="0032433F" w:rsidRPr="0060014E">
        <w:rPr>
          <w:i/>
        </w:rPr>
        <w:t>(</w:t>
      </w:r>
      <w:r w:rsidR="00D1227F">
        <w:rPr>
          <w:i/>
        </w:rPr>
        <w:t xml:space="preserve">Added </w:t>
      </w:r>
      <w:r w:rsidR="00376636">
        <w:rPr>
          <w:i/>
        </w:rPr>
        <w:t>March</w:t>
      </w:r>
      <w:r w:rsidR="007835B7">
        <w:rPr>
          <w:i/>
        </w:rPr>
        <w:t xml:space="preserve"> 2015</w:t>
      </w:r>
      <w:r w:rsidR="0032433F" w:rsidRPr="0060014E">
        <w:rPr>
          <w:i/>
        </w:rPr>
        <w:t>)</w:t>
      </w:r>
      <w:bookmarkEnd w:id="253"/>
    </w:p>
    <w:p w:rsidR="00877AD8" w:rsidRDefault="00877AD8" w:rsidP="003770B8">
      <w:pPr>
        <w:spacing w:after="0" w:line="240" w:lineRule="auto"/>
        <w:rPr>
          <w:sz w:val="24"/>
          <w:szCs w:val="24"/>
        </w:rPr>
      </w:pPr>
    </w:p>
    <w:p w:rsidR="007835B7" w:rsidRPr="00A0305C" w:rsidRDefault="007835B7" w:rsidP="007835B7">
      <w:pPr>
        <w:spacing w:after="0" w:line="240" w:lineRule="auto"/>
        <w:rPr>
          <w:sz w:val="24"/>
          <w:szCs w:val="24"/>
        </w:rPr>
      </w:pPr>
      <w:r>
        <w:rPr>
          <w:sz w:val="24"/>
          <w:szCs w:val="24"/>
        </w:rPr>
        <w:t xml:space="preserve">For a CEP school, an </w:t>
      </w:r>
      <w:r w:rsidR="00A97BC6">
        <w:rPr>
          <w:sz w:val="24"/>
          <w:szCs w:val="24"/>
        </w:rPr>
        <w:t xml:space="preserve">SEA may </w:t>
      </w:r>
      <w:r>
        <w:rPr>
          <w:sz w:val="24"/>
          <w:szCs w:val="24"/>
        </w:rPr>
        <w:t>use the direct certification x the 1.6 multiplier method or the direct certification only method, both of which are described in Question 18 in regards to within-district allocations.  If an SEA uses the direct certification only method, the SEA must use direct certification counts from all schools, regardless of whether they participate in CEP.  Also, the method an SEA uses to meet this requirement may vary from the method an LEA selects to allocate Title I funds to CEP schools because these two activities are independent of each other.</w:t>
      </w:r>
    </w:p>
    <w:p w:rsidR="00877AD8" w:rsidRPr="00A0305C" w:rsidRDefault="00877AD8" w:rsidP="003770B8">
      <w:pPr>
        <w:spacing w:after="0" w:line="240" w:lineRule="auto"/>
        <w:rPr>
          <w:sz w:val="24"/>
          <w:szCs w:val="24"/>
        </w:rPr>
      </w:pPr>
    </w:p>
    <w:sectPr w:rsidR="00877AD8" w:rsidRPr="00A0305C" w:rsidSect="00F93BB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99" w:rsidRDefault="008E4F99" w:rsidP="00842219">
      <w:pPr>
        <w:spacing w:after="0" w:line="240" w:lineRule="auto"/>
      </w:pPr>
      <w:r>
        <w:separator/>
      </w:r>
    </w:p>
  </w:endnote>
  <w:endnote w:type="continuationSeparator" w:id="0">
    <w:p w:rsidR="008E4F99" w:rsidRDefault="008E4F99" w:rsidP="00842219">
      <w:pPr>
        <w:spacing w:after="0" w:line="240" w:lineRule="auto"/>
      </w:pPr>
      <w:r>
        <w:continuationSeparator/>
      </w:r>
    </w:p>
  </w:endnote>
  <w:endnote w:type="continuationNotice" w:id="1">
    <w:p w:rsidR="008E4F99" w:rsidRDefault="008E4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Pr="001023F7" w:rsidRDefault="000C3D8B" w:rsidP="00877451">
    <w:pPr>
      <w:pStyle w:val="Footer"/>
      <w:jc w:val="right"/>
    </w:pPr>
    <w:r w:rsidRPr="00877451">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99" w:rsidRDefault="008E4F99" w:rsidP="00842219">
      <w:pPr>
        <w:spacing w:after="0" w:line="240" w:lineRule="auto"/>
      </w:pPr>
      <w:r>
        <w:separator/>
      </w:r>
    </w:p>
  </w:footnote>
  <w:footnote w:type="continuationSeparator" w:id="0">
    <w:p w:rsidR="008E4F99" w:rsidRDefault="008E4F99" w:rsidP="00842219">
      <w:pPr>
        <w:spacing w:after="0" w:line="240" w:lineRule="auto"/>
      </w:pPr>
      <w:r>
        <w:continuationSeparator/>
      </w:r>
    </w:p>
  </w:footnote>
  <w:footnote w:type="continuationNotice" w:id="1">
    <w:p w:rsidR="008E4F99" w:rsidRDefault="008E4F99">
      <w:pPr>
        <w:spacing w:after="0" w:line="240" w:lineRule="auto"/>
      </w:pPr>
    </w:p>
  </w:footnote>
  <w:footnote w:id="2">
    <w:p w:rsidR="000C3D8B" w:rsidRPr="003735C4" w:rsidRDefault="000C3D8B" w:rsidP="003735C4">
      <w:pPr>
        <w:pStyle w:val="FootnoteText"/>
      </w:pPr>
      <w:r w:rsidRPr="003735C4">
        <w:rPr>
          <w:rStyle w:val="FootnoteReference"/>
        </w:rPr>
        <w:footnoteRef/>
      </w:r>
      <w:r w:rsidRPr="003735C4">
        <w:t xml:space="preserve"> The </w:t>
      </w:r>
      <w:r>
        <w:t xml:space="preserve">Healthy </w:t>
      </w:r>
      <w:r w:rsidRPr="003735C4">
        <w:t xml:space="preserve">Hunger-Free Kids Act of 2010 </w:t>
      </w:r>
      <w:r w:rsidRPr="003735C4">
        <w:rPr>
          <w:rStyle w:val="FootnoteReference"/>
        </w:rPr>
        <w:t xml:space="preserve"> </w:t>
      </w:r>
      <w:r w:rsidRPr="003735C4">
        <w:t xml:space="preserve">is available at: </w:t>
      </w:r>
      <w:hyperlink r:id="rId1" w:history="1">
        <w:r w:rsidRPr="003735C4">
          <w:rPr>
            <w:rStyle w:val="Hyperlink"/>
          </w:rPr>
          <w:t>www.gpo.gov/fdsys/pkg/PLAW-111publ296/pdf/PLAW-111publ296.pdf</w:t>
        </w:r>
      </w:hyperlink>
      <w:r>
        <w:rPr>
          <w:u w:val="single"/>
        </w:rPr>
        <w:t>.</w:t>
      </w:r>
    </w:p>
  </w:footnote>
  <w:footnote w:id="3">
    <w:p w:rsidR="000C3D8B" w:rsidRDefault="000C3D8B" w:rsidP="00A018EF">
      <w:pPr>
        <w:pStyle w:val="FootnoteText"/>
      </w:pPr>
      <w:r>
        <w:rPr>
          <w:rStyle w:val="FootnoteReference"/>
        </w:rPr>
        <w:footnoteRef/>
      </w:r>
      <w:r>
        <w:t xml:space="preserve"> Section 104(a) of the Act establishes a multiplier of 1.6 and also provides USDA the authority to adjust this figure.  If USDA were to adjust the multiplier, users of this guidance should replace references to the 1.6 with the adjusted multiplier.</w:t>
      </w:r>
    </w:p>
  </w:footnote>
  <w:footnote w:id="4">
    <w:p w:rsidR="000C3D8B" w:rsidRDefault="000C3D8B">
      <w:pPr>
        <w:pStyle w:val="FootnoteText"/>
      </w:pPr>
      <w:r>
        <w:rPr>
          <w:rStyle w:val="FootnoteReference"/>
        </w:rPr>
        <w:footnoteRef/>
      </w:r>
      <w:r>
        <w:t xml:space="preserve"> </w:t>
      </w:r>
      <w:r w:rsidRPr="006A5F55">
        <w:t xml:space="preserve">The local liaison serves as one of the primary contacts between homeless families and school staff, </w:t>
      </w:r>
      <w:r>
        <w:t>LEA</w:t>
      </w:r>
      <w:r w:rsidRPr="006A5F55">
        <w:t xml:space="preserve"> personnel, shelter workers, and other service providers.  The </w:t>
      </w:r>
      <w:r>
        <w:t xml:space="preserve">local </w:t>
      </w:r>
      <w:r w:rsidRPr="006A5F55">
        <w:t>liaison coordinates services to ensure that homeless children and youth enroll in school and have the opportunity to succeed academically.</w:t>
      </w:r>
    </w:p>
  </w:footnote>
  <w:footnote w:id="5">
    <w:p w:rsidR="000C3D8B" w:rsidRDefault="000C3D8B" w:rsidP="00467E0F">
      <w:pPr>
        <w:pStyle w:val="FootnoteText"/>
      </w:pPr>
      <w:r>
        <w:rPr>
          <w:rStyle w:val="FootnoteReference"/>
        </w:rPr>
        <w:footnoteRef/>
      </w:r>
      <w:r>
        <w:t xml:space="preserve"> Current year reimbursement rates are available at: </w:t>
      </w:r>
      <w:r w:rsidRPr="00A45398">
        <w:t>www.fns.usda.gov/cnd/Governance/notices/naps/NAPs.htm</w:t>
      </w:r>
      <w:r>
        <w:t>.</w:t>
      </w:r>
    </w:p>
  </w:footnote>
  <w:footnote w:id="6">
    <w:p w:rsidR="000C3D8B" w:rsidRDefault="000C3D8B" w:rsidP="00F54E6E">
      <w:pPr>
        <w:spacing w:after="0" w:line="240" w:lineRule="auto"/>
        <w:outlineLvl w:val="0"/>
        <w:rPr>
          <w:color w:val="003300"/>
        </w:rPr>
      </w:pPr>
      <w:r>
        <w:rPr>
          <w:rStyle w:val="FootnoteReference"/>
        </w:rPr>
        <w:footnoteRef/>
      </w:r>
      <w:r>
        <w:t xml:space="preserve"> </w:t>
      </w:r>
      <w:r w:rsidRPr="00465EF2">
        <w:rPr>
          <w:iCs/>
          <w:sz w:val="18"/>
          <w:szCs w:val="18"/>
        </w:rPr>
        <w:t>The NSLP allows Provision 2 and Provision 3 schools to certify students as eligible for free and reduced-price meals once every four years and to extend the certification period under certain conditions.  The school lunch regulations prohibit schools that make use of these alternatives from collecting eligibility data and certifying students based on household applications on an annual basis.  Likewise, these schools are not required to directly certify with SNAP data three times a year.  However, direct certification data nonetheless are generally available to a school from the LEA or State agency.</w:t>
      </w:r>
    </w:p>
    <w:p w:rsidR="000C3D8B" w:rsidRDefault="000C3D8B">
      <w:pPr>
        <w:pStyle w:val="FootnoteText"/>
      </w:pPr>
    </w:p>
  </w:footnote>
  <w:footnote w:id="7">
    <w:p w:rsidR="000C3D8B" w:rsidRDefault="000C3D8B" w:rsidP="00DC434C">
      <w:pPr>
        <w:pStyle w:val="FootnoteText"/>
      </w:pPr>
      <w:r>
        <w:rPr>
          <w:rStyle w:val="FootnoteReference"/>
        </w:rPr>
        <w:footnoteRef/>
      </w:r>
      <w:r>
        <w:t xml:space="preserve"> A</w:t>
      </w:r>
      <w:r w:rsidRPr="00441EBF">
        <w:t xml:space="preserve">lthough most methods for determining comparability do not require the use of poverty data, </w:t>
      </w:r>
      <w:r>
        <w:t>for the purpose of making comparability determinations under section 1120A(c) of the ESEA, ED</w:t>
      </w:r>
      <w:r w:rsidRPr="00441EBF">
        <w:t>’s Title I fiscal guidance [available at</w:t>
      </w:r>
      <w:r>
        <w:t xml:space="preserve">: </w:t>
      </w:r>
      <w:r w:rsidRPr="00441EBF">
        <w:t xml:space="preserve"> </w:t>
      </w:r>
      <w:r w:rsidRPr="005057AF">
        <w:rPr>
          <w:u w:val="single"/>
        </w:rPr>
        <w:t>www.ed.gov/programs/titleiparta/fiscalguid.doc</w:t>
      </w:r>
      <w:r w:rsidRPr="00441EBF">
        <w:t>] provide</w:t>
      </w:r>
      <w:r>
        <w:t>s</w:t>
      </w:r>
      <w:r w:rsidRPr="00441EBF">
        <w:t xml:space="preserve"> two examples for calculating comparability in </w:t>
      </w:r>
      <w:r>
        <w:t>an LEA</w:t>
      </w:r>
      <w:r w:rsidRPr="00441EBF">
        <w:t xml:space="preserve"> with all Title I schools that involve the identification of high-poverty schools and low-poverty schools (</w:t>
      </w:r>
      <w:r w:rsidRPr="00FB37CF">
        <w:t>See</w:t>
      </w:r>
      <w:r>
        <w:t xml:space="preserve"> E</w:t>
      </w:r>
      <w:r w:rsidRPr="00441EBF">
        <w:t>xamples 5 and 6).  An LEA with all Title I schools that chooses to use one of these measures would use the same poverty percentage that it use</w:t>
      </w:r>
      <w:r>
        <w:t>s</w:t>
      </w:r>
      <w:r w:rsidRPr="00441EBF">
        <w:t xml:space="preserve"> to rank school</w:t>
      </w:r>
      <w:r>
        <w:t>s</w:t>
      </w:r>
      <w:r w:rsidRPr="00441EBF">
        <w:t xml:space="preserve"> for determining within-district allocations in order to classify a </w:t>
      </w:r>
      <w:r>
        <w:t>CEP</w:t>
      </w:r>
      <w:r w:rsidRPr="00441EBF">
        <w:t xml:space="preserve"> school as a high-poverty or low-poverty school.</w:t>
      </w:r>
    </w:p>
  </w:footnote>
  <w:footnote w:id="8">
    <w:p w:rsidR="000C3D8B" w:rsidRDefault="000C3D8B" w:rsidP="006E0C6D">
      <w:pPr>
        <w:pStyle w:val="FootnoteText"/>
      </w:pPr>
      <w:r>
        <w:rPr>
          <w:rStyle w:val="FootnoteReference"/>
        </w:rPr>
        <w:footnoteRef/>
      </w:r>
      <w:r>
        <w:t xml:space="preserve"> </w:t>
      </w:r>
      <w:r w:rsidRPr="00EF5D10">
        <w:t xml:space="preserve">The use of the 1.6 multiplier in non-CEP schools in this </w:t>
      </w:r>
      <w:r>
        <w:t>approach</w:t>
      </w:r>
      <w:r w:rsidRPr="00EF5D10">
        <w:t xml:space="preserve"> applies only to Title I within-district allocations </w:t>
      </w:r>
      <w:r w:rsidRPr="00ED36C0">
        <w:t xml:space="preserve">as a means to achieving a common poverty </w:t>
      </w:r>
      <w:r w:rsidRPr="00153779">
        <w:t xml:space="preserve">threshold </w:t>
      </w:r>
      <w:r w:rsidRPr="00ED36C0">
        <w:t>across all schools</w:t>
      </w:r>
      <w:r w:rsidRPr="00EF5D10">
        <w:t xml:space="preserve">, and not to </w:t>
      </w:r>
      <w:r>
        <w:t xml:space="preserve">any aspect of the NSLP, including </w:t>
      </w:r>
      <w:r w:rsidRPr="00EF5D10">
        <w:t>meal reimbursement.</w:t>
      </w:r>
      <w:r>
        <w:t xml:space="preserve"> </w:t>
      </w:r>
    </w:p>
  </w:footnote>
  <w:footnote w:id="9">
    <w:p w:rsidR="000C3D8B" w:rsidRDefault="000C3D8B" w:rsidP="001D4FB4">
      <w:pPr>
        <w:pStyle w:val="FootnoteText"/>
      </w:pPr>
      <w:r>
        <w:rPr>
          <w:rStyle w:val="FootnoteReference"/>
        </w:rPr>
        <w:footnoteRef/>
      </w:r>
      <w:r>
        <w:t xml:space="preserve"> The composite option in section 1113(a)(5) of the ESEA to establish a poverty percentage for a school applies only to the within-district Title I allocation process</w:t>
      </w:r>
      <w:r w:rsidRPr="00B17EC6">
        <w:t xml:space="preserve">.  For other Federal or non-Federal purposes, an LEA that uses a composite for within-district Title I allocations may be asked to report poverty figures for its schools that are determined differently (i.e., as defined by the specific data collection) than the method used in the composite. </w:t>
      </w:r>
      <w:r>
        <w:t xml:space="preserve">  </w:t>
      </w:r>
    </w:p>
  </w:footnote>
  <w:footnote w:id="10">
    <w:p w:rsidR="000C3D8B" w:rsidRDefault="000C3D8B">
      <w:pPr>
        <w:pStyle w:val="FootnoteText"/>
      </w:pPr>
      <w:r>
        <w:rPr>
          <w:rStyle w:val="FootnoteReference"/>
        </w:rPr>
        <w:footnoteRef/>
      </w:r>
      <w:r>
        <w:t xml:space="preserve"> </w:t>
      </w:r>
      <w:r w:rsidRPr="005A6720">
        <w:t>USDA regulations do not allow school meal program funds to support an alternate application process.</w:t>
      </w:r>
    </w:p>
  </w:footnote>
  <w:footnote w:id="11">
    <w:p w:rsidR="000C3D8B" w:rsidRDefault="000C3D8B" w:rsidP="0054707A">
      <w:pPr>
        <w:pStyle w:val="FootnoteText"/>
      </w:pPr>
      <w:r w:rsidRPr="00DF1CA6">
        <w:rPr>
          <w:rStyle w:val="FootnoteReference"/>
        </w:rPr>
        <w:footnoteRef/>
      </w:r>
      <w:r w:rsidRPr="00DF1CA6">
        <w:t xml:space="preserve"> Formula children consist of the Census LEA poverty estimates and annually collected counts of children ages 5 through 17 years</w:t>
      </w:r>
      <w:r>
        <w:t xml:space="preserve"> who are</w:t>
      </w:r>
      <w:r w:rsidRPr="00DF1CA6">
        <w:t xml:space="preserve">: (1) in families above </w:t>
      </w:r>
      <w:r>
        <w:t xml:space="preserve">the </w:t>
      </w:r>
      <w:r w:rsidRPr="00DF1CA6">
        <w:t xml:space="preserve">poverty </w:t>
      </w:r>
      <w:r>
        <w:t xml:space="preserve">level </w:t>
      </w:r>
      <w:r w:rsidRPr="00DF1CA6">
        <w:t xml:space="preserve">receiving TANF, (2) living in foster homes, </w:t>
      </w:r>
      <w:r>
        <w:t>or</w:t>
      </w:r>
      <w:r w:rsidRPr="00DF1CA6">
        <w:t xml:space="preserve"> (3)</w:t>
      </w:r>
      <w:r>
        <w:t xml:space="preserve"> living</w:t>
      </w:r>
      <w:r w:rsidRPr="00DF1CA6">
        <w:t xml:space="preserve"> in locally</w:t>
      </w:r>
      <w:r>
        <w:t>-</w:t>
      </w:r>
      <w:r w:rsidRPr="00DF1CA6">
        <w:t>operated institutions for neglected or delinquent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Header"/>
      <w:jc w:val="right"/>
    </w:pPr>
    <w:r>
      <w:t xml:space="preserve"> </w:t>
    </w:r>
    <w:r>
      <w:fldChar w:fldCharType="begin"/>
    </w:r>
    <w:r>
      <w:instrText xml:space="preserve"> PAGE   \* MERGEFORMAT </w:instrText>
    </w:r>
    <w:r>
      <w:fldChar w:fldCharType="separate"/>
    </w:r>
    <w:r w:rsidR="003234BA">
      <w:rPr>
        <w:noProof/>
      </w:rPr>
      <w:t>13</w:t>
    </w:r>
    <w:r>
      <w:rPr>
        <w:noProof/>
      </w:rPr>
      <w:fldChar w:fldCharType="end"/>
    </w:r>
  </w:p>
  <w:p w:rsidR="000C3D8B" w:rsidRDefault="000C3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Header"/>
      <w:jc w:val="right"/>
    </w:pPr>
    <w:r>
      <w:fldChar w:fldCharType="begin"/>
    </w:r>
    <w:r>
      <w:instrText xml:space="preserve"> PAGE   \* MERGEFORMAT </w:instrText>
    </w:r>
    <w:r>
      <w:fldChar w:fldCharType="separate"/>
    </w:r>
    <w:r w:rsidR="003234BA">
      <w:rPr>
        <w:noProof/>
      </w:rPr>
      <w:t>17</w:t>
    </w:r>
    <w:r>
      <w:rPr>
        <w:noProof/>
      </w:rPr>
      <w:fldChar w:fldCharType="end"/>
    </w:r>
  </w:p>
  <w:p w:rsidR="000C3D8B" w:rsidRDefault="000C3D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Header"/>
      <w:jc w:val="right"/>
    </w:pPr>
    <w:r>
      <w:t xml:space="preserve"> </w:t>
    </w:r>
    <w:r>
      <w:fldChar w:fldCharType="begin"/>
    </w:r>
    <w:r>
      <w:instrText xml:space="preserve"> PAGE   \* MERGEFORMAT </w:instrText>
    </w:r>
    <w:r>
      <w:fldChar w:fldCharType="separate"/>
    </w:r>
    <w:r w:rsidR="003234BA">
      <w:rPr>
        <w:noProof/>
      </w:rPr>
      <w:t>14</w:t>
    </w:r>
    <w:r>
      <w:rPr>
        <w:noProof/>
      </w:rPr>
      <w:fldChar w:fldCharType="end"/>
    </w:r>
    <w:r>
      <w:rPr>
        <w:noProof/>
      </w:rPr>
      <w:t xml:space="preserve"> </w:t>
    </w:r>
  </w:p>
  <w:p w:rsidR="000C3D8B" w:rsidRDefault="000C3D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Header"/>
      <w:jc w:val="right"/>
    </w:pPr>
    <w:r>
      <w:fldChar w:fldCharType="begin"/>
    </w:r>
    <w:r>
      <w:instrText xml:space="preserve"> PAGE   \* MERGEFORMAT </w:instrText>
    </w:r>
    <w:r>
      <w:fldChar w:fldCharType="separate"/>
    </w:r>
    <w:r w:rsidR="003234BA">
      <w:rPr>
        <w:noProof/>
      </w:rPr>
      <w:t>26</w:t>
    </w:r>
    <w:r>
      <w:rPr>
        <w:noProof/>
      </w:rPr>
      <w:fldChar w:fldCharType="end"/>
    </w:r>
  </w:p>
  <w:p w:rsidR="000C3D8B" w:rsidRDefault="000C3D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8B" w:rsidRDefault="000C3D8B">
    <w:pPr>
      <w:pStyle w:val="Header"/>
      <w:jc w:val="right"/>
    </w:pPr>
    <w:r>
      <w:t xml:space="preserve"> </w:t>
    </w:r>
    <w:r>
      <w:fldChar w:fldCharType="begin"/>
    </w:r>
    <w:r>
      <w:instrText xml:space="preserve"> PAGE   \* MERGEFORMAT </w:instrText>
    </w:r>
    <w:r>
      <w:fldChar w:fldCharType="separate"/>
    </w:r>
    <w:r>
      <w:rPr>
        <w:noProof/>
      </w:rPr>
      <w:t>20</w:t>
    </w:r>
    <w:r>
      <w:rPr>
        <w:noProof/>
      </w:rPr>
      <w:fldChar w:fldCharType="end"/>
    </w:r>
    <w:r>
      <w:rPr>
        <w:noProof/>
      </w:rPr>
      <w:t xml:space="preserve"> </w:t>
    </w:r>
  </w:p>
  <w:p w:rsidR="000C3D8B" w:rsidRDefault="000C3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E15"/>
    <w:multiLevelType w:val="hybridMultilevel"/>
    <w:tmpl w:val="959E55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173F01"/>
    <w:multiLevelType w:val="hybridMultilevel"/>
    <w:tmpl w:val="A78E95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D756D01"/>
    <w:multiLevelType w:val="hybridMultilevel"/>
    <w:tmpl w:val="ECA04838"/>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hint="default"/>
      </w:rPr>
    </w:lvl>
    <w:lvl w:ilvl="2" w:tplc="04090005">
      <w:start w:val="1"/>
      <w:numFmt w:val="bullet"/>
      <w:lvlText w:val=""/>
      <w:lvlJc w:val="left"/>
      <w:pPr>
        <w:tabs>
          <w:tab w:val="num" w:pos="2040"/>
        </w:tabs>
        <w:ind w:left="2040" w:hanging="360"/>
      </w:pPr>
      <w:rPr>
        <w:rFonts w:ascii="Wingdings" w:hAnsi="Wingdings" w:hint="default"/>
      </w:rPr>
    </w:lvl>
    <w:lvl w:ilvl="3" w:tplc="04090001">
      <w:start w:val="1"/>
      <w:numFmt w:val="bullet"/>
      <w:lvlText w:val=""/>
      <w:lvlJc w:val="left"/>
      <w:pPr>
        <w:tabs>
          <w:tab w:val="num" w:pos="2760"/>
        </w:tabs>
        <w:ind w:left="2760" w:hanging="360"/>
      </w:pPr>
      <w:rPr>
        <w:rFonts w:ascii="Symbol" w:hAnsi="Symbol" w:hint="default"/>
      </w:rPr>
    </w:lvl>
    <w:lvl w:ilvl="4" w:tplc="04090003">
      <w:start w:val="1"/>
      <w:numFmt w:val="bullet"/>
      <w:lvlText w:val="o"/>
      <w:lvlJc w:val="left"/>
      <w:pPr>
        <w:tabs>
          <w:tab w:val="num" w:pos="3480"/>
        </w:tabs>
        <w:ind w:left="3480" w:hanging="360"/>
      </w:pPr>
      <w:rPr>
        <w:rFonts w:ascii="Courier New" w:hAnsi="Courier New" w:hint="default"/>
      </w:rPr>
    </w:lvl>
    <w:lvl w:ilvl="5" w:tplc="04090005">
      <w:start w:val="1"/>
      <w:numFmt w:val="bullet"/>
      <w:lvlText w:val=""/>
      <w:lvlJc w:val="left"/>
      <w:pPr>
        <w:tabs>
          <w:tab w:val="num" w:pos="4200"/>
        </w:tabs>
        <w:ind w:left="4200" w:hanging="360"/>
      </w:pPr>
      <w:rPr>
        <w:rFonts w:ascii="Wingdings" w:hAnsi="Wingdings" w:hint="default"/>
      </w:rPr>
    </w:lvl>
    <w:lvl w:ilvl="6" w:tplc="04090001">
      <w:start w:val="1"/>
      <w:numFmt w:val="bullet"/>
      <w:lvlText w:val=""/>
      <w:lvlJc w:val="left"/>
      <w:pPr>
        <w:tabs>
          <w:tab w:val="num" w:pos="4920"/>
        </w:tabs>
        <w:ind w:left="4920" w:hanging="360"/>
      </w:pPr>
      <w:rPr>
        <w:rFonts w:ascii="Symbol" w:hAnsi="Symbol" w:hint="default"/>
      </w:rPr>
    </w:lvl>
    <w:lvl w:ilvl="7" w:tplc="04090003">
      <w:start w:val="1"/>
      <w:numFmt w:val="bullet"/>
      <w:lvlText w:val="o"/>
      <w:lvlJc w:val="left"/>
      <w:pPr>
        <w:tabs>
          <w:tab w:val="num" w:pos="5640"/>
        </w:tabs>
        <w:ind w:left="5640" w:hanging="360"/>
      </w:pPr>
      <w:rPr>
        <w:rFonts w:ascii="Courier New" w:hAnsi="Courier New" w:hint="default"/>
      </w:rPr>
    </w:lvl>
    <w:lvl w:ilvl="8" w:tplc="04090005">
      <w:start w:val="1"/>
      <w:numFmt w:val="bullet"/>
      <w:lvlText w:val=""/>
      <w:lvlJc w:val="left"/>
      <w:pPr>
        <w:tabs>
          <w:tab w:val="num" w:pos="6360"/>
        </w:tabs>
        <w:ind w:left="6360" w:hanging="360"/>
      </w:pPr>
      <w:rPr>
        <w:rFonts w:ascii="Wingdings" w:hAnsi="Wingdings" w:hint="default"/>
      </w:rPr>
    </w:lvl>
  </w:abstractNum>
  <w:abstractNum w:abstractNumId="3" w15:restartNumberingAfterBreak="0">
    <w:nsid w:val="13265BCD"/>
    <w:multiLevelType w:val="hybridMultilevel"/>
    <w:tmpl w:val="DC74083A"/>
    <w:lvl w:ilvl="0" w:tplc="0C488DFC">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20CA2292"/>
    <w:multiLevelType w:val="hybridMultilevel"/>
    <w:tmpl w:val="3BE4ED16"/>
    <w:lvl w:ilvl="0" w:tplc="46743D2C">
      <w:start w:val="1"/>
      <w:numFmt w:val="decimal"/>
      <w:lvlText w:val="%1."/>
      <w:lvlJc w:val="left"/>
      <w:pPr>
        <w:ind w:left="45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F32DCE"/>
    <w:multiLevelType w:val="hybridMultilevel"/>
    <w:tmpl w:val="C0A618B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512CBE"/>
    <w:multiLevelType w:val="hybridMultilevel"/>
    <w:tmpl w:val="8010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17BF2"/>
    <w:multiLevelType w:val="hybridMultilevel"/>
    <w:tmpl w:val="581E003A"/>
    <w:lvl w:ilvl="0" w:tplc="8BEA2FC2">
      <w:start w:val="1"/>
      <w:numFmt w:val="decimal"/>
      <w:lvlText w:val="%1."/>
      <w:lvlJc w:val="left"/>
      <w:pPr>
        <w:tabs>
          <w:tab w:val="num" w:pos="555"/>
        </w:tabs>
        <w:ind w:left="555" w:hanging="555"/>
      </w:pPr>
      <w:rPr>
        <w:rFonts w:cs="Times New Roman" w:hint="default"/>
      </w:rPr>
    </w:lvl>
    <w:lvl w:ilvl="1" w:tplc="66949262">
      <w:start w:val="1"/>
      <w:numFmt w:val="bullet"/>
      <w:lvlText w:val=""/>
      <w:lvlJc w:val="left"/>
      <w:pPr>
        <w:tabs>
          <w:tab w:val="num" w:pos="1080"/>
        </w:tabs>
        <w:ind w:left="1080" w:hanging="360"/>
      </w:pPr>
      <w:rPr>
        <w:rFonts w:ascii="Marlett" w:hAnsi="Marlett" w:hint="default"/>
      </w:rPr>
    </w:lvl>
    <w:lvl w:ilvl="2" w:tplc="09708F56">
      <w:start w:val="1"/>
      <w:numFmt w:val="bullet"/>
      <w:lvlText w:val=""/>
      <w:lvlJc w:val="left"/>
      <w:pPr>
        <w:tabs>
          <w:tab w:val="num" w:pos="1980"/>
        </w:tabs>
        <w:ind w:left="1980" w:hanging="360"/>
      </w:pPr>
      <w:rPr>
        <w:rFonts w:ascii="Wingdings" w:eastAsia="Times New Roman"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2F7388A"/>
    <w:multiLevelType w:val="hybridMultilevel"/>
    <w:tmpl w:val="A9022808"/>
    <w:lvl w:ilvl="0" w:tplc="0409000B">
      <w:start w:val="1"/>
      <w:numFmt w:val="bullet"/>
      <w:lvlText w:val=""/>
      <w:lvlJc w:val="left"/>
      <w:pPr>
        <w:tabs>
          <w:tab w:val="num" w:pos="1680"/>
        </w:tabs>
        <w:ind w:left="1680" w:hanging="360"/>
      </w:pPr>
      <w:rPr>
        <w:rFonts w:ascii="Wingdings" w:hAnsi="Wingdings" w:hint="default"/>
      </w:rPr>
    </w:lvl>
    <w:lvl w:ilvl="1" w:tplc="04090003">
      <w:start w:val="1"/>
      <w:numFmt w:val="bullet"/>
      <w:lvlText w:val="o"/>
      <w:lvlJc w:val="left"/>
      <w:pPr>
        <w:tabs>
          <w:tab w:val="num" w:pos="2400"/>
        </w:tabs>
        <w:ind w:left="2400" w:hanging="360"/>
      </w:pPr>
      <w:rPr>
        <w:rFonts w:ascii="Courier New" w:hAnsi="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9" w15:restartNumberingAfterBreak="0">
    <w:nsid w:val="473B5C0C"/>
    <w:multiLevelType w:val="hybridMultilevel"/>
    <w:tmpl w:val="FC6E94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6C6457"/>
    <w:multiLevelType w:val="multilevel"/>
    <w:tmpl w:val="397A69A2"/>
    <w:lvl w:ilvl="0">
      <w:start w:val="1"/>
      <w:numFmt w:val="upperLetter"/>
      <w:pStyle w:val="Heading1"/>
      <w:lvlText w:val="%1."/>
      <w:lvlJc w:val="left"/>
      <w:pPr>
        <w:tabs>
          <w:tab w:val="num" w:pos="360"/>
        </w:tabs>
      </w:pPr>
      <w:rPr>
        <w:rFonts w:ascii="Times New Roman" w:hAnsi="Times New Roman" w:cs="Times New Roman" w:hint="default"/>
      </w:rPr>
    </w:lvl>
    <w:lvl w:ilvl="1">
      <w:start w:val="1"/>
      <w:numFmt w:val="upperLetter"/>
      <w:pStyle w:val="Heading2"/>
      <w:lvlText w:val="%2."/>
      <w:lvlJc w:val="left"/>
      <w:pPr>
        <w:tabs>
          <w:tab w:val="num" w:pos="1080"/>
        </w:tabs>
        <w:ind w:left="720"/>
      </w:pPr>
      <w:rPr>
        <w:rFonts w:ascii="Times New Roman" w:hAnsi="Times New Roman" w:cs="Times New Roman" w:hint="default"/>
      </w:rPr>
    </w:lvl>
    <w:lvl w:ilvl="2">
      <w:start w:val="1"/>
      <w:numFmt w:val="decimal"/>
      <w:pStyle w:val="Heading3"/>
      <w:lvlText w:val="%3."/>
      <w:lvlJc w:val="left"/>
      <w:pPr>
        <w:tabs>
          <w:tab w:val="num" w:pos="1800"/>
        </w:tabs>
        <w:ind w:left="1440"/>
      </w:pPr>
      <w:rPr>
        <w:rFonts w:ascii="Times New Roman" w:hAnsi="Times New Roman" w:cs="Times New Roman" w:hint="default"/>
      </w:rPr>
    </w:lvl>
    <w:lvl w:ilvl="3">
      <w:start w:val="1"/>
      <w:numFmt w:val="lowerLetter"/>
      <w:pStyle w:val="Heading4"/>
      <w:lvlText w:val="%4)"/>
      <w:lvlJc w:val="left"/>
      <w:pPr>
        <w:tabs>
          <w:tab w:val="num" w:pos="2520"/>
        </w:tabs>
        <w:ind w:left="2160"/>
      </w:pPr>
      <w:rPr>
        <w:rFonts w:ascii="Times New Roman" w:hAnsi="Times New Roman" w:cs="Times New Roman" w:hint="default"/>
      </w:rPr>
    </w:lvl>
    <w:lvl w:ilvl="4">
      <w:start w:val="1"/>
      <w:numFmt w:val="decimal"/>
      <w:pStyle w:val="Heading5"/>
      <w:lvlText w:val="(%5)"/>
      <w:lvlJc w:val="left"/>
      <w:pPr>
        <w:tabs>
          <w:tab w:val="num" w:pos="3240"/>
        </w:tabs>
        <w:ind w:left="2880"/>
      </w:pPr>
      <w:rPr>
        <w:rFonts w:ascii="Times New Roman" w:hAnsi="Times New Roman" w:cs="Times New Roman" w:hint="default"/>
      </w:rPr>
    </w:lvl>
    <w:lvl w:ilvl="5">
      <w:start w:val="1"/>
      <w:numFmt w:val="lowerLetter"/>
      <w:pStyle w:val="Heading6"/>
      <w:lvlText w:val="(%6)"/>
      <w:lvlJc w:val="left"/>
      <w:pPr>
        <w:tabs>
          <w:tab w:val="num" w:pos="3960"/>
        </w:tabs>
        <w:ind w:left="3600"/>
      </w:pPr>
      <w:rPr>
        <w:rFonts w:ascii="Times New Roman" w:hAnsi="Times New Roman" w:cs="Times New Roman" w:hint="default"/>
      </w:rPr>
    </w:lvl>
    <w:lvl w:ilvl="6">
      <w:start w:val="1"/>
      <w:numFmt w:val="lowerRoman"/>
      <w:pStyle w:val="Heading7"/>
      <w:lvlText w:val="(%7)"/>
      <w:lvlJc w:val="left"/>
      <w:pPr>
        <w:tabs>
          <w:tab w:val="num" w:pos="4680"/>
        </w:tabs>
        <w:ind w:left="4320"/>
      </w:pPr>
      <w:rPr>
        <w:rFonts w:ascii="Times New Roman" w:hAnsi="Times New Roman" w:cs="Times New Roman" w:hint="default"/>
      </w:rPr>
    </w:lvl>
    <w:lvl w:ilvl="7">
      <w:start w:val="1"/>
      <w:numFmt w:val="lowerLetter"/>
      <w:pStyle w:val="Heading8"/>
      <w:lvlText w:val="(%8)"/>
      <w:lvlJc w:val="left"/>
      <w:pPr>
        <w:tabs>
          <w:tab w:val="num" w:pos="5400"/>
        </w:tabs>
        <w:ind w:left="5040"/>
      </w:pPr>
      <w:rPr>
        <w:rFonts w:ascii="Times New Roman" w:hAnsi="Times New Roman" w:cs="Times New Roman" w:hint="default"/>
      </w:rPr>
    </w:lvl>
    <w:lvl w:ilvl="8">
      <w:start w:val="1"/>
      <w:numFmt w:val="lowerRoman"/>
      <w:pStyle w:val="Heading9"/>
      <w:lvlText w:val="(%9)"/>
      <w:lvlJc w:val="left"/>
      <w:pPr>
        <w:tabs>
          <w:tab w:val="num" w:pos="6120"/>
        </w:tabs>
        <w:ind w:left="5760"/>
      </w:pPr>
      <w:rPr>
        <w:rFonts w:ascii="Times New Roman" w:hAnsi="Times New Roman" w:cs="Times New Roman" w:hint="default"/>
      </w:rPr>
    </w:lvl>
  </w:abstractNum>
  <w:abstractNum w:abstractNumId="11" w15:restartNumberingAfterBreak="0">
    <w:nsid w:val="4D6A1823"/>
    <w:multiLevelType w:val="hybridMultilevel"/>
    <w:tmpl w:val="7E3E7C88"/>
    <w:lvl w:ilvl="0" w:tplc="B01C9FA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CB6AAC"/>
    <w:multiLevelType w:val="hybridMultilevel"/>
    <w:tmpl w:val="1B920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02113"/>
    <w:multiLevelType w:val="hybridMultilevel"/>
    <w:tmpl w:val="347CC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50C9F"/>
    <w:multiLevelType w:val="hybridMultilevel"/>
    <w:tmpl w:val="B252A962"/>
    <w:lvl w:ilvl="0" w:tplc="42EE3758">
      <w:start w:val="24"/>
      <w:numFmt w:val="decimal"/>
      <w:lvlText w:val="%1."/>
      <w:lvlJc w:val="left"/>
      <w:pPr>
        <w:ind w:left="90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20AD8"/>
    <w:multiLevelType w:val="hybridMultilevel"/>
    <w:tmpl w:val="409033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9566E1"/>
    <w:multiLevelType w:val="hybridMultilevel"/>
    <w:tmpl w:val="3BE4ED16"/>
    <w:lvl w:ilvl="0" w:tplc="46743D2C">
      <w:start w:val="1"/>
      <w:numFmt w:val="decimal"/>
      <w:lvlText w:val="%1."/>
      <w:lvlJc w:val="left"/>
      <w:pPr>
        <w:ind w:left="45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AAF01A5"/>
    <w:multiLevelType w:val="hybridMultilevel"/>
    <w:tmpl w:val="8B2477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3070CD"/>
    <w:multiLevelType w:val="hybridMultilevel"/>
    <w:tmpl w:val="6A42DB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1C4329"/>
    <w:multiLevelType w:val="hybridMultilevel"/>
    <w:tmpl w:val="813A1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3004C"/>
    <w:multiLevelType w:val="hybridMultilevel"/>
    <w:tmpl w:val="12AA46CC"/>
    <w:lvl w:ilvl="0" w:tplc="0409000B">
      <w:start w:val="1"/>
      <w:numFmt w:val="bullet"/>
      <w:lvlText w:val=""/>
      <w:lvlJc w:val="left"/>
      <w:pPr>
        <w:tabs>
          <w:tab w:val="num" w:pos="555"/>
        </w:tabs>
        <w:ind w:left="555" w:hanging="555"/>
      </w:pPr>
      <w:rPr>
        <w:rFonts w:ascii="Wingdings" w:hAnsi="Wingdings" w:hint="default"/>
      </w:rPr>
    </w:lvl>
    <w:lvl w:ilvl="1" w:tplc="66949262">
      <w:start w:val="1"/>
      <w:numFmt w:val="bullet"/>
      <w:lvlText w:val=""/>
      <w:lvlJc w:val="left"/>
      <w:pPr>
        <w:tabs>
          <w:tab w:val="num" w:pos="1080"/>
        </w:tabs>
        <w:ind w:left="1080" w:hanging="360"/>
      </w:pPr>
      <w:rPr>
        <w:rFonts w:ascii="Marlett" w:hAnsi="Marlett" w:hint="default"/>
      </w:rPr>
    </w:lvl>
    <w:lvl w:ilvl="2" w:tplc="09708F56">
      <w:start w:val="1"/>
      <w:numFmt w:val="bullet"/>
      <w:lvlText w:val=""/>
      <w:lvlJc w:val="left"/>
      <w:pPr>
        <w:tabs>
          <w:tab w:val="num" w:pos="1980"/>
        </w:tabs>
        <w:ind w:left="1980" w:hanging="360"/>
      </w:pPr>
      <w:rPr>
        <w:rFonts w:ascii="Wingdings" w:eastAsia="Times New Roman"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0"/>
  </w:num>
  <w:num w:numId="3">
    <w:abstractNumId w:val="3"/>
  </w:num>
  <w:num w:numId="4">
    <w:abstractNumId w:val="13"/>
  </w:num>
  <w:num w:numId="5">
    <w:abstractNumId w:val="2"/>
  </w:num>
  <w:num w:numId="6">
    <w:abstractNumId w:val="8"/>
  </w:num>
  <w:num w:numId="7">
    <w:abstractNumId w:val="1"/>
  </w:num>
  <w:num w:numId="8">
    <w:abstractNumId w:val="16"/>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9"/>
  </w:num>
  <w:num w:numId="27">
    <w:abstractNumId w:val="7"/>
  </w:num>
  <w:num w:numId="28">
    <w:abstractNumId w:val="5"/>
  </w:num>
  <w:num w:numId="29">
    <w:abstractNumId w:val="18"/>
  </w:num>
  <w:num w:numId="30">
    <w:abstractNumId w:val="20"/>
  </w:num>
  <w:num w:numId="31">
    <w:abstractNumId w:val="15"/>
  </w:num>
  <w:num w:numId="32">
    <w:abstractNumId w:val="12"/>
  </w:num>
  <w:num w:numId="33">
    <w:abstractNumId w:val="11"/>
  </w:num>
  <w:num w:numId="34">
    <w:abstractNumId w:val="9"/>
  </w:num>
  <w:num w:numId="35">
    <w:abstractNumId w:val="17"/>
  </w:num>
  <w:num w:numId="36">
    <w:abstractNumId w:val="4"/>
  </w:num>
  <w:num w:numId="37">
    <w:abstractNumId w:val="1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19"/>
    <w:rsid w:val="00000323"/>
    <w:rsid w:val="0000047D"/>
    <w:rsid w:val="000006E3"/>
    <w:rsid w:val="0000365A"/>
    <w:rsid w:val="00004B5B"/>
    <w:rsid w:val="000056C0"/>
    <w:rsid w:val="00005A01"/>
    <w:rsid w:val="00010D9C"/>
    <w:rsid w:val="0001171C"/>
    <w:rsid w:val="000129D5"/>
    <w:rsid w:val="00013466"/>
    <w:rsid w:val="000176BE"/>
    <w:rsid w:val="00020E88"/>
    <w:rsid w:val="000212BD"/>
    <w:rsid w:val="0002229B"/>
    <w:rsid w:val="000243CC"/>
    <w:rsid w:val="00027D83"/>
    <w:rsid w:val="0003010E"/>
    <w:rsid w:val="00030BD7"/>
    <w:rsid w:val="00034E79"/>
    <w:rsid w:val="000353F4"/>
    <w:rsid w:val="0003586D"/>
    <w:rsid w:val="0004020E"/>
    <w:rsid w:val="00041951"/>
    <w:rsid w:val="00041953"/>
    <w:rsid w:val="00043065"/>
    <w:rsid w:val="000431B9"/>
    <w:rsid w:val="00045229"/>
    <w:rsid w:val="0004547C"/>
    <w:rsid w:val="00045DE0"/>
    <w:rsid w:val="00046321"/>
    <w:rsid w:val="000519BF"/>
    <w:rsid w:val="000532BD"/>
    <w:rsid w:val="0005438E"/>
    <w:rsid w:val="00054AF5"/>
    <w:rsid w:val="00060225"/>
    <w:rsid w:val="000608A5"/>
    <w:rsid w:val="00060BE1"/>
    <w:rsid w:val="0006120A"/>
    <w:rsid w:val="00061AA9"/>
    <w:rsid w:val="00064A1E"/>
    <w:rsid w:val="000655CE"/>
    <w:rsid w:val="00065FF9"/>
    <w:rsid w:val="000701B9"/>
    <w:rsid w:val="0007142F"/>
    <w:rsid w:val="00071B59"/>
    <w:rsid w:val="000728EF"/>
    <w:rsid w:val="00072F71"/>
    <w:rsid w:val="00074428"/>
    <w:rsid w:val="00077225"/>
    <w:rsid w:val="000812EF"/>
    <w:rsid w:val="000814AC"/>
    <w:rsid w:val="00082B37"/>
    <w:rsid w:val="00086190"/>
    <w:rsid w:val="00086756"/>
    <w:rsid w:val="00087F68"/>
    <w:rsid w:val="00091282"/>
    <w:rsid w:val="00092338"/>
    <w:rsid w:val="00094E03"/>
    <w:rsid w:val="00097DA7"/>
    <w:rsid w:val="000A5636"/>
    <w:rsid w:val="000A5C77"/>
    <w:rsid w:val="000A72F3"/>
    <w:rsid w:val="000B0238"/>
    <w:rsid w:val="000B1605"/>
    <w:rsid w:val="000B3591"/>
    <w:rsid w:val="000B50ED"/>
    <w:rsid w:val="000B5F20"/>
    <w:rsid w:val="000B6102"/>
    <w:rsid w:val="000B64C0"/>
    <w:rsid w:val="000B73AF"/>
    <w:rsid w:val="000B73D5"/>
    <w:rsid w:val="000C2B9B"/>
    <w:rsid w:val="000C3D8B"/>
    <w:rsid w:val="000C3F2B"/>
    <w:rsid w:val="000C4518"/>
    <w:rsid w:val="000C5158"/>
    <w:rsid w:val="000D023A"/>
    <w:rsid w:val="000D0797"/>
    <w:rsid w:val="000D27AD"/>
    <w:rsid w:val="000D486B"/>
    <w:rsid w:val="000D68DC"/>
    <w:rsid w:val="000E18BF"/>
    <w:rsid w:val="000E2454"/>
    <w:rsid w:val="000E284D"/>
    <w:rsid w:val="000E580A"/>
    <w:rsid w:val="000E636A"/>
    <w:rsid w:val="000E67EB"/>
    <w:rsid w:val="000F02CD"/>
    <w:rsid w:val="000F0883"/>
    <w:rsid w:val="000F1E2B"/>
    <w:rsid w:val="000F2318"/>
    <w:rsid w:val="000F33D2"/>
    <w:rsid w:val="000F362B"/>
    <w:rsid w:val="000F4DDB"/>
    <w:rsid w:val="000F4E33"/>
    <w:rsid w:val="000F5058"/>
    <w:rsid w:val="000F5115"/>
    <w:rsid w:val="000F53E3"/>
    <w:rsid w:val="000F65A3"/>
    <w:rsid w:val="000F6958"/>
    <w:rsid w:val="000F6A8F"/>
    <w:rsid w:val="000F6C8F"/>
    <w:rsid w:val="000F6D40"/>
    <w:rsid w:val="00100438"/>
    <w:rsid w:val="001023F7"/>
    <w:rsid w:val="0010474A"/>
    <w:rsid w:val="00105FCD"/>
    <w:rsid w:val="00106934"/>
    <w:rsid w:val="001072EA"/>
    <w:rsid w:val="00111E7E"/>
    <w:rsid w:val="001127DA"/>
    <w:rsid w:val="001160B6"/>
    <w:rsid w:val="001164BA"/>
    <w:rsid w:val="001171A7"/>
    <w:rsid w:val="001206D7"/>
    <w:rsid w:val="001210E3"/>
    <w:rsid w:val="00121A12"/>
    <w:rsid w:val="00121BE1"/>
    <w:rsid w:val="0012514F"/>
    <w:rsid w:val="00130602"/>
    <w:rsid w:val="001310C2"/>
    <w:rsid w:val="00131380"/>
    <w:rsid w:val="0013400F"/>
    <w:rsid w:val="00136DBE"/>
    <w:rsid w:val="00142B3B"/>
    <w:rsid w:val="00143CCB"/>
    <w:rsid w:val="00145E82"/>
    <w:rsid w:val="00151E9F"/>
    <w:rsid w:val="00153779"/>
    <w:rsid w:val="00155211"/>
    <w:rsid w:val="00156321"/>
    <w:rsid w:val="0015792A"/>
    <w:rsid w:val="00160210"/>
    <w:rsid w:val="00161050"/>
    <w:rsid w:val="00162CF3"/>
    <w:rsid w:val="001643C3"/>
    <w:rsid w:val="0016524A"/>
    <w:rsid w:val="00170147"/>
    <w:rsid w:val="001701C2"/>
    <w:rsid w:val="00170FA7"/>
    <w:rsid w:val="0017308D"/>
    <w:rsid w:val="00173398"/>
    <w:rsid w:val="0017370B"/>
    <w:rsid w:val="0017693E"/>
    <w:rsid w:val="00180E40"/>
    <w:rsid w:val="00181079"/>
    <w:rsid w:val="0018284F"/>
    <w:rsid w:val="0018305A"/>
    <w:rsid w:val="00183253"/>
    <w:rsid w:val="001835EB"/>
    <w:rsid w:val="0018467E"/>
    <w:rsid w:val="00185F4A"/>
    <w:rsid w:val="0018669D"/>
    <w:rsid w:val="00193EE6"/>
    <w:rsid w:val="00194233"/>
    <w:rsid w:val="001950F4"/>
    <w:rsid w:val="0019740B"/>
    <w:rsid w:val="00197A9C"/>
    <w:rsid w:val="001A007A"/>
    <w:rsid w:val="001A2FCB"/>
    <w:rsid w:val="001A38EF"/>
    <w:rsid w:val="001A3DB7"/>
    <w:rsid w:val="001A40AC"/>
    <w:rsid w:val="001B0C13"/>
    <w:rsid w:val="001B1C4C"/>
    <w:rsid w:val="001B42AF"/>
    <w:rsid w:val="001B5044"/>
    <w:rsid w:val="001B54BA"/>
    <w:rsid w:val="001B6768"/>
    <w:rsid w:val="001B71FD"/>
    <w:rsid w:val="001B767F"/>
    <w:rsid w:val="001B77CC"/>
    <w:rsid w:val="001C0F70"/>
    <w:rsid w:val="001C1BB4"/>
    <w:rsid w:val="001C1DE1"/>
    <w:rsid w:val="001C3173"/>
    <w:rsid w:val="001C51CD"/>
    <w:rsid w:val="001C6673"/>
    <w:rsid w:val="001C6B0F"/>
    <w:rsid w:val="001C754C"/>
    <w:rsid w:val="001C766E"/>
    <w:rsid w:val="001D19C4"/>
    <w:rsid w:val="001D4FB4"/>
    <w:rsid w:val="001D55AF"/>
    <w:rsid w:val="001D73C7"/>
    <w:rsid w:val="001D7672"/>
    <w:rsid w:val="001E198E"/>
    <w:rsid w:val="001E2686"/>
    <w:rsid w:val="001E715C"/>
    <w:rsid w:val="001E7D7C"/>
    <w:rsid w:val="001F0615"/>
    <w:rsid w:val="001F0E67"/>
    <w:rsid w:val="001F1477"/>
    <w:rsid w:val="001F1BE7"/>
    <w:rsid w:val="001F23A2"/>
    <w:rsid w:val="001F3375"/>
    <w:rsid w:val="001F5754"/>
    <w:rsid w:val="001F7DAF"/>
    <w:rsid w:val="001F7E90"/>
    <w:rsid w:val="00200957"/>
    <w:rsid w:val="00201A13"/>
    <w:rsid w:val="002020B3"/>
    <w:rsid w:val="00202FF2"/>
    <w:rsid w:val="00204F75"/>
    <w:rsid w:val="00205B5A"/>
    <w:rsid w:val="00205C70"/>
    <w:rsid w:val="00206530"/>
    <w:rsid w:val="002079E5"/>
    <w:rsid w:val="002112A4"/>
    <w:rsid w:val="00211A59"/>
    <w:rsid w:val="00213ED9"/>
    <w:rsid w:val="00220B99"/>
    <w:rsid w:val="00221727"/>
    <w:rsid w:val="00221935"/>
    <w:rsid w:val="00223172"/>
    <w:rsid w:val="00230322"/>
    <w:rsid w:val="0023078E"/>
    <w:rsid w:val="00230E88"/>
    <w:rsid w:val="0023135D"/>
    <w:rsid w:val="00233210"/>
    <w:rsid w:val="002339D1"/>
    <w:rsid w:val="002348E4"/>
    <w:rsid w:val="00235BAF"/>
    <w:rsid w:val="00236910"/>
    <w:rsid w:val="0024157D"/>
    <w:rsid w:val="00242ED3"/>
    <w:rsid w:val="00243C43"/>
    <w:rsid w:val="002457C2"/>
    <w:rsid w:val="00245D7B"/>
    <w:rsid w:val="00247DFA"/>
    <w:rsid w:val="002514E1"/>
    <w:rsid w:val="00251A3A"/>
    <w:rsid w:val="00252B8A"/>
    <w:rsid w:val="002542CC"/>
    <w:rsid w:val="0025613B"/>
    <w:rsid w:val="002576C9"/>
    <w:rsid w:val="00260F32"/>
    <w:rsid w:val="00261EBD"/>
    <w:rsid w:val="002622CA"/>
    <w:rsid w:val="00267F29"/>
    <w:rsid w:val="00270BCC"/>
    <w:rsid w:val="002718B5"/>
    <w:rsid w:val="00272061"/>
    <w:rsid w:val="00274D8F"/>
    <w:rsid w:val="00280EB6"/>
    <w:rsid w:val="002814D7"/>
    <w:rsid w:val="002855F8"/>
    <w:rsid w:val="00286D6F"/>
    <w:rsid w:val="00292D15"/>
    <w:rsid w:val="00293817"/>
    <w:rsid w:val="002957B5"/>
    <w:rsid w:val="002A018F"/>
    <w:rsid w:val="002A1314"/>
    <w:rsid w:val="002A3112"/>
    <w:rsid w:val="002A4E33"/>
    <w:rsid w:val="002A68AB"/>
    <w:rsid w:val="002B0221"/>
    <w:rsid w:val="002B053A"/>
    <w:rsid w:val="002B08E7"/>
    <w:rsid w:val="002B16FE"/>
    <w:rsid w:val="002B1AAA"/>
    <w:rsid w:val="002B1F15"/>
    <w:rsid w:val="002B3951"/>
    <w:rsid w:val="002B5599"/>
    <w:rsid w:val="002B66F7"/>
    <w:rsid w:val="002B7293"/>
    <w:rsid w:val="002C0041"/>
    <w:rsid w:val="002C1B5D"/>
    <w:rsid w:val="002C1CBE"/>
    <w:rsid w:val="002C71A5"/>
    <w:rsid w:val="002D1498"/>
    <w:rsid w:val="002D2EC9"/>
    <w:rsid w:val="002D3714"/>
    <w:rsid w:val="002D378F"/>
    <w:rsid w:val="002D38A4"/>
    <w:rsid w:val="002D48BA"/>
    <w:rsid w:val="002D5FC5"/>
    <w:rsid w:val="002D7420"/>
    <w:rsid w:val="002E070B"/>
    <w:rsid w:val="002E39F2"/>
    <w:rsid w:val="002E4187"/>
    <w:rsid w:val="002E5E7C"/>
    <w:rsid w:val="002E7DFD"/>
    <w:rsid w:val="002F053C"/>
    <w:rsid w:val="002F09C3"/>
    <w:rsid w:val="002F333F"/>
    <w:rsid w:val="002F33D2"/>
    <w:rsid w:val="002F3C87"/>
    <w:rsid w:val="002F3EF1"/>
    <w:rsid w:val="002F4815"/>
    <w:rsid w:val="002F5810"/>
    <w:rsid w:val="002F5B71"/>
    <w:rsid w:val="002F60E4"/>
    <w:rsid w:val="002F6771"/>
    <w:rsid w:val="002F6F7C"/>
    <w:rsid w:val="003007FD"/>
    <w:rsid w:val="0030164C"/>
    <w:rsid w:val="00305D03"/>
    <w:rsid w:val="00306676"/>
    <w:rsid w:val="00306708"/>
    <w:rsid w:val="00310C4A"/>
    <w:rsid w:val="00311BA4"/>
    <w:rsid w:val="00311FB1"/>
    <w:rsid w:val="00317DC6"/>
    <w:rsid w:val="0032199A"/>
    <w:rsid w:val="0032299F"/>
    <w:rsid w:val="003234BA"/>
    <w:rsid w:val="003242CB"/>
    <w:rsid w:val="0032433F"/>
    <w:rsid w:val="00324F2D"/>
    <w:rsid w:val="0032540E"/>
    <w:rsid w:val="00325E0C"/>
    <w:rsid w:val="003260B8"/>
    <w:rsid w:val="00326428"/>
    <w:rsid w:val="00327EEE"/>
    <w:rsid w:val="00330C00"/>
    <w:rsid w:val="0033168A"/>
    <w:rsid w:val="00331ECB"/>
    <w:rsid w:val="00335953"/>
    <w:rsid w:val="003375C5"/>
    <w:rsid w:val="00341B6F"/>
    <w:rsid w:val="00341CC7"/>
    <w:rsid w:val="003422BE"/>
    <w:rsid w:val="00343763"/>
    <w:rsid w:val="00343F69"/>
    <w:rsid w:val="00344B4C"/>
    <w:rsid w:val="00347A77"/>
    <w:rsid w:val="003502C4"/>
    <w:rsid w:val="00352455"/>
    <w:rsid w:val="003529E7"/>
    <w:rsid w:val="00354478"/>
    <w:rsid w:val="00355111"/>
    <w:rsid w:val="00356EA8"/>
    <w:rsid w:val="003572DC"/>
    <w:rsid w:val="003600CC"/>
    <w:rsid w:val="00360637"/>
    <w:rsid w:val="00362BD5"/>
    <w:rsid w:val="003646F8"/>
    <w:rsid w:val="0036473C"/>
    <w:rsid w:val="00364E7D"/>
    <w:rsid w:val="0036663F"/>
    <w:rsid w:val="00371EF0"/>
    <w:rsid w:val="003729F6"/>
    <w:rsid w:val="00372EC3"/>
    <w:rsid w:val="003735C4"/>
    <w:rsid w:val="00373BB7"/>
    <w:rsid w:val="00374E71"/>
    <w:rsid w:val="00376636"/>
    <w:rsid w:val="003770B8"/>
    <w:rsid w:val="00377486"/>
    <w:rsid w:val="0038111E"/>
    <w:rsid w:val="003821A1"/>
    <w:rsid w:val="003921A4"/>
    <w:rsid w:val="003933CC"/>
    <w:rsid w:val="00393908"/>
    <w:rsid w:val="00397BB9"/>
    <w:rsid w:val="00397C58"/>
    <w:rsid w:val="003A091F"/>
    <w:rsid w:val="003A0D5B"/>
    <w:rsid w:val="003A13C7"/>
    <w:rsid w:val="003A4056"/>
    <w:rsid w:val="003A46EE"/>
    <w:rsid w:val="003A4F38"/>
    <w:rsid w:val="003A574F"/>
    <w:rsid w:val="003A66B4"/>
    <w:rsid w:val="003A6EE2"/>
    <w:rsid w:val="003B0E3D"/>
    <w:rsid w:val="003B0FD1"/>
    <w:rsid w:val="003B15F0"/>
    <w:rsid w:val="003B1732"/>
    <w:rsid w:val="003B28E8"/>
    <w:rsid w:val="003B5C2C"/>
    <w:rsid w:val="003B6188"/>
    <w:rsid w:val="003C1B1F"/>
    <w:rsid w:val="003C25DA"/>
    <w:rsid w:val="003C2BCA"/>
    <w:rsid w:val="003C35D8"/>
    <w:rsid w:val="003C5145"/>
    <w:rsid w:val="003C5932"/>
    <w:rsid w:val="003C709F"/>
    <w:rsid w:val="003D057B"/>
    <w:rsid w:val="003D116C"/>
    <w:rsid w:val="003D1280"/>
    <w:rsid w:val="003D32FF"/>
    <w:rsid w:val="003D35EE"/>
    <w:rsid w:val="003D446C"/>
    <w:rsid w:val="003D66F2"/>
    <w:rsid w:val="003D7973"/>
    <w:rsid w:val="003D7FC6"/>
    <w:rsid w:val="003E0880"/>
    <w:rsid w:val="003E0976"/>
    <w:rsid w:val="003E26BF"/>
    <w:rsid w:val="003E2B6C"/>
    <w:rsid w:val="003E65C0"/>
    <w:rsid w:val="003E71DA"/>
    <w:rsid w:val="003F2411"/>
    <w:rsid w:val="003F3F02"/>
    <w:rsid w:val="003F5D85"/>
    <w:rsid w:val="003F5E3C"/>
    <w:rsid w:val="003F6C4D"/>
    <w:rsid w:val="00400642"/>
    <w:rsid w:val="00400767"/>
    <w:rsid w:val="00402F1F"/>
    <w:rsid w:val="004040BC"/>
    <w:rsid w:val="00404ACA"/>
    <w:rsid w:val="00404F79"/>
    <w:rsid w:val="004125B2"/>
    <w:rsid w:val="00413714"/>
    <w:rsid w:val="00413B09"/>
    <w:rsid w:val="00413CF3"/>
    <w:rsid w:val="00415F33"/>
    <w:rsid w:val="0041760E"/>
    <w:rsid w:val="00420474"/>
    <w:rsid w:val="00420BC9"/>
    <w:rsid w:val="00422248"/>
    <w:rsid w:val="00422601"/>
    <w:rsid w:val="004232F0"/>
    <w:rsid w:val="004234CA"/>
    <w:rsid w:val="00423DEC"/>
    <w:rsid w:val="00423E9B"/>
    <w:rsid w:val="004243E9"/>
    <w:rsid w:val="00425B67"/>
    <w:rsid w:val="00425F28"/>
    <w:rsid w:val="00432973"/>
    <w:rsid w:val="00434FEC"/>
    <w:rsid w:val="004356A9"/>
    <w:rsid w:val="004405EC"/>
    <w:rsid w:val="00440C7D"/>
    <w:rsid w:val="00441EBF"/>
    <w:rsid w:val="004424C0"/>
    <w:rsid w:val="00442C5C"/>
    <w:rsid w:val="004430FF"/>
    <w:rsid w:val="00444D37"/>
    <w:rsid w:val="00444D5F"/>
    <w:rsid w:val="00447E22"/>
    <w:rsid w:val="00450414"/>
    <w:rsid w:val="004516B1"/>
    <w:rsid w:val="00451F14"/>
    <w:rsid w:val="00453969"/>
    <w:rsid w:val="00454088"/>
    <w:rsid w:val="004551E1"/>
    <w:rsid w:val="004552B4"/>
    <w:rsid w:val="004567E9"/>
    <w:rsid w:val="00456ECA"/>
    <w:rsid w:val="00457A13"/>
    <w:rsid w:val="00457F23"/>
    <w:rsid w:val="004601EF"/>
    <w:rsid w:val="00460C95"/>
    <w:rsid w:val="00462464"/>
    <w:rsid w:val="004629D5"/>
    <w:rsid w:val="00462A81"/>
    <w:rsid w:val="00465EF2"/>
    <w:rsid w:val="00465F90"/>
    <w:rsid w:val="00466BFA"/>
    <w:rsid w:val="0046746E"/>
    <w:rsid w:val="00467E0F"/>
    <w:rsid w:val="004725C5"/>
    <w:rsid w:val="00472B16"/>
    <w:rsid w:val="00473C02"/>
    <w:rsid w:val="00476A82"/>
    <w:rsid w:val="00477D25"/>
    <w:rsid w:val="004801ED"/>
    <w:rsid w:val="00480BC4"/>
    <w:rsid w:val="00481229"/>
    <w:rsid w:val="00482D93"/>
    <w:rsid w:val="00483278"/>
    <w:rsid w:val="004837F4"/>
    <w:rsid w:val="00483E65"/>
    <w:rsid w:val="00483FAA"/>
    <w:rsid w:val="004841AB"/>
    <w:rsid w:val="00484538"/>
    <w:rsid w:val="00484791"/>
    <w:rsid w:val="00486379"/>
    <w:rsid w:val="0048770C"/>
    <w:rsid w:val="004878E9"/>
    <w:rsid w:val="004901C4"/>
    <w:rsid w:val="00490E1A"/>
    <w:rsid w:val="004920A3"/>
    <w:rsid w:val="004922D2"/>
    <w:rsid w:val="004949C8"/>
    <w:rsid w:val="00495376"/>
    <w:rsid w:val="0049655E"/>
    <w:rsid w:val="004971D8"/>
    <w:rsid w:val="004A01B3"/>
    <w:rsid w:val="004A05AE"/>
    <w:rsid w:val="004A7FCA"/>
    <w:rsid w:val="004B1784"/>
    <w:rsid w:val="004B1B06"/>
    <w:rsid w:val="004B46A9"/>
    <w:rsid w:val="004B47D8"/>
    <w:rsid w:val="004B521C"/>
    <w:rsid w:val="004C0AD6"/>
    <w:rsid w:val="004C0B79"/>
    <w:rsid w:val="004C2D71"/>
    <w:rsid w:val="004C4FBE"/>
    <w:rsid w:val="004C561A"/>
    <w:rsid w:val="004C5FB2"/>
    <w:rsid w:val="004C6CF9"/>
    <w:rsid w:val="004C722B"/>
    <w:rsid w:val="004C73FC"/>
    <w:rsid w:val="004C7AE7"/>
    <w:rsid w:val="004C7C77"/>
    <w:rsid w:val="004D1DA1"/>
    <w:rsid w:val="004D20E1"/>
    <w:rsid w:val="004D3ACA"/>
    <w:rsid w:val="004D4BE7"/>
    <w:rsid w:val="004D6662"/>
    <w:rsid w:val="004E0F6B"/>
    <w:rsid w:val="004E3B77"/>
    <w:rsid w:val="004E3D91"/>
    <w:rsid w:val="004E59F7"/>
    <w:rsid w:val="004F032A"/>
    <w:rsid w:val="004F0C43"/>
    <w:rsid w:val="004F12BD"/>
    <w:rsid w:val="004F2020"/>
    <w:rsid w:val="004F2FC3"/>
    <w:rsid w:val="004F4307"/>
    <w:rsid w:val="004F6310"/>
    <w:rsid w:val="004F6983"/>
    <w:rsid w:val="004F6A98"/>
    <w:rsid w:val="004F7F40"/>
    <w:rsid w:val="00501E4E"/>
    <w:rsid w:val="0050236B"/>
    <w:rsid w:val="00502724"/>
    <w:rsid w:val="0050274B"/>
    <w:rsid w:val="00502C43"/>
    <w:rsid w:val="00502DC4"/>
    <w:rsid w:val="00504ECE"/>
    <w:rsid w:val="005057AF"/>
    <w:rsid w:val="00507168"/>
    <w:rsid w:val="0051242E"/>
    <w:rsid w:val="005134D5"/>
    <w:rsid w:val="00513B58"/>
    <w:rsid w:val="005141F6"/>
    <w:rsid w:val="00514AAB"/>
    <w:rsid w:val="00514FF1"/>
    <w:rsid w:val="00517A7F"/>
    <w:rsid w:val="005227A5"/>
    <w:rsid w:val="0052633F"/>
    <w:rsid w:val="00526697"/>
    <w:rsid w:val="00532577"/>
    <w:rsid w:val="005332F6"/>
    <w:rsid w:val="00533EC3"/>
    <w:rsid w:val="00535A28"/>
    <w:rsid w:val="005366F7"/>
    <w:rsid w:val="005414E5"/>
    <w:rsid w:val="005449D4"/>
    <w:rsid w:val="00544D64"/>
    <w:rsid w:val="0054621B"/>
    <w:rsid w:val="005465F5"/>
    <w:rsid w:val="0054707A"/>
    <w:rsid w:val="00550F6A"/>
    <w:rsid w:val="00553B29"/>
    <w:rsid w:val="00553B89"/>
    <w:rsid w:val="00554A35"/>
    <w:rsid w:val="005551DB"/>
    <w:rsid w:val="0055561A"/>
    <w:rsid w:val="00555F1A"/>
    <w:rsid w:val="00557192"/>
    <w:rsid w:val="0056364E"/>
    <w:rsid w:val="005657E3"/>
    <w:rsid w:val="005658AB"/>
    <w:rsid w:val="00565C07"/>
    <w:rsid w:val="00566A7B"/>
    <w:rsid w:val="005677EB"/>
    <w:rsid w:val="00574AF9"/>
    <w:rsid w:val="0058484D"/>
    <w:rsid w:val="00590314"/>
    <w:rsid w:val="00591AEB"/>
    <w:rsid w:val="00592D3E"/>
    <w:rsid w:val="00593D62"/>
    <w:rsid w:val="00594E7D"/>
    <w:rsid w:val="00597EEB"/>
    <w:rsid w:val="005A3905"/>
    <w:rsid w:val="005A3E18"/>
    <w:rsid w:val="005A4B3B"/>
    <w:rsid w:val="005A58D5"/>
    <w:rsid w:val="005A66F4"/>
    <w:rsid w:val="005A6720"/>
    <w:rsid w:val="005A695D"/>
    <w:rsid w:val="005A7311"/>
    <w:rsid w:val="005A73FC"/>
    <w:rsid w:val="005B1C3D"/>
    <w:rsid w:val="005B2793"/>
    <w:rsid w:val="005B3408"/>
    <w:rsid w:val="005B59B9"/>
    <w:rsid w:val="005B5B94"/>
    <w:rsid w:val="005C0C73"/>
    <w:rsid w:val="005C197B"/>
    <w:rsid w:val="005C265D"/>
    <w:rsid w:val="005C34C9"/>
    <w:rsid w:val="005C35A3"/>
    <w:rsid w:val="005C3BDB"/>
    <w:rsid w:val="005C3D95"/>
    <w:rsid w:val="005C458B"/>
    <w:rsid w:val="005C5296"/>
    <w:rsid w:val="005C551A"/>
    <w:rsid w:val="005C5A28"/>
    <w:rsid w:val="005C5B90"/>
    <w:rsid w:val="005C7653"/>
    <w:rsid w:val="005D01BC"/>
    <w:rsid w:val="005D156C"/>
    <w:rsid w:val="005D22E9"/>
    <w:rsid w:val="005D2480"/>
    <w:rsid w:val="005D5753"/>
    <w:rsid w:val="005D69B3"/>
    <w:rsid w:val="005D77F3"/>
    <w:rsid w:val="005E1E8D"/>
    <w:rsid w:val="005E20C8"/>
    <w:rsid w:val="005E4397"/>
    <w:rsid w:val="005E44F8"/>
    <w:rsid w:val="005E49B0"/>
    <w:rsid w:val="005E5949"/>
    <w:rsid w:val="005F0131"/>
    <w:rsid w:val="005F27D5"/>
    <w:rsid w:val="005F2E6D"/>
    <w:rsid w:val="005F560D"/>
    <w:rsid w:val="005F73E6"/>
    <w:rsid w:val="00600426"/>
    <w:rsid w:val="00600D83"/>
    <w:rsid w:val="006024B0"/>
    <w:rsid w:val="00603B81"/>
    <w:rsid w:val="0060544B"/>
    <w:rsid w:val="00605A19"/>
    <w:rsid w:val="00605E6A"/>
    <w:rsid w:val="0060694B"/>
    <w:rsid w:val="00606AEB"/>
    <w:rsid w:val="00607E41"/>
    <w:rsid w:val="00610791"/>
    <w:rsid w:val="00611969"/>
    <w:rsid w:val="00611ABB"/>
    <w:rsid w:val="00611AFF"/>
    <w:rsid w:val="006157D0"/>
    <w:rsid w:val="00615A07"/>
    <w:rsid w:val="00615E96"/>
    <w:rsid w:val="0061677E"/>
    <w:rsid w:val="00617335"/>
    <w:rsid w:val="006223A0"/>
    <w:rsid w:val="006229E5"/>
    <w:rsid w:val="00624045"/>
    <w:rsid w:val="0062422B"/>
    <w:rsid w:val="006257ED"/>
    <w:rsid w:val="006258B9"/>
    <w:rsid w:val="00625B5E"/>
    <w:rsid w:val="00625E22"/>
    <w:rsid w:val="00626323"/>
    <w:rsid w:val="0062705A"/>
    <w:rsid w:val="006272C8"/>
    <w:rsid w:val="0062784E"/>
    <w:rsid w:val="00630B1F"/>
    <w:rsid w:val="00631152"/>
    <w:rsid w:val="006339F7"/>
    <w:rsid w:val="00633B8D"/>
    <w:rsid w:val="006369F1"/>
    <w:rsid w:val="006372B2"/>
    <w:rsid w:val="00637B38"/>
    <w:rsid w:val="006420BF"/>
    <w:rsid w:val="00643FB4"/>
    <w:rsid w:val="00645A2A"/>
    <w:rsid w:val="00650333"/>
    <w:rsid w:val="00652475"/>
    <w:rsid w:val="00653694"/>
    <w:rsid w:val="00655D93"/>
    <w:rsid w:val="00656775"/>
    <w:rsid w:val="00661629"/>
    <w:rsid w:val="0066387B"/>
    <w:rsid w:val="00665F3F"/>
    <w:rsid w:val="00666FBA"/>
    <w:rsid w:val="00667546"/>
    <w:rsid w:val="006709FE"/>
    <w:rsid w:val="00672B37"/>
    <w:rsid w:val="006757DF"/>
    <w:rsid w:val="006767B2"/>
    <w:rsid w:val="006773B9"/>
    <w:rsid w:val="00680591"/>
    <w:rsid w:val="00682861"/>
    <w:rsid w:val="00684440"/>
    <w:rsid w:val="006845EE"/>
    <w:rsid w:val="00684939"/>
    <w:rsid w:val="0068499A"/>
    <w:rsid w:val="006868D7"/>
    <w:rsid w:val="00687190"/>
    <w:rsid w:val="00687D5C"/>
    <w:rsid w:val="006924A8"/>
    <w:rsid w:val="0069308A"/>
    <w:rsid w:val="00693119"/>
    <w:rsid w:val="00693A4F"/>
    <w:rsid w:val="0069482B"/>
    <w:rsid w:val="00694CC0"/>
    <w:rsid w:val="00696609"/>
    <w:rsid w:val="00697D0D"/>
    <w:rsid w:val="006A1412"/>
    <w:rsid w:val="006A34FF"/>
    <w:rsid w:val="006A5167"/>
    <w:rsid w:val="006A5318"/>
    <w:rsid w:val="006A5F55"/>
    <w:rsid w:val="006A655A"/>
    <w:rsid w:val="006A7800"/>
    <w:rsid w:val="006A7DEF"/>
    <w:rsid w:val="006B0788"/>
    <w:rsid w:val="006B087A"/>
    <w:rsid w:val="006B4BF5"/>
    <w:rsid w:val="006B525C"/>
    <w:rsid w:val="006B5B07"/>
    <w:rsid w:val="006C1EE9"/>
    <w:rsid w:val="006C2409"/>
    <w:rsid w:val="006C343C"/>
    <w:rsid w:val="006C3689"/>
    <w:rsid w:val="006C4097"/>
    <w:rsid w:val="006C50CD"/>
    <w:rsid w:val="006D2D79"/>
    <w:rsid w:val="006D336C"/>
    <w:rsid w:val="006D4716"/>
    <w:rsid w:val="006D48CF"/>
    <w:rsid w:val="006D7865"/>
    <w:rsid w:val="006E0C6D"/>
    <w:rsid w:val="006E1371"/>
    <w:rsid w:val="006E24DB"/>
    <w:rsid w:val="006E431F"/>
    <w:rsid w:val="006E43CE"/>
    <w:rsid w:val="006E5D4D"/>
    <w:rsid w:val="006E5E62"/>
    <w:rsid w:val="006E5E6C"/>
    <w:rsid w:val="006E630E"/>
    <w:rsid w:val="006E69DD"/>
    <w:rsid w:val="006E6B7C"/>
    <w:rsid w:val="006E743D"/>
    <w:rsid w:val="006F0312"/>
    <w:rsid w:val="006F0494"/>
    <w:rsid w:val="006F1979"/>
    <w:rsid w:val="006F280D"/>
    <w:rsid w:val="006F2F8B"/>
    <w:rsid w:val="006F3440"/>
    <w:rsid w:val="006F4417"/>
    <w:rsid w:val="006F5A79"/>
    <w:rsid w:val="006F5B83"/>
    <w:rsid w:val="006F6F27"/>
    <w:rsid w:val="006F7FB6"/>
    <w:rsid w:val="00700FBF"/>
    <w:rsid w:val="00702F36"/>
    <w:rsid w:val="007036FA"/>
    <w:rsid w:val="00703CF6"/>
    <w:rsid w:val="00703EAA"/>
    <w:rsid w:val="007071B5"/>
    <w:rsid w:val="00712242"/>
    <w:rsid w:val="007124C1"/>
    <w:rsid w:val="00712AA8"/>
    <w:rsid w:val="00713D1C"/>
    <w:rsid w:val="0071489C"/>
    <w:rsid w:val="00714BEB"/>
    <w:rsid w:val="007162C7"/>
    <w:rsid w:val="00717847"/>
    <w:rsid w:val="00720FFB"/>
    <w:rsid w:val="007212F7"/>
    <w:rsid w:val="00722892"/>
    <w:rsid w:val="00724293"/>
    <w:rsid w:val="00724313"/>
    <w:rsid w:val="00726EB0"/>
    <w:rsid w:val="00727773"/>
    <w:rsid w:val="00727A67"/>
    <w:rsid w:val="00727BAD"/>
    <w:rsid w:val="00731D90"/>
    <w:rsid w:val="00732EFC"/>
    <w:rsid w:val="00733173"/>
    <w:rsid w:val="007332A4"/>
    <w:rsid w:val="00734DA2"/>
    <w:rsid w:val="00735805"/>
    <w:rsid w:val="00736C3E"/>
    <w:rsid w:val="0073775A"/>
    <w:rsid w:val="00740802"/>
    <w:rsid w:val="0074218D"/>
    <w:rsid w:val="00742532"/>
    <w:rsid w:val="007425B5"/>
    <w:rsid w:val="00742764"/>
    <w:rsid w:val="00742D50"/>
    <w:rsid w:val="00744F07"/>
    <w:rsid w:val="007458E2"/>
    <w:rsid w:val="007466D4"/>
    <w:rsid w:val="007500A8"/>
    <w:rsid w:val="00752C35"/>
    <w:rsid w:val="00753152"/>
    <w:rsid w:val="007544C5"/>
    <w:rsid w:val="00755D25"/>
    <w:rsid w:val="00756DB1"/>
    <w:rsid w:val="007579F4"/>
    <w:rsid w:val="0076016E"/>
    <w:rsid w:val="007603D0"/>
    <w:rsid w:val="0076140A"/>
    <w:rsid w:val="00761FE0"/>
    <w:rsid w:val="0076551C"/>
    <w:rsid w:val="0076663F"/>
    <w:rsid w:val="00770037"/>
    <w:rsid w:val="00774C58"/>
    <w:rsid w:val="00775420"/>
    <w:rsid w:val="00776443"/>
    <w:rsid w:val="00781B09"/>
    <w:rsid w:val="00781EDA"/>
    <w:rsid w:val="00782B60"/>
    <w:rsid w:val="00782D09"/>
    <w:rsid w:val="00783006"/>
    <w:rsid w:val="007835B7"/>
    <w:rsid w:val="00784AF0"/>
    <w:rsid w:val="0078687C"/>
    <w:rsid w:val="007869A7"/>
    <w:rsid w:val="00786C55"/>
    <w:rsid w:val="00786FB6"/>
    <w:rsid w:val="00791A29"/>
    <w:rsid w:val="0079416F"/>
    <w:rsid w:val="007969AA"/>
    <w:rsid w:val="00796B92"/>
    <w:rsid w:val="007A0AFC"/>
    <w:rsid w:val="007A0D61"/>
    <w:rsid w:val="007A27B7"/>
    <w:rsid w:val="007A384B"/>
    <w:rsid w:val="007A4F7C"/>
    <w:rsid w:val="007A6347"/>
    <w:rsid w:val="007B257E"/>
    <w:rsid w:val="007B32CC"/>
    <w:rsid w:val="007B3763"/>
    <w:rsid w:val="007B45BE"/>
    <w:rsid w:val="007B4A68"/>
    <w:rsid w:val="007B5CD4"/>
    <w:rsid w:val="007B6EBD"/>
    <w:rsid w:val="007C052C"/>
    <w:rsid w:val="007C2D48"/>
    <w:rsid w:val="007C3A61"/>
    <w:rsid w:val="007C6F3F"/>
    <w:rsid w:val="007C7B2F"/>
    <w:rsid w:val="007D0FE1"/>
    <w:rsid w:val="007D13BA"/>
    <w:rsid w:val="007D214B"/>
    <w:rsid w:val="007D3686"/>
    <w:rsid w:val="007D36CA"/>
    <w:rsid w:val="007D5882"/>
    <w:rsid w:val="007D6260"/>
    <w:rsid w:val="007D66BE"/>
    <w:rsid w:val="007E1291"/>
    <w:rsid w:val="007E1D4E"/>
    <w:rsid w:val="007E24E4"/>
    <w:rsid w:val="007E3493"/>
    <w:rsid w:val="007E5DB5"/>
    <w:rsid w:val="007E6898"/>
    <w:rsid w:val="007F1060"/>
    <w:rsid w:val="007F2C3C"/>
    <w:rsid w:val="007F3849"/>
    <w:rsid w:val="007F5E81"/>
    <w:rsid w:val="007F5F1A"/>
    <w:rsid w:val="007F6991"/>
    <w:rsid w:val="00800518"/>
    <w:rsid w:val="00801CA9"/>
    <w:rsid w:val="008045E0"/>
    <w:rsid w:val="0080467C"/>
    <w:rsid w:val="00805852"/>
    <w:rsid w:val="0080664B"/>
    <w:rsid w:val="00807240"/>
    <w:rsid w:val="00811681"/>
    <w:rsid w:val="00811D1F"/>
    <w:rsid w:val="00812010"/>
    <w:rsid w:val="00813F2F"/>
    <w:rsid w:val="00815F0B"/>
    <w:rsid w:val="00816C8F"/>
    <w:rsid w:val="00820158"/>
    <w:rsid w:val="00821145"/>
    <w:rsid w:val="00822FED"/>
    <w:rsid w:val="00824508"/>
    <w:rsid w:val="0082592F"/>
    <w:rsid w:val="00825C14"/>
    <w:rsid w:val="00826C4F"/>
    <w:rsid w:val="00826D3C"/>
    <w:rsid w:val="00827388"/>
    <w:rsid w:val="00827AC3"/>
    <w:rsid w:val="00834D49"/>
    <w:rsid w:val="008364BE"/>
    <w:rsid w:val="00837817"/>
    <w:rsid w:val="00842219"/>
    <w:rsid w:val="0084242A"/>
    <w:rsid w:val="00843AE4"/>
    <w:rsid w:val="008441F3"/>
    <w:rsid w:val="00845141"/>
    <w:rsid w:val="00845A49"/>
    <w:rsid w:val="00845D0E"/>
    <w:rsid w:val="00845F56"/>
    <w:rsid w:val="00846BA9"/>
    <w:rsid w:val="00847D21"/>
    <w:rsid w:val="00851D59"/>
    <w:rsid w:val="0085208F"/>
    <w:rsid w:val="0085233C"/>
    <w:rsid w:val="00853B94"/>
    <w:rsid w:val="00856E41"/>
    <w:rsid w:val="00860D27"/>
    <w:rsid w:val="008617BE"/>
    <w:rsid w:val="00862065"/>
    <w:rsid w:val="008709E4"/>
    <w:rsid w:val="00870A77"/>
    <w:rsid w:val="00870E9F"/>
    <w:rsid w:val="00870F33"/>
    <w:rsid w:val="00871B61"/>
    <w:rsid w:val="00871FEC"/>
    <w:rsid w:val="008728F3"/>
    <w:rsid w:val="00873806"/>
    <w:rsid w:val="0087556E"/>
    <w:rsid w:val="00875ADF"/>
    <w:rsid w:val="00876227"/>
    <w:rsid w:val="00876368"/>
    <w:rsid w:val="008764FF"/>
    <w:rsid w:val="00877451"/>
    <w:rsid w:val="00877AD8"/>
    <w:rsid w:val="00881713"/>
    <w:rsid w:val="00882C5C"/>
    <w:rsid w:val="008852F0"/>
    <w:rsid w:val="008871B0"/>
    <w:rsid w:val="008879AF"/>
    <w:rsid w:val="00891157"/>
    <w:rsid w:val="008917B8"/>
    <w:rsid w:val="00892944"/>
    <w:rsid w:val="00893D8B"/>
    <w:rsid w:val="00893DFA"/>
    <w:rsid w:val="0089486F"/>
    <w:rsid w:val="00895979"/>
    <w:rsid w:val="008969B2"/>
    <w:rsid w:val="00896EBB"/>
    <w:rsid w:val="0089759B"/>
    <w:rsid w:val="00897B35"/>
    <w:rsid w:val="008A01B0"/>
    <w:rsid w:val="008A07E7"/>
    <w:rsid w:val="008A251C"/>
    <w:rsid w:val="008A2971"/>
    <w:rsid w:val="008A46EF"/>
    <w:rsid w:val="008A55E1"/>
    <w:rsid w:val="008A569F"/>
    <w:rsid w:val="008A5CBE"/>
    <w:rsid w:val="008A7D51"/>
    <w:rsid w:val="008B1993"/>
    <w:rsid w:val="008B396F"/>
    <w:rsid w:val="008B650E"/>
    <w:rsid w:val="008C0246"/>
    <w:rsid w:val="008C27E9"/>
    <w:rsid w:val="008C287B"/>
    <w:rsid w:val="008C398E"/>
    <w:rsid w:val="008C78F3"/>
    <w:rsid w:val="008C7B8A"/>
    <w:rsid w:val="008D0B9C"/>
    <w:rsid w:val="008D2C6B"/>
    <w:rsid w:val="008D420F"/>
    <w:rsid w:val="008D4981"/>
    <w:rsid w:val="008D4FC0"/>
    <w:rsid w:val="008D7579"/>
    <w:rsid w:val="008E202E"/>
    <w:rsid w:val="008E2361"/>
    <w:rsid w:val="008E252F"/>
    <w:rsid w:val="008E33A7"/>
    <w:rsid w:val="008E3EA1"/>
    <w:rsid w:val="008E4F99"/>
    <w:rsid w:val="008E5961"/>
    <w:rsid w:val="008E5F08"/>
    <w:rsid w:val="008F06C1"/>
    <w:rsid w:val="008F2658"/>
    <w:rsid w:val="008F2F0D"/>
    <w:rsid w:val="008F4783"/>
    <w:rsid w:val="008F4805"/>
    <w:rsid w:val="008F4F46"/>
    <w:rsid w:val="00901040"/>
    <w:rsid w:val="0090363A"/>
    <w:rsid w:val="00903F56"/>
    <w:rsid w:val="0090486D"/>
    <w:rsid w:val="00907530"/>
    <w:rsid w:val="0091015D"/>
    <w:rsid w:val="009116D6"/>
    <w:rsid w:val="00911917"/>
    <w:rsid w:val="00911EA5"/>
    <w:rsid w:val="00912BBA"/>
    <w:rsid w:val="00912C2B"/>
    <w:rsid w:val="00913145"/>
    <w:rsid w:val="00913EF5"/>
    <w:rsid w:val="0091435A"/>
    <w:rsid w:val="0091540F"/>
    <w:rsid w:val="00915B7D"/>
    <w:rsid w:val="00920705"/>
    <w:rsid w:val="00920D28"/>
    <w:rsid w:val="00921077"/>
    <w:rsid w:val="0092368F"/>
    <w:rsid w:val="00923F1D"/>
    <w:rsid w:val="00924E38"/>
    <w:rsid w:val="009259B0"/>
    <w:rsid w:val="00927DE1"/>
    <w:rsid w:val="00930359"/>
    <w:rsid w:val="00932976"/>
    <w:rsid w:val="009337BD"/>
    <w:rsid w:val="00933904"/>
    <w:rsid w:val="009344EA"/>
    <w:rsid w:val="0093473D"/>
    <w:rsid w:val="009348EA"/>
    <w:rsid w:val="009360D4"/>
    <w:rsid w:val="00940D21"/>
    <w:rsid w:val="00941237"/>
    <w:rsid w:val="0094376B"/>
    <w:rsid w:val="00943C14"/>
    <w:rsid w:val="00943D68"/>
    <w:rsid w:val="0094542D"/>
    <w:rsid w:val="009454BC"/>
    <w:rsid w:val="0094788A"/>
    <w:rsid w:val="00952654"/>
    <w:rsid w:val="009530BC"/>
    <w:rsid w:val="00953377"/>
    <w:rsid w:val="009538A0"/>
    <w:rsid w:val="00954579"/>
    <w:rsid w:val="0096052A"/>
    <w:rsid w:val="00960FBA"/>
    <w:rsid w:val="009610B4"/>
    <w:rsid w:val="00962B97"/>
    <w:rsid w:val="00963A4A"/>
    <w:rsid w:val="00963FB9"/>
    <w:rsid w:val="0097083E"/>
    <w:rsid w:val="0097216F"/>
    <w:rsid w:val="00973048"/>
    <w:rsid w:val="00973305"/>
    <w:rsid w:val="0097550D"/>
    <w:rsid w:val="009813FF"/>
    <w:rsid w:val="00981552"/>
    <w:rsid w:val="00981F1F"/>
    <w:rsid w:val="00983788"/>
    <w:rsid w:val="0098474D"/>
    <w:rsid w:val="00985950"/>
    <w:rsid w:val="00985FA6"/>
    <w:rsid w:val="00991615"/>
    <w:rsid w:val="00992565"/>
    <w:rsid w:val="009928E3"/>
    <w:rsid w:val="00995DDD"/>
    <w:rsid w:val="00997A69"/>
    <w:rsid w:val="009A23D6"/>
    <w:rsid w:val="009A551D"/>
    <w:rsid w:val="009A5FBB"/>
    <w:rsid w:val="009A607D"/>
    <w:rsid w:val="009A6938"/>
    <w:rsid w:val="009B27F0"/>
    <w:rsid w:val="009B2984"/>
    <w:rsid w:val="009B628B"/>
    <w:rsid w:val="009B6DD7"/>
    <w:rsid w:val="009B74DE"/>
    <w:rsid w:val="009B785F"/>
    <w:rsid w:val="009C0BA2"/>
    <w:rsid w:val="009C1212"/>
    <w:rsid w:val="009C2F1F"/>
    <w:rsid w:val="009C342F"/>
    <w:rsid w:val="009C3B4C"/>
    <w:rsid w:val="009C3FC3"/>
    <w:rsid w:val="009C4371"/>
    <w:rsid w:val="009C5213"/>
    <w:rsid w:val="009C5508"/>
    <w:rsid w:val="009C5664"/>
    <w:rsid w:val="009C6EAC"/>
    <w:rsid w:val="009C6F79"/>
    <w:rsid w:val="009D0CD3"/>
    <w:rsid w:val="009D2089"/>
    <w:rsid w:val="009D29E1"/>
    <w:rsid w:val="009D2E32"/>
    <w:rsid w:val="009D3B9E"/>
    <w:rsid w:val="009D3DF5"/>
    <w:rsid w:val="009D457B"/>
    <w:rsid w:val="009D490A"/>
    <w:rsid w:val="009D5BE8"/>
    <w:rsid w:val="009D731E"/>
    <w:rsid w:val="009D733C"/>
    <w:rsid w:val="009E14A9"/>
    <w:rsid w:val="009E3DE6"/>
    <w:rsid w:val="009E40A3"/>
    <w:rsid w:val="009E65B8"/>
    <w:rsid w:val="009E6DF6"/>
    <w:rsid w:val="009F0A8A"/>
    <w:rsid w:val="009F2504"/>
    <w:rsid w:val="009F2C28"/>
    <w:rsid w:val="009F3334"/>
    <w:rsid w:val="009F38B9"/>
    <w:rsid w:val="009F60AC"/>
    <w:rsid w:val="00A009BF"/>
    <w:rsid w:val="00A01248"/>
    <w:rsid w:val="00A018EF"/>
    <w:rsid w:val="00A0305C"/>
    <w:rsid w:val="00A05963"/>
    <w:rsid w:val="00A0621F"/>
    <w:rsid w:val="00A114FA"/>
    <w:rsid w:val="00A16A14"/>
    <w:rsid w:val="00A22231"/>
    <w:rsid w:val="00A23DBE"/>
    <w:rsid w:val="00A261BE"/>
    <w:rsid w:val="00A26951"/>
    <w:rsid w:val="00A30FFB"/>
    <w:rsid w:val="00A31465"/>
    <w:rsid w:val="00A3155E"/>
    <w:rsid w:val="00A32C60"/>
    <w:rsid w:val="00A33A8B"/>
    <w:rsid w:val="00A36A23"/>
    <w:rsid w:val="00A37E61"/>
    <w:rsid w:val="00A40ECB"/>
    <w:rsid w:val="00A45398"/>
    <w:rsid w:val="00A466FF"/>
    <w:rsid w:val="00A52F06"/>
    <w:rsid w:val="00A557B6"/>
    <w:rsid w:val="00A56BA5"/>
    <w:rsid w:val="00A57B95"/>
    <w:rsid w:val="00A62994"/>
    <w:rsid w:val="00A6307F"/>
    <w:rsid w:val="00A66068"/>
    <w:rsid w:val="00A70EA2"/>
    <w:rsid w:val="00A74C23"/>
    <w:rsid w:val="00A74EB5"/>
    <w:rsid w:val="00A756DC"/>
    <w:rsid w:val="00A76C76"/>
    <w:rsid w:val="00A814F0"/>
    <w:rsid w:val="00A8176F"/>
    <w:rsid w:val="00A8454C"/>
    <w:rsid w:val="00A846BB"/>
    <w:rsid w:val="00A84BCD"/>
    <w:rsid w:val="00A93227"/>
    <w:rsid w:val="00A95143"/>
    <w:rsid w:val="00A9552E"/>
    <w:rsid w:val="00A96C6F"/>
    <w:rsid w:val="00A97BC6"/>
    <w:rsid w:val="00AA00EB"/>
    <w:rsid w:val="00AA0A71"/>
    <w:rsid w:val="00AA1061"/>
    <w:rsid w:val="00AA17AA"/>
    <w:rsid w:val="00AA5693"/>
    <w:rsid w:val="00AA5E87"/>
    <w:rsid w:val="00AA735E"/>
    <w:rsid w:val="00AB0BCF"/>
    <w:rsid w:val="00AB109A"/>
    <w:rsid w:val="00AB24B6"/>
    <w:rsid w:val="00AB3208"/>
    <w:rsid w:val="00AB3ACA"/>
    <w:rsid w:val="00AB5EE1"/>
    <w:rsid w:val="00AB6BEF"/>
    <w:rsid w:val="00AB708C"/>
    <w:rsid w:val="00AC53E0"/>
    <w:rsid w:val="00AC53E3"/>
    <w:rsid w:val="00AC6C17"/>
    <w:rsid w:val="00AD070C"/>
    <w:rsid w:val="00AD27B5"/>
    <w:rsid w:val="00AD5521"/>
    <w:rsid w:val="00AE288B"/>
    <w:rsid w:val="00AE6809"/>
    <w:rsid w:val="00AE6CE9"/>
    <w:rsid w:val="00AE7E74"/>
    <w:rsid w:val="00AF0539"/>
    <w:rsid w:val="00AF1377"/>
    <w:rsid w:val="00AF1F59"/>
    <w:rsid w:val="00AF53F6"/>
    <w:rsid w:val="00AF5800"/>
    <w:rsid w:val="00AF70C4"/>
    <w:rsid w:val="00B051FC"/>
    <w:rsid w:val="00B05A0F"/>
    <w:rsid w:val="00B05F90"/>
    <w:rsid w:val="00B07312"/>
    <w:rsid w:val="00B1151C"/>
    <w:rsid w:val="00B11F25"/>
    <w:rsid w:val="00B1250D"/>
    <w:rsid w:val="00B137B5"/>
    <w:rsid w:val="00B13E2F"/>
    <w:rsid w:val="00B1463F"/>
    <w:rsid w:val="00B14D5C"/>
    <w:rsid w:val="00B151AC"/>
    <w:rsid w:val="00B164F3"/>
    <w:rsid w:val="00B170FF"/>
    <w:rsid w:val="00B17EC6"/>
    <w:rsid w:val="00B26D5A"/>
    <w:rsid w:val="00B30646"/>
    <w:rsid w:val="00B3095C"/>
    <w:rsid w:val="00B312E6"/>
    <w:rsid w:val="00B313FE"/>
    <w:rsid w:val="00B31737"/>
    <w:rsid w:val="00B31A3C"/>
    <w:rsid w:val="00B32483"/>
    <w:rsid w:val="00B32B29"/>
    <w:rsid w:val="00B34445"/>
    <w:rsid w:val="00B40219"/>
    <w:rsid w:val="00B40CE1"/>
    <w:rsid w:val="00B43402"/>
    <w:rsid w:val="00B444C2"/>
    <w:rsid w:val="00B44DEB"/>
    <w:rsid w:val="00B47171"/>
    <w:rsid w:val="00B5158D"/>
    <w:rsid w:val="00B517F9"/>
    <w:rsid w:val="00B533B5"/>
    <w:rsid w:val="00B556AE"/>
    <w:rsid w:val="00B56DFA"/>
    <w:rsid w:val="00B572A3"/>
    <w:rsid w:val="00B60C93"/>
    <w:rsid w:val="00B64111"/>
    <w:rsid w:val="00B7056D"/>
    <w:rsid w:val="00B70A47"/>
    <w:rsid w:val="00B70A6B"/>
    <w:rsid w:val="00B714FA"/>
    <w:rsid w:val="00B715CC"/>
    <w:rsid w:val="00B72131"/>
    <w:rsid w:val="00B72C35"/>
    <w:rsid w:val="00B74569"/>
    <w:rsid w:val="00B74938"/>
    <w:rsid w:val="00B754CC"/>
    <w:rsid w:val="00B75C44"/>
    <w:rsid w:val="00B775E1"/>
    <w:rsid w:val="00B77B0B"/>
    <w:rsid w:val="00B809FA"/>
    <w:rsid w:val="00B815BA"/>
    <w:rsid w:val="00B82D14"/>
    <w:rsid w:val="00B862FE"/>
    <w:rsid w:val="00B8749A"/>
    <w:rsid w:val="00B90155"/>
    <w:rsid w:val="00B90510"/>
    <w:rsid w:val="00B90596"/>
    <w:rsid w:val="00B90B35"/>
    <w:rsid w:val="00B9127A"/>
    <w:rsid w:val="00B94256"/>
    <w:rsid w:val="00BA08E7"/>
    <w:rsid w:val="00BA0A9F"/>
    <w:rsid w:val="00BA0CC5"/>
    <w:rsid w:val="00BA1AE2"/>
    <w:rsid w:val="00BA38F0"/>
    <w:rsid w:val="00BA4BCC"/>
    <w:rsid w:val="00BA50A7"/>
    <w:rsid w:val="00BA5291"/>
    <w:rsid w:val="00BA542A"/>
    <w:rsid w:val="00BA6ABE"/>
    <w:rsid w:val="00BB0AD5"/>
    <w:rsid w:val="00BB0D5B"/>
    <w:rsid w:val="00BB26C7"/>
    <w:rsid w:val="00BB3AF7"/>
    <w:rsid w:val="00BB499D"/>
    <w:rsid w:val="00BB676D"/>
    <w:rsid w:val="00BB6E4E"/>
    <w:rsid w:val="00BC1ACD"/>
    <w:rsid w:val="00BC2B63"/>
    <w:rsid w:val="00BC4C0E"/>
    <w:rsid w:val="00BC5492"/>
    <w:rsid w:val="00BC785C"/>
    <w:rsid w:val="00BD0889"/>
    <w:rsid w:val="00BD1955"/>
    <w:rsid w:val="00BD2752"/>
    <w:rsid w:val="00BD2836"/>
    <w:rsid w:val="00BD3014"/>
    <w:rsid w:val="00BD343B"/>
    <w:rsid w:val="00BD39C6"/>
    <w:rsid w:val="00BD3BD6"/>
    <w:rsid w:val="00BD5BA0"/>
    <w:rsid w:val="00BD5BBE"/>
    <w:rsid w:val="00BD638A"/>
    <w:rsid w:val="00BD6A4A"/>
    <w:rsid w:val="00BD6C14"/>
    <w:rsid w:val="00BD70D7"/>
    <w:rsid w:val="00BD7AD1"/>
    <w:rsid w:val="00BE08FF"/>
    <w:rsid w:val="00BE2DDB"/>
    <w:rsid w:val="00BE37C2"/>
    <w:rsid w:val="00BE6034"/>
    <w:rsid w:val="00BE6456"/>
    <w:rsid w:val="00BE6BC4"/>
    <w:rsid w:val="00BE74EA"/>
    <w:rsid w:val="00BE7EC2"/>
    <w:rsid w:val="00BF05BD"/>
    <w:rsid w:val="00BF0BDD"/>
    <w:rsid w:val="00BF4555"/>
    <w:rsid w:val="00C03007"/>
    <w:rsid w:val="00C0305A"/>
    <w:rsid w:val="00C037DB"/>
    <w:rsid w:val="00C04A19"/>
    <w:rsid w:val="00C134BA"/>
    <w:rsid w:val="00C16062"/>
    <w:rsid w:val="00C166CC"/>
    <w:rsid w:val="00C16F9A"/>
    <w:rsid w:val="00C17BAE"/>
    <w:rsid w:val="00C2168B"/>
    <w:rsid w:val="00C256D2"/>
    <w:rsid w:val="00C25C57"/>
    <w:rsid w:val="00C26228"/>
    <w:rsid w:val="00C26ACC"/>
    <w:rsid w:val="00C275D3"/>
    <w:rsid w:val="00C30FFA"/>
    <w:rsid w:val="00C330B3"/>
    <w:rsid w:val="00C3491B"/>
    <w:rsid w:val="00C35257"/>
    <w:rsid w:val="00C353F3"/>
    <w:rsid w:val="00C35ADE"/>
    <w:rsid w:val="00C362E1"/>
    <w:rsid w:val="00C37BCD"/>
    <w:rsid w:val="00C4025A"/>
    <w:rsid w:val="00C46EDD"/>
    <w:rsid w:val="00C504A7"/>
    <w:rsid w:val="00C51376"/>
    <w:rsid w:val="00C52183"/>
    <w:rsid w:val="00C53AC7"/>
    <w:rsid w:val="00C60F8F"/>
    <w:rsid w:val="00C61DF0"/>
    <w:rsid w:val="00C6585E"/>
    <w:rsid w:val="00C67BF2"/>
    <w:rsid w:val="00C7011A"/>
    <w:rsid w:val="00C716B0"/>
    <w:rsid w:val="00C733DA"/>
    <w:rsid w:val="00C7347F"/>
    <w:rsid w:val="00C73F0D"/>
    <w:rsid w:val="00C75FB2"/>
    <w:rsid w:val="00C761AF"/>
    <w:rsid w:val="00C76CFC"/>
    <w:rsid w:val="00C801DC"/>
    <w:rsid w:val="00C80362"/>
    <w:rsid w:val="00C81921"/>
    <w:rsid w:val="00C9032B"/>
    <w:rsid w:val="00C9036E"/>
    <w:rsid w:val="00C91F18"/>
    <w:rsid w:val="00C92003"/>
    <w:rsid w:val="00C92795"/>
    <w:rsid w:val="00C94076"/>
    <w:rsid w:val="00C95C04"/>
    <w:rsid w:val="00CA1FFC"/>
    <w:rsid w:val="00CA42F5"/>
    <w:rsid w:val="00CA661D"/>
    <w:rsid w:val="00CB0DDE"/>
    <w:rsid w:val="00CB2CDD"/>
    <w:rsid w:val="00CB3BB7"/>
    <w:rsid w:val="00CB6A60"/>
    <w:rsid w:val="00CB7D98"/>
    <w:rsid w:val="00CC0BED"/>
    <w:rsid w:val="00CC0C0C"/>
    <w:rsid w:val="00CC19A1"/>
    <w:rsid w:val="00CC1F3D"/>
    <w:rsid w:val="00CC4C3F"/>
    <w:rsid w:val="00CC58F6"/>
    <w:rsid w:val="00CC63BF"/>
    <w:rsid w:val="00CD01A0"/>
    <w:rsid w:val="00CD05B7"/>
    <w:rsid w:val="00CD0CFA"/>
    <w:rsid w:val="00CD1C8E"/>
    <w:rsid w:val="00CD3408"/>
    <w:rsid w:val="00CD4547"/>
    <w:rsid w:val="00CD59C6"/>
    <w:rsid w:val="00CD5B1D"/>
    <w:rsid w:val="00CD709E"/>
    <w:rsid w:val="00CD7627"/>
    <w:rsid w:val="00CE01D3"/>
    <w:rsid w:val="00CE59EB"/>
    <w:rsid w:val="00CF1E5D"/>
    <w:rsid w:val="00CF20D7"/>
    <w:rsid w:val="00CF3F81"/>
    <w:rsid w:val="00CF4DA5"/>
    <w:rsid w:val="00CF55E9"/>
    <w:rsid w:val="00CF5949"/>
    <w:rsid w:val="00CF606C"/>
    <w:rsid w:val="00CF7A75"/>
    <w:rsid w:val="00D04415"/>
    <w:rsid w:val="00D0454C"/>
    <w:rsid w:val="00D04FD9"/>
    <w:rsid w:val="00D05ACE"/>
    <w:rsid w:val="00D05F16"/>
    <w:rsid w:val="00D0636E"/>
    <w:rsid w:val="00D0733D"/>
    <w:rsid w:val="00D0765B"/>
    <w:rsid w:val="00D07B74"/>
    <w:rsid w:val="00D1008D"/>
    <w:rsid w:val="00D10835"/>
    <w:rsid w:val="00D112F2"/>
    <w:rsid w:val="00D1227F"/>
    <w:rsid w:val="00D1265E"/>
    <w:rsid w:val="00D12AFE"/>
    <w:rsid w:val="00D13253"/>
    <w:rsid w:val="00D13503"/>
    <w:rsid w:val="00D16328"/>
    <w:rsid w:val="00D163D8"/>
    <w:rsid w:val="00D20DFD"/>
    <w:rsid w:val="00D21886"/>
    <w:rsid w:val="00D23385"/>
    <w:rsid w:val="00D250A6"/>
    <w:rsid w:val="00D25231"/>
    <w:rsid w:val="00D26E30"/>
    <w:rsid w:val="00D33514"/>
    <w:rsid w:val="00D402FD"/>
    <w:rsid w:val="00D42208"/>
    <w:rsid w:val="00D4349D"/>
    <w:rsid w:val="00D440D1"/>
    <w:rsid w:val="00D44314"/>
    <w:rsid w:val="00D44E5D"/>
    <w:rsid w:val="00D46302"/>
    <w:rsid w:val="00D469FB"/>
    <w:rsid w:val="00D46F95"/>
    <w:rsid w:val="00D505AE"/>
    <w:rsid w:val="00D51071"/>
    <w:rsid w:val="00D51748"/>
    <w:rsid w:val="00D55B27"/>
    <w:rsid w:val="00D564C7"/>
    <w:rsid w:val="00D56ECE"/>
    <w:rsid w:val="00D56FD5"/>
    <w:rsid w:val="00D60496"/>
    <w:rsid w:val="00D60D17"/>
    <w:rsid w:val="00D61601"/>
    <w:rsid w:val="00D61A09"/>
    <w:rsid w:val="00D61B11"/>
    <w:rsid w:val="00D623E8"/>
    <w:rsid w:val="00D63545"/>
    <w:rsid w:val="00D64361"/>
    <w:rsid w:val="00D65D2C"/>
    <w:rsid w:val="00D717DD"/>
    <w:rsid w:val="00D73958"/>
    <w:rsid w:val="00D7452B"/>
    <w:rsid w:val="00D74779"/>
    <w:rsid w:val="00D770D0"/>
    <w:rsid w:val="00D776ED"/>
    <w:rsid w:val="00D77A4D"/>
    <w:rsid w:val="00D804D5"/>
    <w:rsid w:val="00D817BD"/>
    <w:rsid w:val="00D819D2"/>
    <w:rsid w:val="00D81AA7"/>
    <w:rsid w:val="00D85049"/>
    <w:rsid w:val="00D86B81"/>
    <w:rsid w:val="00D87318"/>
    <w:rsid w:val="00D875D3"/>
    <w:rsid w:val="00D9052F"/>
    <w:rsid w:val="00D90607"/>
    <w:rsid w:val="00D90D3D"/>
    <w:rsid w:val="00D91A15"/>
    <w:rsid w:val="00D923A3"/>
    <w:rsid w:val="00D93BA3"/>
    <w:rsid w:val="00D93DF2"/>
    <w:rsid w:val="00D946A8"/>
    <w:rsid w:val="00D95AB9"/>
    <w:rsid w:val="00D96329"/>
    <w:rsid w:val="00D97C13"/>
    <w:rsid w:val="00DA096F"/>
    <w:rsid w:val="00DA14BF"/>
    <w:rsid w:val="00DA1AF3"/>
    <w:rsid w:val="00DB0459"/>
    <w:rsid w:val="00DB36ED"/>
    <w:rsid w:val="00DB43E9"/>
    <w:rsid w:val="00DB5920"/>
    <w:rsid w:val="00DB61CC"/>
    <w:rsid w:val="00DC0229"/>
    <w:rsid w:val="00DC10C9"/>
    <w:rsid w:val="00DC117D"/>
    <w:rsid w:val="00DC2149"/>
    <w:rsid w:val="00DC2A8A"/>
    <w:rsid w:val="00DC4111"/>
    <w:rsid w:val="00DC434C"/>
    <w:rsid w:val="00DC484D"/>
    <w:rsid w:val="00DC4B9D"/>
    <w:rsid w:val="00DD010E"/>
    <w:rsid w:val="00DD0DED"/>
    <w:rsid w:val="00DD3818"/>
    <w:rsid w:val="00DD5511"/>
    <w:rsid w:val="00DD5DA6"/>
    <w:rsid w:val="00DD5FD7"/>
    <w:rsid w:val="00DD6ABF"/>
    <w:rsid w:val="00DE0A97"/>
    <w:rsid w:val="00DE10BF"/>
    <w:rsid w:val="00DE12A9"/>
    <w:rsid w:val="00DE1499"/>
    <w:rsid w:val="00DE2E26"/>
    <w:rsid w:val="00DE77CA"/>
    <w:rsid w:val="00DF0BB9"/>
    <w:rsid w:val="00DF168B"/>
    <w:rsid w:val="00DF1CA6"/>
    <w:rsid w:val="00DF1EF9"/>
    <w:rsid w:val="00DF2252"/>
    <w:rsid w:val="00DF40CC"/>
    <w:rsid w:val="00DF5E7F"/>
    <w:rsid w:val="00DF7C63"/>
    <w:rsid w:val="00E01E08"/>
    <w:rsid w:val="00E02525"/>
    <w:rsid w:val="00E02726"/>
    <w:rsid w:val="00E051F1"/>
    <w:rsid w:val="00E060C2"/>
    <w:rsid w:val="00E0629D"/>
    <w:rsid w:val="00E06797"/>
    <w:rsid w:val="00E07892"/>
    <w:rsid w:val="00E07B9C"/>
    <w:rsid w:val="00E10C0D"/>
    <w:rsid w:val="00E13356"/>
    <w:rsid w:val="00E14D43"/>
    <w:rsid w:val="00E150FE"/>
    <w:rsid w:val="00E16163"/>
    <w:rsid w:val="00E16206"/>
    <w:rsid w:val="00E16AE4"/>
    <w:rsid w:val="00E16DCD"/>
    <w:rsid w:val="00E222ED"/>
    <w:rsid w:val="00E239FA"/>
    <w:rsid w:val="00E259C0"/>
    <w:rsid w:val="00E26F25"/>
    <w:rsid w:val="00E27185"/>
    <w:rsid w:val="00E27421"/>
    <w:rsid w:val="00E325EF"/>
    <w:rsid w:val="00E328DB"/>
    <w:rsid w:val="00E40B75"/>
    <w:rsid w:val="00E40C9C"/>
    <w:rsid w:val="00E40E7D"/>
    <w:rsid w:val="00E42149"/>
    <w:rsid w:val="00E43C6C"/>
    <w:rsid w:val="00E44781"/>
    <w:rsid w:val="00E44D02"/>
    <w:rsid w:val="00E45D67"/>
    <w:rsid w:val="00E46851"/>
    <w:rsid w:val="00E46BD2"/>
    <w:rsid w:val="00E46DB3"/>
    <w:rsid w:val="00E51E50"/>
    <w:rsid w:val="00E5246B"/>
    <w:rsid w:val="00E54A34"/>
    <w:rsid w:val="00E550F3"/>
    <w:rsid w:val="00E57C7D"/>
    <w:rsid w:val="00E60BB5"/>
    <w:rsid w:val="00E62034"/>
    <w:rsid w:val="00E630C6"/>
    <w:rsid w:val="00E63683"/>
    <w:rsid w:val="00E64654"/>
    <w:rsid w:val="00E65566"/>
    <w:rsid w:val="00E67252"/>
    <w:rsid w:val="00E70D04"/>
    <w:rsid w:val="00E7188D"/>
    <w:rsid w:val="00E76752"/>
    <w:rsid w:val="00E847BC"/>
    <w:rsid w:val="00E85F42"/>
    <w:rsid w:val="00E85F71"/>
    <w:rsid w:val="00E9031D"/>
    <w:rsid w:val="00E90335"/>
    <w:rsid w:val="00E9076C"/>
    <w:rsid w:val="00E91477"/>
    <w:rsid w:val="00E91ACC"/>
    <w:rsid w:val="00E92231"/>
    <w:rsid w:val="00E9267A"/>
    <w:rsid w:val="00E92760"/>
    <w:rsid w:val="00E94B91"/>
    <w:rsid w:val="00E97173"/>
    <w:rsid w:val="00EA0567"/>
    <w:rsid w:val="00EA1AFE"/>
    <w:rsid w:val="00EA36A8"/>
    <w:rsid w:val="00EA542D"/>
    <w:rsid w:val="00EA594F"/>
    <w:rsid w:val="00EA7488"/>
    <w:rsid w:val="00EA7768"/>
    <w:rsid w:val="00EA7D50"/>
    <w:rsid w:val="00EB1BDC"/>
    <w:rsid w:val="00EB507C"/>
    <w:rsid w:val="00EB7175"/>
    <w:rsid w:val="00EC0361"/>
    <w:rsid w:val="00EC0569"/>
    <w:rsid w:val="00EC1C9F"/>
    <w:rsid w:val="00EC3276"/>
    <w:rsid w:val="00EC3CCA"/>
    <w:rsid w:val="00EC669D"/>
    <w:rsid w:val="00EC7CE0"/>
    <w:rsid w:val="00ED01F8"/>
    <w:rsid w:val="00ED0397"/>
    <w:rsid w:val="00ED19AC"/>
    <w:rsid w:val="00ED36C0"/>
    <w:rsid w:val="00ED3882"/>
    <w:rsid w:val="00ED674A"/>
    <w:rsid w:val="00ED7586"/>
    <w:rsid w:val="00ED7D9C"/>
    <w:rsid w:val="00ED7EE3"/>
    <w:rsid w:val="00EE2D30"/>
    <w:rsid w:val="00EE42F1"/>
    <w:rsid w:val="00EE5EBA"/>
    <w:rsid w:val="00EF2DA7"/>
    <w:rsid w:val="00EF4827"/>
    <w:rsid w:val="00EF5D10"/>
    <w:rsid w:val="00EF6054"/>
    <w:rsid w:val="00EF778B"/>
    <w:rsid w:val="00F00AFB"/>
    <w:rsid w:val="00F01414"/>
    <w:rsid w:val="00F02805"/>
    <w:rsid w:val="00F037BD"/>
    <w:rsid w:val="00F040DA"/>
    <w:rsid w:val="00F06817"/>
    <w:rsid w:val="00F072E8"/>
    <w:rsid w:val="00F07C82"/>
    <w:rsid w:val="00F1037C"/>
    <w:rsid w:val="00F13E27"/>
    <w:rsid w:val="00F14C6C"/>
    <w:rsid w:val="00F15D96"/>
    <w:rsid w:val="00F16448"/>
    <w:rsid w:val="00F20003"/>
    <w:rsid w:val="00F226F5"/>
    <w:rsid w:val="00F234B5"/>
    <w:rsid w:val="00F23DEE"/>
    <w:rsid w:val="00F24AA4"/>
    <w:rsid w:val="00F24B62"/>
    <w:rsid w:val="00F254ED"/>
    <w:rsid w:val="00F259DD"/>
    <w:rsid w:val="00F2624A"/>
    <w:rsid w:val="00F27259"/>
    <w:rsid w:val="00F27DDC"/>
    <w:rsid w:val="00F33752"/>
    <w:rsid w:val="00F342F7"/>
    <w:rsid w:val="00F355F5"/>
    <w:rsid w:val="00F363EA"/>
    <w:rsid w:val="00F40715"/>
    <w:rsid w:val="00F4101B"/>
    <w:rsid w:val="00F4116F"/>
    <w:rsid w:val="00F43BA0"/>
    <w:rsid w:val="00F43FCD"/>
    <w:rsid w:val="00F46C8F"/>
    <w:rsid w:val="00F47AB7"/>
    <w:rsid w:val="00F5243C"/>
    <w:rsid w:val="00F52C7B"/>
    <w:rsid w:val="00F54E6E"/>
    <w:rsid w:val="00F55A1F"/>
    <w:rsid w:val="00F565BB"/>
    <w:rsid w:val="00F56D27"/>
    <w:rsid w:val="00F60B03"/>
    <w:rsid w:val="00F6402F"/>
    <w:rsid w:val="00F64599"/>
    <w:rsid w:val="00F71BF7"/>
    <w:rsid w:val="00F72DAE"/>
    <w:rsid w:val="00F73B76"/>
    <w:rsid w:val="00F80502"/>
    <w:rsid w:val="00F818C3"/>
    <w:rsid w:val="00F82969"/>
    <w:rsid w:val="00F85068"/>
    <w:rsid w:val="00F8648B"/>
    <w:rsid w:val="00F877C1"/>
    <w:rsid w:val="00F91B21"/>
    <w:rsid w:val="00F93BBF"/>
    <w:rsid w:val="00F94BF5"/>
    <w:rsid w:val="00FA0AC8"/>
    <w:rsid w:val="00FA0C53"/>
    <w:rsid w:val="00FA2E54"/>
    <w:rsid w:val="00FA5927"/>
    <w:rsid w:val="00FA5D7E"/>
    <w:rsid w:val="00FA682D"/>
    <w:rsid w:val="00FA6F7C"/>
    <w:rsid w:val="00FB0085"/>
    <w:rsid w:val="00FB27E1"/>
    <w:rsid w:val="00FB37CF"/>
    <w:rsid w:val="00FB450C"/>
    <w:rsid w:val="00FB46BB"/>
    <w:rsid w:val="00FB559D"/>
    <w:rsid w:val="00FB55FD"/>
    <w:rsid w:val="00FB5A24"/>
    <w:rsid w:val="00FB611A"/>
    <w:rsid w:val="00FB7929"/>
    <w:rsid w:val="00FC0373"/>
    <w:rsid w:val="00FC073C"/>
    <w:rsid w:val="00FC22D2"/>
    <w:rsid w:val="00FC2750"/>
    <w:rsid w:val="00FC2CC4"/>
    <w:rsid w:val="00FC3EE4"/>
    <w:rsid w:val="00FD02D6"/>
    <w:rsid w:val="00FD0E8B"/>
    <w:rsid w:val="00FD1D26"/>
    <w:rsid w:val="00FD1EFC"/>
    <w:rsid w:val="00FD2432"/>
    <w:rsid w:val="00FD39F8"/>
    <w:rsid w:val="00FD47FA"/>
    <w:rsid w:val="00FD499E"/>
    <w:rsid w:val="00FD557B"/>
    <w:rsid w:val="00FD59D4"/>
    <w:rsid w:val="00FD64ED"/>
    <w:rsid w:val="00FD70C4"/>
    <w:rsid w:val="00FE1663"/>
    <w:rsid w:val="00FE3272"/>
    <w:rsid w:val="00FE35F2"/>
    <w:rsid w:val="00FE410C"/>
    <w:rsid w:val="00FE49EF"/>
    <w:rsid w:val="00FE6258"/>
    <w:rsid w:val="00FF0EDD"/>
    <w:rsid w:val="00FF20EA"/>
    <w:rsid w:val="00FF320F"/>
    <w:rsid w:val="00FF4597"/>
    <w:rsid w:val="00FF4F76"/>
    <w:rsid w:val="00FF53E8"/>
    <w:rsid w:val="00FF580A"/>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B29A9D01-E97B-4DA2-AC01-A03B7338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F76"/>
    <w:pPr>
      <w:spacing w:after="200" w:line="276" w:lineRule="auto"/>
    </w:pPr>
    <w:rPr>
      <w:sz w:val="22"/>
      <w:szCs w:val="22"/>
    </w:rPr>
  </w:style>
  <w:style w:type="paragraph" w:styleId="Heading1">
    <w:name w:val="heading 1"/>
    <w:basedOn w:val="Normal"/>
    <w:next w:val="Normal"/>
    <w:link w:val="Heading1Char"/>
    <w:uiPriority w:val="99"/>
    <w:qFormat/>
    <w:rsid w:val="00842219"/>
    <w:pPr>
      <w:keepNext/>
      <w:numPr>
        <w:numId w:val="1"/>
      </w:numPr>
      <w:spacing w:after="0" w:line="240" w:lineRule="auto"/>
      <w:outlineLvl w:val="0"/>
    </w:pPr>
    <w:rPr>
      <w:b/>
      <w:bCs/>
      <w:sz w:val="24"/>
      <w:szCs w:val="24"/>
      <w:lang w:eastAsia="zh-CN"/>
    </w:rPr>
  </w:style>
  <w:style w:type="paragraph" w:styleId="Heading2">
    <w:name w:val="heading 2"/>
    <w:basedOn w:val="Normal"/>
    <w:next w:val="Normal"/>
    <w:link w:val="Heading2Char"/>
    <w:uiPriority w:val="99"/>
    <w:qFormat/>
    <w:rsid w:val="00842219"/>
    <w:pPr>
      <w:keepNext/>
      <w:numPr>
        <w:ilvl w:val="1"/>
        <w:numId w:val="1"/>
      </w:numPr>
      <w:spacing w:after="0" w:line="240" w:lineRule="auto"/>
      <w:outlineLvl w:val="1"/>
    </w:pPr>
    <w:rPr>
      <w:b/>
      <w:bCs/>
      <w:sz w:val="24"/>
      <w:szCs w:val="24"/>
      <w:lang w:eastAsia="zh-CN"/>
    </w:rPr>
  </w:style>
  <w:style w:type="paragraph" w:styleId="Heading3">
    <w:name w:val="heading 3"/>
    <w:basedOn w:val="Normal"/>
    <w:next w:val="Normal"/>
    <w:link w:val="Heading3Char"/>
    <w:uiPriority w:val="99"/>
    <w:qFormat/>
    <w:rsid w:val="00842219"/>
    <w:pPr>
      <w:keepNext/>
      <w:numPr>
        <w:ilvl w:val="2"/>
        <w:numId w:val="1"/>
      </w:numPr>
      <w:spacing w:after="0" w:line="240" w:lineRule="auto"/>
      <w:jc w:val="center"/>
      <w:outlineLvl w:val="2"/>
    </w:pPr>
    <w:rPr>
      <w:b/>
      <w:bCs/>
      <w:sz w:val="24"/>
      <w:szCs w:val="24"/>
      <w:lang w:eastAsia="zh-CN"/>
    </w:rPr>
  </w:style>
  <w:style w:type="paragraph" w:styleId="Heading4">
    <w:name w:val="heading 4"/>
    <w:basedOn w:val="Normal"/>
    <w:next w:val="Normal"/>
    <w:link w:val="Heading4Char"/>
    <w:uiPriority w:val="99"/>
    <w:qFormat/>
    <w:rsid w:val="00842219"/>
    <w:pPr>
      <w:keepNext/>
      <w:numPr>
        <w:ilvl w:val="3"/>
        <w:numId w:val="1"/>
      </w:numPr>
      <w:spacing w:after="0" w:line="240" w:lineRule="auto"/>
      <w:outlineLvl w:val="3"/>
    </w:pPr>
    <w:rPr>
      <w:b/>
      <w:bCs/>
      <w:sz w:val="24"/>
      <w:szCs w:val="24"/>
      <w:lang w:eastAsia="zh-CN"/>
    </w:rPr>
  </w:style>
  <w:style w:type="paragraph" w:styleId="Heading5">
    <w:name w:val="heading 5"/>
    <w:basedOn w:val="Normal"/>
    <w:next w:val="Normal"/>
    <w:link w:val="Heading5Char"/>
    <w:uiPriority w:val="99"/>
    <w:qFormat/>
    <w:rsid w:val="00842219"/>
    <w:pPr>
      <w:numPr>
        <w:ilvl w:val="4"/>
        <w:numId w:val="1"/>
      </w:numPr>
      <w:spacing w:before="240" w:after="60" w:line="240" w:lineRule="auto"/>
      <w:outlineLvl w:val="4"/>
    </w:pPr>
    <w:rPr>
      <w:b/>
      <w:bCs/>
      <w:i/>
      <w:iCs/>
      <w:sz w:val="26"/>
      <w:szCs w:val="26"/>
      <w:lang w:eastAsia="zh-CN"/>
    </w:rPr>
  </w:style>
  <w:style w:type="paragraph" w:styleId="Heading6">
    <w:name w:val="heading 6"/>
    <w:basedOn w:val="Normal"/>
    <w:next w:val="Normal"/>
    <w:link w:val="Heading6Char"/>
    <w:uiPriority w:val="99"/>
    <w:qFormat/>
    <w:rsid w:val="00C16062"/>
    <w:pPr>
      <w:numPr>
        <w:ilvl w:val="5"/>
        <w:numId w:val="1"/>
      </w:numPr>
      <w:spacing w:before="240" w:after="60" w:line="240" w:lineRule="auto"/>
      <w:outlineLvl w:val="5"/>
    </w:pPr>
    <w:rPr>
      <w:b/>
      <w:bCs/>
      <w:sz w:val="20"/>
      <w:szCs w:val="20"/>
      <w:lang w:eastAsia="zh-CN"/>
    </w:rPr>
  </w:style>
  <w:style w:type="paragraph" w:styleId="Heading7">
    <w:name w:val="heading 7"/>
    <w:basedOn w:val="Normal"/>
    <w:next w:val="Normal"/>
    <w:link w:val="Heading7Char"/>
    <w:uiPriority w:val="99"/>
    <w:qFormat/>
    <w:rsid w:val="00842219"/>
    <w:pPr>
      <w:numPr>
        <w:ilvl w:val="6"/>
        <w:numId w:val="1"/>
      </w:numPr>
      <w:spacing w:before="240" w:after="60" w:line="240" w:lineRule="auto"/>
      <w:outlineLvl w:val="6"/>
    </w:pPr>
    <w:rPr>
      <w:sz w:val="24"/>
      <w:szCs w:val="24"/>
      <w:lang w:eastAsia="zh-CN"/>
    </w:rPr>
  </w:style>
  <w:style w:type="paragraph" w:styleId="Heading8">
    <w:name w:val="heading 8"/>
    <w:basedOn w:val="Normal"/>
    <w:next w:val="Normal"/>
    <w:link w:val="Heading8Char"/>
    <w:uiPriority w:val="99"/>
    <w:qFormat/>
    <w:rsid w:val="00842219"/>
    <w:pPr>
      <w:numPr>
        <w:ilvl w:val="7"/>
        <w:numId w:val="1"/>
      </w:numPr>
      <w:spacing w:before="240" w:after="60" w:line="240" w:lineRule="auto"/>
      <w:outlineLvl w:val="7"/>
    </w:pPr>
    <w:rPr>
      <w:i/>
      <w:iCs/>
      <w:sz w:val="24"/>
      <w:szCs w:val="24"/>
      <w:lang w:eastAsia="zh-CN"/>
    </w:rPr>
  </w:style>
  <w:style w:type="paragraph" w:styleId="Heading9">
    <w:name w:val="heading 9"/>
    <w:basedOn w:val="Normal"/>
    <w:next w:val="Normal"/>
    <w:link w:val="Heading9Char"/>
    <w:uiPriority w:val="99"/>
    <w:qFormat/>
    <w:rsid w:val="00C16062"/>
    <w:pPr>
      <w:numPr>
        <w:ilvl w:val="8"/>
        <w:numId w:val="1"/>
      </w:numPr>
      <w:spacing w:before="240" w:after="60" w:line="240" w:lineRule="auto"/>
      <w:outlineLvl w:val="8"/>
    </w:pPr>
    <w:rPr>
      <w:rFonts w:ascii="Arial" w:hAnsi="Arial"/>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2219"/>
    <w:rPr>
      <w:rFonts w:ascii="Times New Roman" w:hAnsi="Times New Roman"/>
      <w:b/>
      <w:sz w:val="24"/>
    </w:rPr>
  </w:style>
  <w:style w:type="character" w:customStyle="1" w:styleId="Heading2Char">
    <w:name w:val="Heading 2 Char"/>
    <w:link w:val="Heading2"/>
    <w:uiPriority w:val="99"/>
    <w:locked/>
    <w:rsid w:val="00842219"/>
    <w:rPr>
      <w:rFonts w:ascii="Times New Roman" w:hAnsi="Times New Roman"/>
      <w:b/>
      <w:sz w:val="24"/>
    </w:rPr>
  </w:style>
  <w:style w:type="character" w:customStyle="1" w:styleId="Heading3Char">
    <w:name w:val="Heading 3 Char"/>
    <w:link w:val="Heading3"/>
    <w:uiPriority w:val="99"/>
    <w:locked/>
    <w:rsid w:val="00842219"/>
    <w:rPr>
      <w:rFonts w:ascii="Times New Roman" w:hAnsi="Times New Roman"/>
      <w:b/>
      <w:sz w:val="24"/>
    </w:rPr>
  </w:style>
  <w:style w:type="character" w:customStyle="1" w:styleId="Heading4Char">
    <w:name w:val="Heading 4 Char"/>
    <w:link w:val="Heading4"/>
    <w:uiPriority w:val="99"/>
    <w:locked/>
    <w:rsid w:val="00842219"/>
    <w:rPr>
      <w:rFonts w:ascii="Times New Roman" w:hAnsi="Times New Roman"/>
      <w:b/>
      <w:sz w:val="24"/>
    </w:rPr>
  </w:style>
  <w:style w:type="character" w:customStyle="1" w:styleId="Heading5Char">
    <w:name w:val="Heading 5 Char"/>
    <w:link w:val="Heading5"/>
    <w:uiPriority w:val="99"/>
    <w:locked/>
    <w:rsid w:val="00842219"/>
    <w:rPr>
      <w:rFonts w:ascii="Times New Roman" w:hAnsi="Times New Roman"/>
      <w:b/>
      <w:i/>
      <w:sz w:val="26"/>
    </w:rPr>
  </w:style>
  <w:style w:type="character" w:customStyle="1" w:styleId="Heading6Char">
    <w:name w:val="Heading 6 Char"/>
    <w:link w:val="Heading6"/>
    <w:uiPriority w:val="99"/>
    <w:locked/>
    <w:rsid w:val="00842219"/>
    <w:rPr>
      <w:b/>
      <w:lang w:eastAsia="zh-CN"/>
    </w:rPr>
  </w:style>
  <w:style w:type="character" w:customStyle="1" w:styleId="Heading7Char">
    <w:name w:val="Heading 7 Char"/>
    <w:link w:val="Heading7"/>
    <w:uiPriority w:val="99"/>
    <w:locked/>
    <w:rsid w:val="00842219"/>
    <w:rPr>
      <w:rFonts w:ascii="Times New Roman" w:hAnsi="Times New Roman"/>
      <w:sz w:val="24"/>
    </w:rPr>
  </w:style>
  <w:style w:type="character" w:customStyle="1" w:styleId="Heading8Char">
    <w:name w:val="Heading 8 Char"/>
    <w:link w:val="Heading8"/>
    <w:uiPriority w:val="99"/>
    <w:locked/>
    <w:rsid w:val="00842219"/>
    <w:rPr>
      <w:rFonts w:ascii="Times New Roman" w:hAnsi="Times New Roman"/>
      <w:i/>
      <w:sz w:val="24"/>
    </w:rPr>
  </w:style>
  <w:style w:type="character" w:customStyle="1" w:styleId="Heading9Char">
    <w:name w:val="Heading 9 Char"/>
    <w:link w:val="Heading9"/>
    <w:uiPriority w:val="99"/>
    <w:locked/>
    <w:rsid w:val="00842219"/>
    <w:rPr>
      <w:rFonts w:ascii="Arial" w:hAnsi="Arial"/>
      <w:lang w:eastAsia="zh-CN"/>
    </w:rPr>
  </w:style>
  <w:style w:type="paragraph" w:styleId="FootnoteText">
    <w:name w:val="footnote text"/>
    <w:basedOn w:val="Normal"/>
    <w:link w:val="FootnoteTextChar"/>
    <w:uiPriority w:val="99"/>
    <w:semiHidden/>
    <w:rsid w:val="00C16062"/>
    <w:pPr>
      <w:spacing w:after="0" w:line="240" w:lineRule="auto"/>
    </w:pPr>
    <w:rPr>
      <w:sz w:val="20"/>
      <w:szCs w:val="20"/>
      <w:lang w:eastAsia="zh-CN"/>
    </w:rPr>
  </w:style>
  <w:style w:type="character" w:customStyle="1" w:styleId="FootnoteTextChar">
    <w:name w:val="Footnote Text Char"/>
    <w:link w:val="FootnoteText"/>
    <w:uiPriority w:val="99"/>
    <w:semiHidden/>
    <w:locked/>
    <w:rsid w:val="00842219"/>
    <w:rPr>
      <w:lang w:eastAsia="zh-CN"/>
    </w:rPr>
  </w:style>
  <w:style w:type="character" w:styleId="FootnoteReference">
    <w:name w:val="footnote reference"/>
    <w:uiPriority w:val="99"/>
    <w:semiHidden/>
    <w:rsid w:val="00C16062"/>
    <w:rPr>
      <w:rFonts w:cs="Times New Roman"/>
      <w:vertAlign w:val="superscript"/>
    </w:rPr>
  </w:style>
  <w:style w:type="character" w:styleId="Hyperlink">
    <w:name w:val="Hyperlink"/>
    <w:uiPriority w:val="99"/>
    <w:rsid w:val="00C16062"/>
    <w:rPr>
      <w:rFonts w:cs="Times New Roman"/>
      <w:color w:val="0000FF"/>
      <w:u w:val="single"/>
    </w:rPr>
  </w:style>
  <w:style w:type="paragraph" w:styleId="Header">
    <w:name w:val="header"/>
    <w:basedOn w:val="Normal"/>
    <w:link w:val="HeaderChar"/>
    <w:uiPriority w:val="99"/>
    <w:rsid w:val="00C16062"/>
    <w:pPr>
      <w:tabs>
        <w:tab w:val="center" w:pos="4680"/>
        <w:tab w:val="right" w:pos="9360"/>
      </w:tabs>
      <w:spacing w:after="0" w:line="240" w:lineRule="auto"/>
    </w:pPr>
  </w:style>
  <w:style w:type="character" w:customStyle="1" w:styleId="HeaderChar">
    <w:name w:val="Header Char"/>
    <w:link w:val="Header"/>
    <w:uiPriority w:val="99"/>
    <w:locked/>
    <w:rsid w:val="009C3FC3"/>
    <w:rPr>
      <w:rFonts w:cs="Times New Roman"/>
      <w:sz w:val="22"/>
      <w:szCs w:val="22"/>
    </w:rPr>
  </w:style>
  <w:style w:type="paragraph" w:styleId="Footer">
    <w:name w:val="footer"/>
    <w:basedOn w:val="Normal"/>
    <w:link w:val="FooterChar"/>
    <w:uiPriority w:val="99"/>
    <w:rsid w:val="00C16062"/>
    <w:pPr>
      <w:tabs>
        <w:tab w:val="center" w:pos="4680"/>
        <w:tab w:val="right" w:pos="9360"/>
      </w:tabs>
      <w:spacing w:after="0" w:line="240" w:lineRule="auto"/>
    </w:pPr>
  </w:style>
  <w:style w:type="character" w:customStyle="1" w:styleId="FooterChar">
    <w:name w:val="Footer Char"/>
    <w:link w:val="Footer"/>
    <w:uiPriority w:val="99"/>
    <w:locked/>
    <w:rsid w:val="009C3FC3"/>
    <w:rPr>
      <w:rFonts w:cs="Times New Roman"/>
      <w:sz w:val="22"/>
      <w:szCs w:val="22"/>
    </w:rPr>
  </w:style>
  <w:style w:type="paragraph" w:styleId="BalloonText">
    <w:name w:val="Balloon Text"/>
    <w:basedOn w:val="Normal"/>
    <w:link w:val="BalloonTextChar"/>
    <w:uiPriority w:val="99"/>
    <w:semiHidden/>
    <w:rsid w:val="00C16062"/>
    <w:pPr>
      <w:spacing w:after="0" w:line="240" w:lineRule="auto"/>
    </w:pPr>
    <w:rPr>
      <w:rFonts w:ascii="Tahoma" w:hAnsi="Tahoma"/>
      <w:sz w:val="16"/>
      <w:szCs w:val="16"/>
      <w:lang w:eastAsia="zh-CN"/>
    </w:rPr>
  </w:style>
  <w:style w:type="character" w:customStyle="1" w:styleId="BalloonTextChar">
    <w:name w:val="Balloon Text Char"/>
    <w:link w:val="BalloonText"/>
    <w:uiPriority w:val="99"/>
    <w:semiHidden/>
    <w:locked/>
    <w:rsid w:val="009C3FC3"/>
    <w:rPr>
      <w:rFonts w:ascii="Tahoma" w:hAnsi="Tahoma"/>
      <w:sz w:val="16"/>
      <w:lang w:eastAsia="zh-CN"/>
    </w:rPr>
  </w:style>
  <w:style w:type="paragraph" w:styleId="ListParagraph">
    <w:name w:val="List Paragraph"/>
    <w:basedOn w:val="Normal"/>
    <w:uiPriority w:val="99"/>
    <w:qFormat/>
    <w:rsid w:val="00783006"/>
    <w:pPr>
      <w:ind w:left="720"/>
      <w:contextualSpacing/>
    </w:pPr>
  </w:style>
  <w:style w:type="paragraph" w:styleId="EndnoteText">
    <w:name w:val="endnote text"/>
    <w:basedOn w:val="Normal"/>
    <w:link w:val="EndnoteTextChar"/>
    <w:uiPriority w:val="99"/>
    <w:semiHidden/>
    <w:rsid w:val="00C16062"/>
    <w:pPr>
      <w:spacing w:after="0" w:line="240" w:lineRule="auto"/>
    </w:pPr>
    <w:rPr>
      <w:sz w:val="20"/>
      <w:szCs w:val="20"/>
      <w:lang w:eastAsia="zh-CN"/>
    </w:rPr>
  </w:style>
  <w:style w:type="character" w:customStyle="1" w:styleId="EndnoteTextChar">
    <w:name w:val="Endnote Text Char"/>
    <w:link w:val="EndnoteText"/>
    <w:uiPriority w:val="99"/>
    <w:semiHidden/>
    <w:locked/>
    <w:rsid w:val="00744F07"/>
    <w:rPr>
      <w:lang w:eastAsia="zh-CN"/>
    </w:rPr>
  </w:style>
  <w:style w:type="character" w:styleId="EndnoteReference">
    <w:name w:val="endnote reference"/>
    <w:uiPriority w:val="99"/>
    <w:semiHidden/>
    <w:rsid w:val="00C16062"/>
    <w:rPr>
      <w:rFonts w:cs="Times New Roman"/>
      <w:vertAlign w:val="superscript"/>
    </w:rPr>
  </w:style>
  <w:style w:type="character" w:styleId="CommentReference">
    <w:name w:val="annotation reference"/>
    <w:uiPriority w:val="99"/>
    <w:semiHidden/>
    <w:rsid w:val="00C16062"/>
    <w:rPr>
      <w:rFonts w:cs="Times New Roman"/>
      <w:sz w:val="16"/>
    </w:rPr>
  </w:style>
  <w:style w:type="paragraph" w:styleId="CommentText">
    <w:name w:val="annotation text"/>
    <w:basedOn w:val="Normal"/>
    <w:link w:val="CommentTextChar"/>
    <w:uiPriority w:val="99"/>
    <w:semiHidden/>
    <w:rsid w:val="00C16062"/>
    <w:pPr>
      <w:spacing w:line="240" w:lineRule="auto"/>
    </w:pPr>
    <w:rPr>
      <w:sz w:val="20"/>
      <w:szCs w:val="20"/>
      <w:lang w:eastAsia="zh-CN"/>
    </w:rPr>
  </w:style>
  <w:style w:type="character" w:customStyle="1" w:styleId="CommentTextChar">
    <w:name w:val="Comment Text Char"/>
    <w:link w:val="CommentText"/>
    <w:uiPriority w:val="99"/>
    <w:semiHidden/>
    <w:locked/>
    <w:rsid w:val="002718B5"/>
    <w:rPr>
      <w:lang w:eastAsia="zh-CN"/>
    </w:rPr>
  </w:style>
  <w:style w:type="paragraph" w:styleId="CommentSubject">
    <w:name w:val="annotation subject"/>
    <w:basedOn w:val="CommentText"/>
    <w:next w:val="CommentText"/>
    <w:link w:val="CommentSubjectChar"/>
    <w:uiPriority w:val="99"/>
    <w:semiHidden/>
    <w:rsid w:val="00C16062"/>
    <w:rPr>
      <w:b/>
      <w:bCs/>
    </w:rPr>
  </w:style>
  <w:style w:type="character" w:customStyle="1" w:styleId="CommentSubjectChar">
    <w:name w:val="Comment Subject Char"/>
    <w:link w:val="CommentSubject"/>
    <w:uiPriority w:val="99"/>
    <w:semiHidden/>
    <w:locked/>
    <w:rsid w:val="002718B5"/>
    <w:rPr>
      <w:b/>
      <w:lang w:eastAsia="zh-CN"/>
    </w:rPr>
  </w:style>
  <w:style w:type="paragraph" w:styleId="Revision">
    <w:name w:val="Revision"/>
    <w:hidden/>
    <w:uiPriority w:val="99"/>
    <w:semiHidden/>
    <w:rsid w:val="002718B5"/>
    <w:rPr>
      <w:sz w:val="22"/>
      <w:szCs w:val="22"/>
    </w:rPr>
  </w:style>
  <w:style w:type="paragraph" w:styleId="Title">
    <w:name w:val="Title"/>
    <w:basedOn w:val="Normal"/>
    <w:link w:val="TitleChar"/>
    <w:uiPriority w:val="99"/>
    <w:qFormat/>
    <w:rsid w:val="004405EC"/>
    <w:pPr>
      <w:spacing w:after="0" w:line="240" w:lineRule="auto"/>
      <w:jc w:val="center"/>
    </w:pPr>
    <w:rPr>
      <w:b/>
      <w:bCs/>
      <w:sz w:val="24"/>
      <w:szCs w:val="24"/>
      <w:lang w:eastAsia="zh-CN"/>
    </w:rPr>
  </w:style>
  <w:style w:type="character" w:customStyle="1" w:styleId="TitleChar">
    <w:name w:val="Title Char"/>
    <w:link w:val="Title"/>
    <w:uiPriority w:val="99"/>
    <w:locked/>
    <w:rsid w:val="004405EC"/>
    <w:rPr>
      <w:rFonts w:ascii="Times New Roman" w:hAnsi="Times New Roman"/>
      <w:b/>
      <w:sz w:val="24"/>
    </w:rPr>
  </w:style>
  <w:style w:type="paragraph" w:styleId="Subtitle">
    <w:name w:val="Subtitle"/>
    <w:basedOn w:val="Normal"/>
    <w:link w:val="SubtitleChar"/>
    <w:uiPriority w:val="99"/>
    <w:qFormat/>
    <w:rsid w:val="004405EC"/>
    <w:pPr>
      <w:spacing w:after="0" w:line="240" w:lineRule="auto"/>
      <w:jc w:val="center"/>
    </w:pPr>
    <w:rPr>
      <w:sz w:val="28"/>
      <w:szCs w:val="28"/>
      <w:lang w:eastAsia="zh-CN"/>
    </w:rPr>
  </w:style>
  <w:style w:type="character" w:customStyle="1" w:styleId="SubtitleChar">
    <w:name w:val="Subtitle Char"/>
    <w:link w:val="Subtitle"/>
    <w:uiPriority w:val="99"/>
    <w:locked/>
    <w:rsid w:val="004405EC"/>
    <w:rPr>
      <w:rFonts w:ascii="Times New Roman" w:hAnsi="Times New Roman"/>
      <w:sz w:val="28"/>
    </w:rPr>
  </w:style>
  <w:style w:type="character" w:styleId="FollowedHyperlink">
    <w:name w:val="FollowedHyperlink"/>
    <w:uiPriority w:val="99"/>
    <w:semiHidden/>
    <w:rsid w:val="00C16062"/>
    <w:rPr>
      <w:rFonts w:cs="Times New Roman"/>
      <w:color w:val="800080"/>
      <w:u w:val="single"/>
    </w:rPr>
  </w:style>
  <w:style w:type="paragraph" w:styleId="BodyTextIndent2">
    <w:name w:val="Body Text Indent 2"/>
    <w:basedOn w:val="Normal"/>
    <w:link w:val="BodyTextIndent2Char"/>
    <w:uiPriority w:val="99"/>
    <w:semiHidden/>
    <w:rsid w:val="00FC0373"/>
    <w:pPr>
      <w:spacing w:after="0" w:line="240" w:lineRule="auto"/>
      <w:ind w:left="360"/>
    </w:pPr>
    <w:rPr>
      <w:sz w:val="24"/>
      <w:szCs w:val="24"/>
      <w:lang w:eastAsia="zh-CN"/>
    </w:rPr>
  </w:style>
  <w:style w:type="character" w:customStyle="1" w:styleId="BodyTextIndent2Char">
    <w:name w:val="Body Text Indent 2 Char"/>
    <w:link w:val="BodyTextIndent2"/>
    <w:uiPriority w:val="99"/>
    <w:semiHidden/>
    <w:locked/>
    <w:rsid w:val="00FC0373"/>
    <w:rPr>
      <w:rFonts w:ascii="Times New Roman" w:hAnsi="Times New Roman"/>
      <w:sz w:val="24"/>
    </w:rPr>
  </w:style>
  <w:style w:type="paragraph" w:styleId="TOCHeading">
    <w:name w:val="TOC Heading"/>
    <w:basedOn w:val="Heading1"/>
    <w:next w:val="Normal"/>
    <w:uiPriority w:val="99"/>
    <w:qFormat/>
    <w:rsid w:val="00C16062"/>
    <w:pPr>
      <w:keepLines/>
      <w:numPr>
        <w:numId w:val="0"/>
      </w:numPr>
      <w:spacing w:before="480" w:line="276" w:lineRule="auto"/>
      <w:outlineLvl w:val="9"/>
    </w:pPr>
    <w:rPr>
      <w:rFonts w:ascii="Arial" w:hAnsi="Arial"/>
      <w:color w:val="365F91"/>
      <w:sz w:val="28"/>
      <w:szCs w:val="28"/>
    </w:rPr>
  </w:style>
  <w:style w:type="paragraph" w:styleId="TOC1">
    <w:name w:val="toc 1"/>
    <w:basedOn w:val="Normal"/>
    <w:next w:val="Normal"/>
    <w:autoRedefine/>
    <w:uiPriority w:val="39"/>
    <w:rsid w:val="00C16062"/>
    <w:pPr>
      <w:spacing w:before="360" w:after="0"/>
    </w:pPr>
    <w:rPr>
      <w:rFonts w:ascii="Arial" w:hAnsi="Arial" w:cs="Arial"/>
      <w:b/>
      <w:bCs/>
      <w:caps/>
      <w:sz w:val="24"/>
      <w:szCs w:val="24"/>
    </w:rPr>
  </w:style>
  <w:style w:type="paragraph" w:styleId="TOC3">
    <w:name w:val="toc 3"/>
    <w:basedOn w:val="Normal"/>
    <w:next w:val="Normal"/>
    <w:autoRedefine/>
    <w:uiPriority w:val="99"/>
    <w:rsid w:val="00C16062"/>
    <w:pPr>
      <w:spacing w:after="0"/>
      <w:ind w:left="220"/>
    </w:pPr>
    <w:rPr>
      <w:sz w:val="20"/>
      <w:szCs w:val="20"/>
    </w:rPr>
  </w:style>
  <w:style w:type="paragraph" w:styleId="TOC2">
    <w:name w:val="toc 2"/>
    <w:basedOn w:val="Normal"/>
    <w:next w:val="Normal"/>
    <w:autoRedefine/>
    <w:uiPriority w:val="39"/>
    <w:rsid w:val="00C16062"/>
    <w:pPr>
      <w:tabs>
        <w:tab w:val="left" w:pos="660"/>
        <w:tab w:val="right" w:leader="dot" w:pos="9350"/>
      </w:tabs>
      <w:spacing w:before="100" w:beforeAutospacing="1" w:after="0" w:line="240" w:lineRule="auto"/>
      <w:ind w:left="662" w:hanging="662"/>
    </w:pPr>
    <w:rPr>
      <w:b/>
      <w:bCs/>
      <w:sz w:val="20"/>
      <w:szCs w:val="20"/>
    </w:rPr>
  </w:style>
  <w:style w:type="paragraph" w:styleId="TOC4">
    <w:name w:val="toc 4"/>
    <w:basedOn w:val="Normal"/>
    <w:next w:val="Normal"/>
    <w:autoRedefine/>
    <w:uiPriority w:val="99"/>
    <w:rsid w:val="00C16062"/>
    <w:pPr>
      <w:spacing w:after="0"/>
      <w:ind w:left="440"/>
    </w:pPr>
    <w:rPr>
      <w:sz w:val="20"/>
      <w:szCs w:val="20"/>
    </w:rPr>
  </w:style>
  <w:style w:type="paragraph" w:styleId="TOC5">
    <w:name w:val="toc 5"/>
    <w:basedOn w:val="Normal"/>
    <w:next w:val="Normal"/>
    <w:autoRedefine/>
    <w:uiPriority w:val="99"/>
    <w:rsid w:val="00C16062"/>
    <w:pPr>
      <w:spacing w:after="0"/>
      <w:ind w:left="660"/>
    </w:pPr>
    <w:rPr>
      <w:sz w:val="20"/>
      <w:szCs w:val="20"/>
    </w:rPr>
  </w:style>
  <w:style w:type="paragraph" w:styleId="TOC6">
    <w:name w:val="toc 6"/>
    <w:basedOn w:val="Normal"/>
    <w:next w:val="Normal"/>
    <w:autoRedefine/>
    <w:uiPriority w:val="99"/>
    <w:rsid w:val="00C16062"/>
    <w:pPr>
      <w:spacing w:after="0"/>
      <w:ind w:left="880"/>
    </w:pPr>
    <w:rPr>
      <w:sz w:val="20"/>
      <w:szCs w:val="20"/>
    </w:rPr>
  </w:style>
  <w:style w:type="paragraph" w:styleId="TOC7">
    <w:name w:val="toc 7"/>
    <w:basedOn w:val="Normal"/>
    <w:next w:val="Normal"/>
    <w:autoRedefine/>
    <w:uiPriority w:val="99"/>
    <w:rsid w:val="00C16062"/>
    <w:pPr>
      <w:spacing w:after="0"/>
      <w:ind w:left="1100"/>
    </w:pPr>
    <w:rPr>
      <w:sz w:val="20"/>
      <w:szCs w:val="20"/>
    </w:rPr>
  </w:style>
  <w:style w:type="paragraph" w:styleId="TOC8">
    <w:name w:val="toc 8"/>
    <w:basedOn w:val="Normal"/>
    <w:next w:val="Normal"/>
    <w:autoRedefine/>
    <w:uiPriority w:val="99"/>
    <w:rsid w:val="00C16062"/>
    <w:pPr>
      <w:spacing w:after="0"/>
      <w:ind w:left="1320"/>
    </w:pPr>
    <w:rPr>
      <w:sz w:val="20"/>
      <w:szCs w:val="20"/>
    </w:rPr>
  </w:style>
  <w:style w:type="paragraph" w:styleId="TOC9">
    <w:name w:val="toc 9"/>
    <w:basedOn w:val="Normal"/>
    <w:next w:val="Normal"/>
    <w:autoRedefine/>
    <w:uiPriority w:val="99"/>
    <w:rsid w:val="00C16062"/>
    <w:pPr>
      <w:spacing w:after="0"/>
      <w:ind w:left="1540"/>
    </w:pPr>
    <w:rPr>
      <w:sz w:val="20"/>
      <w:szCs w:val="20"/>
    </w:rPr>
  </w:style>
  <w:style w:type="table" w:styleId="TableGrid">
    <w:name w:val="Table Grid"/>
    <w:basedOn w:val="TableNormal"/>
    <w:uiPriority w:val="99"/>
    <w:rsid w:val="002F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04306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52207">
      <w:bodyDiv w:val="1"/>
      <w:marLeft w:val="0"/>
      <w:marRight w:val="0"/>
      <w:marTop w:val="0"/>
      <w:marBottom w:val="0"/>
      <w:divBdr>
        <w:top w:val="none" w:sz="0" w:space="0" w:color="auto"/>
        <w:left w:val="none" w:sz="0" w:space="0" w:color="auto"/>
        <w:bottom w:val="none" w:sz="0" w:space="0" w:color="auto"/>
        <w:right w:val="none" w:sz="0" w:space="0" w:color="auto"/>
      </w:divBdr>
    </w:div>
    <w:div w:id="1908035197">
      <w:marLeft w:val="0"/>
      <w:marRight w:val="0"/>
      <w:marTop w:val="0"/>
      <w:marBottom w:val="0"/>
      <w:divBdr>
        <w:top w:val="none" w:sz="0" w:space="0" w:color="auto"/>
        <w:left w:val="none" w:sz="0" w:space="0" w:color="auto"/>
        <w:bottom w:val="none" w:sz="0" w:space="0" w:color="auto"/>
        <w:right w:val="none" w:sz="0" w:space="0" w:color="auto"/>
      </w:divBdr>
    </w:div>
    <w:div w:id="1908035198">
      <w:marLeft w:val="0"/>
      <w:marRight w:val="0"/>
      <w:marTop w:val="0"/>
      <w:marBottom w:val="0"/>
      <w:divBdr>
        <w:top w:val="none" w:sz="0" w:space="0" w:color="auto"/>
        <w:left w:val="none" w:sz="0" w:space="0" w:color="auto"/>
        <w:bottom w:val="none" w:sz="0" w:space="0" w:color="auto"/>
        <w:right w:val="none" w:sz="0" w:space="0" w:color="auto"/>
      </w:divBdr>
    </w:div>
    <w:div w:id="1908035199">
      <w:marLeft w:val="0"/>
      <w:marRight w:val="0"/>
      <w:marTop w:val="0"/>
      <w:marBottom w:val="0"/>
      <w:divBdr>
        <w:top w:val="none" w:sz="0" w:space="0" w:color="auto"/>
        <w:left w:val="none" w:sz="0" w:space="0" w:color="auto"/>
        <w:bottom w:val="none" w:sz="0" w:space="0" w:color="auto"/>
        <w:right w:val="none" w:sz="0" w:space="0" w:color="auto"/>
      </w:divBdr>
    </w:div>
    <w:div w:id="19080352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296/pdf/PLAW-111publ2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8b1ca5f-fa87-4d34-92e4-f61eb50f411a">Tier 1</Priority>
    <Estimated_x0020_Creation_x0020_Date xmlns="d8b1ca5f-fa87-4d34-92e4-f61eb50f411a">2015-03-01T08:00:00+00:00</Estimated_x0020_Creation_x0020_Date>
    <Remediation_x0020_Date xmlns="d8b1ca5f-fa87-4d34-92e4-f61eb50f411a">2018-08-03T07:00:00+00:00</Remediation_x0020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FA073-9C75-4D97-840B-863F24065E38}"/>
</file>

<file path=customXml/itemProps2.xml><?xml version="1.0" encoding="utf-8"?>
<ds:datastoreItem xmlns:ds="http://schemas.openxmlformats.org/officeDocument/2006/customXml" ds:itemID="{B6E64F0C-D02B-454C-A3AA-2CA73953826C}"/>
</file>

<file path=customXml/itemProps3.xml><?xml version="1.0" encoding="utf-8"?>
<ds:datastoreItem xmlns:ds="http://schemas.openxmlformats.org/officeDocument/2006/customXml" ds:itemID="{CDA72CC9-C7DA-4797-AD72-75D7BFCFEE5B}"/>
</file>

<file path=customXml/itemProps4.xml><?xml version="1.0" encoding="utf-8"?>
<ds:datastoreItem xmlns:ds="http://schemas.openxmlformats.org/officeDocument/2006/customXml" ds:itemID="{1E7A7A39-CDD8-406B-B6F7-844FAEA2F7E3}"/>
</file>

<file path=customXml/itemProps5.xml><?xml version="1.0" encoding="utf-8"?>
<ds:datastoreItem xmlns:ds="http://schemas.openxmlformats.org/officeDocument/2006/customXml" ds:itemID="{DF6C9B86-E010-434F-9E21-DAF50269EBCB}"/>
</file>

<file path=docProps/app.xml><?xml version="1.0" encoding="utf-8"?>
<Properties xmlns="http://schemas.openxmlformats.org/officeDocument/2006/extended-properties" xmlns:vt="http://schemas.openxmlformats.org/officeDocument/2006/docPropsVTypes">
  <Template>Normal.dotm</Template>
  <TotalTime>0</TotalTime>
  <Pages>30</Pages>
  <Words>10846</Words>
  <Characters>61825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Community Eligibility Provision Guidance (PDF)</vt:lpstr>
    </vt:vector>
  </TitlesOfParts>
  <Company>U.S. Department of Education</Company>
  <LinksUpToDate>false</LinksUpToDate>
  <CharactersWithSpaces>72526</CharactersWithSpaces>
  <SharedDoc>false</SharedDoc>
  <HLinks>
    <vt:vector size="264" baseType="variant">
      <vt:variant>
        <vt:i4>1507381</vt:i4>
      </vt:variant>
      <vt:variant>
        <vt:i4>254</vt:i4>
      </vt:variant>
      <vt:variant>
        <vt:i4>0</vt:i4>
      </vt:variant>
      <vt:variant>
        <vt:i4>5</vt:i4>
      </vt:variant>
      <vt:variant>
        <vt:lpwstr/>
      </vt:variant>
      <vt:variant>
        <vt:lpwstr>_Toc414355076</vt:lpwstr>
      </vt:variant>
      <vt:variant>
        <vt:i4>1507381</vt:i4>
      </vt:variant>
      <vt:variant>
        <vt:i4>248</vt:i4>
      </vt:variant>
      <vt:variant>
        <vt:i4>0</vt:i4>
      </vt:variant>
      <vt:variant>
        <vt:i4>5</vt:i4>
      </vt:variant>
      <vt:variant>
        <vt:lpwstr/>
      </vt:variant>
      <vt:variant>
        <vt:lpwstr>_Toc414355075</vt:lpwstr>
      </vt:variant>
      <vt:variant>
        <vt:i4>1507381</vt:i4>
      </vt:variant>
      <vt:variant>
        <vt:i4>242</vt:i4>
      </vt:variant>
      <vt:variant>
        <vt:i4>0</vt:i4>
      </vt:variant>
      <vt:variant>
        <vt:i4>5</vt:i4>
      </vt:variant>
      <vt:variant>
        <vt:lpwstr/>
      </vt:variant>
      <vt:variant>
        <vt:lpwstr>_Toc414355074</vt:lpwstr>
      </vt:variant>
      <vt:variant>
        <vt:i4>1507381</vt:i4>
      </vt:variant>
      <vt:variant>
        <vt:i4>236</vt:i4>
      </vt:variant>
      <vt:variant>
        <vt:i4>0</vt:i4>
      </vt:variant>
      <vt:variant>
        <vt:i4>5</vt:i4>
      </vt:variant>
      <vt:variant>
        <vt:lpwstr/>
      </vt:variant>
      <vt:variant>
        <vt:lpwstr>_Toc414355073</vt:lpwstr>
      </vt:variant>
      <vt:variant>
        <vt:i4>1507381</vt:i4>
      </vt:variant>
      <vt:variant>
        <vt:i4>230</vt:i4>
      </vt:variant>
      <vt:variant>
        <vt:i4>0</vt:i4>
      </vt:variant>
      <vt:variant>
        <vt:i4>5</vt:i4>
      </vt:variant>
      <vt:variant>
        <vt:lpwstr/>
      </vt:variant>
      <vt:variant>
        <vt:lpwstr>_Toc414355072</vt:lpwstr>
      </vt:variant>
      <vt:variant>
        <vt:i4>1507381</vt:i4>
      </vt:variant>
      <vt:variant>
        <vt:i4>224</vt:i4>
      </vt:variant>
      <vt:variant>
        <vt:i4>0</vt:i4>
      </vt:variant>
      <vt:variant>
        <vt:i4>5</vt:i4>
      </vt:variant>
      <vt:variant>
        <vt:lpwstr/>
      </vt:variant>
      <vt:variant>
        <vt:lpwstr>_Toc414355071</vt:lpwstr>
      </vt:variant>
      <vt:variant>
        <vt:i4>1507381</vt:i4>
      </vt:variant>
      <vt:variant>
        <vt:i4>218</vt:i4>
      </vt:variant>
      <vt:variant>
        <vt:i4>0</vt:i4>
      </vt:variant>
      <vt:variant>
        <vt:i4>5</vt:i4>
      </vt:variant>
      <vt:variant>
        <vt:lpwstr/>
      </vt:variant>
      <vt:variant>
        <vt:lpwstr>_Toc414355070</vt:lpwstr>
      </vt:variant>
      <vt:variant>
        <vt:i4>1441845</vt:i4>
      </vt:variant>
      <vt:variant>
        <vt:i4>212</vt:i4>
      </vt:variant>
      <vt:variant>
        <vt:i4>0</vt:i4>
      </vt:variant>
      <vt:variant>
        <vt:i4>5</vt:i4>
      </vt:variant>
      <vt:variant>
        <vt:lpwstr/>
      </vt:variant>
      <vt:variant>
        <vt:lpwstr>_Toc414355069</vt:lpwstr>
      </vt:variant>
      <vt:variant>
        <vt:i4>1441845</vt:i4>
      </vt:variant>
      <vt:variant>
        <vt:i4>206</vt:i4>
      </vt:variant>
      <vt:variant>
        <vt:i4>0</vt:i4>
      </vt:variant>
      <vt:variant>
        <vt:i4>5</vt:i4>
      </vt:variant>
      <vt:variant>
        <vt:lpwstr/>
      </vt:variant>
      <vt:variant>
        <vt:lpwstr>_Toc414355068</vt:lpwstr>
      </vt:variant>
      <vt:variant>
        <vt:i4>1441845</vt:i4>
      </vt:variant>
      <vt:variant>
        <vt:i4>200</vt:i4>
      </vt:variant>
      <vt:variant>
        <vt:i4>0</vt:i4>
      </vt:variant>
      <vt:variant>
        <vt:i4>5</vt:i4>
      </vt:variant>
      <vt:variant>
        <vt:lpwstr/>
      </vt:variant>
      <vt:variant>
        <vt:lpwstr>_Toc414355067</vt:lpwstr>
      </vt:variant>
      <vt:variant>
        <vt:i4>1441845</vt:i4>
      </vt:variant>
      <vt:variant>
        <vt:i4>194</vt:i4>
      </vt:variant>
      <vt:variant>
        <vt:i4>0</vt:i4>
      </vt:variant>
      <vt:variant>
        <vt:i4>5</vt:i4>
      </vt:variant>
      <vt:variant>
        <vt:lpwstr/>
      </vt:variant>
      <vt:variant>
        <vt:lpwstr>_Toc414355066</vt:lpwstr>
      </vt:variant>
      <vt:variant>
        <vt:i4>1441845</vt:i4>
      </vt:variant>
      <vt:variant>
        <vt:i4>188</vt:i4>
      </vt:variant>
      <vt:variant>
        <vt:i4>0</vt:i4>
      </vt:variant>
      <vt:variant>
        <vt:i4>5</vt:i4>
      </vt:variant>
      <vt:variant>
        <vt:lpwstr/>
      </vt:variant>
      <vt:variant>
        <vt:lpwstr>_Toc414355065</vt:lpwstr>
      </vt:variant>
      <vt:variant>
        <vt:i4>1441845</vt:i4>
      </vt:variant>
      <vt:variant>
        <vt:i4>182</vt:i4>
      </vt:variant>
      <vt:variant>
        <vt:i4>0</vt:i4>
      </vt:variant>
      <vt:variant>
        <vt:i4>5</vt:i4>
      </vt:variant>
      <vt:variant>
        <vt:lpwstr/>
      </vt:variant>
      <vt:variant>
        <vt:lpwstr>_Toc414355064</vt:lpwstr>
      </vt:variant>
      <vt:variant>
        <vt:i4>1441845</vt:i4>
      </vt:variant>
      <vt:variant>
        <vt:i4>176</vt:i4>
      </vt:variant>
      <vt:variant>
        <vt:i4>0</vt:i4>
      </vt:variant>
      <vt:variant>
        <vt:i4>5</vt:i4>
      </vt:variant>
      <vt:variant>
        <vt:lpwstr/>
      </vt:variant>
      <vt:variant>
        <vt:lpwstr>_Toc414355063</vt:lpwstr>
      </vt:variant>
      <vt:variant>
        <vt:i4>1441845</vt:i4>
      </vt:variant>
      <vt:variant>
        <vt:i4>170</vt:i4>
      </vt:variant>
      <vt:variant>
        <vt:i4>0</vt:i4>
      </vt:variant>
      <vt:variant>
        <vt:i4>5</vt:i4>
      </vt:variant>
      <vt:variant>
        <vt:lpwstr/>
      </vt:variant>
      <vt:variant>
        <vt:lpwstr>_Toc414355062</vt:lpwstr>
      </vt:variant>
      <vt:variant>
        <vt:i4>1441845</vt:i4>
      </vt:variant>
      <vt:variant>
        <vt:i4>164</vt:i4>
      </vt:variant>
      <vt:variant>
        <vt:i4>0</vt:i4>
      </vt:variant>
      <vt:variant>
        <vt:i4>5</vt:i4>
      </vt:variant>
      <vt:variant>
        <vt:lpwstr/>
      </vt:variant>
      <vt:variant>
        <vt:lpwstr>_Toc414355061</vt:lpwstr>
      </vt:variant>
      <vt:variant>
        <vt:i4>1441845</vt:i4>
      </vt:variant>
      <vt:variant>
        <vt:i4>158</vt:i4>
      </vt:variant>
      <vt:variant>
        <vt:i4>0</vt:i4>
      </vt:variant>
      <vt:variant>
        <vt:i4>5</vt:i4>
      </vt:variant>
      <vt:variant>
        <vt:lpwstr/>
      </vt:variant>
      <vt:variant>
        <vt:lpwstr>_Toc414355060</vt:lpwstr>
      </vt:variant>
      <vt:variant>
        <vt:i4>1376309</vt:i4>
      </vt:variant>
      <vt:variant>
        <vt:i4>152</vt:i4>
      </vt:variant>
      <vt:variant>
        <vt:i4>0</vt:i4>
      </vt:variant>
      <vt:variant>
        <vt:i4>5</vt:i4>
      </vt:variant>
      <vt:variant>
        <vt:lpwstr/>
      </vt:variant>
      <vt:variant>
        <vt:lpwstr>_Toc414355059</vt:lpwstr>
      </vt:variant>
      <vt:variant>
        <vt:i4>1376309</vt:i4>
      </vt:variant>
      <vt:variant>
        <vt:i4>146</vt:i4>
      </vt:variant>
      <vt:variant>
        <vt:i4>0</vt:i4>
      </vt:variant>
      <vt:variant>
        <vt:i4>5</vt:i4>
      </vt:variant>
      <vt:variant>
        <vt:lpwstr/>
      </vt:variant>
      <vt:variant>
        <vt:lpwstr>_Toc414355058</vt:lpwstr>
      </vt:variant>
      <vt:variant>
        <vt:i4>1376309</vt:i4>
      </vt:variant>
      <vt:variant>
        <vt:i4>140</vt:i4>
      </vt:variant>
      <vt:variant>
        <vt:i4>0</vt:i4>
      </vt:variant>
      <vt:variant>
        <vt:i4>5</vt:i4>
      </vt:variant>
      <vt:variant>
        <vt:lpwstr/>
      </vt:variant>
      <vt:variant>
        <vt:lpwstr>_Toc414355057</vt:lpwstr>
      </vt:variant>
      <vt:variant>
        <vt:i4>1376309</vt:i4>
      </vt:variant>
      <vt:variant>
        <vt:i4>134</vt:i4>
      </vt:variant>
      <vt:variant>
        <vt:i4>0</vt:i4>
      </vt:variant>
      <vt:variant>
        <vt:i4>5</vt:i4>
      </vt:variant>
      <vt:variant>
        <vt:lpwstr/>
      </vt:variant>
      <vt:variant>
        <vt:lpwstr>_Toc414355056</vt:lpwstr>
      </vt:variant>
      <vt:variant>
        <vt:i4>1376309</vt:i4>
      </vt:variant>
      <vt:variant>
        <vt:i4>128</vt:i4>
      </vt:variant>
      <vt:variant>
        <vt:i4>0</vt:i4>
      </vt:variant>
      <vt:variant>
        <vt:i4>5</vt:i4>
      </vt:variant>
      <vt:variant>
        <vt:lpwstr/>
      </vt:variant>
      <vt:variant>
        <vt:lpwstr>_Toc414355055</vt:lpwstr>
      </vt:variant>
      <vt:variant>
        <vt:i4>1376309</vt:i4>
      </vt:variant>
      <vt:variant>
        <vt:i4>122</vt:i4>
      </vt:variant>
      <vt:variant>
        <vt:i4>0</vt:i4>
      </vt:variant>
      <vt:variant>
        <vt:i4>5</vt:i4>
      </vt:variant>
      <vt:variant>
        <vt:lpwstr/>
      </vt:variant>
      <vt:variant>
        <vt:lpwstr>_Toc414355054</vt:lpwstr>
      </vt:variant>
      <vt:variant>
        <vt:i4>1376309</vt:i4>
      </vt:variant>
      <vt:variant>
        <vt:i4>116</vt:i4>
      </vt:variant>
      <vt:variant>
        <vt:i4>0</vt:i4>
      </vt:variant>
      <vt:variant>
        <vt:i4>5</vt:i4>
      </vt:variant>
      <vt:variant>
        <vt:lpwstr/>
      </vt:variant>
      <vt:variant>
        <vt:lpwstr>_Toc414355053</vt:lpwstr>
      </vt:variant>
      <vt:variant>
        <vt:i4>1376309</vt:i4>
      </vt:variant>
      <vt:variant>
        <vt:i4>110</vt:i4>
      </vt:variant>
      <vt:variant>
        <vt:i4>0</vt:i4>
      </vt:variant>
      <vt:variant>
        <vt:i4>5</vt:i4>
      </vt:variant>
      <vt:variant>
        <vt:lpwstr/>
      </vt:variant>
      <vt:variant>
        <vt:lpwstr>_Toc414355052</vt:lpwstr>
      </vt:variant>
      <vt:variant>
        <vt:i4>1376309</vt:i4>
      </vt:variant>
      <vt:variant>
        <vt:i4>104</vt:i4>
      </vt:variant>
      <vt:variant>
        <vt:i4>0</vt:i4>
      </vt:variant>
      <vt:variant>
        <vt:i4>5</vt:i4>
      </vt:variant>
      <vt:variant>
        <vt:lpwstr/>
      </vt:variant>
      <vt:variant>
        <vt:lpwstr>_Toc414355051</vt:lpwstr>
      </vt:variant>
      <vt:variant>
        <vt:i4>1376309</vt:i4>
      </vt:variant>
      <vt:variant>
        <vt:i4>98</vt:i4>
      </vt:variant>
      <vt:variant>
        <vt:i4>0</vt:i4>
      </vt:variant>
      <vt:variant>
        <vt:i4>5</vt:i4>
      </vt:variant>
      <vt:variant>
        <vt:lpwstr/>
      </vt:variant>
      <vt:variant>
        <vt:lpwstr>_Toc414355050</vt:lpwstr>
      </vt:variant>
      <vt:variant>
        <vt:i4>1310773</vt:i4>
      </vt:variant>
      <vt:variant>
        <vt:i4>92</vt:i4>
      </vt:variant>
      <vt:variant>
        <vt:i4>0</vt:i4>
      </vt:variant>
      <vt:variant>
        <vt:i4>5</vt:i4>
      </vt:variant>
      <vt:variant>
        <vt:lpwstr/>
      </vt:variant>
      <vt:variant>
        <vt:lpwstr>_Toc414355049</vt:lpwstr>
      </vt:variant>
      <vt:variant>
        <vt:i4>1310773</vt:i4>
      </vt:variant>
      <vt:variant>
        <vt:i4>86</vt:i4>
      </vt:variant>
      <vt:variant>
        <vt:i4>0</vt:i4>
      </vt:variant>
      <vt:variant>
        <vt:i4>5</vt:i4>
      </vt:variant>
      <vt:variant>
        <vt:lpwstr/>
      </vt:variant>
      <vt:variant>
        <vt:lpwstr>_Toc414355048</vt:lpwstr>
      </vt:variant>
      <vt:variant>
        <vt:i4>1310773</vt:i4>
      </vt:variant>
      <vt:variant>
        <vt:i4>80</vt:i4>
      </vt:variant>
      <vt:variant>
        <vt:i4>0</vt:i4>
      </vt:variant>
      <vt:variant>
        <vt:i4>5</vt:i4>
      </vt:variant>
      <vt:variant>
        <vt:lpwstr/>
      </vt:variant>
      <vt:variant>
        <vt:lpwstr>_Toc414355047</vt:lpwstr>
      </vt:variant>
      <vt:variant>
        <vt:i4>1310773</vt:i4>
      </vt:variant>
      <vt:variant>
        <vt:i4>74</vt:i4>
      </vt:variant>
      <vt:variant>
        <vt:i4>0</vt:i4>
      </vt:variant>
      <vt:variant>
        <vt:i4>5</vt:i4>
      </vt:variant>
      <vt:variant>
        <vt:lpwstr/>
      </vt:variant>
      <vt:variant>
        <vt:lpwstr>_Toc414355046</vt:lpwstr>
      </vt:variant>
      <vt:variant>
        <vt:i4>1310773</vt:i4>
      </vt:variant>
      <vt:variant>
        <vt:i4>68</vt:i4>
      </vt:variant>
      <vt:variant>
        <vt:i4>0</vt:i4>
      </vt:variant>
      <vt:variant>
        <vt:i4>5</vt:i4>
      </vt:variant>
      <vt:variant>
        <vt:lpwstr/>
      </vt:variant>
      <vt:variant>
        <vt:lpwstr>_Toc414355045</vt:lpwstr>
      </vt:variant>
      <vt:variant>
        <vt:i4>1310773</vt:i4>
      </vt:variant>
      <vt:variant>
        <vt:i4>62</vt:i4>
      </vt:variant>
      <vt:variant>
        <vt:i4>0</vt:i4>
      </vt:variant>
      <vt:variant>
        <vt:i4>5</vt:i4>
      </vt:variant>
      <vt:variant>
        <vt:lpwstr/>
      </vt:variant>
      <vt:variant>
        <vt:lpwstr>_Toc414355044</vt:lpwstr>
      </vt:variant>
      <vt:variant>
        <vt:i4>1310773</vt:i4>
      </vt:variant>
      <vt:variant>
        <vt:i4>56</vt:i4>
      </vt:variant>
      <vt:variant>
        <vt:i4>0</vt:i4>
      </vt:variant>
      <vt:variant>
        <vt:i4>5</vt:i4>
      </vt:variant>
      <vt:variant>
        <vt:lpwstr/>
      </vt:variant>
      <vt:variant>
        <vt:lpwstr>_Toc414355043</vt:lpwstr>
      </vt:variant>
      <vt:variant>
        <vt:i4>1310773</vt:i4>
      </vt:variant>
      <vt:variant>
        <vt:i4>50</vt:i4>
      </vt:variant>
      <vt:variant>
        <vt:i4>0</vt:i4>
      </vt:variant>
      <vt:variant>
        <vt:i4>5</vt:i4>
      </vt:variant>
      <vt:variant>
        <vt:lpwstr/>
      </vt:variant>
      <vt:variant>
        <vt:lpwstr>_Toc414355042</vt:lpwstr>
      </vt:variant>
      <vt:variant>
        <vt:i4>1310773</vt:i4>
      </vt:variant>
      <vt:variant>
        <vt:i4>44</vt:i4>
      </vt:variant>
      <vt:variant>
        <vt:i4>0</vt:i4>
      </vt:variant>
      <vt:variant>
        <vt:i4>5</vt:i4>
      </vt:variant>
      <vt:variant>
        <vt:lpwstr/>
      </vt:variant>
      <vt:variant>
        <vt:lpwstr>_Toc414355041</vt:lpwstr>
      </vt:variant>
      <vt:variant>
        <vt:i4>1310773</vt:i4>
      </vt:variant>
      <vt:variant>
        <vt:i4>38</vt:i4>
      </vt:variant>
      <vt:variant>
        <vt:i4>0</vt:i4>
      </vt:variant>
      <vt:variant>
        <vt:i4>5</vt:i4>
      </vt:variant>
      <vt:variant>
        <vt:lpwstr/>
      </vt:variant>
      <vt:variant>
        <vt:lpwstr>_Toc414355040</vt:lpwstr>
      </vt:variant>
      <vt:variant>
        <vt:i4>1245237</vt:i4>
      </vt:variant>
      <vt:variant>
        <vt:i4>32</vt:i4>
      </vt:variant>
      <vt:variant>
        <vt:i4>0</vt:i4>
      </vt:variant>
      <vt:variant>
        <vt:i4>5</vt:i4>
      </vt:variant>
      <vt:variant>
        <vt:lpwstr/>
      </vt:variant>
      <vt:variant>
        <vt:lpwstr>_Toc414355039</vt:lpwstr>
      </vt:variant>
      <vt:variant>
        <vt:i4>1245237</vt:i4>
      </vt:variant>
      <vt:variant>
        <vt:i4>26</vt:i4>
      </vt:variant>
      <vt:variant>
        <vt:i4>0</vt:i4>
      </vt:variant>
      <vt:variant>
        <vt:i4>5</vt:i4>
      </vt:variant>
      <vt:variant>
        <vt:lpwstr/>
      </vt:variant>
      <vt:variant>
        <vt:lpwstr>_Toc414355038</vt:lpwstr>
      </vt:variant>
      <vt:variant>
        <vt:i4>1245237</vt:i4>
      </vt:variant>
      <vt:variant>
        <vt:i4>20</vt:i4>
      </vt:variant>
      <vt:variant>
        <vt:i4>0</vt:i4>
      </vt:variant>
      <vt:variant>
        <vt:i4>5</vt:i4>
      </vt:variant>
      <vt:variant>
        <vt:lpwstr/>
      </vt:variant>
      <vt:variant>
        <vt:lpwstr>_Toc414355037</vt:lpwstr>
      </vt:variant>
      <vt:variant>
        <vt:i4>1245237</vt:i4>
      </vt:variant>
      <vt:variant>
        <vt:i4>14</vt:i4>
      </vt:variant>
      <vt:variant>
        <vt:i4>0</vt:i4>
      </vt:variant>
      <vt:variant>
        <vt:i4>5</vt:i4>
      </vt:variant>
      <vt:variant>
        <vt:lpwstr/>
      </vt:variant>
      <vt:variant>
        <vt:lpwstr>_Toc414355036</vt:lpwstr>
      </vt:variant>
      <vt:variant>
        <vt:i4>1245237</vt:i4>
      </vt:variant>
      <vt:variant>
        <vt:i4>8</vt:i4>
      </vt:variant>
      <vt:variant>
        <vt:i4>0</vt:i4>
      </vt:variant>
      <vt:variant>
        <vt:i4>5</vt:i4>
      </vt:variant>
      <vt:variant>
        <vt:lpwstr/>
      </vt:variant>
      <vt:variant>
        <vt:lpwstr>_Toc414355035</vt:lpwstr>
      </vt:variant>
      <vt:variant>
        <vt:i4>1245237</vt:i4>
      </vt:variant>
      <vt:variant>
        <vt:i4>2</vt:i4>
      </vt:variant>
      <vt:variant>
        <vt:i4>0</vt:i4>
      </vt:variant>
      <vt:variant>
        <vt:i4>5</vt:i4>
      </vt:variant>
      <vt:variant>
        <vt:lpwstr/>
      </vt:variant>
      <vt:variant>
        <vt:lpwstr>_Toc414355034</vt:lpwstr>
      </vt:variant>
      <vt:variant>
        <vt:i4>4390934</vt:i4>
      </vt:variant>
      <vt:variant>
        <vt:i4>0</vt:i4>
      </vt:variant>
      <vt:variant>
        <vt:i4>0</vt:i4>
      </vt:variant>
      <vt:variant>
        <vt:i4>5</vt:i4>
      </vt:variant>
      <vt:variant>
        <vt:lpwstr>http://www.gpo.gov/fdsys/pkg/PLAW-111publ296/pdf/PLAW-111publ296.pdf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Eligibility Provision Guidance (PDF)</dc:title>
  <dc:subject/>
  <dc:creator>us department of education</dc:creator>
  <cp:keywords/>
  <cp:lastModifiedBy>SWOPE Emily - ODE</cp:lastModifiedBy>
  <cp:revision>2</cp:revision>
  <cp:lastPrinted>2015-01-31T00:11:00Z</cp:lastPrinted>
  <dcterms:created xsi:type="dcterms:W3CDTF">2018-08-03T20:47:00Z</dcterms:created>
  <dcterms:modified xsi:type="dcterms:W3CDTF">2018-08-03T20:47:00Z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UseMLCFooter">
    <vt:i4>1</vt:i4>
  </property>
  <property fmtid="{D5CDD505-2E9C-101B-9397-08002B2CF9AE}" pid="4" name="ContentTypeId">
    <vt:lpwstr>0x01010015196C7C289ABA4D9FDD1361C84C4FA1</vt:lpwstr>
  </property>
</Properties>
</file>