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B67" w:rsidRPr="00EB11E8" w:rsidRDefault="00A87B67" w:rsidP="00A87B67">
      <w:pPr>
        <w:jc w:val="center"/>
        <w:rPr>
          <w:sz w:val="40"/>
          <w:szCs w:val="40"/>
        </w:rPr>
      </w:pPr>
      <w:r w:rsidRPr="00EB11E8">
        <w:rPr>
          <w:sz w:val="40"/>
          <w:szCs w:val="40"/>
        </w:rPr>
        <w:t>Comprehensive Needs Assessment Data Summary Analyses</w:t>
      </w:r>
    </w:p>
    <w:tbl>
      <w:tblPr>
        <w:tblW w:w="5000" w:type="pct"/>
        <w:tblCellMar>
          <w:left w:w="0" w:type="dxa"/>
          <w:right w:w="0" w:type="dxa"/>
        </w:tblCellMar>
        <w:tblLook w:val="0420" w:firstRow="1" w:lastRow="0" w:firstColumn="0" w:lastColumn="0" w:noHBand="0" w:noVBand="1"/>
      </w:tblPr>
      <w:tblGrid>
        <w:gridCol w:w="2395"/>
        <w:gridCol w:w="2396"/>
        <w:gridCol w:w="2396"/>
        <w:gridCol w:w="2396"/>
        <w:gridCol w:w="2396"/>
        <w:gridCol w:w="2401"/>
      </w:tblGrid>
      <w:tr w:rsidR="00A87B67" w:rsidRPr="00A87B67" w:rsidTr="00A87B67">
        <w:trPr>
          <w:trHeight w:val="565"/>
        </w:trPr>
        <w:tc>
          <w:tcPr>
            <w:tcW w:w="1666" w:type="pct"/>
            <w:gridSpan w:val="2"/>
            <w:tcBorders>
              <w:top w:val="single" w:sz="8" w:space="0" w:color="FFFFFF"/>
              <w:left w:val="single" w:sz="8" w:space="0" w:color="FFFFFF"/>
              <w:bottom w:val="single" w:sz="24" w:space="0" w:color="FFFFFF"/>
              <w:right w:val="single" w:sz="8" w:space="0" w:color="FFFFFF"/>
            </w:tcBorders>
            <w:shd w:val="clear" w:color="auto" w:fill="DFDCB7"/>
            <w:tcMar>
              <w:top w:w="72" w:type="dxa"/>
              <w:left w:w="144" w:type="dxa"/>
              <w:bottom w:w="72" w:type="dxa"/>
              <w:right w:w="144" w:type="dxa"/>
            </w:tcMar>
            <w:hideMark/>
          </w:tcPr>
          <w:p w:rsidR="00A87B67" w:rsidRPr="00A87B67" w:rsidRDefault="00A87B67" w:rsidP="00A87B67">
            <w:pPr>
              <w:spacing w:before="0" w:beforeAutospacing="0" w:after="0" w:afterAutospacing="0"/>
              <w:jc w:val="center"/>
              <w:rPr>
                <w:rFonts w:ascii="Arial" w:eastAsia="Times New Roman" w:hAnsi="Arial" w:cs="Arial"/>
                <w:color w:val="000000" w:themeColor="text1"/>
                <w:sz w:val="28"/>
                <w:szCs w:val="28"/>
              </w:rPr>
            </w:pPr>
            <w:r w:rsidRPr="00A87B67">
              <w:rPr>
                <w:rFonts w:ascii="Calibri" w:eastAsia="Times New Roman" w:hAnsi="Calibri" w:cs="Calibri"/>
                <w:b/>
                <w:bCs/>
                <w:color w:val="000000" w:themeColor="text1"/>
                <w:kern w:val="24"/>
                <w:sz w:val="28"/>
                <w:szCs w:val="28"/>
              </w:rPr>
              <w:t>System Health Data</w:t>
            </w:r>
          </w:p>
        </w:tc>
        <w:tc>
          <w:tcPr>
            <w:tcW w:w="1666" w:type="pct"/>
            <w:gridSpan w:val="2"/>
            <w:tcBorders>
              <w:top w:val="single" w:sz="8" w:space="0" w:color="FFFFFF"/>
              <w:left w:val="single" w:sz="8" w:space="0" w:color="FFFFFF"/>
              <w:bottom w:val="single" w:sz="24" w:space="0" w:color="FFFFFF"/>
              <w:right w:val="single" w:sz="8" w:space="0" w:color="FFFFFF"/>
            </w:tcBorders>
            <w:shd w:val="clear" w:color="auto" w:fill="DFDCB7"/>
            <w:tcMar>
              <w:top w:w="72" w:type="dxa"/>
              <w:left w:w="144" w:type="dxa"/>
              <w:bottom w:w="72" w:type="dxa"/>
              <w:right w:w="144" w:type="dxa"/>
            </w:tcMar>
            <w:hideMark/>
          </w:tcPr>
          <w:p w:rsidR="00EB11E8" w:rsidRPr="00EB11E8" w:rsidRDefault="00EB11E8" w:rsidP="00EB11E8">
            <w:pPr>
              <w:spacing w:before="0" w:beforeAutospacing="0" w:after="0" w:afterAutospacing="0"/>
              <w:jc w:val="center"/>
              <w:rPr>
                <w:rFonts w:ascii="Calibri" w:eastAsia="Times New Roman" w:hAnsi="Calibri" w:cs="Calibri"/>
                <w:b/>
                <w:bCs/>
                <w:color w:val="000000" w:themeColor="text1"/>
                <w:kern w:val="24"/>
                <w:sz w:val="28"/>
                <w:szCs w:val="28"/>
              </w:rPr>
            </w:pPr>
            <w:r w:rsidRPr="00EB11E8">
              <w:rPr>
                <w:rFonts w:ascii="Calibri" w:eastAsia="Times New Roman" w:hAnsi="Calibri" w:cs="Calibri"/>
                <w:b/>
                <w:bCs/>
                <w:color w:val="000000" w:themeColor="text1"/>
                <w:kern w:val="24"/>
                <w:sz w:val="28"/>
                <w:szCs w:val="28"/>
              </w:rPr>
              <w:t xml:space="preserve">Student Data Trends </w:t>
            </w:r>
          </w:p>
          <w:p w:rsidR="00EB11E8" w:rsidRPr="00A87B67" w:rsidRDefault="00EB11E8" w:rsidP="00731836">
            <w:pPr>
              <w:spacing w:before="0" w:beforeAutospacing="0" w:after="0" w:afterAutospacing="0"/>
              <w:jc w:val="center"/>
              <w:rPr>
                <w:rFonts w:ascii="Calibri" w:eastAsia="Times New Roman" w:hAnsi="Calibri" w:cs="Calibri"/>
                <w:b/>
                <w:bCs/>
                <w:color w:val="000000" w:themeColor="text1"/>
                <w:kern w:val="24"/>
                <w:sz w:val="20"/>
                <w:szCs w:val="20"/>
              </w:rPr>
            </w:pPr>
            <w:r w:rsidRPr="00731836">
              <w:rPr>
                <w:rFonts w:ascii="Calibri" w:eastAsia="Times New Roman" w:hAnsi="Calibri" w:cs="Calibri"/>
                <w:b/>
                <w:bCs/>
                <w:color w:val="000000" w:themeColor="text1"/>
                <w:kern w:val="24"/>
                <w:sz w:val="20"/>
                <w:szCs w:val="20"/>
              </w:rPr>
              <w:t>(</w:t>
            </w:r>
            <w:r w:rsidR="00731836">
              <w:rPr>
                <w:rFonts w:ascii="Calibri" w:eastAsia="Times New Roman" w:hAnsi="Calibri" w:cs="Calibri"/>
                <w:b/>
                <w:bCs/>
                <w:color w:val="000000" w:themeColor="text1"/>
                <w:kern w:val="24"/>
                <w:sz w:val="20"/>
                <w:szCs w:val="20"/>
              </w:rPr>
              <w:t>pay attention to</w:t>
            </w:r>
            <w:r w:rsidRPr="00731836">
              <w:rPr>
                <w:rFonts w:ascii="Calibri" w:eastAsia="Times New Roman" w:hAnsi="Calibri" w:cs="Calibri"/>
                <w:b/>
                <w:bCs/>
                <w:color w:val="000000" w:themeColor="text1"/>
                <w:kern w:val="24"/>
                <w:sz w:val="20"/>
                <w:szCs w:val="20"/>
              </w:rPr>
              <w:t xml:space="preserve"> </w:t>
            </w:r>
            <w:r w:rsidR="00731836">
              <w:rPr>
                <w:rFonts w:ascii="Calibri" w:eastAsia="Times New Roman" w:hAnsi="Calibri" w:cs="Calibri"/>
                <w:b/>
                <w:bCs/>
                <w:color w:val="000000" w:themeColor="text1"/>
                <w:kern w:val="24"/>
                <w:sz w:val="20"/>
                <w:szCs w:val="20"/>
              </w:rPr>
              <w:t xml:space="preserve">specific </w:t>
            </w:r>
            <w:r w:rsidRPr="00731836">
              <w:rPr>
                <w:rFonts w:ascii="Calibri" w:eastAsia="Times New Roman" w:hAnsi="Calibri" w:cs="Calibri"/>
                <w:b/>
                <w:bCs/>
                <w:color w:val="000000" w:themeColor="text1"/>
                <w:kern w:val="24"/>
                <w:sz w:val="20"/>
                <w:szCs w:val="20"/>
              </w:rPr>
              <w:t>student groups</w:t>
            </w:r>
            <w:r w:rsidR="00731836">
              <w:rPr>
                <w:rFonts w:ascii="Calibri" w:eastAsia="Times New Roman" w:hAnsi="Calibri" w:cs="Calibri"/>
                <w:b/>
                <w:bCs/>
                <w:color w:val="000000" w:themeColor="text1"/>
                <w:kern w:val="24"/>
                <w:sz w:val="20"/>
                <w:szCs w:val="20"/>
              </w:rPr>
              <w:t>’ needs</w:t>
            </w:r>
            <w:r w:rsidRPr="00731836">
              <w:rPr>
                <w:rFonts w:ascii="Calibri" w:eastAsia="Times New Roman" w:hAnsi="Calibri" w:cs="Calibri"/>
                <w:b/>
                <w:bCs/>
                <w:color w:val="000000" w:themeColor="text1"/>
                <w:kern w:val="24"/>
                <w:sz w:val="20"/>
                <w:szCs w:val="20"/>
              </w:rPr>
              <w:t>)</w:t>
            </w:r>
          </w:p>
        </w:tc>
        <w:tc>
          <w:tcPr>
            <w:tcW w:w="1668" w:type="pct"/>
            <w:gridSpan w:val="2"/>
            <w:tcBorders>
              <w:top w:val="single" w:sz="8" w:space="0" w:color="FFFFFF"/>
              <w:left w:val="single" w:sz="8" w:space="0" w:color="FFFFFF"/>
              <w:bottom w:val="single" w:sz="24" w:space="0" w:color="FFFFFF"/>
              <w:right w:val="single" w:sz="8" w:space="0" w:color="FFFFFF"/>
            </w:tcBorders>
            <w:shd w:val="clear" w:color="auto" w:fill="DFDCB7"/>
            <w:tcMar>
              <w:top w:w="72" w:type="dxa"/>
              <w:left w:w="144" w:type="dxa"/>
              <w:bottom w:w="72" w:type="dxa"/>
              <w:right w:w="144" w:type="dxa"/>
            </w:tcMar>
            <w:hideMark/>
          </w:tcPr>
          <w:p w:rsidR="00A87B67" w:rsidRPr="00A87B67" w:rsidRDefault="00A87B67" w:rsidP="00A87B67">
            <w:pPr>
              <w:spacing w:before="0" w:beforeAutospacing="0" w:after="0" w:afterAutospacing="0"/>
              <w:jc w:val="center"/>
              <w:rPr>
                <w:rFonts w:ascii="Arial" w:eastAsia="Times New Roman" w:hAnsi="Arial" w:cs="Arial"/>
                <w:color w:val="000000" w:themeColor="text1"/>
                <w:sz w:val="28"/>
                <w:szCs w:val="28"/>
              </w:rPr>
            </w:pPr>
            <w:r w:rsidRPr="00EB11E8">
              <w:rPr>
                <w:rFonts w:ascii="Calibri" w:eastAsia="Times New Roman" w:hAnsi="Calibri" w:cs="Calibri"/>
                <w:b/>
                <w:bCs/>
                <w:color w:val="000000" w:themeColor="text1"/>
                <w:kern w:val="24"/>
                <w:sz w:val="28"/>
                <w:szCs w:val="28"/>
              </w:rPr>
              <w:t xml:space="preserve">Stakeholder </w:t>
            </w:r>
            <w:r w:rsidRPr="00A87B67">
              <w:rPr>
                <w:rFonts w:ascii="Calibri" w:eastAsia="Times New Roman" w:hAnsi="Calibri" w:cs="Calibri"/>
                <w:b/>
                <w:bCs/>
                <w:color w:val="000000" w:themeColor="text1"/>
                <w:kern w:val="24"/>
                <w:sz w:val="28"/>
                <w:szCs w:val="28"/>
              </w:rPr>
              <w:t>Input Data</w:t>
            </w:r>
          </w:p>
        </w:tc>
      </w:tr>
      <w:tr w:rsidR="00A87B67" w:rsidRPr="00A87B67" w:rsidTr="00A87B67">
        <w:trPr>
          <w:trHeight w:val="565"/>
        </w:trPr>
        <w:tc>
          <w:tcPr>
            <w:tcW w:w="1666" w:type="pct"/>
            <w:gridSpan w:val="2"/>
            <w:tcBorders>
              <w:top w:val="single" w:sz="8" w:space="0" w:color="FFFFFF"/>
              <w:left w:val="single" w:sz="8" w:space="0" w:color="FFFFFF"/>
              <w:bottom w:val="single" w:sz="24" w:space="0" w:color="FFFFFF"/>
              <w:right w:val="single" w:sz="8" w:space="0" w:color="FFFFFF"/>
            </w:tcBorders>
            <w:shd w:val="clear" w:color="auto" w:fill="DFDCB7"/>
            <w:tcMar>
              <w:top w:w="72" w:type="dxa"/>
              <w:left w:w="144" w:type="dxa"/>
              <w:bottom w:w="72" w:type="dxa"/>
              <w:right w:w="144" w:type="dxa"/>
            </w:tcMar>
          </w:tcPr>
          <w:p w:rsidR="00A87B67" w:rsidRPr="00EB11E8" w:rsidRDefault="00A87B67" w:rsidP="00A87B67">
            <w:pPr>
              <w:spacing w:before="0" w:beforeAutospacing="0" w:after="0" w:afterAutospacing="0"/>
              <w:rPr>
                <w:rFonts w:ascii="Calibri" w:eastAsia="Times New Roman" w:hAnsi="Calibri" w:cs="Calibri"/>
                <w:bCs/>
                <w:color w:val="000000" w:themeColor="text1"/>
                <w:kern w:val="24"/>
                <w:sz w:val="20"/>
                <w:szCs w:val="20"/>
              </w:rPr>
            </w:pPr>
            <w:r w:rsidRPr="00EB11E8">
              <w:rPr>
                <w:rFonts w:ascii="Calibri" w:eastAsia="Times New Roman" w:hAnsi="Calibri" w:cs="Calibri"/>
                <w:bCs/>
                <w:color w:val="000000" w:themeColor="text1"/>
                <w:kern w:val="24"/>
                <w:sz w:val="20"/>
                <w:szCs w:val="20"/>
              </w:rPr>
              <w:t>ORIS Domains</w:t>
            </w:r>
          </w:p>
          <w:p w:rsidR="00A87B67" w:rsidRPr="00EB11E8" w:rsidRDefault="00A87B67" w:rsidP="00A87B67">
            <w:pPr>
              <w:pStyle w:val="ListParagraph"/>
              <w:numPr>
                <w:ilvl w:val="0"/>
                <w:numId w:val="1"/>
              </w:numPr>
              <w:spacing w:before="0" w:beforeAutospacing="0" w:after="0" w:afterAutospacing="0"/>
              <w:rPr>
                <w:rFonts w:ascii="Calibri" w:eastAsia="Times New Roman" w:hAnsi="Calibri" w:cs="Calibri"/>
                <w:bCs/>
                <w:color w:val="000000" w:themeColor="text1"/>
                <w:kern w:val="24"/>
                <w:sz w:val="20"/>
                <w:szCs w:val="20"/>
              </w:rPr>
            </w:pPr>
            <w:r w:rsidRPr="00EB11E8">
              <w:rPr>
                <w:rFonts w:ascii="Calibri" w:eastAsia="Times New Roman" w:hAnsi="Calibri" w:cs="Calibri"/>
                <w:bCs/>
                <w:color w:val="000000" w:themeColor="text1"/>
                <w:kern w:val="24"/>
                <w:sz w:val="20"/>
                <w:szCs w:val="20"/>
              </w:rPr>
              <w:t>Leadership</w:t>
            </w:r>
          </w:p>
          <w:p w:rsidR="00A87B67" w:rsidRPr="00EB11E8" w:rsidRDefault="00A87B67" w:rsidP="00A87B67">
            <w:pPr>
              <w:pStyle w:val="ListParagraph"/>
              <w:numPr>
                <w:ilvl w:val="0"/>
                <w:numId w:val="1"/>
              </w:numPr>
              <w:spacing w:before="0" w:beforeAutospacing="0" w:after="0" w:afterAutospacing="0"/>
              <w:rPr>
                <w:rFonts w:ascii="Calibri" w:eastAsia="Times New Roman" w:hAnsi="Calibri" w:cs="Calibri"/>
                <w:bCs/>
                <w:color w:val="000000" w:themeColor="text1"/>
                <w:kern w:val="24"/>
                <w:sz w:val="20"/>
                <w:szCs w:val="20"/>
              </w:rPr>
            </w:pPr>
            <w:r w:rsidRPr="00EB11E8">
              <w:rPr>
                <w:rFonts w:ascii="Calibri" w:eastAsia="Times New Roman" w:hAnsi="Calibri" w:cs="Calibri"/>
                <w:bCs/>
                <w:color w:val="000000" w:themeColor="text1"/>
                <w:kern w:val="24"/>
                <w:sz w:val="20"/>
                <w:szCs w:val="20"/>
              </w:rPr>
              <w:t>Talent Development</w:t>
            </w:r>
          </w:p>
          <w:p w:rsidR="00A87B67" w:rsidRPr="00EB11E8" w:rsidRDefault="00A87B67" w:rsidP="00A87B67">
            <w:pPr>
              <w:pStyle w:val="ListParagraph"/>
              <w:numPr>
                <w:ilvl w:val="0"/>
                <w:numId w:val="1"/>
              </w:numPr>
              <w:spacing w:before="0" w:beforeAutospacing="0" w:after="0" w:afterAutospacing="0"/>
              <w:rPr>
                <w:rFonts w:ascii="Calibri" w:eastAsia="Times New Roman" w:hAnsi="Calibri" w:cs="Calibri"/>
                <w:bCs/>
                <w:color w:val="000000" w:themeColor="text1"/>
                <w:kern w:val="24"/>
                <w:sz w:val="20"/>
                <w:szCs w:val="20"/>
              </w:rPr>
            </w:pPr>
            <w:r w:rsidRPr="00EB11E8">
              <w:rPr>
                <w:rFonts w:ascii="Calibri" w:eastAsia="Times New Roman" w:hAnsi="Calibri" w:cs="Calibri"/>
                <w:bCs/>
                <w:color w:val="000000" w:themeColor="text1"/>
                <w:kern w:val="24"/>
                <w:sz w:val="20"/>
                <w:szCs w:val="20"/>
              </w:rPr>
              <w:t>Stakeholder Engagement &amp; Partnership</w:t>
            </w:r>
          </w:p>
          <w:p w:rsidR="00A87B67" w:rsidRPr="00EB11E8" w:rsidRDefault="00A87B67" w:rsidP="00A87B67">
            <w:pPr>
              <w:pStyle w:val="ListParagraph"/>
              <w:numPr>
                <w:ilvl w:val="0"/>
                <w:numId w:val="1"/>
              </w:numPr>
              <w:spacing w:before="0" w:beforeAutospacing="0" w:after="0" w:afterAutospacing="0"/>
              <w:rPr>
                <w:rFonts w:ascii="Calibri" w:eastAsia="Times New Roman" w:hAnsi="Calibri" w:cs="Calibri"/>
                <w:bCs/>
                <w:color w:val="000000" w:themeColor="text1"/>
                <w:kern w:val="24"/>
                <w:sz w:val="20"/>
                <w:szCs w:val="20"/>
              </w:rPr>
            </w:pPr>
            <w:r w:rsidRPr="00EB11E8">
              <w:rPr>
                <w:rFonts w:ascii="Calibri" w:eastAsia="Times New Roman" w:hAnsi="Calibri" w:cs="Calibri"/>
                <w:bCs/>
                <w:color w:val="000000" w:themeColor="text1"/>
                <w:kern w:val="24"/>
                <w:sz w:val="20"/>
                <w:szCs w:val="20"/>
              </w:rPr>
              <w:t>Well Rounded Coordinated Learning</w:t>
            </w:r>
          </w:p>
          <w:p w:rsidR="00A87B67" w:rsidRPr="00EB11E8" w:rsidRDefault="00A87B67" w:rsidP="00A87B67">
            <w:pPr>
              <w:pStyle w:val="ListParagraph"/>
              <w:numPr>
                <w:ilvl w:val="0"/>
                <w:numId w:val="1"/>
              </w:numPr>
              <w:spacing w:before="0" w:beforeAutospacing="0" w:after="0" w:afterAutospacing="0"/>
              <w:rPr>
                <w:rFonts w:ascii="Calibri" w:eastAsia="Times New Roman" w:hAnsi="Calibri" w:cs="Calibri"/>
                <w:bCs/>
                <w:color w:val="000000" w:themeColor="text1"/>
                <w:kern w:val="24"/>
                <w:sz w:val="20"/>
                <w:szCs w:val="20"/>
              </w:rPr>
            </w:pPr>
            <w:r w:rsidRPr="00EB11E8">
              <w:rPr>
                <w:rFonts w:ascii="Calibri" w:eastAsia="Times New Roman" w:hAnsi="Calibri" w:cs="Calibri"/>
                <w:bCs/>
                <w:color w:val="000000" w:themeColor="text1"/>
                <w:kern w:val="24"/>
                <w:sz w:val="20"/>
                <w:szCs w:val="20"/>
              </w:rPr>
              <w:t>Inclusive Policy &amp; Practice</w:t>
            </w:r>
          </w:p>
        </w:tc>
        <w:tc>
          <w:tcPr>
            <w:tcW w:w="1666" w:type="pct"/>
            <w:gridSpan w:val="2"/>
            <w:tcBorders>
              <w:top w:val="single" w:sz="8" w:space="0" w:color="FFFFFF"/>
              <w:left w:val="single" w:sz="8" w:space="0" w:color="FFFFFF"/>
              <w:bottom w:val="single" w:sz="24" w:space="0" w:color="FFFFFF"/>
              <w:right w:val="single" w:sz="8" w:space="0" w:color="FFFFFF"/>
            </w:tcBorders>
            <w:shd w:val="clear" w:color="auto" w:fill="DFDCB7"/>
            <w:tcMar>
              <w:top w:w="72" w:type="dxa"/>
              <w:left w:w="144" w:type="dxa"/>
              <w:bottom w:w="72" w:type="dxa"/>
              <w:right w:w="144" w:type="dxa"/>
            </w:tcMar>
          </w:tcPr>
          <w:p w:rsidR="00A87B67" w:rsidRPr="00EB11E8" w:rsidRDefault="00A87B67" w:rsidP="00A87B67">
            <w:pPr>
              <w:pStyle w:val="ListParagraph"/>
              <w:numPr>
                <w:ilvl w:val="0"/>
                <w:numId w:val="1"/>
              </w:numPr>
              <w:spacing w:before="0" w:beforeAutospacing="0" w:after="0" w:afterAutospacing="0"/>
              <w:rPr>
                <w:rFonts w:ascii="Calibri" w:eastAsia="Times New Roman" w:hAnsi="Calibri" w:cs="Calibri"/>
                <w:bCs/>
                <w:color w:val="000000" w:themeColor="text1"/>
                <w:kern w:val="24"/>
                <w:sz w:val="20"/>
                <w:szCs w:val="20"/>
              </w:rPr>
            </w:pPr>
            <w:r w:rsidRPr="00EB11E8">
              <w:rPr>
                <w:rFonts w:ascii="Calibri" w:eastAsia="Times New Roman" w:hAnsi="Calibri" w:cs="Calibri"/>
                <w:bCs/>
                <w:color w:val="000000" w:themeColor="text1"/>
                <w:kern w:val="24"/>
                <w:sz w:val="20"/>
                <w:szCs w:val="20"/>
              </w:rPr>
              <w:t>Academic</w:t>
            </w:r>
          </w:p>
          <w:p w:rsidR="00A87B67" w:rsidRPr="00EB11E8" w:rsidRDefault="00A87B67" w:rsidP="00A87B67">
            <w:pPr>
              <w:pStyle w:val="ListParagraph"/>
              <w:numPr>
                <w:ilvl w:val="0"/>
                <w:numId w:val="1"/>
              </w:numPr>
              <w:spacing w:before="0" w:beforeAutospacing="0" w:after="0" w:afterAutospacing="0"/>
              <w:rPr>
                <w:rFonts w:ascii="Calibri" w:eastAsia="Times New Roman" w:hAnsi="Calibri" w:cs="Calibri"/>
                <w:bCs/>
                <w:color w:val="000000" w:themeColor="text1"/>
                <w:kern w:val="24"/>
                <w:sz w:val="20"/>
                <w:szCs w:val="20"/>
              </w:rPr>
            </w:pPr>
            <w:r w:rsidRPr="00EB11E8">
              <w:rPr>
                <w:rFonts w:ascii="Calibri" w:eastAsia="Times New Roman" w:hAnsi="Calibri" w:cs="Calibri"/>
                <w:bCs/>
                <w:color w:val="000000" w:themeColor="text1"/>
                <w:kern w:val="24"/>
                <w:sz w:val="20"/>
                <w:szCs w:val="20"/>
              </w:rPr>
              <w:t>Behavioral</w:t>
            </w:r>
          </w:p>
          <w:p w:rsidR="00A87B67" w:rsidRPr="00EB11E8" w:rsidRDefault="00A87B67" w:rsidP="00A87B67">
            <w:pPr>
              <w:pStyle w:val="ListParagraph"/>
              <w:numPr>
                <w:ilvl w:val="0"/>
                <w:numId w:val="1"/>
              </w:numPr>
              <w:spacing w:before="0" w:beforeAutospacing="0" w:after="0" w:afterAutospacing="0"/>
              <w:rPr>
                <w:rFonts w:ascii="Calibri" w:eastAsia="Times New Roman" w:hAnsi="Calibri" w:cs="Calibri"/>
                <w:bCs/>
                <w:color w:val="000000" w:themeColor="text1"/>
                <w:kern w:val="24"/>
                <w:sz w:val="20"/>
                <w:szCs w:val="20"/>
              </w:rPr>
            </w:pPr>
            <w:r w:rsidRPr="00EB11E8">
              <w:rPr>
                <w:rFonts w:ascii="Calibri" w:eastAsia="Times New Roman" w:hAnsi="Calibri" w:cs="Calibri"/>
                <w:bCs/>
                <w:color w:val="000000" w:themeColor="text1"/>
                <w:kern w:val="24"/>
                <w:sz w:val="20"/>
                <w:szCs w:val="20"/>
              </w:rPr>
              <w:t>Social Emotional</w:t>
            </w:r>
          </w:p>
          <w:p w:rsidR="00A87B67" w:rsidRPr="00EB11E8" w:rsidRDefault="00A87B67" w:rsidP="00A87B67">
            <w:pPr>
              <w:pStyle w:val="ListParagraph"/>
              <w:numPr>
                <w:ilvl w:val="0"/>
                <w:numId w:val="1"/>
              </w:numPr>
              <w:spacing w:before="0" w:beforeAutospacing="0" w:after="0" w:afterAutospacing="0"/>
              <w:rPr>
                <w:rFonts w:ascii="Calibri" w:eastAsia="Times New Roman" w:hAnsi="Calibri" w:cs="Calibri"/>
                <w:bCs/>
                <w:color w:val="000000" w:themeColor="text1"/>
                <w:kern w:val="24"/>
                <w:sz w:val="20"/>
                <w:szCs w:val="20"/>
              </w:rPr>
            </w:pPr>
            <w:r w:rsidRPr="00EB11E8">
              <w:rPr>
                <w:rFonts w:ascii="Calibri" w:eastAsia="Times New Roman" w:hAnsi="Calibri" w:cs="Calibri"/>
                <w:bCs/>
                <w:color w:val="000000" w:themeColor="text1"/>
                <w:kern w:val="24"/>
                <w:sz w:val="20"/>
                <w:szCs w:val="20"/>
              </w:rPr>
              <w:t>Attendance</w:t>
            </w:r>
          </w:p>
          <w:p w:rsidR="00EB11E8" w:rsidRPr="00EB11E8" w:rsidRDefault="00EB11E8" w:rsidP="00A87B67">
            <w:pPr>
              <w:pStyle w:val="ListParagraph"/>
              <w:numPr>
                <w:ilvl w:val="0"/>
                <w:numId w:val="1"/>
              </w:numPr>
              <w:spacing w:before="0" w:beforeAutospacing="0" w:after="0" w:afterAutospacing="0"/>
              <w:rPr>
                <w:rFonts w:ascii="Calibri" w:eastAsia="Times New Roman" w:hAnsi="Calibri" w:cs="Calibri"/>
                <w:bCs/>
                <w:color w:val="000000" w:themeColor="text1"/>
                <w:kern w:val="24"/>
                <w:sz w:val="20"/>
                <w:szCs w:val="20"/>
              </w:rPr>
            </w:pPr>
            <w:r w:rsidRPr="00EB11E8">
              <w:rPr>
                <w:rFonts w:ascii="Calibri" w:eastAsia="Times New Roman" w:hAnsi="Calibri" w:cs="Calibri"/>
                <w:bCs/>
                <w:color w:val="000000" w:themeColor="text1"/>
                <w:kern w:val="24"/>
                <w:sz w:val="20"/>
                <w:szCs w:val="20"/>
              </w:rPr>
              <w:t>Graduation</w:t>
            </w:r>
          </w:p>
          <w:p w:rsidR="00A87B67" w:rsidRPr="00EB11E8" w:rsidRDefault="00A87B67" w:rsidP="00A87B67">
            <w:pPr>
              <w:spacing w:before="0" w:beforeAutospacing="0" w:after="0" w:afterAutospacing="0"/>
              <w:ind w:left="360"/>
              <w:rPr>
                <w:rFonts w:ascii="Calibri" w:eastAsia="Times New Roman" w:hAnsi="Calibri" w:cs="Calibri"/>
                <w:bCs/>
                <w:color w:val="000000" w:themeColor="text1"/>
                <w:kern w:val="24"/>
                <w:sz w:val="20"/>
                <w:szCs w:val="20"/>
              </w:rPr>
            </w:pPr>
          </w:p>
        </w:tc>
        <w:tc>
          <w:tcPr>
            <w:tcW w:w="1668" w:type="pct"/>
            <w:gridSpan w:val="2"/>
            <w:tcBorders>
              <w:top w:val="single" w:sz="8" w:space="0" w:color="FFFFFF"/>
              <w:left w:val="single" w:sz="8" w:space="0" w:color="FFFFFF"/>
              <w:bottom w:val="single" w:sz="24" w:space="0" w:color="FFFFFF"/>
              <w:right w:val="single" w:sz="8" w:space="0" w:color="FFFFFF"/>
            </w:tcBorders>
            <w:shd w:val="clear" w:color="auto" w:fill="DFDCB7"/>
            <w:tcMar>
              <w:top w:w="72" w:type="dxa"/>
              <w:left w:w="144" w:type="dxa"/>
              <w:bottom w:w="72" w:type="dxa"/>
              <w:right w:w="144" w:type="dxa"/>
            </w:tcMar>
          </w:tcPr>
          <w:p w:rsidR="00A87B67" w:rsidRPr="00EB11E8" w:rsidRDefault="00A87B67" w:rsidP="00A87B67">
            <w:pPr>
              <w:pStyle w:val="ListParagraph"/>
              <w:numPr>
                <w:ilvl w:val="0"/>
                <w:numId w:val="1"/>
              </w:numPr>
              <w:spacing w:before="0" w:beforeAutospacing="0" w:after="0" w:afterAutospacing="0"/>
              <w:rPr>
                <w:rFonts w:ascii="Calibri" w:eastAsia="Times New Roman" w:hAnsi="Calibri" w:cs="Calibri"/>
                <w:bCs/>
                <w:color w:val="000000" w:themeColor="text1"/>
                <w:kern w:val="24"/>
                <w:sz w:val="20"/>
                <w:szCs w:val="20"/>
              </w:rPr>
            </w:pPr>
            <w:r w:rsidRPr="00EB11E8">
              <w:rPr>
                <w:rFonts w:ascii="Calibri" w:eastAsia="Times New Roman" w:hAnsi="Calibri" w:cs="Calibri"/>
                <w:bCs/>
                <w:color w:val="000000" w:themeColor="text1"/>
                <w:kern w:val="24"/>
                <w:sz w:val="20"/>
                <w:szCs w:val="20"/>
              </w:rPr>
              <w:t>Education Professional Input</w:t>
            </w:r>
          </w:p>
          <w:p w:rsidR="00A87B67" w:rsidRPr="00EB11E8" w:rsidRDefault="00A87B67" w:rsidP="00A87B67">
            <w:pPr>
              <w:pStyle w:val="ListParagraph"/>
              <w:numPr>
                <w:ilvl w:val="0"/>
                <w:numId w:val="1"/>
              </w:numPr>
              <w:spacing w:before="0" w:beforeAutospacing="0" w:after="0" w:afterAutospacing="0"/>
              <w:rPr>
                <w:rFonts w:ascii="Calibri" w:eastAsia="Times New Roman" w:hAnsi="Calibri" w:cs="Calibri"/>
                <w:bCs/>
                <w:color w:val="000000" w:themeColor="text1"/>
                <w:kern w:val="24"/>
                <w:sz w:val="20"/>
                <w:szCs w:val="20"/>
              </w:rPr>
            </w:pPr>
            <w:r w:rsidRPr="00EB11E8">
              <w:rPr>
                <w:rFonts w:ascii="Calibri" w:eastAsia="Times New Roman" w:hAnsi="Calibri" w:cs="Calibri"/>
                <w:bCs/>
                <w:color w:val="000000" w:themeColor="text1"/>
                <w:kern w:val="24"/>
                <w:sz w:val="20"/>
                <w:szCs w:val="20"/>
              </w:rPr>
              <w:t>Stakeholders &amp; Partner Input</w:t>
            </w:r>
          </w:p>
        </w:tc>
      </w:tr>
      <w:tr w:rsidR="00A87B67" w:rsidRPr="00A87B67" w:rsidTr="005257F6">
        <w:trPr>
          <w:trHeight w:val="453"/>
        </w:trPr>
        <w:tc>
          <w:tcPr>
            <w:tcW w:w="833" w:type="pct"/>
            <w:tcBorders>
              <w:top w:val="single" w:sz="24" w:space="0" w:color="FFFFFF"/>
              <w:left w:val="single" w:sz="8" w:space="0" w:color="FFFFFF"/>
              <w:bottom w:val="single" w:sz="24" w:space="0" w:color="FFFFFF"/>
              <w:right w:val="single" w:sz="8" w:space="0" w:color="FFFFFF"/>
            </w:tcBorders>
            <w:shd w:val="clear" w:color="auto" w:fill="ECEAD4"/>
            <w:tcMar>
              <w:top w:w="72" w:type="dxa"/>
              <w:left w:w="144" w:type="dxa"/>
              <w:bottom w:w="72" w:type="dxa"/>
              <w:right w:w="144" w:type="dxa"/>
            </w:tcMar>
          </w:tcPr>
          <w:p w:rsidR="00A87B67" w:rsidRPr="00EB11E8" w:rsidRDefault="00A87B67" w:rsidP="00A87B67">
            <w:pPr>
              <w:spacing w:before="0" w:beforeAutospacing="0" w:after="0" w:afterAutospacing="0"/>
              <w:jc w:val="center"/>
              <w:rPr>
                <w:rFonts w:ascii="Calibri" w:eastAsia="Times New Roman" w:hAnsi="Calibri" w:cs="Calibri"/>
                <w:color w:val="000000" w:themeColor="dark1"/>
                <w:kern w:val="24"/>
                <w:sz w:val="24"/>
                <w:szCs w:val="24"/>
              </w:rPr>
            </w:pPr>
            <w:r w:rsidRPr="00EB11E8">
              <w:rPr>
                <w:rFonts w:ascii="Calibri" w:eastAsia="Times New Roman" w:hAnsi="Calibri" w:cs="Calibri"/>
                <w:color w:val="000000" w:themeColor="dark1"/>
                <w:kern w:val="24"/>
                <w:sz w:val="24"/>
                <w:szCs w:val="24"/>
              </w:rPr>
              <w:t>Strengths</w:t>
            </w:r>
          </w:p>
        </w:tc>
        <w:tc>
          <w:tcPr>
            <w:tcW w:w="833" w:type="pct"/>
            <w:tcBorders>
              <w:top w:val="single" w:sz="24" w:space="0" w:color="FFFFFF"/>
              <w:left w:val="single" w:sz="8" w:space="0" w:color="FFFFFF"/>
              <w:bottom w:val="single" w:sz="24" w:space="0" w:color="FFFFFF"/>
              <w:right w:val="single" w:sz="8" w:space="0" w:color="FFFFFF"/>
            </w:tcBorders>
            <w:shd w:val="clear" w:color="auto" w:fill="ECEAD4"/>
            <w:tcMar>
              <w:top w:w="72" w:type="dxa"/>
              <w:left w:w="144" w:type="dxa"/>
              <w:bottom w:w="72" w:type="dxa"/>
              <w:right w:w="144" w:type="dxa"/>
            </w:tcMar>
          </w:tcPr>
          <w:p w:rsidR="00A87B67" w:rsidRPr="00EB11E8" w:rsidRDefault="00A87B67" w:rsidP="00A87B67">
            <w:pPr>
              <w:spacing w:before="0" w:beforeAutospacing="0" w:after="0" w:afterAutospacing="0"/>
              <w:jc w:val="center"/>
              <w:rPr>
                <w:rFonts w:ascii="Calibri" w:eastAsia="Times New Roman" w:hAnsi="Calibri" w:cs="Calibri"/>
                <w:color w:val="000000" w:themeColor="dark1"/>
                <w:kern w:val="24"/>
                <w:sz w:val="24"/>
                <w:szCs w:val="24"/>
              </w:rPr>
            </w:pPr>
            <w:r w:rsidRPr="00EB11E8">
              <w:rPr>
                <w:rFonts w:ascii="Calibri" w:eastAsia="Times New Roman" w:hAnsi="Calibri" w:cs="Calibri"/>
                <w:color w:val="000000" w:themeColor="dark1"/>
                <w:kern w:val="24"/>
                <w:sz w:val="24"/>
                <w:szCs w:val="24"/>
              </w:rPr>
              <w:t>Opportunities</w:t>
            </w:r>
          </w:p>
        </w:tc>
        <w:tc>
          <w:tcPr>
            <w:tcW w:w="833" w:type="pct"/>
            <w:tcBorders>
              <w:top w:val="single" w:sz="24" w:space="0" w:color="FFFFFF"/>
              <w:left w:val="single" w:sz="8" w:space="0" w:color="FFFFFF"/>
              <w:bottom w:val="single" w:sz="24" w:space="0" w:color="FFFFFF"/>
              <w:right w:val="single" w:sz="8" w:space="0" w:color="FFFFFF"/>
            </w:tcBorders>
            <w:shd w:val="clear" w:color="auto" w:fill="ECEAD4"/>
            <w:tcMar>
              <w:top w:w="72" w:type="dxa"/>
              <w:left w:w="144" w:type="dxa"/>
              <w:bottom w:w="72" w:type="dxa"/>
              <w:right w:w="144" w:type="dxa"/>
            </w:tcMar>
          </w:tcPr>
          <w:p w:rsidR="00A87B67" w:rsidRPr="00EB11E8" w:rsidRDefault="00A87B67" w:rsidP="00A87B67">
            <w:pPr>
              <w:spacing w:before="0" w:beforeAutospacing="0" w:after="0" w:afterAutospacing="0"/>
              <w:jc w:val="center"/>
              <w:rPr>
                <w:rFonts w:ascii="Calibri" w:eastAsia="Times New Roman" w:hAnsi="Calibri" w:cs="Calibri"/>
                <w:color w:val="000000" w:themeColor="dark1"/>
                <w:kern w:val="24"/>
                <w:sz w:val="24"/>
                <w:szCs w:val="24"/>
              </w:rPr>
            </w:pPr>
            <w:r w:rsidRPr="00EB11E8">
              <w:rPr>
                <w:rFonts w:ascii="Calibri" w:eastAsia="Times New Roman" w:hAnsi="Calibri" w:cs="Calibri"/>
                <w:color w:val="000000" w:themeColor="dark1"/>
                <w:kern w:val="24"/>
                <w:sz w:val="24"/>
                <w:szCs w:val="24"/>
              </w:rPr>
              <w:t>Strengths</w:t>
            </w:r>
          </w:p>
        </w:tc>
        <w:tc>
          <w:tcPr>
            <w:tcW w:w="833" w:type="pct"/>
            <w:tcBorders>
              <w:top w:val="single" w:sz="24" w:space="0" w:color="FFFFFF"/>
              <w:left w:val="single" w:sz="8" w:space="0" w:color="FFFFFF"/>
              <w:bottom w:val="single" w:sz="24" w:space="0" w:color="FFFFFF"/>
              <w:right w:val="single" w:sz="8" w:space="0" w:color="FFFFFF"/>
            </w:tcBorders>
            <w:shd w:val="clear" w:color="auto" w:fill="ECEAD4"/>
            <w:tcMar>
              <w:top w:w="72" w:type="dxa"/>
              <w:left w:w="144" w:type="dxa"/>
              <w:bottom w:w="72" w:type="dxa"/>
              <w:right w:w="144" w:type="dxa"/>
            </w:tcMar>
          </w:tcPr>
          <w:p w:rsidR="00A87B67" w:rsidRPr="00EB11E8" w:rsidRDefault="00A87B67" w:rsidP="00A87B67">
            <w:pPr>
              <w:spacing w:before="0" w:beforeAutospacing="0" w:after="0" w:afterAutospacing="0"/>
              <w:jc w:val="center"/>
              <w:rPr>
                <w:rFonts w:ascii="Calibri" w:eastAsia="Times New Roman" w:hAnsi="Calibri" w:cs="Calibri"/>
                <w:color w:val="000000" w:themeColor="dark1"/>
                <w:kern w:val="24"/>
                <w:sz w:val="24"/>
                <w:szCs w:val="24"/>
              </w:rPr>
            </w:pPr>
            <w:r w:rsidRPr="00EB11E8">
              <w:rPr>
                <w:rFonts w:ascii="Calibri" w:eastAsia="Times New Roman" w:hAnsi="Calibri" w:cs="Calibri"/>
                <w:color w:val="000000" w:themeColor="dark1"/>
                <w:kern w:val="24"/>
                <w:sz w:val="24"/>
                <w:szCs w:val="24"/>
              </w:rPr>
              <w:t>Opportunities</w:t>
            </w:r>
          </w:p>
        </w:tc>
        <w:tc>
          <w:tcPr>
            <w:tcW w:w="833" w:type="pct"/>
            <w:tcBorders>
              <w:top w:val="single" w:sz="24" w:space="0" w:color="FFFFFF"/>
              <w:left w:val="single" w:sz="8" w:space="0" w:color="FFFFFF"/>
              <w:bottom w:val="single" w:sz="24" w:space="0" w:color="FFFFFF"/>
              <w:right w:val="single" w:sz="8" w:space="0" w:color="FFFFFF"/>
            </w:tcBorders>
            <w:shd w:val="clear" w:color="auto" w:fill="ECEAD4"/>
            <w:tcMar>
              <w:top w:w="72" w:type="dxa"/>
              <w:left w:w="144" w:type="dxa"/>
              <w:bottom w:w="72" w:type="dxa"/>
              <w:right w:w="144" w:type="dxa"/>
            </w:tcMar>
          </w:tcPr>
          <w:p w:rsidR="00A87B67" w:rsidRPr="00EB11E8" w:rsidRDefault="00A87B67" w:rsidP="00A87B67">
            <w:pPr>
              <w:spacing w:before="0" w:beforeAutospacing="0" w:after="0" w:afterAutospacing="0"/>
              <w:jc w:val="center"/>
              <w:rPr>
                <w:rFonts w:ascii="Calibri" w:eastAsia="Times New Roman" w:hAnsi="Calibri" w:cs="Calibri"/>
                <w:color w:val="000000" w:themeColor="dark1"/>
                <w:kern w:val="24"/>
                <w:sz w:val="24"/>
                <w:szCs w:val="24"/>
              </w:rPr>
            </w:pPr>
            <w:r w:rsidRPr="00EB11E8">
              <w:rPr>
                <w:rFonts w:ascii="Calibri" w:eastAsia="Times New Roman" w:hAnsi="Calibri" w:cs="Calibri"/>
                <w:color w:val="000000" w:themeColor="dark1"/>
                <w:kern w:val="24"/>
                <w:sz w:val="24"/>
                <w:szCs w:val="24"/>
              </w:rPr>
              <w:t>Strengths</w:t>
            </w:r>
          </w:p>
        </w:tc>
        <w:tc>
          <w:tcPr>
            <w:tcW w:w="835" w:type="pct"/>
            <w:tcBorders>
              <w:top w:val="single" w:sz="24" w:space="0" w:color="FFFFFF"/>
              <w:left w:val="single" w:sz="8" w:space="0" w:color="FFFFFF"/>
              <w:bottom w:val="single" w:sz="24" w:space="0" w:color="FFFFFF"/>
              <w:right w:val="single" w:sz="8" w:space="0" w:color="FFFFFF"/>
            </w:tcBorders>
            <w:shd w:val="clear" w:color="auto" w:fill="ECEAD4"/>
            <w:tcMar>
              <w:top w:w="72" w:type="dxa"/>
              <w:left w:w="144" w:type="dxa"/>
              <w:bottom w:w="72" w:type="dxa"/>
              <w:right w:w="144" w:type="dxa"/>
            </w:tcMar>
          </w:tcPr>
          <w:p w:rsidR="00A87B67" w:rsidRPr="00EB11E8" w:rsidRDefault="00A87B67" w:rsidP="00A87B67">
            <w:pPr>
              <w:spacing w:before="0" w:beforeAutospacing="0" w:after="0" w:afterAutospacing="0"/>
              <w:jc w:val="center"/>
              <w:rPr>
                <w:rFonts w:ascii="Calibri" w:eastAsia="Times New Roman" w:hAnsi="Calibri" w:cs="Calibri"/>
                <w:color w:val="000000" w:themeColor="dark1"/>
                <w:kern w:val="24"/>
                <w:sz w:val="24"/>
                <w:szCs w:val="24"/>
              </w:rPr>
            </w:pPr>
            <w:r w:rsidRPr="00EB11E8">
              <w:rPr>
                <w:rFonts w:ascii="Calibri" w:eastAsia="Times New Roman" w:hAnsi="Calibri" w:cs="Calibri"/>
                <w:color w:val="000000" w:themeColor="dark1"/>
                <w:kern w:val="24"/>
                <w:sz w:val="24"/>
                <w:szCs w:val="24"/>
              </w:rPr>
              <w:t>Opportunities</w:t>
            </w:r>
          </w:p>
        </w:tc>
      </w:tr>
      <w:tr w:rsidR="00A87B67" w:rsidRPr="00A87B67" w:rsidTr="00102D27">
        <w:trPr>
          <w:trHeight w:val="3744"/>
        </w:trPr>
        <w:tc>
          <w:tcPr>
            <w:tcW w:w="833" w:type="pct"/>
            <w:tcBorders>
              <w:top w:val="single" w:sz="24" w:space="0" w:color="FFFFFF"/>
              <w:left w:val="single" w:sz="8" w:space="0" w:color="FFFFFF"/>
              <w:bottom w:val="single" w:sz="24" w:space="0" w:color="FFFFFF"/>
              <w:right w:val="single" w:sz="8" w:space="0" w:color="FFFFFF"/>
            </w:tcBorders>
            <w:shd w:val="clear" w:color="auto" w:fill="ECEAD4"/>
            <w:tcMar>
              <w:top w:w="72" w:type="dxa"/>
              <w:left w:w="144" w:type="dxa"/>
              <w:bottom w:w="72" w:type="dxa"/>
              <w:right w:w="144" w:type="dxa"/>
            </w:tcMar>
          </w:tcPr>
          <w:p w:rsidR="00731836" w:rsidRPr="005257F6" w:rsidRDefault="00731836" w:rsidP="00102D27">
            <w:pPr>
              <w:spacing w:before="0" w:beforeAutospacing="0" w:after="0" w:afterAutospacing="0"/>
              <w:rPr>
                <w:rFonts w:ascii="Calibri" w:eastAsia="Times New Roman" w:hAnsi="Calibri" w:cs="Calibri"/>
                <w:color w:val="000000" w:themeColor="dark1"/>
                <w:kern w:val="24"/>
                <w:sz w:val="24"/>
                <w:szCs w:val="24"/>
              </w:rPr>
            </w:pPr>
          </w:p>
        </w:tc>
        <w:tc>
          <w:tcPr>
            <w:tcW w:w="833" w:type="pct"/>
            <w:tcBorders>
              <w:top w:val="single" w:sz="24" w:space="0" w:color="FFFFFF"/>
              <w:left w:val="single" w:sz="8" w:space="0" w:color="FFFFFF"/>
              <w:bottom w:val="single" w:sz="24" w:space="0" w:color="FFFFFF"/>
              <w:right w:val="single" w:sz="8" w:space="0" w:color="FFFFFF"/>
            </w:tcBorders>
            <w:shd w:val="clear" w:color="auto" w:fill="ECEAD4"/>
            <w:tcMar>
              <w:top w:w="72" w:type="dxa"/>
              <w:left w:w="144" w:type="dxa"/>
              <w:bottom w:w="72" w:type="dxa"/>
              <w:right w:w="144" w:type="dxa"/>
            </w:tcMar>
          </w:tcPr>
          <w:p w:rsidR="00A87B67" w:rsidRPr="005257F6" w:rsidRDefault="00A87B67" w:rsidP="00A87B67">
            <w:pPr>
              <w:spacing w:before="0" w:beforeAutospacing="0" w:after="0" w:afterAutospacing="0"/>
              <w:rPr>
                <w:rFonts w:ascii="Calibri" w:eastAsia="Times New Roman" w:hAnsi="Calibri" w:cs="Calibri"/>
                <w:color w:val="000000" w:themeColor="dark1"/>
                <w:kern w:val="24"/>
                <w:sz w:val="24"/>
                <w:szCs w:val="24"/>
              </w:rPr>
            </w:pPr>
          </w:p>
        </w:tc>
        <w:tc>
          <w:tcPr>
            <w:tcW w:w="833" w:type="pct"/>
            <w:tcBorders>
              <w:top w:val="single" w:sz="24" w:space="0" w:color="FFFFFF"/>
              <w:left w:val="single" w:sz="8" w:space="0" w:color="FFFFFF"/>
              <w:bottom w:val="single" w:sz="24" w:space="0" w:color="FFFFFF"/>
              <w:right w:val="single" w:sz="8" w:space="0" w:color="FFFFFF"/>
            </w:tcBorders>
            <w:shd w:val="clear" w:color="auto" w:fill="ECEAD4"/>
            <w:tcMar>
              <w:top w:w="72" w:type="dxa"/>
              <w:left w:w="144" w:type="dxa"/>
              <w:bottom w:w="72" w:type="dxa"/>
              <w:right w:w="144" w:type="dxa"/>
            </w:tcMar>
          </w:tcPr>
          <w:p w:rsidR="00A87B67" w:rsidRPr="005257F6" w:rsidRDefault="00A87B67" w:rsidP="00A87B67">
            <w:pPr>
              <w:spacing w:before="0" w:beforeAutospacing="0" w:after="0" w:afterAutospacing="0"/>
              <w:rPr>
                <w:rFonts w:ascii="Calibri" w:eastAsia="Times New Roman" w:hAnsi="Calibri" w:cs="Calibri"/>
                <w:color w:val="000000" w:themeColor="dark1"/>
                <w:kern w:val="24"/>
                <w:sz w:val="24"/>
                <w:szCs w:val="24"/>
              </w:rPr>
            </w:pPr>
          </w:p>
        </w:tc>
        <w:tc>
          <w:tcPr>
            <w:tcW w:w="833" w:type="pct"/>
            <w:tcBorders>
              <w:top w:val="single" w:sz="24" w:space="0" w:color="FFFFFF"/>
              <w:left w:val="single" w:sz="8" w:space="0" w:color="FFFFFF"/>
              <w:bottom w:val="single" w:sz="24" w:space="0" w:color="FFFFFF"/>
              <w:right w:val="single" w:sz="8" w:space="0" w:color="FFFFFF"/>
            </w:tcBorders>
            <w:shd w:val="clear" w:color="auto" w:fill="ECEAD4"/>
            <w:tcMar>
              <w:top w:w="72" w:type="dxa"/>
              <w:left w:w="144" w:type="dxa"/>
              <w:bottom w:w="72" w:type="dxa"/>
              <w:right w:w="144" w:type="dxa"/>
            </w:tcMar>
          </w:tcPr>
          <w:p w:rsidR="00A87B67" w:rsidRPr="005257F6" w:rsidRDefault="00A87B67" w:rsidP="00A87B67">
            <w:pPr>
              <w:spacing w:before="0" w:beforeAutospacing="0" w:after="0" w:afterAutospacing="0"/>
              <w:rPr>
                <w:rFonts w:ascii="Calibri" w:eastAsia="Times New Roman" w:hAnsi="Calibri" w:cs="Calibri"/>
                <w:color w:val="000000" w:themeColor="dark1"/>
                <w:kern w:val="24"/>
                <w:sz w:val="24"/>
                <w:szCs w:val="24"/>
              </w:rPr>
            </w:pPr>
            <w:bookmarkStart w:id="0" w:name="_GoBack"/>
            <w:bookmarkEnd w:id="0"/>
          </w:p>
        </w:tc>
        <w:tc>
          <w:tcPr>
            <w:tcW w:w="833" w:type="pct"/>
            <w:tcBorders>
              <w:top w:val="single" w:sz="24" w:space="0" w:color="FFFFFF"/>
              <w:left w:val="single" w:sz="8" w:space="0" w:color="FFFFFF"/>
              <w:bottom w:val="single" w:sz="24" w:space="0" w:color="FFFFFF"/>
              <w:right w:val="single" w:sz="8" w:space="0" w:color="FFFFFF"/>
            </w:tcBorders>
            <w:shd w:val="clear" w:color="auto" w:fill="ECEAD4"/>
            <w:tcMar>
              <w:top w:w="72" w:type="dxa"/>
              <w:left w:w="144" w:type="dxa"/>
              <w:bottom w:w="72" w:type="dxa"/>
              <w:right w:w="144" w:type="dxa"/>
            </w:tcMar>
          </w:tcPr>
          <w:p w:rsidR="00A87B67" w:rsidRPr="005257F6" w:rsidRDefault="00A87B67" w:rsidP="00A87B67">
            <w:pPr>
              <w:spacing w:before="0" w:beforeAutospacing="0" w:after="0" w:afterAutospacing="0"/>
              <w:rPr>
                <w:rFonts w:ascii="Calibri" w:eastAsia="Times New Roman" w:hAnsi="Calibri" w:cs="Calibri"/>
                <w:color w:val="000000" w:themeColor="dark1"/>
                <w:kern w:val="24"/>
                <w:sz w:val="24"/>
                <w:szCs w:val="24"/>
              </w:rPr>
            </w:pPr>
          </w:p>
        </w:tc>
        <w:tc>
          <w:tcPr>
            <w:tcW w:w="835" w:type="pct"/>
            <w:tcBorders>
              <w:top w:val="single" w:sz="24" w:space="0" w:color="FFFFFF"/>
              <w:left w:val="single" w:sz="8" w:space="0" w:color="FFFFFF"/>
              <w:bottom w:val="single" w:sz="24" w:space="0" w:color="FFFFFF"/>
              <w:right w:val="single" w:sz="8" w:space="0" w:color="FFFFFF"/>
            </w:tcBorders>
            <w:shd w:val="clear" w:color="auto" w:fill="ECEAD4"/>
            <w:tcMar>
              <w:top w:w="72" w:type="dxa"/>
              <w:left w:w="144" w:type="dxa"/>
              <w:bottom w:w="72" w:type="dxa"/>
              <w:right w:w="144" w:type="dxa"/>
            </w:tcMar>
          </w:tcPr>
          <w:p w:rsidR="00A87B67" w:rsidRPr="005257F6" w:rsidRDefault="00A87B67" w:rsidP="00A87B67">
            <w:pPr>
              <w:spacing w:before="0" w:beforeAutospacing="0" w:after="0" w:afterAutospacing="0"/>
              <w:rPr>
                <w:rFonts w:ascii="Calibri" w:eastAsia="Times New Roman" w:hAnsi="Calibri" w:cs="Calibri"/>
                <w:color w:val="000000" w:themeColor="dark1"/>
                <w:kern w:val="24"/>
                <w:sz w:val="24"/>
                <w:szCs w:val="24"/>
              </w:rPr>
            </w:pPr>
          </w:p>
        </w:tc>
      </w:tr>
    </w:tbl>
    <w:tbl>
      <w:tblPr>
        <w:tblStyle w:val="TableGrid"/>
        <w:tblW w:w="0" w:type="auto"/>
        <w:tblLook w:val="04A0" w:firstRow="1" w:lastRow="0" w:firstColumn="1" w:lastColumn="0" w:noHBand="0" w:noVBand="1"/>
        <w:tblCaption w:val="Suggested Use"/>
        <w:tblDescription w:val="Tips for reviewing data and determining next steps"/>
      </w:tblPr>
      <w:tblGrid>
        <w:gridCol w:w="14390"/>
      </w:tblGrid>
      <w:tr w:rsidR="00EB11E8" w:rsidRPr="00731836" w:rsidTr="00102D27">
        <w:trPr>
          <w:tblHeader/>
        </w:trPr>
        <w:tc>
          <w:tcPr>
            <w:tcW w:w="14616" w:type="dxa"/>
            <w:shd w:val="clear" w:color="auto" w:fill="auto"/>
          </w:tcPr>
          <w:p w:rsidR="00EB11E8" w:rsidRPr="00731836" w:rsidRDefault="00EB11E8" w:rsidP="005257F6">
            <w:pPr>
              <w:rPr>
                <w:rFonts w:cstheme="minorHAnsi"/>
                <w:sz w:val="20"/>
                <w:szCs w:val="20"/>
              </w:rPr>
            </w:pPr>
            <w:r w:rsidRPr="00731836">
              <w:rPr>
                <w:rFonts w:cstheme="minorHAnsi"/>
                <w:b/>
                <w:sz w:val="20"/>
                <w:szCs w:val="20"/>
              </w:rPr>
              <w:t>Suggested Use</w:t>
            </w:r>
            <w:r w:rsidRPr="00731836">
              <w:rPr>
                <w:rFonts w:cstheme="minorHAnsi"/>
                <w:sz w:val="20"/>
                <w:szCs w:val="20"/>
              </w:rPr>
              <w:t xml:space="preserve">:  </w:t>
            </w:r>
            <w:r w:rsidR="005257F6">
              <w:rPr>
                <w:rFonts w:cstheme="minorHAnsi"/>
                <w:sz w:val="20"/>
                <w:szCs w:val="20"/>
              </w:rPr>
              <w:t>After reviewing all the data, organize the team into</w:t>
            </w:r>
            <w:r w:rsidRPr="00731836">
              <w:rPr>
                <w:rFonts w:cstheme="minorHAnsi"/>
                <w:sz w:val="20"/>
                <w:szCs w:val="20"/>
              </w:rPr>
              <w:t xml:space="preserve"> sma</w:t>
            </w:r>
            <w:r w:rsidR="005257F6">
              <w:rPr>
                <w:rFonts w:cstheme="minorHAnsi"/>
                <w:sz w:val="20"/>
                <w:szCs w:val="20"/>
              </w:rPr>
              <w:t>ller groupings with each small</w:t>
            </w:r>
            <w:r w:rsidRPr="00731836">
              <w:rPr>
                <w:rFonts w:cstheme="minorHAnsi"/>
                <w:sz w:val="20"/>
                <w:szCs w:val="20"/>
              </w:rPr>
              <w:t xml:space="preserve"> group </w:t>
            </w:r>
            <w:r w:rsidR="005257F6">
              <w:rPr>
                <w:rFonts w:cstheme="minorHAnsi"/>
                <w:sz w:val="20"/>
                <w:szCs w:val="20"/>
              </w:rPr>
              <w:t>determining</w:t>
            </w:r>
            <w:r w:rsidRPr="00731836">
              <w:rPr>
                <w:rFonts w:cstheme="minorHAnsi"/>
                <w:sz w:val="20"/>
                <w:szCs w:val="20"/>
              </w:rPr>
              <w:t xml:space="preserve"> their </w:t>
            </w:r>
            <w:r w:rsidRPr="00731836">
              <w:rPr>
                <w:rFonts w:cstheme="minorHAnsi"/>
                <w:b/>
                <w:sz w:val="20"/>
                <w:szCs w:val="20"/>
              </w:rPr>
              <w:t>TOP 3</w:t>
            </w:r>
            <w:r w:rsidRPr="00731836">
              <w:rPr>
                <w:rFonts w:cstheme="minorHAnsi"/>
                <w:sz w:val="20"/>
                <w:szCs w:val="20"/>
              </w:rPr>
              <w:t xml:space="preserve"> strengths and opportunities for each element (systems health, student data, stakeholder input). Have each group take turns sharing their 3 strengths and opportunities while a note-taker captures their input on this </w:t>
            </w:r>
            <w:r w:rsidR="005257F6">
              <w:rPr>
                <w:rFonts w:cstheme="minorHAnsi"/>
                <w:sz w:val="20"/>
                <w:szCs w:val="20"/>
              </w:rPr>
              <w:t xml:space="preserve">(or a similar) </w:t>
            </w:r>
            <w:r w:rsidRPr="00731836">
              <w:rPr>
                <w:rFonts w:cstheme="minorHAnsi"/>
                <w:sz w:val="20"/>
                <w:szCs w:val="20"/>
              </w:rPr>
              <w:t xml:space="preserve">chart.  As each group shares, stop and ask, do we already have this strength/opportunity noted on our list?  If yes, add a check-mark </w:t>
            </w:r>
            <w:r w:rsidR="005257F6">
              <w:rPr>
                <w:rFonts w:cstheme="minorHAnsi"/>
                <w:sz w:val="20"/>
                <w:szCs w:val="20"/>
              </w:rPr>
              <w:t xml:space="preserve">to the previously listed item. </w:t>
            </w:r>
            <w:r w:rsidRPr="00731836">
              <w:rPr>
                <w:rFonts w:cstheme="minorHAnsi"/>
                <w:sz w:val="20"/>
                <w:szCs w:val="20"/>
              </w:rPr>
              <w:t xml:space="preserve">If almost or sort-of, add specific comments to expand an existing comment.  If no, add the new information to the chart.  </w:t>
            </w:r>
            <w:r w:rsidR="00087A31">
              <w:rPr>
                <w:rFonts w:cstheme="minorHAnsi"/>
                <w:sz w:val="20"/>
                <w:szCs w:val="20"/>
              </w:rPr>
              <w:t xml:space="preserve">Dot Voting can be a “next step” as </w:t>
            </w:r>
            <w:r w:rsidR="005257F6">
              <w:rPr>
                <w:rFonts w:cstheme="minorHAnsi"/>
                <w:sz w:val="20"/>
                <w:szCs w:val="20"/>
              </w:rPr>
              <w:t>each individual self-selects</w:t>
            </w:r>
            <w:r w:rsidR="00087A31">
              <w:rPr>
                <w:rFonts w:cstheme="minorHAnsi"/>
                <w:sz w:val="20"/>
                <w:szCs w:val="20"/>
              </w:rPr>
              <w:t xml:space="preserve"> </w:t>
            </w:r>
            <w:r w:rsidR="005257F6">
              <w:rPr>
                <w:rFonts w:cstheme="minorHAnsi"/>
                <w:sz w:val="20"/>
                <w:szCs w:val="20"/>
              </w:rPr>
              <w:t>his or her</w:t>
            </w:r>
            <w:r w:rsidR="00087A31">
              <w:rPr>
                <w:rFonts w:cstheme="minorHAnsi"/>
                <w:sz w:val="20"/>
                <w:szCs w:val="20"/>
              </w:rPr>
              <w:t xml:space="preserve"> top priorities</w:t>
            </w:r>
            <w:r w:rsidR="005257F6">
              <w:rPr>
                <w:rFonts w:cstheme="minorHAnsi"/>
                <w:sz w:val="20"/>
                <w:szCs w:val="20"/>
              </w:rPr>
              <w:t xml:space="preserve"> on the chart by placing a dot next to that item</w:t>
            </w:r>
            <w:r w:rsidR="00087A31">
              <w:rPr>
                <w:rFonts w:cstheme="minorHAnsi"/>
                <w:sz w:val="20"/>
                <w:szCs w:val="20"/>
              </w:rPr>
              <w:t xml:space="preserve"> (improvement area</w:t>
            </w:r>
            <w:r w:rsidR="005257F6">
              <w:rPr>
                <w:rFonts w:cstheme="minorHAnsi"/>
                <w:sz w:val="20"/>
                <w:szCs w:val="20"/>
              </w:rPr>
              <w:t xml:space="preserve">s to move forward in planning). </w:t>
            </w:r>
            <w:r w:rsidR="00087A31">
              <w:rPr>
                <w:rFonts w:cstheme="minorHAnsi"/>
                <w:sz w:val="20"/>
                <w:szCs w:val="20"/>
              </w:rPr>
              <w:t xml:space="preserve"> </w:t>
            </w:r>
            <w:r w:rsidRPr="00731836">
              <w:rPr>
                <w:rFonts w:cstheme="minorHAnsi"/>
                <w:sz w:val="20"/>
                <w:szCs w:val="20"/>
              </w:rPr>
              <w:t>By engaging in this activity, the team wi</w:t>
            </w:r>
            <w:r w:rsidR="005257F6">
              <w:rPr>
                <w:rFonts w:cstheme="minorHAnsi"/>
                <w:sz w:val="20"/>
                <w:szCs w:val="20"/>
              </w:rPr>
              <w:t xml:space="preserve">ll have sorted much </w:t>
            </w:r>
            <w:r w:rsidRPr="00731836">
              <w:rPr>
                <w:rFonts w:cstheme="minorHAnsi"/>
                <w:sz w:val="20"/>
                <w:szCs w:val="20"/>
              </w:rPr>
              <w:t xml:space="preserve">data into a more manageable </w:t>
            </w:r>
            <w:r w:rsidR="00731836" w:rsidRPr="00731836">
              <w:rPr>
                <w:rFonts w:cstheme="minorHAnsi"/>
                <w:sz w:val="20"/>
                <w:szCs w:val="20"/>
              </w:rPr>
              <w:t>set of information</w:t>
            </w:r>
            <w:r w:rsidRPr="00731836">
              <w:rPr>
                <w:rFonts w:cstheme="minorHAnsi"/>
                <w:sz w:val="20"/>
                <w:szCs w:val="20"/>
              </w:rPr>
              <w:t xml:space="preserve"> </w:t>
            </w:r>
            <w:r w:rsidR="00731836" w:rsidRPr="00731836">
              <w:rPr>
                <w:rFonts w:cstheme="minorHAnsi"/>
                <w:sz w:val="20"/>
                <w:szCs w:val="20"/>
              </w:rPr>
              <w:t>to</w:t>
            </w:r>
            <w:r w:rsidRPr="00731836">
              <w:rPr>
                <w:rFonts w:cstheme="minorHAnsi"/>
                <w:sz w:val="20"/>
                <w:szCs w:val="20"/>
              </w:rPr>
              <w:t xml:space="preserve"> inform subsequent planning efforts. </w:t>
            </w:r>
            <w:r w:rsidR="00731836" w:rsidRPr="00731836">
              <w:rPr>
                <w:rFonts w:cstheme="minorHAnsi"/>
                <w:sz w:val="20"/>
                <w:szCs w:val="20"/>
              </w:rPr>
              <w:t xml:space="preserve"> For larger district use, the format may need to be broken up by ele</w:t>
            </w:r>
            <w:r w:rsidR="005257F6">
              <w:rPr>
                <w:rFonts w:cstheme="minorHAnsi"/>
                <w:sz w:val="20"/>
                <w:szCs w:val="20"/>
              </w:rPr>
              <w:t xml:space="preserve">mentary, middle and high school or some other more manageable scope.  </w:t>
            </w:r>
            <w:r w:rsidR="005257F6" w:rsidRPr="005257F6">
              <w:rPr>
                <w:rFonts w:cstheme="minorHAnsi"/>
                <w:b/>
                <w:sz w:val="20"/>
                <w:szCs w:val="20"/>
              </w:rPr>
              <w:t>Tip</w:t>
            </w:r>
            <w:r w:rsidR="005257F6">
              <w:rPr>
                <w:rFonts w:cstheme="minorHAnsi"/>
                <w:sz w:val="20"/>
                <w:szCs w:val="20"/>
              </w:rPr>
              <w:t>: Encourage team members to use constructs such as graduation rates or academic growth vs. moving ahead with “solutions” like PLCs or AVID.  The solutions become strategies or actions steps during the actual planning process.</w:t>
            </w:r>
          </w:p>
        </w:tc>
      </w:tr>
    </w:tbl>
    <w:p w:rsidR="00731836" w:rsidRDefault="00731836" w:rsidP="00731836">
      <w:pPr>
        <w:rPr>
          <w:sz w:val="16"/>
          <w:szCs w:val="16"/>
        </w:rPr>
      </w:pPr>
    </w:p>
    <w:sectPr w:rsidR="00731836" w:rsidSect="00A87B67">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B5D" w:rsidRDefault="00942B5D" w:rsidP="00731836">
      <w:pPr>
        <w:spacing w:before="0" w:after="0"/>
      </w:pPr>
      <w:r>
        <w:separator/>
      </w:r>
    </w:p>
  </w:endnote>
  <w:endnote w:type="continuationSeparator" w:id="0">
    <w:p w:rsidR="00942B5D" w:rsidRDefault="00942B5D" w:rsidP="007318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836" w:rsidRDefault="00731836">
    <w:pPr>
      <w:pStyle w:val="Footer"/>
    </w:pPr>
    <w:r>
      <w:t>Oregon Department of Education,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B5D" w:rsidRDefault="00942B5D" w:rsidP="00731836">
      <w:pPr>
        <w:spacing w:before="0" w:after="0"/>
      </w:pPr>
      <w:r>
        <w:separator/>
      </w:r>
    </w:p>
  </w:footnote>
  <w:footnote w:type="continuationSeparator" w:id="0">
    <w:p w:rsidR="00942B5D" w:rsidRDefault="00942B5D" w:rsidP="0073183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82DD1"/>
    <w:multiLevelType w:val="hybridMultilevel"/>
    <w:tmpl w:val="9D0EB116"/>
    <w:lvl w:ilvl="0" w:tplc="F71A243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67"/>
    <w:rsid w:val="00087A31"/>
    <w:rsid w:val="00102D27"/>
    <w:rsid w:val="001F28F4"/>
    <w:rsid w:val="00273275"/>
    <w:rsid w:val="005257F6"/>
    <w:rsid w:val="00731836"/>
    <w:rsid w:val="0084749F"/>
    <w:rsid w:val="008D2ACD"/>
    <w:rsid w:val="00942B5D"/>
    <w:rsid w:val="00A87B67"/>
    <w:rsid w:val="00AE2EE9"/>
    <w:rsid w:val="00E17D9B"/>
    <w:rsid w:val="00E955D3"/>
    <w:rsid w:val="00EB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19BC6-8DC6-42D3-A052-F54726CE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7B67"/>
    <w:rPr>
      <w:rFonts w:ascii="Times New Roman" w:eastAsia="Times New Roman" w:hAnsi="Times New Roman" w:cs="Times New Roman"/>
      <w:sz w:val="24"/>
      <w:szCs w:val="24"/>
    </w:rPr>
  </w:style>
  <w:style w:type="paragraph" w:styleId="ListParagraph">
    <w:name w:val="List Paragraph"/>
    <w:basedOn w:val="Normal"/>
    <w:uiPriority w:val="34"/>
    <w:qFormat/>
    <w:rsid w:val="00A87B67"/>
    <w:pPr>
      <w:ind w:left="720"/>
      <w:contextualSpacing/>
    </w:pPr>
  </w:style>
  <w:style w:type="table" w:styleId="TableGrid">
    <w:name w:val="Table Grid"/>
    <w:basedOn w:val="TableNormal"/>
    <w:uiPriority w:val="59"/>
    <w:rsid w:val="00EB11E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1836"/>
    <w:pPr>
      <w:tabs>
        <w:tab w:val="center" w:pos="4680"/>
        <w:tab w:val="right" w:pos="9360"/>
      </w:tabs>
      <w:spacing w:before="0" w:after="0"/>
    </w:pPr>
  </w:style>
  <w:style w:type="character" w:customStyle="1" w:styleId="HeaderChar">
    <w:name w:val="Header Char"/>
    <w:basedOn w:val="DefaultParagraphFont"/>
    <w:link w:val="Header"/>
    <w:uiPriority w:val="99"/>
    <w:rsid w:val="00731836"/>
  </w:style>
  <w:style w:type="paragraph" w:styleId="Footer">
    <w:name w:val="footer"/>
    <w:basedOn w:val="Normal"/>
    <w:link w:val="FooterChar"/>
    <w:uiPriority w:val="99"/>
    <w:unhideWhenUsed/>
    <w:rsid w:val="00731836"/>
    <w:pPr>
      <w:tabs>
        <w:tab w:val="center" w:pos="4680"/>
        <w:tab w:val="right" w:pos="9360"/>
      </w:tabs>
      <w:spacing w:before="0" w:after="0"/>
    </w:pPr>
  </w:style>
  <w:style w:type="character" w:customStyle="1" w:styleId="FooterChar">
    <w:name w:val="Footer Char"/>
    <w:basedOn w:val="DefaultParagraphFont"/>
    <w:link w:val="Footer"/>
    <w:uiPriority w:val="99"/>
    <w:rsid w:val="00731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196C7C289ABA4D9FDD1361C84C4FA1" ma:contentTypeVersion="7" ma:contentTypeDescription="Create a new document." ma:contentTypeScope="" ma:versionID="94287f402a7a78d13a274b65a129b7fb">
  <xsd:schema xmlns:xsd="http://www.w3.org/2001/XMLSchema" xmlns:xs="http://www.w3.org/2001/XMLSchema" xmlns:p="http://schemas.microsoft.com/office/2006/metadata/properties" xmlns:ns1="http://schemas.microsoft.com/sharepoint/v3" xmlns:ns2="d8b1ca5f-fa87-4d34-92e4-f61eb50f411a" xmlns:ns3="54031767-dd6d-417c-ab73-583408f47564" targetNamespace="http://schemas.microsoft.com/office/2006/metadata/properties" ma:root="true" ma:fieldsID="c2c7294862d16225918a2d29babeedfb" ns1:_="" ns2:_="" ns3:_="">
    <xsd:import namespace="http://schemas.microsoft.com/sharepoint/v3"/>
    <xsd:import namespace="d8b1ca5f-fa87-4d34-92e4-f61eb50f411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b1ca5f-fa87-4d34-92e4-f61eb50f411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d8b1ca5f-fa87-4d34-92e4-f61eb50f411a">New</Priority>
    <Estimated_x0020_Creation_x0020_Date xmlns="d8b1ca5f-fa87-4d34-92e4-f61eb50f411a" xsi:nil="true"/>
    <Remediation_x0020_Date xmlns="d8b1ca5f-fa87-4d34-92e4-f61eb50f411a">2019-05-09T07:00:00+00:00</Remediation_x0020_Date>
  </documentManagement>
</p:properties>
</file>

<file path=customXml/itemProps1.xml><?xml version="1.0" encoding="utf-8"?>
<ds:datastoreItem xmlns:ds="http://schemas.openxmlformats.org/officeDocument/2006/customXml" ds:itemID="{A63F347A-F9E7-459A-AA7D-019EBB6246F4}"/>
</file>

<file path=customXml/itemProps2.xml><?xml version="1.0" encoding="utf-8"?>
<ds:datastoreItem xmlns:ds="http://schemas.openxmlformats.org/officeDocument/2006/customXml" ds:itemID="{D1583C23-C45E-45A0-AFE5-CB96DB4D1B67}"/>
</file>

<file path=customXml/itemProps3.xml><?xml version="1.0" encoding="utf-8"?>
<ds:datastoreItem xmlns:ds="http://schemas.openxmlformats.org/officeDocument/2006/customXml" ds:itemID="{C82AB192-09A3-4975-A0AE-E41DA6947CD4}"/>
</file>

<file path=docProps/app.xml><?xml version="1.0" encoding="utf-8"?>
<Properties xmlns="http://schemas.openxmlformats.org/officeDocument/2006/extended-properties" xmlns:vt="http://schemas.openxmlformats.org/officeDocument/2006/docPropsVTypes">
  <Template>Normal</Template>
  <TotalTime>4</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Shawna - ODE</dc:creator>
  <cp:keywords/>
  <dc:description/>
  <cp:lastModifiedBy>DUMAS Sheli - ODE</cp:lastModifiedBy>
  <cp:revision>3</cp:revision>
  <dcterms:created xsi:type="dcterms:W3CDTF">2019-05-09T15:04:00Z</dcterms:created>
  <dcterms:modified xsi:type="dcterms:W3CDTF">2019-05-09T15:07:00Z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0x01010015196C7C289ABA4D9FDD1361C84C4FA1</vt:lpwstr>
  </property>
</Properties>
</file>