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483" w:rsidRPr="00F52067" w:rsidRDefault="004C5483" w:rsidP="004C5483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GoBack"/>
      <w:bookmarkEnd w:id="0"/>
      <w:r w:rsidRPr="00F52067">
        <w:rPr>
          <w:rFonts w:ascii="Calibri Light" w:hAnsi="Calibri Light" w:cs="Calibri Light"/>
          <w:b/>
          <w:sz w:val="24"/>
          <w:szCs w:val="24"/>
        </w:rPr>
        <w:t>Tips for Writing Goals:</w:t>
      </w:r>
    </w:p>
    <w:p w:rsidR="004C5483" w:rsidRPr="00F52067" w:rsidRDefault="004C5483" w:rsidP="004C5483">
      <w:pPr>
        <w:spacing w:before="200" w:beforeAutospacing="0" w:after="0" w:afterAutospacing="0" w:line="216" w:lineRule="auto"/>
        <w:rPr>
          <w:rFonts w:ascii="Calibri Light" w:eastAsia="Times New Roman" w:hAnsi="Calibri Light" w:cs="Calibri Light"/>
          <w:sz w:val="24"/>
          <w:szCs w:val="24"/>
        </w:rPr>
      </w:pPr>
      <w:r w:rsidRPr="00F5206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 xml:space="preserve">Goals should be ambitious (rigorous) and aspirational (may take several years). For an SEA, LEA, or school, the goals are student focused and apply to all students.  </w:t>
      </w:r>
    </w:p>
    <w:p w:rsidR="004C5483" w:rsidRPr="00F52067" w:rsidRDefault="004C5483" w:rsidP="004C5483">
      <w:pPr>
        <w:spacing w:before="200" w:beforeAutospacing="0" w:after="0" w:afterAutospacing="0" w:line="216" w:lineRule="auto"/>
        <w:rPr>
          <w:rFonts w:ascii="Calibri Light" w:eastAsia="Times New Roman" w:hAnsi="Calibri Light" w:cs="Calibri Light"/>
          <w:sz w:val="24"/>
          <w:szCs w:val="24"/>
        </w:rPr>
      </w:pPr>
      <w:r w:rsidRPr="00F5206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 xml:space="preserve">Example Goal </w:t>
      </w:r>
      <w:r w:rsidR="00EA529E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>with Metric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86"/>
        <w:gridCol w:w="2773"/>
        <w:gridCol w:w="1837"/>
        <w:gridCol w:w="1807"/>
        <w:gridCol w:w="1777"/>
      </w:tblGrid>
      <w:tr w:rsidR="004C5483" w:rsidRPr="00F52067" w:rsidTr="00EB6FCA">
        <w:trPr>
          <w:trHeight w:val="1213"/>
        </w:trPr>
        <w:tc>
          <w:tcPr>
            <w:tcW w:w="12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8C9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F52067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4"/>
                <w:szCs w:val="24"/>
              </w:rPr>
              <w:t xml:space="preserve">Goal: </w:t>
            </w:r>
          </w:p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F52067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4"/>
                <w:szCs w:val="24"/>
              </w:rPr>
              <w:t xml:space="preserve">Increase percent of all students graduating high school to 85% </w:t>
            </w:r>
          </w:p>
        </w:tc>
        <w:tc>
          <w:tcPr>
            <w:tcW w:w="128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8C9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F52067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4"/>
                <w:szCs w:val="24"/>
              </w:rPr>
              <w:t>Data Source:</w:t>
            </w:r>
          </w:p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F52067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4"/>
                <w:szCs w:val="24"/>
              </w:rPr>
              <w:t>Annual</w:t>
            </w:r>
          </w:p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F52067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4"/>
                <w:szCs w:val="24"/>
              </w:rPr>
              <w:t>Graduation Rates</w:t>
            </w:r>
          </w:p>
          <w:p w:rsidR="004C5483" w:rsidRPr="00F52067" w:rsidRDefault="00EC102A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4"/>
                <w:szCs w:val="24"/>
              </w:rPr>
              <w:t>(up from 65</w:t>
            </w:r>
            <w:r w:rsidR="004C5483" w:rsidRPr="00F52067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4"/>
                <w:szCs w:val="24"/>
              </w:rPr>
              <w:t>% )</w:t>
            </w:r>
          </w:p>
        </w:tc>
        <w:tc>
          <w:tcPr>
            <w:tcW w:w="852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8C9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F52067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4"/>
                <w:szCs w:val="24"/>
              </w:rPr>
              <w:t>Year 1</w:t>
            </w:r>
          </w:p>
          <w:p w:rsidR="004C5483" w:rsidRPr="00F52067" w:rsidRDefault="004C5483" w:rsidP="00EC102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F52067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4"/>
                <w:szCs w:val="24"/>
              </w:rPr>
              <w:t xml:space="preserve">Increase 5% to </w:t>
            </w:r>
            <w:r w:rsidR="00EC102A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4"/>
                <w:szCs w:val="24"/>
              </w:rPr>
              <w:t>70</w:t>
            </w:r>
            <w:r w:rsidRPr="00F52067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4"/>
                <w:szCs w:val="24"/>
              </w:rPr>
              <w:t>%</w:t>
            </w:r>
          </w:p>
        </w:tc>
        <w:tc>
          <w:tcPr>
            <w:tcW w:w="83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8C9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F52067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4"/>
                <w:szCs w:val="24"/>
              </w:rPr>
              <w:t>Year 2</w:t>
            </w:r>
          </w:p>
          <w:p w:rsidR="004C5483" w:rsidRPr="00F52067" w:rsidRDefault="004C5483" w:rsidP="00EC102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F52067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4"/>
                <w:szCs w:val="24"/>
              </w:rPr>
              <w:t xml:space="preserve">Increase 10% to </w:t>
            </w:r>
            <w:r w:rsidR="00EC102A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4"/>
                <w:szCs w:val="24"/>
              </w:rPr>
              <w:t>80</w:t>
            </w:r>
            <w:r w:rsidRPr="00F52067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4"/>
                <w:szCs w:val="24"/>
              </w:rPr>
              <w:t>%</w:t>
            </w:r>
          </w:p>
        </w:tc>
        <w:tc>
          <w:tcPr>
            <w:tcW w:w="82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8C9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F52067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4"/>
                <w:szCs w:val="24"/>
              </w:rPr>
              <w:t>Year 3</w:t>
            </w:r>
          </w:p>
          <w:p w:rsidR="004C5483" w:rsidRPr="00F52067" w:rsidRDefault="00EC102A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4"/>
                <w:szCs w:val="24"/>
              </w:rPr>
              <w:t xml:space="preserve">Increase </w:t>
            </w:r>
            <w:r w:rsidR="004C5483" w:rsidRPr="00F52067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4"/>
                <w:szCs w:val="24"/>
              </w:rPr>
              <w:t>5% to 85%</w:t>
            </w:r>
          </w:p>
        </w:tc>
      </w:tr>
    </w:tbl>
    <w:p w:rsidR="004C5483" w:rsidRPr="00F52067" w:rsidRDefault="004C5483" w:rsidP="004C5483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F52067">
        <w:rPr>
          <w:rFonts w:ascii="Calibri Light" w:hAnsi="Calibri Light" w:cs="Calibri Light"/>
          <w:b/>
          <w:sz w:val="24"/>
          <w:szCs w:val="24"/>
        </w:rPr>
        <w:t>Tips for Writing Strategies as a Theory of Action:</w:t>
      </w:r>
    </w:p>
    <w:p w:rsidR="004C5483" w:rsidRPr="004C5483" w:rsidRDefault="004C5483" w:rsidP="004C5483">
      <w:pPr>
        <w:contextualSpacing/>
        <w:rPr>
          <w:rFonts w:ascii="Calibri Light" w:hAnsi="Calibri Light" w:cs="Calibri Light"/>
          <w:sz w:val="24"/>
          <w:szCs w:val="24"/>
        </w:rPr>
      </w:pPr>
      <w:r w:rsidRPr="004C5483">
        <w:rPr>
          <w:rFonts w:ascii="Calibri Light" w:hAnsi="Calibri Light" w:cs="Calibri Light"/>
          <w:sz w:val="24"/>
          <w:szCs w:val="24"/>
        </w:rPr>
        <w:t>About Strategies:</w:t>
      </w:r>
    </w:p>
    <w:p w:rsidR="004C5483" w:rsidRPr="00F52067" w:rsidRDefault="004C5483" w:rsidP="004C5483">
      <w:pPr>
        <w:numPr>
          <w:ilvl w:val="0"/>
          <w:numId w:val="1"/>
        </w:numPr>
        <w:spacing w:before="200" w:beforeAutospacing="0" w:after="0" w:afterAutospacing="0" w:line="216" w:lineRule="auto"/>
        <w:ind w:left="1080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F5206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 xml:space="preserve">Strategies describe the work the organization will undertake in pursuit of its goals </w:t>
      </w:r>
    </w:p>
    <w:p w:rsidR="004C5483" w:rsidRPr="00F52067" w:rsidRDefault="004C5483" w:rsidP="004C5483">
      <w:pPr>
        <w:numPr>
          <w:ilvl w:val="0"/>
          <w:numId w:val="1"/>
        </w:numPr>
        <w:spacing w:before="200" w:beforeAutospacing="0" w:after="0" w:afterAutospacing="0" w:line="216" w:lineRule="auto"/>
        <w:ind w:left="1080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F5206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>A strategy may take one or two or more years to implement</w:t>
      </w:r>
    </w:p>
    <w:p w:rsidR="004C5483" w:rsidRPr="00F52067" w:rsidRDefault="004C5483" w:rsidP="004C5483">
      <w:pPr>
        <w:numPr>
          <w:ilvl w:val="0"/>
          <w:numId w:val="1"/>
        </w:numPr>
        <w:spacing w:before="200" w:beforeAutospacing="0" w:after="0" w:afterAutospacing="0" w:line="216" w:lineRule="auto"/>
        <w:ind w:left="1080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F5206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 xml:space="preserve">Strategies are powerful, high leverage work that build capacity and changes </w:t>
      </w:r>
      <w:r w:rsidRPr="00F52067">
        <w:rPr>
          <w:rFonts w:ascii="Calibri Light" w:eastAsiaTheme="minorEastAsia" w:hAnsi="Calibri Light" w:cs="Calibri Light"/>
          <w:b/>
          <w:bCs/>
          <w:color w:val="000000" w:themeColor="text1"/>
          <w:kern w:val="24"/>
          <w:sz w:val="24"/>
          <w:szCs w:val="24"/>
        </w:rPr>
        <w:t xml:space="preserve">practice, behavior, and belief </w:t>
      </w:r>
      <w:r w:rsidRPr="00F5206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>so students are more successful</w:t>
      </w:r>
    </w:p>
    <w:p w:rsidR="004C5483" w:rsidRPr="00F52067" w:rsidRDefault="004C5483" w:rsidP="004C5483">
      <w:pPr>
        <w:numPr>
          <w:ilvl w:val="0"/>
          <w:numId w:val="1"/>
        </w:numPr>
        <w:spacing w:before="200" w:beforeAutospacing="0" w:after="0" w:afterAutospacing="0" w:line="216" w:lineRule="auto"/>
        <w:ind w:left="1080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F5206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>One bold strategy can have more impact than a litany of poorly implemented strategies.</w:t>
      </w:r>
    </w:p>
    <w:p w:rsidR="004C5483" w:rsidRPr="00F52067" w:rsidRDefault="004C5483" w:rsidP="004C5483">
      <w:pPr>
        <w:spacing w:before="200" w:beforeAutospacing="0" w:after="0" w:afterAutospacing="0" w:line="216" w:lineRule="auto"/>
        <w:rPr>
          <w:rFonts w:ascii="Calibri Light" w:eastAsiaTheme="minorEastAsia" w:hAnsi="Calibri Light" w:cs="Calibri Light"/>
          <w:b/>
          <w:color w:val="000000" w:themeColor="text1"/>
          <w:kern w:val="24"/>
          <w:sz w:val="24"/>
          <w:szCs w:val="24"/>
        </w:rPr>
      </w:pPr>
      <w:r w:rsidRPr="004C5483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>Writing a strategy as a theory of action:</w:t>
      </w:r>
      <w:r w:rsidR="00305045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 xml:space="preserve"> </w:t>
      </w:r>
      <w:r w:rsidRPr="00F5206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>-</w:t>
      </w:r>
      <w:r w:rsidR="009008E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 xml:space="preserve"> </w:t>
      </w:r>
      <w:r w:rsidRPr="00F5206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 xml:space="preserve">Redding &amp; </w:t>
      </w:r>
      <w:proofErr w:type="spellStart"/>
      <w:r w:rsidRPr="00F5206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>Layland</w:t>
      </w:r>
      <w:proofErr w:type="spellEnd"/>
      <w:r w:rsidRPr="00F5206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>, 2015</w:t>
      </w:r>
    </w:p>
    <w:p w:rsidR="004C5483" w:rsidRPr="00F52067" w:rsidRDefault="004C5483" w:rsidP="004C5483">
      <w:pPr>
        <w:numPr>
          <w:ilvl w:val="0"/>
          <w:numId w:val="2"/>
        </w:numPr>
        <w:spacing w:before="200" w:beforeAutospacing="0" w:after="0" w:afterAutospacing="0" w:line="216" w:lineRule="auto"/>
        <w:ind w:left="1080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F52067">
        <w:rPr>
          <w:rFonts w:ascii="Calibri Light" w:eastAsiaTheme="minorEastAsia" w:hAnsi="Calibri Light" w:cs="Calibri Light"/>
          <w:b/>
          <w:bCs/>
          <w:color w:val="000000" w:themeColor="text1"/>
          <w:kern w:val="24"/>
          <w:sz w:val="24"/>
          <w:szCs w:val="24"/>
        </w:rPr>
        <w:t xml:space="preserve">If we </w:t>
      </w:r>
      <w:r w:rsidRPr="00F5206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>(the work we will do)</w:t>
      </w:r>
    </w:p>
    <w:p w:rsidR="004C5483" w:rsidRPr="00F52067" w:rsidRDefault="004C5483" w:rsidP="004C5483">
      <w:pPr>
        <w:numPr>
          <w:ilvl w:val="0"/>
          <w:numId w:val="2"/>
        </w:numPr>
        <w:spacing w:before="200" w:beforeAutospacing="0" w:after="0" w:afterAutospacing="0" w:line="216" w:lineRule="auto"/>
        <w:ind w:left="1080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F52067">
        <w:rPr>
          <w:rFonts w:ascii="Calibri Light" w:eastAsiaTheme="minorEastAsia" w:hAnsi="Calibri Light" w:cs="Calibri Light"/>
          <w:b/>
          <w:bCs/>
          <w:color w:val="000000" w:themeColor="text1"/>
          <w:kern w:val="24"/>
          <w:sz w:val="24"/>
          <w:szCs w:val="24"/>
        </w:rPr>
        <w:t>then</w:t>
      </w:r>
      <w:r w:rsidRPr="00F5206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 xml:space="preserve"> (direct short term impact – what change adults will make)</w:t>
      </w:r>
    </w:p>
    <w:p w:rsidR="004C5483" w:rsidRPr="00F52067" w:rsidRDefault="004C5483" w:rsidP="004C5483">
      <w:pPr>
        <w:numPr>
          <w:ilvl w:val="0"/>
          <w:numId w:val="2"/>
        </w:numPr>
        <w:spacing w:before="200" w:beforeAutospacing="0" w:after="0" w:afterAutospacing="0" w:line="216" w:lineRule="auto"/>
        <w:ind w:left="1080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F52067">
        <w:rPr>
          <w:rFonts w:ascii="Calibri Light" w:eastAsiaTheme="minorEastAsia" w:hAnsi="Calibri Light" w:cs="Calibri Light"/>
          <w:b/>
          <w:bCs/>
          <w:color w:val="000000" w:themeColor="text1"/>
          <w:kern w:val="24"/>
          <w:sz w:val="24"/>
          <w:szCs w:val="24"/>
        </w:rPr>
        <w:t>and</w:t>
      </w:r>
      <w:r w:rsidRPr="00F5206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 xml:space="preserve"> (the longer term impact - for students)</w:t>
      </w:r>
    </w:p>
    <w:p w:rsidR="004C5483" w:rsidRPr="00F52067" w:rsidRDefault="004C5483" w:rsidP="004C5483">
      <w:pPr>
        <w:numPr>
          <w:ilvl w:val="0"/>
          <w:numId w:val="2"/>
        </w:numPr>
        <w:spacing w:before="200" w:beforeAutospacing="0" w:after="0" w:afterAutospacing="0" w:line="216" w:lineRule="auto"/>
        <w:ind w:left="1080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F52067">
        <w:rPr>
          <w:rFonts w:ascii="Calibri Light" w:eastAsiaTheme="minorEastAsia" w:hAnsi="Calibri Light" w:cs="Calibri Light"/>
          <w:b/>
          <w:bCs/>
          <w:color w:val="000000" w:themeColor="text1"/>
          <w:kern w:val="24"/>
          <w:sz w:val="24"/>
          <w:szCs w:val="24"/>
        </w:rPr>
        <w:t xml:space="preserve">The </w:t>
      </w:r>
      <w:r w:rsidR="00342F8B" w:rsidRPr="00F52067">
        <w:rPr>
          <w:rFonts w:ascii="Calibri Light" w:eastAsiaTheme="minorEastAsia" w:hAnsi="Calibri Light" w:cs="Calibri Light"/>
          <w:b/>
          <w:bCs/>
          <w:color w:val="000000" w:themeColor="text1"/>
          <w:kern w:val="24"/>
          <w:sz w:val="24"/>
          <w:szCs w:val="24"/>
        </w:rPr>
        <w:t>“If</w:t>
      </w:r>
      <w:r w:rsidRPr="00F52067">
        <w:rPr>
          <w:rFonts w:ascii="Calibri Light" w:eastAsiaTheme="minorEastAsia" w:hAnsi="Calibri Light" w:cs="Calibri Light"/>
          <w:b/>
          <w:bCs/>
          <w:color w:val="000000" w:themeColor="text1"/>
          <w:kern w:val="24"/>
          <w:sz w:val="24"/>
          <w:szCs w:val="24"/>
        </w:rPr>
        <w:t xml:space="preserve">” </w:t>
      </w:r>
      <w:r w:rsidRPr="00F5206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 xml:space="preserve">part of the statement describes or is aligned to the evidence-based practice that will be implemented (for example, practices found in the ORIS Domains). </w:t>
      </w:r>
    </w:p>
    <w:p w:rsidR="004C5483" w:rsidRPr="004C5483" w:rsidRDefault="004C5483" w:rsidP="004C5483">
      <w:pPr>
        <w:spacing w:before="200" w:beforeAutospacing="0" w:after="0" w:afterAutospacing="0" w:line="216" w:lineRule="auto"/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</w:pPr>
      <w:r w:rsidRPr="004C5483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>Example of a Strategy written as a theory of action:</w:t>
      </w:r>
    </w:p>
    <w:p w:rsidR="004C5483" w:rsidRPr="00F52067" w:rsidRDefault="004C5483" w:rsidP="004C5483">
      <w:pPr>
        <w:numPr>
          <w:ilvl w:val="0"/>
          <w:numId w:val="3"/>
        </w:numPr>
        <w:spacing w:before="200" w:beforeAutospacing="0" w:after="0" w:afterAutospacing="0" w:line="216" w:lineRule="auto"/>
        <w:ind w:left="1080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F52067">
        <w:rPr>
          <w:rFonts w:ascii="Calibri Light" w:eastAsiaTheme="minorEastAsia" w:hAnsi="Calibri Light" w:cs="Calibri Light"/>
          <w:b/>
          <w:bCs/>
          <w:color w:val="000000" w:themeColor="text1"/>
          <w:kern w:val="24"/>
          <w:sz w:val="24"/>
          <w:szCs w:val="24"/>
        </w:rPr>
        <w:t>IF</w:t>
      </w:r>
      <w:r w:rsidRPr="00F5206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 xml:space="preserve"> we provide resources and effective professional learning supports aligned to standards based ELA instruction,</w:t>
      </w:r>
    </w:p>
    <w:p w:rsidR="004C5483" w:rsidRPr="00F52067" w:rsidRDefault="004C5483" w:rsidP="004C5483">
      <w:pPr>
        <w:numPr>
          <w:ilvl w:val="0"/>
          <w:numId w:val="3"/>
        </w:numPr>
        <w:spacing w:before="200" w:beforeAutospacing="0" w:after="0" w:afterAutospacing="0" w:line="216" w:lineRule="auto"/>
        <w:ind w:left="1080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F52067">
        <w:rPr>
          <w:rFonts w:ascii="Calibri Light" w:eastAsiaTheme="minorEastAsia" w:hAnsi="Calibri Light" w:cs="Calibri Light"/>
          <w:b/>
          <w:bCs/>
          <w:color w:val="000000" w:themeColor="text1"/>
          <w:kern w:val="24"/>
          <w:sz w:val="24"/>
          <w:szCs w:val="24"/>
        </w:rPr>
        <w:t>THEN</w:t>
      </w:r>
      <w:r w:rsidRPr="00F5206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 xml:space="preserve"> teachers will implement effective ELA instruction using a variety of aligned resources,</w:t>
      </w:r>
    </w:p>
    <w:p w:rsidR="004C5483" w:rsidRPr="00F52067" w:rsidRDefault="004C5483" w:rsidP="004C5483">
      <w:pPr>
        <w:numPr>
          <w:ilvl w:val="0"/>
          <w:numId w:val="3"/>
        </w:numPr>
        <w:spacing w:before="200" w:beforeAutospacing="0" w:after="0" w:afterAutospacing="0" w:line="216" w:lineRule="auto"/>
        <w:ind w:left="1080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F52067">
        <w:rPr>
          <w:rFonts w:ascii="Calibri Light" w:eastAsiaTheme="minorEastAsia" w:hAnsi="Calibri Light" w:cs="Calibri Light"/>
          <w:b/>
          <w:bCs/>
          <w:color w:val="000000" w:themeColor="text1"/>
          <w:kern w:val="24"/>
          <w:sz w:val="24"/>
          <w:szCs w:val="24"/>
        </w:rPr>
        <w:t>AND</w:t>
      </w:r>
      <w:r w:rsidRPr="00F52067">
        <w:rPr>
          <w:rFonts w:ascii="Calibri Light" w:eastAsiaTheme="minorEastAsia" w:hAnsi="Calibri Light" w:cs="Calibri Light"/>
          <w:color w:val="000000" w:themeColor="text1"/>
          <w:kern w:val="24"/>
          <w:sz w:val="24"/>
          <w:szCs w:val="24"/>
        </w:rPr>
        <w:t xml:space="preserve"> students will meet their ELA growth targets.</w:t>
      </w:r>
    </w:p>
    <w:p w:rsidR="004C5483" w:rsidRPr="00F52067" w:rsidRDefault="004C5483" w:rsidP="004C5483">
      <w:pPr>
        <w:spacing w:before="200" w:beforeAutospacing="0" w:after="0" w:afterAutospacing="0" w:line="216" w:lineRule="auto"/>
        <w:contextualSpacing/>
        <w:rPr>
          <w:rFonts w:ascii="Calibri Light" w:eastAsia="Times New Roman" w:hAnsi="Calibri Light" w:cs="Calibri Light"/>
          <w:sz w:val="24"/>
          <w:szCs w:val="24"/>
        </w:rPr>
      </w:pPr>
    </w:p>
    <w:p w:rsidR="004C5483" w:rsidRPr="00F52067" w:rsidRDefault="004C5483" w:rsidP="004C5483">
      <w:pPr>
        <w:spacing w:before="200" w:beforeAutospacing="0" w:after="0" w:afterAutospacing="0" w:line="216" w:lineRule="auto"/>
        <w:contextualSpacing/>
        <w:rPr>
          <w:rFonts w:ascii="Calibri Light" w:eastAsia="Times New Roman" w:hAnsi="Calibri Light" w:cs="Calibri Light"/>
          <w:b/>
          <w:sz w:val="24"/>
          <w:szCs w:val="24"/>
        </w:rPr>
      </w:pPr>
      <w:r w:rsidRPr="00F52067">
        <w:rPr>
          <w:rFonts w:ascii="Calibri Light" w:eastAsia="Times New Roman" w:hAnsi="Calibri Light" w:cs="Calibri Light"/>
          <w:b/>
          <w:sz w:val="24"/>
          <w:szCs w:val="24"/>
        </w:rPr>
        <w:t>Example of Measures of Evidence for this strategy: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95"/>
        <w:gridCol w:w="2695"/>
        <w:gridCol w:w="2695"/>
        <w:gridCol w:w="2695"/>
      </w:tblGrid>
      <w:tr w:rsidR="004C5483" w:rsidRPr="00F52067" w:rsidTr="00EB6FCA">
        <w:trPr>
          <w:trHeight w:val="584"/>
        </w:trPr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B75B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305045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305045">
              <w:rPr>
                <w:rFonts w:ascii="Calibri Light" w:eastAsia="Times New Roman" w:hAnsi="Calibri Light" w:cs="Calibri Light"/>
                <w:b/>
                <w:bCs/>
                <w:color w:val="FFFFFF" w:themeColor="light1"/>
                <w:kern w:val="24"/>
                <w:sz w:val="20"/>
                <w:szCs w:val="20"/>
              </w:rPr>
              <w:t>Measures of Evidence</w:t>
            </w:r>
            <w:r w:rsidR="00EA529E">
              <w:rPr>
                <w:rFonts w:ascii="Calibri Light" w:eastAsia="Times New Roman" w:hAnsi="Calibri Light" w:cs="Calibri Light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 for Adult Actions</w:t>
            </w:r>
          </w:p>
        </w:tc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B75B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305045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305045">
              <w:rPr>
                <w:rFonts w:ascii="Calibri Light" w:eastAsia="Times New Roman" w:hAnsi="Calibri Light" w:cs="Calibri Light"/>
                <w:b/>
                <w:bCs/>
                <w:color w:val="FFFFFF" w:themeColor="light1"/>
                <w:kern w:val="24"/>
                <w:sz w:val="20"/>
                <w:szCs w:val="20"/>
              </w:rPr>
              <w:t>Fall</w:t>
            </w:r>
          </w:p>
        </w:tc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B75B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305045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305045">
              <w:rPr>
                <w:rFonts w:ascii="Calibri Light" w:eastAsia="Times New Roman" w:hAnsi="Calibri Light" w:cs="Calibri Light"/>
                <w:b/>
                <w:bCs/>
                <w:color w:val="FFFFFF" w:themeColor="light1"/>
                <w:kern w:val="24"/>
                <w:sz w:val="20"/>
                <w:szCs w:val="20"/>
              </w:rPr>
              <w:t>Winter</w:t>
            </w:r>
          </w:p>
        </w:tc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B75B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305045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305045">
              <w:rPr>
                <w:rFonts w:ascii="Calibri Light" w:eastAsia="Times New Roman" w:hAnsi="Calibri Light" w:cs="Calibri Light"/>
                <w:b/>
                <w:bCs/>
                <w:color w:val="FFFFFF" w:themeColor="light1"/>
                <w:kern w:val="24"/>
                <w:sz w:val="20"/>
                <w:szCs w:val="20"/>
              </w:rPr>
              <w:t>Spring</w:t>
            </w:r>
          </w:p>
        </w:tc>
      </w:tr>
      <w:tr w:rsidR="004C5483" w:rsidRPr="00F52067" w:rsidTr="00EB6FCA">
        <w:trPr>
          <w:trHeight w:val="584"/>
        </w:trPr>
        <w:tc>
          <w:tcPr>
            <w:tcW w:w="12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6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305045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305045">
              <w:rPr>
                <w:rFonts w:ascii="Calibri Light" w:eastAsia="Times New Roman" w:hAnsi="Calibri Light" w:cs="Calibri Light"/>
                <w:color w:val="000000" w:themeColor="dark1"/>
                <w:kern w:val="24"/>
                <w:sz w:val="20"/>
                <w:szCs w:val="20"/>
              </w:rPr>
              <w:t>Teachers demonstrate high leverage strategies during 100% of walk-throughs</w:t>
            </w:r>
          </w:p>
        </w:tc>
        <w:tc>
          <w:tcPr>
            <w:tcW w:w="12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6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305045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305045">
              <w:rPr>
                <w:rFonts w:ascii="Calibri Light" w:eastAsia="Times New Roman" w:hAnsi="Calibri Light" w:cs="Calibri Light"/>
                <w:color w:val="000000" w:themeColor="dark1"/>
                <w:kern w:val="24"/>
                <w:sz w:val="20"/>
                <w:szCs w:val="20"/>
              </w:rPr>
              <w:t xml:space="preserve">Composite walk-through data exhibit 65% “strong” markers of implementation for 3 key techniques </w:t>
            </w:r>
          </w:p>
        </w:tc>
        <w:tc>
          <w:tcPr>
            <w:tcW w:w="12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6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305045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305045">
              <w:rPr>
                <w:rFonts w:ascii="Calibri Light" w:eastAsia="Times New Roman" w:hAnsi="Calibri Light" w:cs="Calibri Light"/>
                <w:color w:val="000000" w:themeColor="dark1"/>
                <w:kern w:val="24"/>
                <w:sz w:val="20"/>
                <w:szCs w:val="20"/>
              </w:rPr>
              <w:t xml:space="preserve">Composite walk-through data exhibit 75% “strong” markers of implementation for 3 key techniques </w:t>
            </w:r>
          </w:p>
        </w:tc>
        <w:tc>
          <w:tcPr>
            <w:tcW w:w="12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6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305045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305045">
              <w:rPr>
                <w:rFonts w:ascii="Calibri Light" w:eastAsia="Times New Roman" w:hAnsi="Calibri Light" w:cs="Calibri Light"/>
                <w:color w:val="000000" w:themeColor="dark1"/>
                <w:kern w:val="24"/>
                <w:sz w:val="20"/>
                <w:szCs w:val="20"/>
              </w:rPr>
              <w:t xml:space="preserve">Composite walk-through data exhibit 85% “strong” markers of implementation for 3 key techniques </w:t>
            </w:r>
          </w:p>
        </w:tc>
      </w:tr>
      <w:tr w:rsidR="004C5483" w:rsidRPr="00F52067" w:rsidTr="00EB6FCA">
        <w:trPr>
          <w:trHeight w:val="584"/>
        </w:trPr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B75B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305045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305045">
              <w:rPr>
                <w:rFonts w:ascii="Calibri Light" w:eastAsia="Times New Roman" w:hAnsi="Calibri Light" w:cs="Calibri Light"/>
                <w:b/>
                <w:bCs/>
                <w:color w:val="FFFFFF" w:themeColor="light1"/>
                <w:kern w:val="24"/>
                <w:sz w:val="20"/>
                <w:szCs w:val="20"/>
              </w:rPr>
              <w:t>Measures of Evidence</w:t>
            </w:r>
            <w:r w:rsidR="00EA529E">
              <w:rPr>
                <w:rFonts w:ascii="Calibri Light" w:eastAsia="Times New Roman" w:hAnsi="Calibri Light" w:cs="Calibri Light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 for Student Outcomes</w:t>
            </w:r>
          </w:p>
        </w:tc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B75B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305045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305045">
              <w:rPr>
                <w:rFonts w:ascii="Calibri Light" w:eastAsia="Times New Roman" w:hAnsi="Calibri Light" w:cs="Calibri Light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Fall </w:t>
            </w:r>
          </w:p>
        </w:tc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B75B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305045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305045">
              <w:rPr>
                <w:rFonts w:ascii="Calibri Light" w:eastAsia="Times New Roman" w:hAnsi="Calibri Light" w:cs="Calibri Light"/>
                <w:b/>
                <w:bCs/>
                <w:color w:val="FFFFFF" w:themeColor="light1"/>
                <w:kern w:val="24"/>
                <w:sz w:val="20"/>
                <w:szCs w:val="20"/>
              </w:rPr>
              <w:t>Winter</w:t>
            </w:r>
          </w:p>
        </w:tc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B75B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305045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305045">
              <w:rPr>
                <w:rFonts w:ascii="Calibri Light" w:eastAsia="Times New Roman" w:hAnsi="Calibri Light" w:cs="Calibri Light"/>
                <w:b/>
                <w:bCs/>
                <w:color w:val="FFFFFF" w:themeColor="light1"/>
                <w:kern w:val="24"/>
                <w:sz w:val="20"/>
                <w:szCs w:val="20"/>
              </w:rPr>
              <w:t>Spring</w:t>
            </w:r>
          </w:p>
        </w:tc>
      </w:tr>
      <w:tr w:rsidR="004C5483" w:rsidRPr="00F52067" w:rsidTr="00EB6FCA">
        <w:trPr>
          <w:trHeight w:val="584"/>
        </w:trPr>
        <w:tc>
          <w:tcPr>
            <w:tcW w:w="12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6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F52067">
              <w:rPr>
                <w:rFonts w:ascii="Calibri Light" w:eastAsia="Times New Roman" w:hAnsi="Calibri Light" w:cs="Calibri Light"/>
                <w:color w:val="000000" w:themeColor="dark1"/>
                <w:kern w:val="24"/>
                <w:sz w:val="20"/>
                <w:szCs w:val="20"/>
              </w:rPr>
              <w:t>K-2 Reading Benchmark</w:t>
            </w:r>
          </w:p>
        </w:tc>
        <w:tc>
          <w:tcPr>
            <w:tcW w:w="12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6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F52067">
              <w:rPr>
                <w:rFonts w:ascii="Calibri Light" w:eastAsia="Times New Roman" w:hAnsi="Calibri Light" w:cs="Calibri Light"/>
                <w:color w:val="000000" w:themeColor="dark1"/>
                <w:kern w:val="24"/>
                <w:sz w:val="20"/>
                <w:szCs w:val="20"/>
              </w:rPr>
              <w:t>% on track 35%</w:t>
            </w:r>
          </w:p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6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F52067">
              <w:rPr>
                <w:rFonts w:ascii="Calibri Light" w:eastAsia="Times New Roman" w:hAnsi="Calibri Light" w:cs="Calibri Light"/>
                <w:color w:val="000000" w:themeColor="dark1"/>
                <w:kern w:val="24"/>
                <w:sz w:val="20"/>
                <w:szCs w:val="20"/>
              </w:rPr>
              <w:t>Increase on track by 15%</w:t>
            </w:r>
          </w:p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6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F52067">
              <w:rPr>
                <w:rFonts w:ascii="Calibri Light" w:eastAsia="Times New Roman" w:hAnsi="Calibri Light" w:cs="Calibri Light"/>
                <w:color w:val="000000" w:themeColor="dark1"/>
                <w:kern w:val="24"/>
                <w:sz w:val="20"/>
                <w:szCs w:val="20"/>
              </w:rPr>
              <w:t>Increase on track by 15%</w:t>
            </w:r>
          </w:p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4C5483" w:rsidRPr="00F52067" w:rsidTr="00EB6FCA">
        <w:trPr>
          <w:trHeight w:val="584"/>
        </w:trPr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F52067">
              <w:rPr>
                <w:rFonts w:ascii="Calibri Light" w:eastAsia="Times New Roman" w:hAnsi="Calibri Light" w:cs="Calibri Light"/>
                <w:color w:val="000000" w:themeColor="dark1"/>
                <w:kern w:val="24"/>
                <w:sz w:val="20"/>
                <w:szCs w:val="20"/>
              </w:rPr>
              <w:t>District ELA Interim Benchmark Assessment</w:t>
            </w:r>
          </w:p>
        </w:tc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F52067">
              <w:rPr>
                <w:rFonts w:ascii="Calibri Light" w:eastAsia="Times New Roman" w:hAnsi="Calibri Light" w:cs="Calibri Light"/>
                <w:color w:val="000000" w:themeColor="dark1"/>
                <w:kern w:val="24"/>
                <w:sz w:val="20"/>
                <w:szCs w:val="20"/>
              </w:rPr>
              <w:t>% on track 30%</w:t>
            </w:r>
          </w:p>
        </w:tc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F52067">
              <w:rPr>
                <w:rFonts w:ascii="Calibri Light" w:eastAsia="Times New Roman" w:hAnsi="Calibri Light" w:cs="Calibri Light"/>
                <w:color w:val="000000" w:themeColor="dark1"/>
                <w:kern w:val="24"/>
                <w:sz w:val="20"/>
                <w:szCs w:val="20"/>
              </w:rPr>
              <w:t>Increase on track by 20%</w:t>
            </w:r>
          </w:p>
        </w:tc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F52067">
              <w:rPr>
                <w:rFonts w:ascii="Calibri Light" w:eastAsia="Times New Roman" w:hAnsi="Calibri Light" w:cs="Calibri Light"/>
                <w:color w:val="000000" w:themeColor="dark1"/>
                <w:kern w:val="24"/>
                <w:sz w:val="20"/>
                <w:szCs w:val="20"/>
              </w:rPr>
              <w:t>Increase on track by 15%</w:t>
            </w:r>
          </w:p>
          <w:p w:rsidR="004C5483" w:rsidRPr="00F52067" w:rsidRDefault="004C5483" w:rsidP="00EB6FCA">
            <w:pPr>
              <w:spacing w:before="0" w:beforeAutospacing="0" w:after="0" w:afterAutospacing="0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</w:tbl>
    <w:p w:rsidR="004C5483" w:rsidRPr="00F52067" w:rsidRDefault="004C5483" w:rsidP="004C5483">
      <w:pPr>
        <w:tabs>
          <w:tab w:val="left" w:pos="2910"/>
        </w:tabs>
        <w:rPr>
          <w:rFonts w:ascii="Calibri Light" w:hAnsi="Calibri Light" w:cs="Calibri Light"/>
          <w:sz w:val="2"/>
          <w:szCs w:val="28"/>
        </w:rPr>
      </w:pPr>
    </w:p>
    <w:p w:rsidR="00273275" w:rsidRDefault="00342F8B" w:rsidP="00342F8B">
      <w:pPr>
        <w:jc w:val="right"/>
      </w:pPr>
      <w:r>
        <w:t>Oregon Department of Education – Continuous Improvement Tips - February 11, 2019</w:t>
      </w:r>
    </w:p>
    <w:sectPr w:rsidR="00273275" w:rsidSect="004B31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70D42"/>
    <w:multiLevelType w:val="hybridMultilevel"/>
    <w:tmpl w:val="929858EA"/>
    <w:lvl w:ilvl="0" w:tplc="678A9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342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60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6AD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EA6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00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684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32F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69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D82726"/>
    <w:multiLevelType w:val="hybridMultilevel"/>
    <w:tmpl w:val="1FB6DE7E"/>
    <w:lvl w:ilvl="0" w:tplc="32684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02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16F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B2E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E2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4A4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5EB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CAF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A05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C952F0E"/>
    <w:multiLevelType w:val="hybridMultilevel"/>
    <w:tmpl w:val="D17874D6"/>
    <w:lvl w:ilvl="0" w:tplc="A67A1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404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41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EB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C3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2F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AA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E0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9CA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83"/>
    <w:rsid w:val="00273275"/>
    <w:rsid w:val="00305045"/>
    <w:rsid w:val="00342F8B"/>
    <w:rsid w:val="004C5483"/>
    <w:rsid w:val="004D21A5"/>
    <w:rsid w:val="0084749F"/>
    <w:rsid w:val="008D2ACD"/>
    <w:rsid w:val="009008E7"/>
    <w:rsid w:val="00E17D9B"/>
    <w:rsid w:val="00E955D3"/>
    <w:rsid w:val="00EA529E"/>
    <w:rsid w:val="00E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9D8AD-7F06-4928-89ED-8F14D242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d8b1ca5f-fa87-4d34-92e4-f61eb50f411a">New</Priority>
    <Estimated_x0020_Creation_x0020_Date xmlns="d8b1ca5f-fa87-4d34-92e4-f61eb50f411a" xsi:nil="true"/>
    <Remediation_x0020_Date xmlns="d8b1ca5f-fa87-4d34-92e4-f61eb50f411a">2019-02-12T08:00:00+00:00</Remediation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FFE27-2720-4E31-81C0-3093212C4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9D78C-0308-4925-B214-43C37237B0EF}">
  <ds:schemaRefs>
    <ds:schemaRef ds:uri="http://schemas.microsoft.com/office/2006/documentManagement/types"/>
    <ds:schemaRef ds:uri="fc389050-7af9-4fc8-8cf5-322a8bf3348c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F915A9-B85F-4ADB-BB30-0A9AFBF8A9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 Shawna - ODE</dc:creator>
  <cp:keywords/>
  <dc:description/>
  <cp:lastModifiedBy>DUMAS Sheli - ODE</cp:lastModifiedBy>
  <cp:revision>2</cp:revision>
  <cp:lastPrinted>2019-07-30T19:28:00Z</cp:lastPrinted>
  <dcterms:created xsi:type="dcterms:W3CDTF">2019-09-05T16:11:00Z</dcterms:created>
  <dcterms:modified xsi:type="dcterms:W3CDTF">2019-09-05T16:11:00Z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0x01010015196C7C289ABA4D9FDD1361C84C4FA1</vt:lpwstr>
  </property>
</Properties>
</file>