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word/intelligence2.xml" ContentType="application/vnd.ms-office.intelligence2+xml"/>
  <Override PartName="/word/tasks.xml" ContentType="application/vnd.ms-office.documenttask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E72" w:rsidR="00544E72" w:rsidP="00DD2C26" w:rsidRDefault="00112970" w14:paraId="199E19EE" w14:textId="3593755D">
      <w:pPr>
        <w:pStyle w:val="CoverTitle"/>
      </w:pPr>
      <w:sdt>
        <w:sdtPr>
          <w:alias w:val="Title"/>
          <w:tag w:val=""/>
          <w:id w:val="-1812001609"/>
          <w:placeholder>
            <w:docPart w:val="6CFB2A87E862409EA0E56DC03A4C83C7"/>
          </w:placeholder>
          <w:dataBinding w:prefixMappings="xmlns:ns0='http://purl.org/dc/elements/1.1/' xmlns:ns1='http://schemas.openxmlformats.org/package/2006/metadata/core-properties' " w:xpath="/ns1:coreProperties[1]/ns0:title[1]" w:storeItemID="{6C3C8BC8-F283-45AE-878A-BAB7291924A1}"/>
          <w:text/>
        </w:sdtPr>
        <w:sdtContent>
          <w:r w:rsidR="00CF7D1C">
            <w:t>McKinney-Vento Grant Administrator's Guide</w:t>
          </w:r>
        </w:sdtContent>
      </w:sdt>
    </w:p>
    <w:sdt>
      <w:sdtPr>
        <w:alias w:val="Subject"/>
        <w:tag w:val=""/>
        <w:id w:val="1687091260"/>
        <w:placeholder>
          <w:docPart w:val="C0B4C393CD9A44B5B8B78EA64DF2D97C"/>
        </w:placeholder>
        <w:dataBinding w:prefixMappings="xmlns:ns0='http://purl.org/dc/elements/1.1/' xmlns:ns1='http://schemas.openxmlformats.org/package/2006/metadata/core-properties' " w:xpath="/ns1:coreProperties[1]/ns0:subject[1]" w:storeItemID="{6C3C8BC8-F283-45AE-878A-BAB7291924A1}"/>
        <w:text/>
      </w:sdtPr>
      <w:sdtContent>
        <w:p w:rsidRPr="00DD2C26" w:rsidR="00544E72" w:rsidP="00DD2C26" w:rsidRDefault="00CF7D1C" w14:paraId="615580F2" w14:textId="4B8A82B2">
          <w:pPr>
            <w:pStyle w:val="CoveSubheading"/>
          </w:pPr>
          <w:r>
            <w:t>Fall 2025</w:t>
          </w:r>
        </w:p>
      </w:sdtContent>
    </w:sdt>
    <w:p w:rsidR="009A4B0A" w:rsidP="00507C82" w:rsidRDefault="00544E72" w14:paraId="564654DD" w14:textId="77777777">
      <w:r>
        <w:br w:type="page"/>
      </w:r>
    </w:p>
    <w:p w:rsidRPr="008F53C6" w:rsidR="00044664" w:rsidP="008F53C6" w:rsidRDefault="00044664" w14:paraId="6B86FDCB" w14:textId="6D21D0AD">
      <w:pPr>
        <w:pStyle w:val="TOCHeading"/>
        <w:rPr>
          <w:rFonts w:ascii="Calibri" w:hAnsi="Calibri" w:eastAsia="Times New Roman" w:cs="Calibri"/>
          <w:b/>
          <w:bCs/>
          <w:color w:val="0070C0"/>
        </w:rPr>
      </w:pPr>
    </w:p>
    <w:sdt>
      <w:sdtPr>
        <w:id w:val="1585570221"/>
        <w:docPartObj>
          <w:docPartGallery w:val="Table of Contents"/>
          <w:docPartUnique/>
        </w:docPartObj>
      </w:sdtPr>
      <w:sdtContent>
        <w:p w:rsidRPr="004A0B42" w:rsidR="00CB7BD1" w:rsidRDefault="00CB7BD1" w14:paraId="1A7E6057" w14:textId="78B72A74">
          <w:pPr>
            <w:pStyle w:val="TOCHeading"/>
            <w:rPr>
              <w:b w:val="1"/>
              <w:bCs w:val="1"/>
            </w:rPr>
          </w:pPr>
          <w:r w:rsidRPr="54E03952" w:rsidR="186F4D6F">
            <w:rPr>
              <w:b w:val="1"/>
              <w:bCs w:val="1"/>
            </w:rPr>
            <w:t>Contents</w:t>
          </w:r>
        </w:p>
        <w:p w:rsidR="004A0B42" w:rsidP="3A432679" w:rsidRDefault="00CB7BD1" w14:paraId="4AC0AF62" w14:textId="7B06E6D6">
          <w:pPr>
            <w:pStyle w:val="TOC1"/>
            <w:tabs>
              <w:tab w:val="left" w:leader="none" w:pos="480"/>
              <w:tab w:val="right" w:leader="dot" w:pos="9345"/>
            </w:tabs>
            <w:rPr>
              <w:rStyle w:val="Hyperlink"/>
              <w:kern w:val="2"/>
              <w:lang w:eastAsia="zh-TW"/>
              <w14:ligatures w14:val="standardContextual"/>
            </w:rPr>
          </w:pPr>
          <w:r>
            <w:fldChar w:fldCharType="begin"/>
          </w:r>
          <w:r>
            <w:instrText xml:space="preserve">TOC \o "1-3" \z \u \h</w:instrText>
          </w:r>
          <w:r>
            <w:fldChar w:fldCharType="separate"/>
          </w:r>
          <w:hyperlink w:anchor="_Toc1006157565">
            <w:r w:rsidRPr="54E03952" w:rsidR="54E03952">
              <w:rPr>
                <w:rStyle w:val="Hyperlink"/>
              </w:rPr>
              <w:t>1.</w:t>
            </w:r>
            <w:r>
              <w:tab/>
            </w:r>
            <w:r w:rsidRPr="54E03952" w:rsidR="54E03952">
              <w:rPr>
                <w:rStyle w:val="Hyperlink"/>
              </w:rPr>
              <w:t>Introduction</w:t>
            </w:r>
            <w:r>
              <w:tab/>
            </w:r>
            <w:r>
              <w:fldChar w:fldCharType="begin"/>
            </w:r>
            <w:r>
              <w:instrText xml:space="preserve">PAGEREF _Toc1006157565 \h</w:instrText>
            </w:r>
            <w:r>
              <w:fldChar w:fldCharType="separate"/>
            </w:r>
            <w:r w:rsidRPr="54E03952" w:rsidR="54E03952">
              <w:rPr>
                <w:rStyle w:val="Hyperlink"/>
              </w:rPr>
              <w:t>2</w:t>
            </w:r>
            <w:r>
              <w:fldChar w:fldCharType="end"/>
            </w:r>
          </w:hyperlink>
        </w:p>
        <w:p w:rsidR="004A0B42" w:rsidP="54E03952" w:rsidRDefault="004A0B42" w14:paraId="5D150E47" w14:textId="25C501BC">
          <w:pPr>
            <w:pStyle w:val="TOC2"/>
            <w:tabs>
              <w:tab w:val="right" w:leader="dot" w:pos="9345"/>
            </w:tabs>
            <w:rPr>
              <w:rStyle w:val="Hyperlink"/>
              <w:noProof/>
              <w:kern w:val="2"/>
              <w:lang w:eastAsia="zh-TW"/>
              <w14:ligatures w14:val="standardContextual"/>
            </w:rPr>
          </w:pPr>
          <w:hyperlink w:anchor="_Toc479442156">
            <w:r w:rsidRPr="54E03952" w:rsidR="54E03952">
              <w:rPr>
                <w:rStyle w:val="Hyperlink"/>
              </w:rPr>
              <w:t>1.1 McKinney-Vento Act Overview</w:t>
            </w:r>
            <w:r>
              <w:tab/>
            </w:r>
            <w:r>
              <w:fldChar w:fldCharType="begin"/>
            </w:r>
            <w:r>
              <w:instrText xml:space="preserve">PAGEREF _Toc479442156 \h</w:instrText>
            </w:r>
            <w:r>
              <w:fldChar w:fldCharType="separate"/>
            </w:r>
            <w:r w:rsidRPr="54E03952" w:rsidR="54E03952">
              <w:rPr>
                <w:rStyle w:val="Hyperlink"/>
              </w:rPr>
              <w:t>3</w:t>
            </w:r>
            <w:r>
              <w:fldChar w:fldCharType="end"/>
            </w:r>
          </w:hyperlink>
        </w:p>
        <w:p w:rsidR="004A0B42" w:rsidP="3A432679" w:rsidRDefault="004A0B42" w14:paraId="0BD1A52B" w14:textId="41B7FEE1">
          <w:pPr>
            <w:pStyle w:val="TOC1"/>
            <w:tabs>
              <w:tab w:val="left" w:leader="none" w:pos="480"/>
              <w:tab w:val="right" w:leader="dot" w:pos="9345"/>
            </w:tabs>
            <w:rPr>
              <w:rStyle w:val="Hyperlink"/>
              <w:kern w:val="2"/>
              <w:lang w:eastAsia="zh-TW"/>
              <w14:ligatures w14:val="standardContextual"/>
            </w:rPr>
          </w:pPr>
          <w:hyperlink w:anchor="_Toc1085322183">
            <w:r w:rsidRPr="54E03952" w:rsidR="54E03952">
              <w:rPr>
                <w:rStyle w:val="Hyperlink"/>
              </w:rPr>
              <w:t>2.</w:t>
            </w:r>
            <w:r>
              <w:tab/>
            </w:r>
            <w:r w:rsidRPr="54E03952" w:rsidR="54E03952">
              <w:rPr>
                <w:rStyle w:val="Hyperlink"/>
              </w:rPr>
              <w:t>McKinney-Vento Grant</w:t>
            </w:r>
            <w:r>
              <w:tab/>
            </w:r>
            <w:r>
              <w:fldChar w:fldCharType="begin"/>
            </w:r>
            <w:r>
              <w:instrText xml:space="preserve">PAGEREF _Toc1085322183 \h</w:instrText>
            </w:r>
            <w:r>
              <w:fldChar w:fldCharType="separate"/>
            </w:r>
            <w:r w:rsidRPr="54E03952" w:rsidR="54E03952">
              <w:rPr>
                <w:rStyle w:val="Hyperlink"/>
              </w:rPr>
              <w:t>3</w:t>
            </w:r>
            <w:r>
              <w:fldChar w:fldCharType="end"/>
            </w:r>
          </w:hyperlink>
        </w:p>
        <w:p w:rsidR="004A0B42" w:rsidP="54E03952" w:rsidRDefault="004A0B42" w14:paraId="04BA2144" w14:textId="40B8F247">
          <w:pPr>
            <w:pStyle w:val="TOC2"/>
            <w:tabs>
              <w:tab w:val="right" w:leader="dot" w:pos="9345"/>
            </w:tabs>
            <w:rPr>
              <w:rStyle w:val="Hyperlink"/>
              <w:noProof/>
              <w:kern w:val="2"/>
              <w:lang w:eastAsia="zh-TW"/>
              <w14:ligatures w14:val="standardContextual"/>
            </w:rPr>
          </w:pPr>
          <w:hyperlink w:anchor="_Toc303471143">
            <w:r w:rsidRPr="54E03952" w:rsidR="54E03952">
              <w:rPr>
                <w:rStyle w:val="Hyperlink"/>
              </w:rPr>
              <w:t>2.1 Grant Allocation</w:t>
            </w:r>
            <w:r>
              <w:tab/>
            </w:r>
            <w:r>
              <w:fldChar w:fldCharType="begin"/>
            </w:r>
            <w:r>
              <w:instrText xml:space="preserve">PAGEREF _Toc303471143 \h</w:instrText>
            </w:r>
            <w:r>
              <w:fldChar w:fldCharType="separate"/>
            </w:r>
            <w:r w:rsidRPr="54E03952" w:rsidR="54E03952">
              <w:rPr>
                <w:rStyle w:val="Hyperlink"/>
              </w:rPr>
              <w:t>4</w:t>
            </w:r>
            <w:r>
              <w:fldChar w:fldCharType="end"/>
            </w:r>
          </w:hyperlink>
        </w:p>
        <w:p w:rsidR="004A0B42" w:rsidP="54E03952" w:rsidRDefault="004A0B42" w14:paraId="739ADB7B" w14:textId="614E6627">
          <w:pPr>
            <w:pStyle w:val="TOC3"/>
            <w:tabs>
              <w:tab w:val="right" w:leader="dot" w:pos="9345"/>
            </w:tabs>
            <w:rPr>
              <w:rStyle w:val="Hyperlink"/>
              <w:noProof/>
              <w:kern w:val="2"/>
              <w:lang w:eastAsia="zh-TW"/>
              <w14:ligatures w14:val="standardContextual"/>
            </w:rPr>
          </w:pPr>
          <w:hyperlink w:anchor="_Toc376095906">
            <w:r w:rsidRPr="54E03952" w:rsidR="54E03952">
              <w:rPr>
                <w:rStyle w:val="Hyperlink"/>
              </w:rPr>
              <w:t>Base Funding Ranges and Eligibility Table</w:t>
            </w:r>
            <w:r>
              <w:tab/>
            </w:r>
            <w:r>
              <w:fldChar w:fldCharType="begin"/>
            </w:r>
            <w:r>
              <w:instrText xml:space="preserve">PAGEREF _Toc376095906 \h</w:instrText>
            </w:r>
            <w:r>
              <w:fldChar w:fldCharType="separate"/>
            </w:r>
            <w:r w:rsidRPr="54E03952" w:rsidR="54E03952">
              <w:rPr>
                <w:rStyle w:val="Hyperlink"/>
              </w:rPr>
              <w:t>4</w:t>
            </w:r>
            <w:r>
              <w:fldChar w:fldCharType="end"/>
            </w:r>
          </w:hyperlink>
        </w:p>
        <w:p w:rsidR="004A0B42" w:rsidP="54E03952" w:rsidRDefault="004A0B42" w14:paraId="16E2FD37" w14:textId="44BE2CBC">
          <w:pPr>
            <w:pStyle w:val="TOC3"/>
            <w:tabs>
              <w:tab w:val="right" w:leader="dot" w:pos="9345"/>
            </w:tabs>
            <w:rPr>
              <w:rStyle w:val="Hyperlink"/>
              <w:noProof/>
              <w:kern w:val="2"/>
              <w:lang w:eastAsia="zh-TW"/>
              <w14:ligatures w14:val="standardContextual"/>
            </w:rPr>
          </w:pPr>
          <w:hyperlink w:anchor="_Toc1670849100">
            <w:r w:rsidRPr="54E03952" w:rsidR="54E03952">
              <w:rPr>
                <w:rStyle w:val="Hyperlink"/>
              </w:rPr>
              <w:t>McKinney-Vento Grants Calendar</w:t>
            </w:r>
            <w:r>
              <w:tab/>
            </w:r>
            <w:r>
              <w:fldChar w:fldCharType="begin"/>
            </w:r>
            <w:r>
              <w:instrText xml:space="preserve">PAGEREF _Toc1670849100 \h</w:instrText>
            </w:r>
            <w:r>
              <w:fldChar w:fldCharType="separate"/>
            </w:r>
            <w:r w:rsidRPr="54E03952" w:rsidR="54E03952">
              <w:rPr>
                <w:rStyle w:val="Hyperlink"/>
              </w:rPr>
              <w:t>4</w:t>
            </w:r>
            <w:r>
              <w:fldChar w:fldCharType="end"/>
            </w:r>
          </w:hyperlink>
        </w:p>
        <w:p w:rsidR="004A0B42" w:rsidP="54E03952" w:rsidRDefault="004A0B42" w14:paraId="1D18E074" w14:textId="6F10B5FA">
          <w:pPr>
            <w:pStyle w:val="TOC3"/>
            <w:tabs>
              <w:tab w:val="right" w:leader="dot" w:pos="9345"/>
            </w:tabs>
            <w:rPr>
              <w:rStyle w:val="Hyperlink"/>
              <w:noProof/>
              <w:kern w:val="2"/>
              <w:lang w:eastAsia="zh-TW"/>
              <w14:ligatures w14:val="standardContextual"/>
            </w:rPr>
          </w:pPr>
          <w:hyperlink w:anchor="_Toc987912302">
            <w:r w:rsidRPr="54E03952" w:rsidR="54E03952">
              <w:rPr>
                <w:rStyle w:val="Hyperlink"/>
              </w:rPr>
              <w:t>Carryover</w:t>
            </w:r>
            <w:r>
              <w:tab/>
            </w:r>
            <w:r>
              <w:fldChar w:fldCharType="begin"/>
            </w:r>
            <w:r>
              <w:instrText xml:space="preserve">PAGEREF _Toc987912302 \h</w:instrText>
            </w:r>
            <w:r>
              <w:fldChar w:fldCharType="separate"/>
            </w:r>
            <w:r w:rsidRPr="54E03952" w:rsidR="54E03952">
              <w:rPr>
                <w:rStyle w:val="Hyperlink"/>
              </w:rPr>
              <w:t>4</w:t>
            </w:r>
            <w:r>
              <w:fldChar w:fldCharType="end"/>
            </w:r>
          </w:hyperlink>
        </w:p>
        <w:p w:rsidR="004A0B42" w:rsidP="54E03952" w:rsidRDefault="004A0B42" w14:paraId="5E6781D4" w14:textId="53ACC5DC">
          <w:pPr>
            <w:pStyle w:val="TOC2"/>
            <w:tabs>
              <w:tab w:val="right" w:leader="dot" w:pos="9345"/>
            </w:tabs>
            <w:rPr>
              <w:rStyle w:val="Hyperlink"/>
              <w:noProof/>
              <w:kern w:val="2"/>
              <w:lang w:eastAsia="zh-TW"/>
              <w14:ligatures w14:val="standardContextual"/>
            </w:rPr>
          </w:pPr>
          <w:hyperlink w:anchor="_Toc908645964">
            <w:r w:rsidRPr="54E03952" w:rsidR="54E03952">
              <w:rPr>
                <w:rStyle w:val="Hyperlink"/>
              </w:rPr>
              <w:t>2.2 Required Uses of McKinney Vento Funds</w:t>
            </w:r>
            <w:r>
              <w:tab/>
            </w:r>
            <w:r>
              <w:fldChar w:fldCharType="begin"/>
            </w:r>
            <w:r>
              <w:instrText xml:space="preserve">PAGEREF _Toc908645964 \h</w:instrText>
            </w:r>
            <w:r>
              <w:fldChar w:fldCharType="separate"/>
            </w:r>
            <w:r w:rsidRPr="54E03952" w:rsidR="54E03952">
              <w:rPr>
                <w:rStyle w:val="Hyperlink"/>
              </w:rPr>
              <w:t>5</w:t>
            </w:r>
            <w:r>
              <w:fldChar w:fldCharType="end"/>
            </w:r>
          </w:hyperlink>
        </w:p>
        <w:p w:rsidR="004A0B42" w:rsidP="54E03952" w:rsidRDefault="004A0B42" w14:paraId="43EC8AFE" w14:textId="32A06F0F">
          <w:pPr>
            <w:pStyle w:val="TOC3"/>
            <w:tabs>
              <w:tab w:val="right" w:leader="dot" w:pos="9345"/>
            </w:tabs>
            <w:rPr>
              <w:rStyle w:val="Hyperlink"/>
              <w:noProof/>
              <w:kern w:val="2"/>
              <w:lang w:eastAsia="zh-TW"/>
              <w14:ligatures w14:val="standardContextual"/>
            </w:rPr>
          </w:pPr>
          <w:hyperlink w:anchor="_Toc1396271683">
            <w:r w:rsidRPr="54E03952" w:rsidR="54E03952">
              <w:rPr>
                <w:rStyle w:val="Hyperlink"/>
              </w:rPr>
              <w:t>Resources on Allowable Uses</w:t>
            </w:r>
            <w:r>
              <w:tab/>
            </w:r>
            <w:r>
              <w:fldChar w:fldCharType="begin"/>
            </w:r>
            <w:r>
              <w:instrText xml:space="preserve">PAGEREF _Toc1396271683 \h</w:instrText>
            </w:r>
            <w:r>
              <w:fldChar w:fldCharType="separate"/>
            </w:r>
            <w:r w:rsidRPr="54E03952" w:rsidR="54E03952">
              <w:rPr>
                <w:rStyle w:val="Hyperlink"/>
              </w:rPr>
              <w:t>7</w:t>
            </w:r>
            <w:r>
              <w:fldChar w:fldCharType="end"/>
            </w:r>
          </w:hyperlink>
        </w:p>
        <w:p w:rsidR="004A0B42" w:rsidP="54E03952" w:rsidRDefault="004A0B42" w14:paraId="649CF81B" w14:textId="0D009546">
          <w:pPr>
            <w:pStyle w:val="TOC3"/>
            <w:tabs>
              <w:tab w:val="right" w:leader="dot" w:pos="9345"/>
            </w:tabs>
            <w:rPr>
              <w:rStyle w:val="Hyperlink"/>
              <w:noProof/>
              <w:kern w:val="2"/>
              <w:lang w:eastAsia="zh-TW"/>
              <w14:ligatures w14:val="standardContextual"/>
            </w:rPr>
          </w:pPr>
          <w:hyperlink w:anchor="_Toc1048552690">
            <w:r w:rsidRPr="54E03952" w:rsidR="54E03952">
              <w:rPr>
                <w:rStyle w:val="Hyperlink"/>
              </w:rPr>
              <w:t>Prohibition of Supplanting with Federal Funds</w:t>
            </w:r>
            <w:r>
              <w:tab/>
            </w:r>
            <w:r>
              <w:fldChar w:fldCharType="begin"/>
            </w:r>
            <w:r>
              <w:instrText xml:space="preserve">PAGEREF _Toc1048552690 \h</w:instrText>
            </w:r>
            <w:r>
              <w:fldChar w:fldCharType="separate"/>
            </w:r>
            <w:r w:rsidRPr="54E03952" w:rsidR="54E03952">
              <w:rPr>
                <w:rStyle w:val="Hyperlink"/>
              </w:rPr>
              <w:t>7</w:t>
            </w:r>
            <w:r>
              <w:fldChar w:fldCharType="end"/>
            </w:r>
          </w:hyperlink>
        </w:p>
        <w:p w:rsidR="004A0B42" w:rsidP="54E03952" w:rsidRDefault="004A0B42" w14:paraId="74E708BC" w14:textId="53FFEA66">
          <w:pPr>
            <w:pStyle w:val="TOC3"/>
            <w:tabs>
              <w:tab w:val="right" w:leader="dot" w:pos="9345"/>
            </w:tabs>
            <w:rPr>
              <w:rStyle w:val="Hyperlink"/>
              <w:noProof/>
              <w:kern w:val="2"/>
              <w:lang w:eastAsia="zh-TW"/>
              <w14:ligatures w14:val="standardContextual"/>
            </w:rPr>
          </w:pPr>
          <w:hyperlink w:anchor="_Toc140601261">
            <w:r w:rsidRPr="54E03952" w:rsidR="54E03952">
              <w:rPr>
                <w:rStyle w:val="Hyperlink"/>
              </w:rPr>
              <w:t>Indirect/Administrative Costs</w:t>
            </w:r>
            <w:r>
              <w:tab/>
            </w:r>
            <w:r>
              <w:fldChar w:fldCharType="begin"/>
            </w:r>
            <w:r>
              <w:instrText xml:space="preserve">PAGEREF _Toc140601261 \h</w:instrText>
            </w:r>
            <w:r>
              <w:fldChar w:fldCharType="separate"/>
            </w:r>
            <w:r w:rsidRPr="54E03952" w:rsidR="54E03952">
              <w:rPr>
                <w:rStyle w:val="Hyperlink"/>
              </w:rPr>
              <w:t>8</w:t>
            </w:r>
            <w:r>
              <w:fldChar w:fldCharType="end"/>
            </w:r>
          </w:hyperlink>
        </w:p>
        <w:p w:rsidR="004A0B42" w:rsidP="54E03952" w:rsidRDefault="004A0B42" w14:paraId="5E4707D6" w14:textId="773755EC">
          <w:pPr>
            <w:pStyle w:val="TOC3"/>
            <w:tabs>
              <w:tab w:val="right" w:leader="dot" w:pos="9345"/>
            </w:tabs>
            <w:rPr>
              <w:rStyle w:val="Hyperlink"/>
              <w:noProof/>
              <w:kern w:val="2"/>
              <w:lang w:eastAsia="zh-TW"/>
              <w14:ligatures w14:val="standardContextual"/>
            </w:rPr>
          </w:pPr>
          <w:hyperlink w:anchor="_Toc1986142363">
            <w:r w:rsidRPr="54E03952" w:rsidR="54E03952">
              <w:rPr>
                <w:rStyle w:val="Hyperlink"/>
              </w:rPr>
              <w:t>General Education Provisions Act (GEPA)</w:t>
            </w:r>
            <w:r>
              <w:tab/>
            </w:r>
            <w:r>
              <w:fldChar w:fldCharType="begin"/>
            </w:r>
            <w:r>
              <w:instrText xml:space="preserve">PAGEREF _Toc1986142363 \h</w:instrText>
            </w:r>
            <w:r>
              <w:fldChar w:fldCharType="separate"/>
            </w:r>
            <w:r w:rsidRPr="54E03952" w:rsidR="54E03952">
              <w:rPr>
                <w:rStyle w:val="Hyperlink"/>
              </w:rPr>
              <w:t>8</w:t>
            </w:r>
            <w:r>
              <w:fldChar w:fldCharType="end"/>
            </w:r>
          </w:hyperlink>
        </w:p>
        <w:p w:rsidR="004A0B42" w:rsidP="54E03952" w:rsidRDefault="004A0B42" w14:paraId="66047A2D" w14:textId="06A7F689">
          <w:pPr>
            <w:pStyle w:val="TOC2"/>
            <w:tabs>
              <w:tab w:val="right" w:leader="dot" w:pos="9345"/>
            </w:tabs>
            <w:rPr>
              <w:rStyle w:val="Hyperlink"/>
              <w:noProof/>
              <w:kern w:val="2"/>
              <w:lang w:eastAsia="zh-TW"/>
              <w14:ligatures w14:val="standardContextual"/>
            </w:rPr>
          </w:pPr>
          <w:hyperlink w:anchor="_Toc1684263646">
            <w:r w:rsidRPr="54E03952" w:rsidR="54E03952">
              <w:rPr>
                <w:rStyle w:val="Hyperlink"/>
              </w:rPr>
              <w:t>2.3 Non-Allowable Uses of Funds</w:t>
            </w:r>
            <w:r>
              <w:tab/>
            </w:r>
            <w:r>
              <w:fldChar w:fldCharType="begin"/>
            </w:r>
            <w:r>
              <w:instrText xml:space="preserve">PAGEREF _Toc1684263646 \h</w:instrText>
            </w:r>
            <w:r>
              <w:fldChar w:fldCharType="separate"/>
            </w:r>
            <w:r w:rsidRPr="54E03952" w:rsidR="54E03952">
              <w:rPr>
                <w:rStyle w:val="Hyperlink"/>
              </w:rPr>
              <w:t>8</w:t>
            </w:r>
            <w:r>
              <w:fldChar w:fldCharType="end"/>
            </w:r>
          </w:hyperlink>
        </w:p>
        <w:p w:rsidR="004A0B42" w:rsidP="54E03952" w:rsidRDefault="004A0B42" w14:paraId="54CFFD98" w14:textId="0F5F766D">
          <w:pPr>
            <w:pStyle w:val="TOC3"/>
            <w:tabs>
              <w:tab w:val="right" w:leader="dot" w:pos="9345"/>
            </w:tabs>
            <w:rPr>
              <w:rStyle w:val="Hyperlink"/>
              <w:noProof/>
              <w:kern w:val="2"/>
              <w:lang w:eastAsia="zh-TW"/>
              <w14:ligatures w14:val="standardContextual"/>
            </w:rPr>
          </w:pPr>
          <w:hyperlink w:anchor="_Toc295307172">
            <w:r w:rsidRPr="54E03952" w:rsidR="54E03952">
              <w:rPr>
                <w:rStyle w:val="Hyperlink"/>
              </w:rPr>
              <w:t>2.4 Service Provisions</w:t>
            </w:r>
            <w:r>
              <w:tab/>
            </w:r>
            <w:r>
              <w:fldChar w:fldCharType="begin"/>
            </w:r>
            <w:r>
              <w:instrText xml:space="preserve">PAGEREF _Toc295307172 \h</w:instrText>
            </w:r>
            <w:r>
              <w:fldChar w:fldCharType="separate"/>
            </w:r>
            <w:r w:rsidRPr="54E03952" w:rsidR="54E03952">
              <w:rPr>
                <w:rStyle w:val="Hyperlink"/>
              </w:rPr>
              <w:t>8</w:t>
            </w:r>
            <w:r>
              <w:fldChar w:fldCharType="end"/>
            </w:r>
          </w:hyperlink>
        </w:p>
        <w:p w:rsidR="004A0B42" w:rsidP="3A432679" w:rsidRDefault="004A0B42" w14:paraId="4A40839D" w14:textId="676F69AD">
          <w:pPr>
            <w:pStyle w:val="TOC1"/>
            <w:tabs>
              <w:tab w:val="right" w:leader="dot" w:pos="9345"/>
            </w:tabs>
            <w:rPr>
              <w:rStyle w:val="Hyperlink"/>
              <w:kern w:val="2"/>
              <w:lang w:eastAsia="zh-TW"/>
              <w14:ligatures w14:val="standardContextual"/>
            </w:rPr>
          </w:pPr>
          <w:hyperlink w:anchor="_Toc81932236">
            <w:r w:rsidRPr="54E03952" w:rsidR="54E03952">
              <w:rPr>
                <w:rStyle w:val="Hyperlink"/>
              </w:rPr>
              <w:t>3. Program Administration</w:t>
            </w:r>
            <w:r>
              <w:tab/>
            </w:r>
            <w:r>
              <w:fldChar w:fldCharType="begin"/>
            </w:r>
            <w:r>
              <w:instrText xml:space="preserve">PAGEREF _Toc81932236 \h</w:instrText>
            </w:r>
            <w:r>
              <w:fldChar w:fldCharType="separate"/>
            </w:r>
            <w:r w:rsidRPr="54E03952" w:rsidR="54E03952">
              <w:rPr>
                <w:rStyle w:val="Hyperlink"/>
              </w:rPr>
              <w:t>9</w:t>
            </w:r>
            <w:r>
              <w:fldChar w:fldCharType="end"/>
            </w:r>
          </w:hyperlink>
        </w:p>
        <w:p w:rsidR="004A0B42" w:rsidP="54E03952" w:rsidRDefault="004A0B42" w14:paraId="2805FE3F" w14:textId="4F3659DC">
          <w:pPr>
            <w:pStyle w:val="TOC2"/>
            <w:tabs>
              <w:tab w:val="right" w:leader="dot" w:pos="9345"/>
            </w:tabs>
            <w:rPr>
              <w:rStyle w:val="Hyperlink"/>
              <w:noProof/>
              <w:kern w:val="2"/>
              <w:lang w:eastAsia="zh-TW"/>
              <w14:ligatures w14:val="standardContextual"/>
            </w:rPr>
          </w:pPr>
          <w:hyperlink w:anchor="_Toc1643451333">
            <w:r w:rsidRPr="54E03952" w:rsidR="54E03952">
              <w:rPr>
                <w:rStyle w:val="Hyperlink"/>
              </w:rPr>
              <w:t>3.1 Grant Reimbursement</w:t>
            </w:r>
            <w:r>
              <w:tab/>
            </w:r>
            <w:r>
              <w:fldChar w:fldCharType="begin"/>
            </w:r>
            <w:r>
              <w:instrText xml:space="preserve">PAGEREF _Toc1643451333 \h</w:instrText>
            </w:r>
            <w:r>
              <w:fldChar w:fldCharType="separate"/>
            </w:r>
            <w:r w:rsidRPr="54E03952" w:rsidR="54E03952">
              <w:rPr>
                <w:rStyle w:val="Hyperlink"/>
              </w:rPr>
              <w:t>9</w:t>
            </w:r>
            <w:r>
              <w:fldChar w:fldCharType="end"/>
            </w:r>
          </w:hyperlink>
        </w:p>
        <w:p w:rsidR="004A0B42" w:rsidP="54E03952" w:rsidRDefault="004A0B42" w14:paraId="08F7730F" w14:textId="495A70BA">
          <w:pPr>
            <w:pStyle w:val="TOC2"/>
            <w:tabs>
              <w:tab w:val="right" w:leader="dot" w:pos="9345"/>
            </w:tabs>
            <w:rPr>
              <w:rStyle w:val="Hyperlink"/>
              <w:noProof/>
              <w:kern w:val="2"/>
              <w:lang w:eastAsia="zh-TW"/>
              <w14:ligatures w14:val="standardContextual"/>
            </w:rPr>
          </w:pPr>
          <w:hyperlink w:anchor="_Toc260430645">
            <w:r w:rsidRPr="54E03952" w:rsidR="54E03952">
              <w:rPr>
                <w:rStyle w:val="Hyperlink"/>
              </w:rPr>
              <w:t>3.2 Data Reporting</w:t>
            </w:r>
            <w:r>
              <w:tab/>
            </w:r>
            <w:r>
              <w:fldChar w:fldCharType="begin"/>
            </w:r>
            <w:r>
              <w:instrText xml:space="preserve">PAGEREF _Toc260430645 \h</w:instrText>
            </w:r>
            <w:r>
              <w:fldChar w:fldCharType="separate"/>
            </w:r>
            <w:r w:rsidRPr="54E03952" w:rsidR="54E03952">
              <w:rPr>
                <w:rStyle w:val="Hyperlink"/>
              </w:rPr>
              <w:t>10</w:t>
            </w:r>
            <w:r>
              <w:fldChar w:fldCharType="end"/>
            </w:r>
          </w:hyperlink>
        </w:p>
        <w:p w:rsidR="004A0B42" w:rsidP="54E03952" w:rsidRDefault="004A0B42" w14:paraId="1805B475" w14:textId="195B5FC5">
          <w:pPr>
            <w:pStyle w:val="TOC3"/>
            <w:tabs>
              <w:tab w:val="right" w:leader="dot" w:pos="9345"/>
            </w:tabs>
            <w:rPr>
              <w:rStyle w:val="Hyperlink"/>
              <w:noProof/>
              <w:kern w:val="2"/>
              <w:lang w:eastAsia="zh-TW"/>
              <w14:ligatures w14:val="standardContextual"/>
            </w:rPr>
          </w:pPr>
          <w:hyperlink w:anchor="_Toc222688815">
            <w:r w:rsidRPr="54E03952" w:rsidR="54E03952">
              <w:rPr>
                <w:rStyle w:val="Hyperlink"/>
              </w:rPr>
              <w:t>Eligible Student Count Reporting</w:t>
            </w:r>
            <w:r>
              <w:tab/>
            </w:r>
            <w:r>
              <w:fldChar w:fldCharType="begin"/>
            </w:r>
            <w:r>
              <w:instrText xml:space="preserve">PAGEREF _Toc222688815 \h</w:instrText>
            </w:r>
            <w:r>
              <w:fldChar w:fldCharType="separate"/>
            </w:r>
            <w:r w:rsidRPr="54E03952" w:rsidR="54E03952">
              <w:rPr>
                <w:rStyle w:val="Hyperlink"/>
              </w:rPr>
              <w:t>11</w:t>
            </w:r>
            <w:r>
              <w:fldChar w:fldCharType="end"/>
            </w:r>
          </w:hyperlink>
        </w:p>
        <w:p w:rsidR="004A0B42" w:rsidP="54E03952" w:rsidRDefault="004A0B42" w14:paraId="2DE8B436" w14:textId="31B7459D">
          <w:pPr>
            <w:pStyle w:val="TOC3"/>
            <w:tabs>
              <w:tab w:val="right" w:leader="dot" w:pos="9345"/>
            </w:tabs>
            <w:rPr>
              <w:rStyle w:val="Hyperlink"/>
              <w:noProof/>
              <w:kern w:val="2"/>
              <w:lang w:eastAsia="zh-TW"/>
              <w14:ligatures w14:val="standardContextual"/>
            </w:rPr>
          </w:pPr>
          <w:hyperlink w:anchor="_Toc1718483112">
            <w:r w:rsidRPr="54E03952" w:rsidR="54E03952">
              <w:rPr>
                <w:rStyle w:val="Hyperlink"/>
              </w:rPr>
              <w:t>Annual Narrative Reporting</w:t>
            </w:r>
            <w:r>
              <w:tab/>
            </w:r>
            <w:r>
              <w:fldChar w:fldCharType="begin"/>
            </w:r>
            <w:r>
              <w:instrText xml:space="preserve">PAGEREF _Toc1718483112 \h</w:instrText>
            </w:r>
            <w:r>
              <w:fldChar w:fldCharType="separate"/>
            </w:r>
            <w:r w:rsidRPr="54E03952" w:rsidR="54E03952">
              <w:rPr>
                <w:rStyle w:val="Hyperlink"/>
              </w:rPr>
              <w:t>11</w:t>
            </w:r>
            <w:r>
              <w:fldChar w:fldCharType="end"/>
            </w:r>
          </w:hyperlink>
        </w:p>
        <w:p w:rsidR="004A0B42" w:rsidP="54E03952" w:rsidRDefault="004A0B42" w14:paraId="53564EF0" w14:textId="033C5DA1">
          <w:pPr>
            <w:pStyle w:val="TOC3"/>
            <w:tabs>
              <w:tab w:val="right" w:leader="dot" w:pos="9345"/>
            </w:tabs>
            <w:rPr>
              <w:rStyle w:val="Hyperlink"/>
              <w:noProof/>
              <w:kern w:val="2"/>
              <w:lang w:eastAsia="zh-TW"/>
              <w14:ligatures w14:val="standardContextual"/>
            </w:rPr>
          </w:pPr>
          <w:hyperlink w:anchor="_Toc1902371660">
            <w:r w:rsidRPr="54E03952" w:rsidR="54E03952">
              <w:rPr>
                <w:rStyle w:val="Hyperlink"/>
              </w:rPr>
              <w:t>McKinney-Vento Subgrant Annual Reporting Schedule</w:t>
            </w:r>
            <w:r>
              <w:tab/>
            </w:r>
            <w:r>
              <w:fldChar w:fldCharType="begin"/>
            </w:r>
            <w:r>
              <w:instrText xml:space="preserve">PAGEREF _Toc1902371660 \h</w:instrText>
            </w:r>
            <w:r>
              <w:fldChar w:fldCharType="separate"/>
            </w:r>
            <w:r w:rsidRPr="54E03952" w:rsidR="54E03952">
              <w:rPr>
                <w:rStyle w:val="Hyperlink"/>
              </w:rPr>
              <w:t>11</w:t>
            </w:r>
            <w:r>
              <w:fldChar w:fldCharType="end"/>
            </w:r>
          </w:hyperlink>
        </w:p>
        <w:p w:rsidR="004A0B42" w:rsidP="54E03952" w:rsidRDefault="004A0B42" w14:paraId="311F266E" w14:textId="4707093F">
          <w:pPr>
            <w:pStyle w:val="TOC2"/>
            <w:tabs>
              <w:tab w:val="right" w:leader="dot" w:pos="9345"/>
            </w:tabs>
            <w:rPr>
              <w:rStyle w:val="Hyperlink"/>
              <w:noProof/>
              <w:kern w:val="2"/>
              <w:lang w:eastAsia="zh-TW"/>
              <w14:ligatures w14:val="standardContextual"/>
            </w:rPr>
          </w:pPr>
          <w:hyperlink w:anchor="_Toc1590109903">
            <w:r w:rsidRPr="54E03952" w:rsidR="54E03952">
              <w:rPr>
                <w:rStyle w:val="Hyperlink"/>
              </w:rPr>
              <w:t>3.3 Monitoring</w:t>
            </w:r>
            <w:r>
              <w:tab/>
            </w:r>
            <w:r>
              <w:fldChar w:fldCharType="begin"/>
            </w:r>
            <w:r>
              <w:instrText xml:space="preserve">PAGEREF _Toc1590109903 \h</w:instrText>
            </w:r>
            <w:r>
              <w:fldChar w:fldCharType="separate"/>
            </w:r>
            <w:r w:rsidRPr="54E03952" w:rsidR="54E03952">
              <w:rPr>
                <w:rStyle w:val="Hyperlink"/>
              </w:rPr>
              <w:t>11</w:t>
            </w:r>
            <w:r>
              <w:fldChar w:fldCharType="end"/>
            </w:r>
          </w:hyperlink>
        </w:p>
        <w:p w:rsidR="004A0B42" w:rsidP="54E03952" w:rsidRDefault="004A0B42" w14:paraId="13120A41" w14:textId="40FAE953">
          <w:pPr>
            <w:pStyle w:val="TOC3"/>
            <w:tabs>
              <w:tab w:val="right" w:leader="dot" w:pos="9345"/>
            </w:tabs>
            <w:rPr>
              <w:rStyle w:val="Hyperlink"/>
              <w:noProof/>
              <w:kern w:val="2"/>
              <w:lang w:eastAsia="zh-TW"/>
              <w14:ligatures w14:val="standardContextual"/>
            </w:rPr>
          </w:pPr>
          <w:hyperlink w:anchor="_Toc1784079289">
            <w:r w:rsidRPr="54E03952" w:rsidR="54E03952">
              <w:rPr>
                <w:rStyle w:val="Hyperlink"/>
              </w:rPr>
              <w:t>Technical Assistance</w:t>
            </w:r>
            <w:r>
              <w:tab/>
            </w:r>
            <w:r>
              <w:fldChar w:fldCharType="begin"/>
            </w:r>
            <w:r>
              <w:instrText xml:space="preserve">PAGEREF _Toc1784079289 \h</w:instrText>
            </w:r>
            <w:r>
              <w:fldChar w:fldCharType="separate"/>
            </w:r>
            <w:r w:rsidRPr="54E03952" w:rsidR="54E03952">
              <w:rPr>
                <w:rStyle w:val="Hyperlink"/>
              </w:rPr>
              <w:t>12</w:t>
            </w:r>
            <w:r>
              <w:fldChar w:fldCharType="end"/>
            </w:r>
          </w:hyperlink>
        </w:p>
        <w:p w:rsidR="004A0B42" w:rsidP="54E03952" w:rsidRDefault="004A0B42" w14:paraId="36200D3F" w14:textId="23B9BFE3">
          <w:pPr>
            <w:pStyle w:val="TOC3"/>
            <w:tabs>
              <w:tab w:val="right" w:leader="dot" w:pos="9345"/>
            </w:tabs>
            <w:rPr>
              <w:rStyle w:val="Hyperlink"/>
              <w:noProof/>
              <w:kern w:val="2"/>
              <w:lang w:eastAsia="zh-TW"/>
              <w14:ligatures w14:val="standardContextual"/>
            </w:rPr>
          </w:pPr>
          <w:hyperlink w:anchor="_Toc1480489483">
            <w:r w:rsidRPr="54E03952" w:rsidR="54E03952">
              <w:rPr>
                <w:rStyle w:val="Hyperlink"/>
              </w:rPr>
              <w:t>Program Evaluation</w:t>
            </w:r>
            <w:r>
              <w:tab/>
            </w:r>
            <w:r>
              <w:fldChar w:fldCharType="begin"/>
            </w:r>
            <w:r>
              <w:instrText xml:space="preserve">PAGEREF _Toc1480489483 \h</w:instrText>
            </w:r>
            <w:r>
              <w:fldChar w:fldCharType="separate"/>
            </w:r>
            <w:r w:rsidRPr="54E03952" w:rsidR="54E03952">
              <w:rPr>
                <w:rStyle w:val="Hyperlink"/>
              </w:rPr>
              <w:t>12</w:t>
            </w:r>
            <w:r>
              <w:fldChar w:fldCharType="end"/>
            </w:r>
          </w:hyperlink>
        </w:p>
        <w:p w:rsidR="004A0B42" w:rsidP="3A432679" w:rsidRDefault="004A0B42" w14:paraId="06A8F51E" w14:textId="45448D91">
          <w:pPr>
            <w:pStyle w:val="TOC1"/>
            <w:tabs>
              <w:tab w:val="right" w:leader="dot" w:pos="9345"/>
            </w:tabs>
            <w:rPr>
              <w:rStyle w:val="Hyperlink"/>
              <w:kern w:val="2"/>
              <w:lang w:eastAsia="zh-TW"/>
              <w14:ligatures w14:val="standardContextual"/>
            </w:rPr>
          </w:pPr>
          <w:hyperlink w:anchor="_Toc1657794242">
            <w:r w:rsidRPr="54E03952" w:rsidR="54E03952">
              <w:rPr>
                <w:rStyle w:val="Hyperlink"/>
              </w:rPr>
              <w:t>Appendix</w:t>
            </w:r>
            <w:r>
              <w:tab/>
            </w:r>
            <w:r>
              <w:fldChar w:fldCharType="begin"/>
            </w:r>
            <w:r>
              <w:instrText xml:space="preserve">PAGEREF _Toc1657794242 \h</w:instrText>
            </w:r>
            <w:r>
              <w:fldChar w:fldCharType="separate"/>
            </w:r>
            <w:r w:rsidRPr="54E03952" w:rsidR="54E03952">
              <w:rPr>
                <w:rStyle w:val="Hyperlink"/>
              </w:rPr>
              <w:t>12</w:t>
            </w:r>
            <w:r>
              <w:fldChar w:fldCharType="end"/>
            </w:r>
          </w:hyperlink>
        </w:p>
        <w:p w:rsidR="004A0B42" w:rsidP="54E03952" w:rsidRDefault="004A0B42" w14:paraId="1AD04177" w14:textId="7950E6A7">
          <w:pPr>
            <w:pStyle w:val="TOC2"/>
            <w:tabs>
              <w:tab w:val="right" w:leader="dot" w:pos="9345"/>
            </w:tabs>
            <w:rPr>
              <w:rStyle w:val="Hyperlink"/>
              <w:noProof/>
              <w:kern w:val="2"/>
              <w:lang w:eastAsia="zh-TW"/>
              <w14:ligatures w14:val="standardContextual"/>
            </w:rPr>
          </w:pPr>
          <w:hyperlink w:anchor="_Toc1748607601">
            <w:r w:rsidRPr="54E03952" w:rsidR="54E03952">
              <w:rPr>
                <w:rStyle w:val="Hyperlink"/>
              </w:rPr>
              <w:t>McKinney-Vento Grant Compliance Check List</w:t>
            </w:r>
            <w:r>
              <w:tab/>
            </w:r>
            <w:r>
              <w:fldChar w:fldCharType="begin"/>
            </w:r>
            <w:r>
              <w:instrText xml:space="preserve">PAGEREF _Toc1748607601 \h</w:instrText>
            </w:r>
            <w:r>
              <w:fldChar w:fldCharType="separate"/>
            </w:r>
            <w:r w:rsidRPr="54E03952" w:rsidR="54E03952">
              <w:rPr>
                <w:rStyle w:val="Hyperlink"/>
              </w:rPr>
              <w:t>13</w:t>
            </w:r>
            <w:r>
              <w:fldChar w:fldCharType="end"/>
            </w:r>
          </w:hyperlink>
          <w:r>
            <w:fldChar w:fldCharType="end"/>
          </w:r>
        </w:p>
      </w:sdtContent>
    </w:sdt>
    <w:p w:rsidR="00CB7BD1" w:rsidRDefault="00CB7BD1" w14:paraId="7D42B594" w14:textId="426C233C"/>
    <w:p w:rsidRPr="000941E8" w:rsidR="000941E8" w:rsidP="000941E8" w:rsidRDefault="000941E8" w14:paraId="0E084856" w14:textId="77777777">
      <w:pPr>
        <w:spacing w:after="0" w:line="240" w:lineRule="auto"/>
        <w:textAlignment w:val="baseline"/>
        <w:rPr>
          <w:rFonts w:ascii="Segoe UI" w:hAnsi="Segoe UI" w:eastAsia="Times New Roman" w:cs="Segoe UI"/>
          <w:b/>
          <w:bCs/>
          <w:sz w:val="18"/>
          <w:szCs w:val="18"/>
        </w:rPr>
      </w:pPr>
      <w:r w:rsidRPr="000941E8">
        <w:rPr>
          <w:rFonts w:ascii="Arial" w:hAnsi="Arial" w:eastAsia="Times New Roman" w:cs="Arial"/>
          <w:b/>
          <w:bCs/>
          <w:color w:val="0070C0"/>
          <w:sz w:val="22"/>
          <w:szCs w:val="22"/>
          <w:u w:val="single"/>
        </w:rPr>
        <w:t>​</w:t>
      </w:r>
      <w:r w:rsidRPr="000941E8">
        <w:rPr>
          <w:rFonts w:ascii="Corbel" w:hAnsi="Corbel" w:eastAsia="Times New Roman" w:cs="Segoe UI"/>
          <w:b/>
          <w:bCs/>
          <w:sz w:val="24"/>
          <w:szCs w:val="24"/>
        </w:rPr>
        <w:t> </w:t>
      </w:r>
    </w:p>
    <w:p w:rsidR="008F53C6" w:rsidRDefault="008F53C6" w14:paraId="215DF527" w14:textId="77777777">
      <w:pPr>
        <w:rPr>
          <w:rFonts w:ascii="Calibri" w:hAnsi="Calibri" w:eastAsia="Times New Roman" w:cs="Calibri"/>
          <w:b/>
          <w:bCs/>
          <w:color w:val="0070C0"/>
          <w:sz w:val="48"/>
          <w:szCs w:val="48"/>
        </w:rPr>
      </w:pPr>
      <w:r>
        <w:br w:type="page"/>
      </w:r>
    </w:p>
    <w:p w:rsidRPr="003B30CC" w:rsidR="000941E8" w:rsidP="00F06885" w:rsidRDefault="21334702" w14:paraId="77FC730E" w14:textId="4FCBB7D6">
      <w:pPr>
        <w:pStyle w:val="ODEHeader1"/>
        <w:rPr/>
      </w:pPr>
      <w:r w:rsidR="182D750A">
        <w:rPr/>
        <w:t xml:space="preserve"> </w:t>
      </w:r>
      <w:bookmarkStart w:name="_Toc1006157565" w:id="1388818939"/>
      <w:r w:rsidR="7887AB64">
        <w:rPr/>
        <w:t>I</w:t>
      </w:r>
      <w:r w:rsidR="78513079">
        <w:rPr/>
        <w:t>ntroduction</w:t>
      </w:r>
      <w:bookmarkEnd w:id="1388818939"/>
      <w:r w:rsidR="78513079">
        <w:rPr/>
        <w:t> </w:t>
      </w:r>
    </w:p>
    <w:p w:rsidR="000941E8" w:rsidP="005E366A" w:rsidRDefault="000941E8" w14:paraId="2AD6EA8E" w14:textId="06F840FE">
      <w:pPr>
        <w:spacing w:after="0" w:line="276" w:lineRule="auto"/>
        <w:textAlignment w:val="baseline"/>
        <w:rPr>
          <w:rFonts w:ascii="Calibri" w:hAnsi="Calibri" w:eastAsia="Times New Roman" w:cs="Calibri"/>
          <w:sz w:val="24"/>
          <w:szCs w:val="24"/>
        </w:rPr>
      </w:pPr>
      <w:r w:rsidRPr="3A432679" w:rsidR="472B664A">
        <w:rPr>
          <w:rFonts w:ascii="Calibri" w:hAnsi="Calibri" w:eastAsia="Times New Roman" w:cs="Calibri"/>
          <w:sz w:val="24"/>
          <w:szCs w:val="24"/>
        </w:rPr>
        <w:t xml:space="preserve">The McKinney-Vento Homeless Assistance Act was passed in 1987 and was most recently amended by Title </w:t>
      </w:r>
      <w:r w:rsidRPr="3A432679" w:rsidR="472B664A">
        <w:rPr>
          <w:rFonts w:ascii="Calibri" w:hAnsi="Calibri" w:eastAsia="Times New Roman" w:cs="Calibri"/>
          <w:sz w:val="24"/>
          <w:szCs w:val="24"/>
        </w:rPr>
        <w:t>IX,</w:t>
      </w:r>
      <w:r w:rsidRPr="3A432679" w:rsidR="472B664A">
        <w:rPr>
          <w:rFonts w:ascii="Calibri" w:hAnsi="Calibri" w:eastAsia="Times New Roman" w:cs="Calibri"/>
          <w:sz w:val="24"/>
          <w:szCs w:val="24"/>
        </w:rPr>
        <w:t xml:space="preserve"> Part A of </w:t>
      </w:r>
      <w:bookmarkStart w:name="_Int_kZ1QgRkV" w:id="849444517"/>
      <w:r w:rsidRPr="3A432679" w:rsidR="50E5F76F">
        <w:rPr>
          <w:rFonts w:ascii="Calibri" w:hAnsi="Calibri" w:eastAsia="Times New Roman" w:cs="Calibri"/>
          <w:sz w:val="24"/>
          <w:szCs w:val="24"/>
        </w:rPr>
        <w:t>the Every</w:t>
      </w:r>
      <w:bookmarkEnd w:id="849444517"/>
      <w:r w:rsidRPr="3A432679" w:rsidR="472B664A">
        <w:rPr>
          <w:rFonts w:ascii="Calibri" w:hAnsi="Calibri" w:eastAsia="Times New Roman" w:cs="Calibri"/>
          <w:sz w:val="24"/>
          <w:szCs w:val="24"/>
        </w:rPr>
        <w:t> Student Succeeds Act (“ESSA”) in December 2015. Subtitle VII-B of the McKinney-Vento Homeless Assistance Act authorizes the federal grant program and serves as the primary federal legislation to remove barriers to education created by homelessness. </w:t>
      </w:r>
    </w:p>
    <w:p w:rsidRPr="000941E8" w:rsidR="00983ED8" w:rsidP="005E366A" w:rsidRDefault="00983ED8" w14:paraId="54789878" w14:textId="77777777">
      <w:pPr>
        <w:spacing w:after="0" w:line="276" w:lineRule="auto"/>
        <w:textAlignment w:val="baseline"/>
        <w:rPr>
          <w:rFonts w:ascii="Segoe UI" w:hAnsi="Segoe UI" w:eastAsia="Times New Roman" w:cs="Segoe UI"/>
          <w:sz w:val="18"/>
          <w:szCs w:val="18"/>
        </w:rPr>
      </w:pPr>
    </w:p>
    <w:p w:rsidR="000941E8" w:rsidP="005E366A" w:rsidRDefault="000941E8" w14:paraId="11F116D7" w14:textId="77777777">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The U.S. Department of Education allocates Education of Homeless Children and Youth funding to each state based on the state's share of Title I, Part A funds. States may retain up to 25% of the EHCY funding for state-level program administration and must subgrant at least 75% of the funds to Local Education Agencies (“LEAs”). </w:t>
      </w:r>
    </w:p>
    <w:p w:rsidRPr="000941E8" w:rsidR="000941E8" w:rsidP="000941E8" w:rsidRDefault="000941E8" w14:paraId="5414CB6B" w14:textId="77777777">
      <w:pPr>
        <w:spacing w:after="0" w:line="240" w:lineRule="auto"/>
        <w:textAlignment w:val="baseline"/>
        <w:rPr>
          <w:rFonts w:ascii="Segoe UI" w:hAnsi="Segoe UI" w:eastAsia="Times New Roman" w:cs="Segoe UI"/>
          <w:sz w:val="18"/>
          <w:szCs w:val="18"/>
        </w:rPr>
      </w:pPr>
    </w:p>
    <w:p w:rsidRPr="003B30CC" w:rsidR="000941E8" w:rsidP="003B30CC" w:rsidRDefault="000941E8" w14:paraId="6905F3FE" w14:textId="77777777">
      <w:pPr>
        <w:pStyle w:val="ODEHeader2"/>
      </w:pPr>
      <w:bookmarkStart w:name="_Toc479442156" w:id="1069020644"/>
      <w:r w:rsidR="78513079">
        <w:rPr/>
        <w:t>1.1 McKinney-Vento Act Overview</w:t>
      </w:r>
      <w:bookmarkEnd w:id="1069020644"/>
      <w:r w:rsidR="78513079">
        <w:rPr/>
        <w:t> </w:t>
      </w:r>
    </w:p>
    <w:p w:rsidR="000941E8" w:rsidP="005E366A" w:rsidRDefault="000941E8" w14:paraId="246E58D4" w14:textId="76DF83DD">
      <w:pPr>
        <w:spacing w:after="0" w:line="276" w:lineRule="auto"/>
        <w:textAlignment w:val="baseline"/>
        <w:rPr>
          <w:rFonts w:ascii="Calibri" w:hAnsi="Calibri" w:eastAsia="Times New Roman" w:cs="Calibri"/>
          <w:sz w:val="24"/>
          <w:szCs w:val="24"/>
        </w:rPr>
      </w:pPr>
      <w:hyperlink r:id="R4bb3e2a8c0b64383">
        <w:r w:rsidRPr="3A432679" w:rsidR="472B664A">
          <w:rPr>
            <w:rFonts w:ascii="Calibri" w:hAnsi="Calibri" w:eastAsia="Times New Roman" w:cs="Calibri"/>
            <w:color w:val="0070C0"/>
            <w:sz w:val="24"/>
            <w:szCs w:val="24"/>
            <w:u w:val="single"/>
          </w:rPr>
          <w:t>The McKinney-Vento Act</w:t>
        </w:r>
      </w:hyperlink>
      <w:r w:rsidRPr="3A432679" w:rsidR="472B664A">
        <w:rPr>
          <w:rFonts w:ascii="Calibri" w:hAnsi="Calibri" w:eastAsia="Times New Roman" w:cs="Calibri"/>
          <w:sz w:val="24"/>
          <w:szCs w:val="24"/>
        </w:rPr>
        <w:t> </w:t>
      </w:r>
      <w:r w:rsidRPr="3A432679" w:rsidR="426D3FA4">
        <w:rPr>
          <w:rFonts w:ascii="Calibri" w:hAnsi="Calibri" w:eastAsia="Times New Roman" w:cs="Calibri"/>
          <w:sz w:val="24"/>
          <w:szCs w:val="24"/>
        </w:rPr>
        <w:t>The</w:t>
      </w:r>
      <w:r w:rsidRPr="3A432679" w:rsidR="472B664A">
        <w:rPr>
          <w:rFonts w:ascii="Calibri" w:hAnsi="Calibri" w:eastAsia="Times New Roman" w:cs="Calibri"/>
          <w:sz w:val="24"/>
          <w:szCs w:val="24"/>
        </w:rPr>
        <w:t> Education of Houseless Children and Youth Program ensures that houseless children and youth are provided with a free, </w:t>
      </w:r>
      <w:r w:rsidRPr="3A432679" w:rsidR="472B664A">
        <w:rPr>
          <w:rFonts w:ascii="Calibri" w:hAnsi="Calibri" w:eastAsia="Times New Roman" w:cs="Calibri"/>
          <w:sz w:val="24"/>
          <w:szCs w:val="24"/>
        </w:rPr>
        <w:t>appropriate public</w:t>
      </w:r>
      <w:r w:rsidRPr="3A432679" w:rsidR="472B664A">
        <w:rPr>
          <w:rFonts w:ascii="Calibri" w:hAnsi="Calibri" w:eastAsia="Times New Roman" w:cs="Calibri"/>
          <w:sz w:val="24"/>
          <w:szCs w:val="24"/>
        </w:rPr>
        <w:t> education, despite the lack of a fixed, regular, nighttime, adequate place of residence. A youth is considered unaccompanied if they are not in the physical custody of a parent or guardian. The state public school admission statute assuring the right of houseless and other children and youth in similar circumstances to enroll in schools is Oregon Revised Statute </w:t>
      </w:r>
      <w:hyperlink r:id="R4301b3b1a4f44aef">
        <w:r w:rsidRPr="3A432679" w:rsidR="472B664A">
          <w:rPr>
            <w:rFonts w:ascii="Calibri" w:hAnsi="Calibri" w:eastAsia="Times New Roman" w:cs="Calibri"/>
            <w:color w:val="0070C0"/>
            <w:sz w:val="24"/>
            <w:szCs w:val="24"/>
            <w:u w:val="single"/>
          </w:rPr>
          <w:t>ORS 339.115</w:t>
        </w:r>
      </w:hyperlink>
      <w:r w:rsidRPr="3A432679" w:rsidR="1775E732">
        <w:rPr>
          <w:rFonts w:ascii="Segoe UI" w:hAnsi="Segoe UI" w:eastAsia="Times New Roman" w:cs="Segoe UI"/>
          <w:sz w:val="18"/>
          <w:szCs w:val="18"/>
        </w:rPr>
        <w:t xml:space="preserve"> </w:t>
      </w:r>
      <w:r w:rsidRPr="3A432679" w:rsidR="472B664A">
        <w:rPr>
          <w:rFonts w:ascii="Calibri" w:hAnsi="Calibri" w:eastAsia="Times New Roman" w:cs="Calibri"/>
          <w:sz w:val="24"/>
          <w:szCs w:val="24"/>
        </w:rPr>
        <w:t>(7). </w:t>
      </w:r>
    </w:p>
    <w:p w:rsidRPr="000941E8" w:rsidR="005E366A" w:rsidP="005E366A" w:rsidRDefault="005E366A" w14:paraId="75E983DD" w14:textId="77777777">
      <w:pPr>
        <w:spacing w:after="0" w:line="276" w:lineRule="auto"/>
        <w:textAlignment w:val="baseline"/>
        <w:rPr>
          <w:rFonts w:ascii="Segoe UI" w:hAnsi="Segoe UI" w:eastAsia="Times New Roman" w:cs="Segoe UI"/>
          <w:sz w:val="18"/>
          <w:szCs w:val="18"/>
        </w:rPr>
      </w:pPr>
    </w:p>
    <w:p w:rsidR="000941E8" w:rsidP="005E366A" w:rsidRDefault="000941E8" w14:paraId="385272AA" w14:textId="77777777">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Notwithstanding Oregon Revised Statute </w:t>
      </w:r>
      <w:hyperlink w:tgtFrame="_blank" w:history="1" r:id="rId10">
        <w:r w:rsidRPr="000941E8">
          <w:rPr>
            <w:rFonts w:ascii="Calibri" w:hAnsi="Calibri" w:eastAsia="Times New Roman" w:cs="Calibri"/>
            <w:color w:val="0070C0"/>
            <w:sz w:val="24"/>
            <w:szCs w:val="24"/>
            <w:u w:val="single"/>
          </w:rPr>
          <w:t>ORS 339.133 (2)(a)</w:t>
        </w:r>
      </w:hyperlink>
      <w:r w:rsidRPr="000941E8">
        <w:rPr>
          <w:rFonts w:ascii="Calibri" w:hAnsi="Calibri" w:eastAsia="Times New Roman" w:cs="Calibri"/>
          <w:sz w:val="24"/>
          <w:szCs w:val="24"/>
        </w:rPr>
        <w:t>, a school district shall not exclude from admission a child located in the district solely because the child does not have a fixed place of residence or solely because the child is not under the supervision of a parent, guardian or person in a parental relationship. </w:t>
      </w:r>
    </w:p>
    <w:p w:rsidRPr="000941E8" w:rsidR="005E366A" w:rsidP="005E366A" w:rsidRDefault="005E366A" w14:paraId="0929FC55" w14:textId="77777777">
      <w:pPr>
        <w:spacing w:after="0" w:line="276" w:lineRule="auto"/>
        <w:textAlignment w:val="baseline"/>
        <w:rPr>
          <w:rFonts w:ascii="Segoe UI" w:hAnsi="Segoe UI" w:eastAsia="Times New Roman" w:cs="Segoe UI"/>
          <w:sz w:val="18"/>
          <w:szCs w:val="18"/>
        </w:rPr>
      </w:pPr>
    </w:p>
    <w:p w:rsidR="000941E8" w:rsidP="005E366A" w:rsidRDefault="000941E8" w14:paraId="4E05BFB2" w14:textId="45B6D6AD">
      <w:pPr>
        <w:spacing w:after="0" w:line="276" w:lineRule="auto"/>
        <w:textAlignment w:val="baseline"/>
        <w:rPr>
          <w:rFonts w:ascii="Calibri" w:hAnsi="Calibri" w:eastAsia="Times New Roman" w:cs="Calibri"/>
          <w:sz w:val="24"/>
          <w:szCs w:val="24"/>
        </w:rPr>
      </w:pPr>
      <w:r w:rsidRPr="249CC9F3" w:rsidR="264778E5">
        <w:rPr>
          <w:rFonts w:ascii="Calibri" w:hAnsi="Calibri" w:eastAsia="Times New Roman" w:cs="Calibri"/>
          <w:sz w:val="24"/>
          <w:szCs w:val="24"/>
        </w:rPr>
        <w:t xml:space="preserve">Homeless children and youth must have access to the educational and related services that they need to enable them to meet the same challenging State academic standards to which all students are held. In addition, children </w:t>
      </w:r>
      <w:r w:rsidRPr="249CC9F3" w:rsidR="66EEDFB7">
        <w:rPr>
          <w:rFonts w:ascii="Calibri" w:hAnsi="Calibri" w:eastAsia="Times New Roman" w:cs="Calibri"/>
          <w:sz w:val="24"/>
          <w:szCs w:val="24"/>
        </w:rPr>
        <w:t xml:space="preserve">and youth </w:t>
      </w:r>
      <w:r w:rsidRPr="249CC9F3" w:rsidR="264778E5">
        <w:rPr>
          <w:rFonts w:ascii="Calibri" w:hAnsi="Calibri" w:eastAsia="Times New Roman" w:cs="Calibri"/>
          <w:sz w:val="24"/>
          <w:szCs w:val="24"/>
        </w:rPr>
        <w:t>navigating housing instability may not be separated from the mainstream school environment.  </w:t>
      </w:r>
    </w:p>
    <w:p w:rsidRPr="000941E8" w:rsidR="005E366A" w:rsidP="005E366A" w:rsidRDefault="005E366A" w14:paraId="6F541CB8" w14:textId="77777777">
      <w:pPr>
        <w:spacing w:after="0" w:line="276" w:lineRule="auto"/>
        <w:textAlignment w:val="baseline"/>
        <w:rPr>
          <w:rFonts w:ascii="Segoe UI" w:hAnsi="Segoe UI" w:eastAsia="Times New Roman" w:cs="Segoe UI"/>
          <w:sz w:val="18"/>
          <w:szCs w:val="18"/>
        </w:rPr>
      </w:pPr>
    </w:p>
    <w:p w:rsidRPr="00EE2CFF" w:rsidR="000941E8" w:rsidP="3A432679" w:rsidRDefault="000941E8" w14:paraId="2641FC87" w14:textId="5BC04E75">
      <w:pPr>
        <w:spacing w:after="0" w:line="276" w:lineRule="auto"/>
        <w:textAlignment w:val="baseline"/>
        <w:rPr>
          <w:rFonts w:ascii="Calibri" w:hAnsi="Calibri" w:eastAsia="Times New Roman" w:cs="Calibri"/>
          <w:b w:val="1"/>
          <w:bCs w:val="1"/>
          <w:color w:val="0070C0"/>
          <w:sz w:val="48"/>
          <w:szCs w:val="48"/>
        </w:rPr>
      </w:pPr>
      <w:r w:rsidRPr="3A432679" w:rsidR="472B664A">
        <w:rPr>
          <w:rFonts w:ascii="Calibri" w:hAnsi="Calibri" w:eastAsia="Times New Roman" w:cs="Calibri"/>
          <w:sz w:val="24"/>
          <w:szCs w:val="24"/>
        </w:rPr>
        <w:t xml:space="preserve">LEAs must also ensure immediate enrollment and educational stability while addressing any barriers faced by students navigating housing instability in enrolling, attending, and succeeding in </w:t>
      </w:r>
      <w:r w:rsidRPr="3A432679" w:rsidR="0ABDBEEF">
        <w:rPr>
          <w:rFonts w:ascii="Calibri" w:hAnsi="Calibri" w:eastAsia="Times New Roman" w:cs="Calibri"/>
          <w:sz w:val="24"/>
          <w:szCs w:val="24"/>
        </w:rPr>
        <w:t xml:space="preserve">school. </w:t>
      </w:r>
    </w:p>
    <w:p w:rsidRPr="003B30CC" w:rsidR="000941E8" w:rsidP="003B30CC" w:rsidRDefault="3329894D" w14:paraId="572AF3F1" w14:textId="42FF9EE5">
      <w:pPr>
        <w:pStyle w:val="ODEHeader1"/>
        <w:rPr/>
      </w:pPr>
      <w:r w:rsidR="0534AFF6">
        <w:rPr/>
        <w:t xml:space="preserve"> </w:t>
      </w:r>
      <w:bookmarkStart w:name="_Toc1085322183" w:id="833402525"/>
      <w:r w:rsidR="78513079">
        <w:rPr/>
        <w:t>McKinney-Vento Grant</w:t>
      </w:r>
      <w:bookmarkEnd w:id="833402525"/>
      <w:r w:rsidR="78513079">
        <w:rPr/>
        <w:t> </w:t>
      </w:r>
    </w:p>
    <w:p w:rsidRPr="003B30CC" w:rsidR="000941E8" w:rsidP="003B30CC" w:rsidRDefault="000941E8" w14:paraId="25DD3D45" w14:textId="77777777">
      <w:pPr>
        <w:pStyle w:val="ODEHeader2"/>
      </w:pPr>
      <w:bookmarkStart w:name="_Toc303471143" w:id="1433771657"/>
      <w:r w:rsidR="78513079">
        <w:rPr/>
        <w:t>2.1 Grant Allocation</w:t>
      </w:r>
      <w:bookmarkEnd w:id="1433771657"/>
      <w:r w:rsidR="78513079">
        <w:rPr/>
        <w:t> </w:t>
      </w:r>
    </w:p>
    <w:p w:rsidRPr="000941E8" w:rsidR="000941E8" w:rsidP="005E366A" w:rsidRDefault="000941E8" w14:paraId="338435F1" w14:textId="0925CCDD">
      <w:pPr>
        <w:spacing w:before="120" w:after="0" w:line="276" w:lineRule="auto"/>
        <w:textAlignment w:val="baseline"/>
        <w:rPr>
          <w:rFonts w:ascii="Segoe UI" w:hAnsi="Segoe UI" w:eastAsia="Times New Roman" w:cs="Segoe UI"/>
          <w:sz w:val="18"/>
          <w:szCs w:val="18"/>
        </w:rPr>
      </w:pPr>
      <w:r w:rsidRPr="249CC9F3" w:rsidR="264778E5">
        <w:rPr>
          <w:rFonts w:ascii="Calibri" w:hAnsi="Calibri" w:eastAsia="Times New Roman" w:cs="Calibri"/>
          <w:sz w:val="24"/>
          <w:szCs w:val="24"/>
        </w:rPr>
        <w:t>State education agencies are required by the McKinney-Vento Homeless Assistance Act to run a competitive grant process at least once every three years. Oregon runs a competitive process every three years. Awards are dependent on the quality of all received applications and the total funding that ODE receives from the United States Department of Education (“USDE”). Funding is typically renewed annually within the cohort, but grantees do not re-</w:t>
      </w:r>
      <w:r w:rsidRPr="249CC9F3" w:rsidR="527E7EDE">
        <w:rPr>
          <w:rFonts w:ascii="Calibri" w:hAnsi="Calibri" w:eastAsia="Times New Roman" w:cs="Calibri"/>
          <w:sz w:val="24"/>
          <w:szCs w:val="24"/>
        </w:rPr>
        <w:t>apply for funds</w:t>
      </w:r>
      <w:r w:rsidRPr="249CC9F3" w:rsidR="264778E5">
        <w:rPr>
          <w:rFonts w:ascii="Calibri" w:hAnsi="Calibri" w:eastAsia="Times New Roman" w:cs="Calibri"/>
          <w:sz w:val="24"/>
          <w:szCs w:val="24"/>
        </w:rPr>
        <w:t>. The chart below shows how the funding formula is used for distribution each year. </w:t>
      </w:r>
    </w:p>
    <w:p w:rsidRPr="000941E8" w:rsidR="000941E8" w:rsidP="00F06885" w:rsidRDefault="000941E8" w14:paraId="72162907" w14:textId="77777777">
      <w:pPr>
        <w:pStyle w:val="ODEHeader3"/>
        <w:rPr>
          <w:rFonts w:ascii="Segoe UI" w:hAnsi="Segoe UI" w:cs="Segoe UI"/>
          <w:sz w:val="18"/>
          <w:szCs w:val="18"/>
        </w:rPr>
      </w:pPr>
      <w:bookmarkStart w:name="_Toc376095906" w:id="1409046818"/>
      <w:r w:rsidR="78513079">
        <w:rPr/>
        <w:t>Base Funding Ranges and Eligibility Table</w:t>
      </w:r>
      <w:bookmarkEnd w:id="1409046818"/>
      <w:r w:rsidR="78513079">
        <w:rPr/>
        <w:t> </w:t>
      </w:r>
    </w:p>
    <w:tbl>
      <w:tblPr>
        <w:tblStyle w:val="TableGrid"/>
        <w:tblW w:w="9075" w:type="dxa"/>
        <w:tblInd w:w="-8" w:type="dxa"/>
        <w:tblBorders/>
        <w:tblCellMar>
          <w:left w:w="0" w:type="dxa"/>
          <w:right w:w="0" w:type="dxa"/>
        </w:tblCellMar>
        <w:tblLook w:val="04A0" w:firstRow="1" w:lastRow="0" w:firstColumn="1" w:lastColumn="0" w:noHBand="0" w:noVBand="1"/>
      </w:tblPr>
      <w:tblGrid>
        <w:gridCol w:w="4530"/>
        <w:gridCol w:w="4545"/>
      </w:tblGrid>
      <w:tr w:rsidRPr="000941E8" w:rsidR="000941E8" w:rsidTr="54E03952" w14:paraId="72FD1BDB"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shd w:val="clear" w:color="auto" w:fill="D9E2F3"/>
            <w:tcMar/>
            <w:vAlign w:val="top"/>
            <w:hideMark/>
          </w:tcPr>
          <w:p w:rsidRPr="000941E8" w:rsidR="000941E8" w:rsidP="54E03952" w:rsidRDefault="000941E8" w14:paraId="5730E083"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b w:val="1"/>
                <w:bCs w:val="1"/>
                <w:sz w:val="24"/>
                <w:szCs w:val="24"/>
              </w:rPr>
              <w:t>Eligible Student Count</w:t>
            </w:r>
            <w:r w:rsidRPr="54E03952" w:rsidR="65EC0DB6">
              <w:rPr>
                <w:rFonts w:ascii="Calibri" w:hAnsi="Calibri" w:eastAsia="Times New Roman" w:cs="Calibri"/>
                <w:sz w:val="24"/>
                <w:szCs w:val="24"/>
              </w:rPr>
              <w:t> </w:t>
            </w:r>
          </w:p>
        </w:tc>
        <w:tc>
          <w:tcPr>
            <w:cnfStyle w:val="000000000000" w:firstRow="0" w:lastRow="0" w:firstColumn="0" w:lastColumn="0" w:oddVBand="0" w:evenVBand="0" w:oddHBand="0" w:evenHBand="0" w:firstRowFirstColumn="0" w:firstRowLastColumn="0" w:lastRowFirstColumn="0" w:lastRowLastColumn="0"/>
            <w:tcW w:w="4545" w:type="dxa"/>
            <w:tcBorders/>
            <w:shd w:val="clear" w:color="auto" w:fill="D9E2F3"/>
            <w:tcMar/>
            <w:vAlign w:val="top"/>
            <w:hideMark/>
          </w:tcPr>
          <w:p w:rsidRPr="000941E8" w:rsidR="000941E8" w:rsidP="54E03952" w:rsidRDefault="000941E8" w14:paraId="0921DBE2"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b w:val="1"/>
                <w:bCs w:val="1"/>
                <w:sz w:val="24"/>
                <w:szCs w:val="24"/>
              </w:rPr>
              <w:t>Maximum</w:t>
            </w:r>
            <w:r w:rsidRPr="54E03952" w:rsidR="65EC0DB6">
              <w:rPr>
                <w:rFonts w:ascii="Calibri" w:hAnsi="Calibri" w:eastAsia="Times New Roman" w:cs="Calibri"/>
                <w:b w:val="1"/>
                <w:bCs w:val="1"/>
                <w:sz w:val="24"/>
                <w:szCs w:val="24"/>
              </w:rPr>
              <w:t> Base Award Amount</w:t>
            </w:r>
            <w:r w:rsidRPr="54E03952" w:rsidR="65EC0DB6">
              <w:rPr>
                <w:rFonts w:ascii="Calibri" w:hAnsi="Calibri" w:eastAsia="Times New Roman" w:cs="Calibri"/>
                <w:sz w:val="24"/>
                <w:szCs w:val="24"/>
              </w:rPr>
              <w:t> </w:t>
            </w:r>
          </w:p>
        </w:tc>
      </w:tr>
      <w:tr w:rsidRPr="000941E8" w:rsidR="000941E8" w:rsidTr="54E03952" w14:paraId="50C9A1A9"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73228795"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0-99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0EB8560B"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$10,000.00 </w:t>
            </w:r>
          </w:p>
        </w:tc>
      </w:tr>
      <w:tr w:rsidRPr="000941E8" w:rsidR="000941E8" w:rsidTr="54E03952" w14:paraId="2DB9548B"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624BBD0A"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100-199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0EA01103"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$15,000.00 </w:t>
            </w:r>
          </w:p>
        </w:tc>
      </w:tr>
      <w:tr w:rsidRPr="000941E8" w:rsidR="000941E8" w:rsidTr="54E03952" w14:paraId="5B783811"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39ED11AB"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200-399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56CB974D"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$20,000.00 </w:t>
            </w:r>
          </w:p>
        </w:tc>
      </w:tr>
      <w:tr w:rsidRPr="000941E8" w:rsidR="000941E8" w:rsidTr="54E03952" w14:paraId="6D34C369"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2E0BCEE0"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400-499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160C3408"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$30,000.00 </w:t>
            </w:r>
          </w:p>
        </w:tc>
      </w:tr>
      <w:tr w:rsidRPr="000941E8" w:rsidR="000941E8" w:rsidTr="54E03952" w14:paraId="6A617C86"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1C398F4E"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500-750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673B560F"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$40,000.00 </w:t>
            </w:r>
          </w:p>
        </w:tc>
      </w:tr>
      <w:tr w:rsidRPr="000941E8" w:rsidR="000941E8" w:rsidTr="54E03952" w14:paraId="476B74D2"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38F32348"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751-999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629D4BA2"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$60,000.00 </w:t>
            </w:r>
          </w:p>
        </w:tc>
      </w:tr>
      <w:tr w:rsidRPr="000941E8" w:rsidR="000941E8" w:rsidTr="54E03952" w14:paraId="6AFBBB3C"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006D7682"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1,000-1,999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02680104"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$70,000.00 </w:t>
            </w:r>
          </w:p>
        </w:tc>
      </w:tr>
      <w:tr w:rsidRPr="000941E8" w:rsidR="000941E8" w:rsidTr="54E03952" w14:paraId="56A751F1"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564AEEC2"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2,000-2,999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13B660AC"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$80,000.00 </w:t>
            </w:r>
          </w:p>
        </w:tc>
      </w:tr>
      <w:tr w:rsidRPr="000941E8" w:rsidR="000941E8" w:rsidTr="54E03952" w14:paraId="1296A7DD" w14:textId="77777777">
        <w:trPr>
          <w:trHeight w:val="300"/>
        </w:trPr>
        <w:tc>
          <w:tcPr>
            <w:cnfStyle w:val="001000000000" w:firstRow="0" w:lastRow="0" w:firstColumn="1" w:lastColumn="0" w:oddVBand="0" w:evenVBand="0" w:oddHBand="0" w:evenHBand="0" w:firstRowFirstColumn="0" w:firstRowLastColumn="0" w:lastRowFirstColumn="0" w:lastRowLastColumn="0"/>
            <w:tcW w:w="4530" w:type="dxa"/>
            <w:tcBorders/>
            <w:tcMar/>
            <w:vAlign w:val="top"/>
            <w:hideMark/>
          </w:tcPr>
          <w:p w:rsidRPr="000941E8" w:rsidR="000941E8" w:rsidP="54E03952" w:rsidRDefault="000941E8" w14:paraId="6BFF71E0"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3,000 or more </w:t>
            </w:r>
          </w:p>
        </w:tc>
        <w:tc>
          <w:tcPr>
            <w:cnfStyle w:val="000000000000" w:firstRow="0" w:lastRow="0" w:firstColumn="0" w:lastColumn="0" w:oddVBand="0" w:evenVBand="0" w:oddHBand="0" w:evenHBand="0" w:firstRowFirstColumn="0" w:firstRowLastColumn="0" w:lastRowFirstColumn="0" w:lastRowLastColumn="0"/>
            <w:tcW w:w="4545" w:type="dxa"/>
            <w:tcBorders/>
            <w:tcMar/>
            <w:vAlign w:val="top"/>
            <w:hideMark/>
          </w:tcPr>
          <w:p w:rsidRPr="000941E8" w:rsidR="000941E8" w:rsidP="54E03952" w:rsidRDefault="000941E8" w14:paraId="41C08AB9" w14:textId="77777777">
            <w:pPr>
              <w:spacing w:after="0" w:line="240" w:lineRule="auto"/>
              <w:ind w:left="0" w:firstLine="0"/>
              <w:jc w:val="center"/>
              <w:textAlignment w:val="baseline"/>
              <w:rPr>
                <w:rFonts w:ascii="Times New Roman" w:hAnsi="Times New Roman" w:eastAsia="Times New Roman" w:cs="Times New Roman"/>
                <w:sz w:val="24"/>
                <w:szCs w:val="24"/>
              </w:rPr>
            </w:pPr>
            <w:r w:rsidRPr="54E03952" w:rsidR="65EC0DB6">
              <w:rPr>
                <w:rFonts w:ascii="Calibri" w:hAnsi="Calibri" w:eastAsia="Times New Roman" w:cs="Calibri"/>
                <w:sz w:val="24"/>
                <w:szCs w:val="24"/>
              </w:rPr>
              <w:t>$100,000.00 </w:t>
            </w:r>
          </w:p>
        </w:tc>
      </w:tr>
    </w:tbl>
    <w:p w:rsidRPr="000941E8" w:rsidR="000941E8" w:rsidP="000941E8" w:rsidRDefault="000941E8" w14:paraId="38B275CB"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5E366A" w:rsidP="005E366A" w:rsidRDefault="005E366A" w14:paraId="20E7473D" w14:textId="1CFE4510">
      <w:pPr>
        <w:spacing w:after="0" w:line="276" w:lineRule="auto"/>
        <w:textAlignment w:val="baseline"/>
      </w:pPr>
      <w:r w:rsidRPr="249CC9F3" w:rsidR="264778E5">
        <w:rPr>
          <w:rFonts w:ascii="Calibri" w:hAnsi="Calibri" w:eastAsia="Times New Roman" w:cs="Calibri"/>
          <w:sz w:val="24"/>
          <w:szCs w:val="24"/>
        </w:rPr>
        <w:t>The Eligible Student Count shall be based on recipient’s most recent McKinney-Vento data submission to ODE, </w:t>
      </w:r>
      <w:r w:rsidRPr="249CC9F3" w:rsidR="264778E5">
        <w:rPr>
          <w:rFonts w:ascii="Calibri" w:hAnsi="Calibri" w:eastAsia="Times New Roman" w:cs="Calibri"/>
          <w:sz w:val="24"/>
          <w:szCs w:val="24"/>
        </w:rPr>
        <w:t>instructions</w:t>
      </w:r>
      <w:r w:rsidRPr="249CC9F3" w:rsidR="264778E5">
        <w:rPr>
          <w:rFonts w:ascii="Calibri" w:hAnsi="Calibri" w:eastAsia="Times New Roman" w:cs="Calibri"/>
          <w:sz w:val="24"/>
          <w:szCs w:val="24"/>
        </w:rPr>
        <w:t> and deadlines for which are listed on </w:t>
      </w:r>
      <w:hyperlink r:id="R99917bbebace43b8">
        <w:r w:rsidRPr="249CC9F3" w:rsidR="264778E5">
          <w:rPr>
            <w:rFonts w:ascii="Calibri" w:hAnsi="Calibri" w:eastAsia="Times New Roman" w:cs="Calibri"/>
            <w:color w:val="0070C0"/>
            <w:sz w:val="24"/>
            <w:szCs w:val="24"/>
            <w:u w:val="single"/>
          </w:rPr>
          <w:t>ODE’s McKinney-Vento Data Collections website</w:t>
        </w:r>
      </w:hyperlink>
      <w:r w:rsidRPr="249CC9F3" w:rsidR="264778E5">
        <w:rPr>
          <w:rFonts w:ascii="Calibri" w:hAnsi="Calibri" w:eastAsia="Times New Roman" w:cs="Calibri"/>
          <w:sz w:val="24"/>
          <w:szCs w:val="24"/>
        </w:rPr>
        <w:t>.  </w:t>
      </w:r>
      <w:r w:rsidRPr="249CC9F3" w:rsidR="2C72E685">
        <w:rPr>
          <w:rFonts w:ascii="Calibri" w:hAnsi="Calibri" w:eastAsia="Times New Roman" w:cs="Calibri"/>
          <w:sz w:val="24"/>
          <w:szCs w:val="24"/>
        </w:rPr>
        <w:t xml:space="preserve"> Eligible Student Count means the number of students identified as navigating housing instability and eligible for McKinney-Vento rights and services for that given school year.  </w:t>
      </w:r>
    </w:p>
    <w:p w:rsidR="249CC9F3" w:rsidP="249CC9F3" w:rsidRDefault="249CC9F3" w14:paraId="0362C29D" w14:textId="3FE47CEE">
      <w:pPr>
        <w:spacing w:after="0" w:line="276" w:lineRule="auto"/>
        <w:rPr>
          <w:rFonts w:ascii="Calibri" w:hAnsi="Calibri" w:eastAsia="Times New Roman" w:cs="Calibri"/>
          <w:sz w:val="24"/>
          <w:szCs w:val="24"/>
        </w:rPr>
      </w:pPr>
    </w:p>
    <w:p w:rsidRPr="000941E8" w:rsidR="000941E8" w:rsidP="005E366A" w:rsidRDefault="000941E8" w14:paraId="74FD0125" w14:textId="74A78098">
      <w:pPr>
        <w:spacing w:after="0" w:line="276" w:lineRule="auto"/>
        <w:textAlignment w:val="baseline"/>
        <w:rPr>
          <w:rFonts w:ascii="Segoe UI" w:hAnsi="Segoe UI" w:eastAsia="Times New Roman" w:cs="Segoe UI"/>
          <w:sz w:val="18"/>
          <w:szCs w:val="18"/>
        </w:rPr>
      </w:pPr>
      <w:r w:rsidRPr="249CC9F3" w:rsidR="264778E5">
        <w:rPr>
          <w:rFonts w:ascii="Calibri" w:hAnsi="Calibri" w:eastAsia="Times New Roman" w:cs="Calibri"/>
          <w:sz w:val="24"/>
          <w:szCs w:val="24"/>
        </w:rPr>
        <w:t xml:space="preserve">If </w:t>
      </w:r>
      <w:r w:rsidRPr="249CC9F3" w:rsidR="66FC89B7">
        <w:rPr>
          <w:rFonts w:ascii="Calibri" w:hAnsi="Calibri" w:eastAsia="Times New Roman" w:cs="Calibri"/>
          <w:sz w:val="24"/>
          <w:szCs w:val="24"/>
        </w:rPr>
        <w:t>a r</w:t>
      </w:r>
      <w:r w:rsidRPr="249CC9F3" w:rsidR="66FC89B7">
        <w:rPr>
          <w:rFonts w:ascii="Calibri" w:hAnsi="Calibri" w:eastAsia="Times New Roman" w:cs="Calibri"/>
          <w:sz w:val="24"/>
          <w:szCs w:val="24"/>
        </w:rPr>
        <w:t>ecipient</w:t>
      </w:r>
      <w:r w:rsidRPr="249CC9F3" w:rsidR="264778E5">
        <w:rPr>
          <w:rFonts w:ascii="Calibri" w:hAnsi="Calibri" w:eastAsia="Times New Roman" w:cs="Calibri"/>
          <w:sz w:val="24"/>
          <w:szCs w:val="24"/>
        </w:rPr>
        <w:t xml:space="preserve"> applies as a Consortium, then all Consortium members’ total eligible student count will be combined to </w:t>
      </w:r>
      <w:r w:rsidRPr="249CC9F3" w:rsidR="264778E5">
        <w:rPr>
          <w:rFonts w:ascii="Calibri" w:hAnsi="Calibri" w:eastAsia="Times New Roman" w:cs="Calibri"/>
          <w:sz w:val="24"/>
          <w:szCs w:val="24"/>
        </w:rPr>
        <w:t>determine</w:t>
      </w:r>
      <w:r w:rsidRPr="249CC9F3" w:rsidR="264778E5">
        <w:rPr>
          <w:rFonts w:ascii="Calibri" w:hAnsi="Calibri" w:eastAsia="Times New Roman" w:cs="Calibri"/>
          <w:sz w:val="24"/>
          <w:szCs w:val="24"/>
        </w:rPr>
        <w:t> the </w:t>
      </w:r>
      <w:r w:rsidRPr="249CC9F3" w:rsidR="264778E5">
        <w:rPr>
          <w:rFonts w:ascii="Calibri" w:hAnsi="Calibri" w:eastAsia="Times New Roman" w:cs="Calibri"/>
          <w:sz w:val="24"/>
          <w:szCs w:val="24"/>
        </w:rPr>
        <w:t>maximum</w:t>
      </w:r>
      <w:r w:rsidRPr="249CC9F3" w:rsidR="264778E5">
        <w:rPr>
          <w:rFonts w:ascii="Calibri" w:hAnsi="Calibri" w:eastAsia="Times New Roman" w:cs="Calibri"/>
          <w:sz w:val="24"/>
          <w:szCs w:val="24"/>
        </w:rPr>
        <w:t> base award amount.  </w:t>
      </w:r>
    </w:p>
    <w:p w:rsidRPr="003B30CC" w:rsidR="000941E8" w:rsidP="249CC9F3" w:rsidRDefault="000941E8" w14:paraId="13B061A9" w14:textId="50FBE14F">
      <w:pPr>
        <w:pStyle w:val="ODEHeader3"/>
        <w:spacing w:after="0" w:line="276" w:lineRule="auto"/>
      </w:pPr>
      <w:bookmarkStart w:name="_Toc1670849100" w:id="1851525308"/>
      <w:r w:rsidR="78513079">
        <w:rPr/>
        <w:t>McKinney-Vento Grants Calendar</w:t>
      </w:r>
      <w:bookmarkEnd w:id="1851525308"/>
      <w:r w:rsidR="78513079">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5"/>
        <w:gridCol w:w="4665"/>
      </w:tblGrid>
      <w:tr w:rsidRPr="000941E8" w:rsidR="000941E8" w14:paraId="702F14D4" w14:textId="77777777">
        <w:trPr>
          <w:trHeight w:val="300"/>
        </w:trPr>
        <w:tc>
          <w:tcPr>
            <w:tcW w:w="4665" w:type="dxa"/>
            <w:tcBorders>
              <w:top w:val="single" w:color="auto" w:sz="6" w:space="0"/>
              <w:left w:val="single" w:color="auto" w:sz="6" w:space="0"/>
              <w:bottom w:val="single" w:color="auto" w:sz="6" w:space="0"/>
              <w:right w:val="single" w:color="auto" w:sz="6" w:space="0"/>
            </w:tcBorders>
            <w:shd w:val="clear" w:color="auto" w:fill="BFBFBF"/>
            <w:hideMark/>
          </w:tcPr>
          <w:p w:rsidRPr="000941E8" w:rsidR="000941E8" w:rsidP="000941E8" w:rsidRDefault="000941E8" w14:paraId="709F3B1A"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b/>
                <w:bCs/>
                <w:color w:val="000000"/>
                <w:sz w:val="24"/>
                <w:szCs w:val="24"/>
              </w:rPr>
              <w:t>Timeline</w:t>
            </w:r>
            <w:r w:rsidRPr="000941E8">
              <w:rPr>
                <w:rFonts w:ascii="Calibri" w:hAnsi="Calibri" w:eastAsia="Times New Roman" w:cs="Calibri"/>
                <w:color w:val="000000"/>
                <w:sz w:val="24"/>
                <w:szCs w:val="24"/>
              </w:rPr>
              <w:t> </w:t>
            </w:r>
          </w:p>
        </w:tc>
        <w:tc>
          <w:tcPr>
            <w:tcW w:w="4665" w:type="dxa"/>
            <w:tcBorders>
              <w:top w:val="single" w:color="auto" w:sz="6" w:space="0"/>
              <w:left w:val="single" w:color="auto" w:sz="6" w:space="0"/>
              <w:bottom w:val="single" w:color="auto" w:sz="6" w:space="0"/>
              <w:right w:val="single" w:color="auto" w:sz="6" w:space="0"/>
            </w:tcBorders>
            <w:shd w:val="clear" w:color="auto" w:fill="BFBFBF"/>
            <w:hideMark/>
          </w:tcPr>
          <w:p w:rsidRPr="000941E8" w:rsidR="000941E8" w:rsidP="000941E8" w:rsidRDefault="000941E8" w14:paraId="27AB42D1"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b/>
                <w:bCs/>
                <w:color w:val="000000"/>
                <w:sz w:val="24"/>
                <w:szCs w:val="24"/>
              </w:rPr>
              <w:t>Performance Period</w:t>
            </w:r>
            <w:r w:rsidRPr="000941E8">
              <w:rPr>
                <w:rFonts w:ascii="Calibri" w:hAnsi="Calibri" w:eastAsia="Times New Roman" w:cs="Calibri"/>
                <w:color w:val="000000"/>
                <w:sz w:val="24"/>
                <w:szCs w:val="24"/>
              </w:rPr>
              <w:t> </w:t>
            </w:r>
          </w:p>
        </w:tc>
      </w:tr>
      <w:tr w:rsidRPr="000941E8" w:rsidR="000941E8" w14:paraId="43C74A9A" w14:textId="77777777">
        <w:trPr>
          <w:trHeight w:val="300"/>
        </w:trPr>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593EFF1A"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Year 1 </w:t>
            </w:r>
          </w:p>
        </w:tc>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60CD6C79" w14:textId="2F1395B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7/1/2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5 - 6/30/2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6 </w:t>
            </w:r>
          </w:p>
        </w:tc>
      </w:tr>
      <w:tr w:rsidRPr="000941E8" w:rsidR="000941E8" w14:paraId="159F557B" w14:textId="77777777">
        <w:trPr>
          <w:trHeight w:val="300"/>
        </w:trPr>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4F85DE52"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Year 2 </w:t>
            </w:r>
          </w:p>
        </w:tc>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5DAECA9A" w14:textId="4D54F49B">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7/1/2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6 - 6/30/2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7 </w:t>
            </w:r>
          </w:p>
        </w:tc>
      </w:tr>
      <w:tr w:rsidRPr="000941E8" w:rsidR="000941E8" w14:paraId="61F1A1EF" w14:textId="77777777">
        <w:trPr>
          <w:trHeight w:val="300"/>
        </w:trPr>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1C9F19DD"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Year 3 </w:t>
            </w:r>
          </w:p>
        </w:tc>
        <w:tc>
          <w:tcPr>
            <w:tcW w:w="4665" w:type="dxa"/>
            <w:tcBorders>
              <w:top w:val="single" w:color="auto" w:sz="6" w:space="0"/>
              <w:left w:val="single" w:color="auto" w:sz="6" w:space="0"/>
              <w:bottom w:val="single" w:color="auto" w:sz="6" w:space="0"/>
              <w:right w:val="single" w:color="auto" w:sz="6" w:space="0"/>
            </w:tcBorders>
            <w:hideMark/>
          </w:tcPr>
          <w:p w:rsidRPr="000941E8" w:rsidR="000941E8" w:rsidP="000941E8" w:rsidRDefault="000941E8" w14:paraId="1EB00662" w14:textId="30CFBAAB">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color w:val="000000"/>
                <w:sz w:val="24"/>
                <w:szCs w:val="24"/>
              </w:rPr>
              <w:t>7/1/2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7 - 6/30/2</w:t>
            </w:r>
            <w:r w:rsidR="00EB7A10">
              <w:rPr>
                <w:rFonts w:ascii="Calibri" w:hAnsi="Calibri" w:eastAsia="Times New Roman" w:cs="Calibri"/>
                <w:color w:val="000000"/>
                <w:sz w:val="24"/>
                <w:szCs w:val="24"/>
              </w:rPr>
              <w:t>02</w:t>
            </w:r>
            <w:r w:rsidRPr="000941E8">
              <w:rPr>
                <w:rFonts w:ascii="Calibri" w:hAnsi="Calibri" w:eastAsia="Times New Roman" w:cs="Calibri"/>
                <w:color w:val="000000"/>
                <w:sz w:val="24"/>
                <w:szCs w:val="24"/>
              </w:rPr>
              <w:t>8 </w:t>
            </w:r>
          </w:p>
        </w:tc>
      </w:tr>
    </w:tbl>
    <w:p w:rsidRPr="000941E8" w:rsidR="000941E8" w:rsidP="000941E8" w:rsidRDefault="000941E8" w14:paraId="0DDE40D8" w14:textId="77777777">
      <w:pPr>
        <w:spacing w:after="0" w:line="240" w:lineRule="auto"/>
        <w:textAlignment w:val="baseline"/>
        <w:rPr>
          <w:rFonts w:ascii="Segoe UI" w:hAnsi="Segoe UI" w:eastAsia="Times New Roman" w:cs="Segoe UI"/>
          <w:b/>
          <w:bCs/>
          <w:color w:val="0070C0"/>
          <w:sz w:val="18"/>
          <w:szCs w:val="18"/>
        </w:rPr>
      </w:pPr>
      <w:r w:rsidRPr="000941E8">
        <w:rPr>
          <w:rFonts w:ascii="Calibri" w:hAnsi="Calibri" w:eastAsia="Times New Roman" w:cs="Calibri"/>
          <w:b/>
          <w:bCs/>
          <w:color w:val="0070C0"/>
          <w:sz w:val="28"/>
          <w:szCs w:val="28"/>
        </w:rPr>
        <w:t> </w:t>
      </w:r>
    </w:p>
    <w:p w:rsidR="0085553D" w:rsidRDefault="0085553D" w14:paraId="5DAB85BE" w14:textId="77777777">
      <w:pPr>
        <w:rPr>
          <w:rFonts w:ascii="Calibri" w:hAnsi="Calibri" w:eastAsia="Times New Roman" w:cs="Calibri"/>
          <w:b/>
          <w:bCs/>
          <w:color w:val="0070C0"/>
          <w:sz w:val="28"/>
          <w:szCs w:val="28"/>
        </w:rPr>
      </w:pPr>
      <w:r>
        <w:br w:type="page"/>
      </w:r>
    </w:p>
    <w:p w:rsidRPr="00B823D7" w:rsidR="000941E8" w:rsidP="00F06885" w:rsidRDefault="000941E8" w14:paraId="226A4AFA" w14:textId="0E0E825B">
      <w:pPr>
        <w:pStyle w:val="ODEHeader3"/>
      </w:pPr>
      <w:bookmarkStart w:name="_Toc987912302" w:id="718950141"/>
      <w:r w:rsidR="78513079">
        <w:rPr/>
        <w:t>Carryover</w:t>
      </w:r>
      <w:bookmarkEnd w:id="718950141"/>
      <w:r w:rsidR="78513079">
        <w:rPr/>
        <w:t> </w:t>
      </w:r>
    </w:p>
    <w:p w:rsidR="000941E8" w:rsidP="00EB7A10" w:rsidRDefault="000941E8" w14:paraId="5BE91136" w14:textId="7E775373">
      <w:pPr>
        <w:spacing w:before="120" w:after="240" w:line="276" w:lineRule="auto"/>
        <w:ind w:right="14"/>
        <w:textAlignment w:val="baseline"/>
        <w:rPr>
          <w:rFonts w:ascii="Calibri" w:hAnsi="Calibri" w:eastAsia="Times New Roman" w:cs="Calibri"/>
          <w:b w:val="1"/>
          <w:bCs w:val="1"/>
          <w:color w:val="0070C0"/>
          <w:sz w:val="32"/>
          <w:szCs w:val="32"/>
        </w:rPr>
      </w:pPr>
      <w:r w:rsidRPr="249CC9F3" w:rsidR="0B739416">
        <w:rPr>
          <w:rFonts w:ascii="Calibri" w:hAnsi="Calibri" w:eastAsia="Times New Roman" w:cs="Calibri"/>
          <w:sz w:val="24"/>
          <w:szCs w:val="24"/>
        </w:rPr>
        <w:t xml:space="preserve">Each </w:t>
      </w:r>
      <w:r w:rsidRPr="249CC9F3" w:rsidR="2F5835E7">
        <w:rPr>
          <w:rFonts w:ascii="Calibri" w:hAnsi="Calibri" w:eastAsia="Times New Roman" w:cs="Calibri"/>
          <w:sz w:val="24"/>
          <w:szCs w:val="24"/>
        </w:rPr>
        <w:t xml:space="preserve">grant </w:t>
      </w:r>
      <w:r w:rsidRPr="249CC9F3" w:rsidR="0B739416">
        <w:rPr>
          <w:rFonts w:ascii="Calibri" w:hAnsi="Calibri" w:eastAsia="Times New Roman" w:cs="Calibri"/>
          <w:sz w:val="24"/>
          <w:szCs w:val="24"/>
        </w:rPr>
        <w:t>fiscal year ends on September 30. Any unobligated federal funds </w:t>
      </w:r>
      <w:r w:rsidRPr="249CC9F3" w:rsidR="0B739416">
        <w:rPr>
          <w:rFonts w:ascii="Calibri" w:hAnsi="Calibri" w:eastAsia="Times New Roman" w:cs="Calibri"/>
          <w:sz w:val="24"/>
          <w:szCs w:val="24"/>
        </w:rPr>
        <w:t>remaining</w:t>
      </w:r>
      <w:r w:rsidRPr="249CC9F3" w:rsidR="0B739416">
        <w:rPr>
          <w:rFonts w:ascii="Calibri" w:hAnsi="Calibri" w:eastAsia="Times New Roman" w:cs="Calibri"/>
          <w:sz w:val="24"/>
          <w:szCs w:val="24"/>
        </w:rPr>
        <w:t> at the end of a fiscal year </w:t>
      </w:r>
      <w:r w:rsidRPr="249CC9F3" w:rsidR="0B739416">
        <w:rPr>
          <w:rFonts w:ascii="Calibri" w:hAnsi="Calibri" w:eastAsia="Times New Roman" w:cs="Calibri"/>
          <w:b w:val="1"/>
          <w:bCs w:val="1"/>
          <w:sz w:val="24"/>
          <w:szCs w:val="24"/>
        </w:rPr>
        <w:t>may not</w:t>
      </w:r>
      <w:r w:rsidRPr="249CC9F3" w:rsidR="0B739416">
        <w:rPr>
          <w:rFonts w:ascii="Calibri" w:hAnsi="Calibri" w:eastAsia="Times New Roman" w:cs="Calibri"/>
          <w:sz w:val="24"/>
          <w:szCs w:val="24"/>
        </w:rPr>
        <w:t> automatically be carried forward after fiscal </w:t>
      </w:r>
      <w:r w:rsidRPr="249CC9F3" w:rsidR="708FA202">
        <w:rPr>
          <w:rFonts w:ascii="Calibri" w:hAnsi="Calibri" w:eastAsia="Times New Roman" w:cs="Calibri"/>
          <w:sz w:val="24"/>
          <w:szCs w:val="24"/>
        </w:rPr>
        <w:t>year's</w:t>
      </w:r>
      <w:r w:rsidRPr="249CC9F3" w:rsidR="0B739416">
        <w:rPr>
          <w:rFonts w:ascii="Calibri" w:hAnsi="Calibri" w:eastAsia="Times New Roman" w:cs="Calibri"/>
          <w:sz w:val="24"/>
          <w:szCs w:val="24"/>
        </w:rPr>
        <w:t xml:space="preserve"> end. Carryover requests </w:t>
      </w:r>
      <w:r w:rsidRPr="249CC9F3" w:rsidR="3F2E240A">
        <w:rPr>
          <w:rFonts w:ascii="Calibri" w:hAnsi="Calibri" w:eastAsia="Times New Roman" w:cs="Calibri"/>
          <w:sz w:val="24"/>
          <w:szCs w:val="24"/>
        </w:rPr>
        <w:t xml:space="preserve">from grantees </w:t>
      </w:r>
      <w:r w:rsidRPr="249CC9F3" w:rsidR="0B739416">
        <w:rPr>
          <w:rFonts w:ascii="Calibri" w:hAnsi="Calibri" w:eastAsia="Times New Roman" w:cs="Calibri"/>
          <w:sz w:val="24"/>
          <w:szCs w:val="24"/>
        </w:rPr>
        <w:t>must be approved in writing by the State Coordinator each year. </w:t>
      </w:r>
    </w:p>
    <w:p w:rsidRPr="00BF304B" w:rsidR="000941E8" w:rsidP="00BF304B" w:rsidRDefault="000941E8" w14:paraId="4202C278" w14:textId="1BEC864E">
      <w:pPr>
        <w:pStyle w:val="ODEHeader2"/>
      </w:pPr>
      <w:bookmarkStart w:name="_Toc908645964" w:id="1149804977"/>
      <w:r w:rsidR="78513079">
        <w:rPr/>
        <w:t>2.2 Required Uses of McKinney Vento Funds</w:t>
      </w:r>
      <w:bookmarkEnd w:id="1149804977"/>
      <w:r w:rsidR="78513079">
        <w:rPr/>
        <w:t> </w:t>
      </w:r>
    </w:p>
    <w:p w:rsidR="00EB7A10" w:rsidP="005A1FD4" w:rsidRDefault="000941E8" w14:paraId="4B5EAEBD" w14:textId="0AC7558F">
      <w:pPr>
        <w:spacing w:after="0" w:line="276" w:lineRule="auto"/>
        <w:textAlignment w:val="baseline"/>
        <w:rPr>
          <w:rFonts w:ascii="Calibri" w:hAnsi="Calibri" w:eastAsia="Times New Roman" w:cs="Calibri"/>
          <w:sz w:val="24"/>
          <w:szCs w:val="24"/>
        </w:rPr>
      </w:pPr>
      <w:r w:rsidRPr="249CC9F3" w:rsidR="0B739416">
        <w:rPr>
          <w:rFonts w:ascii="Calibri" w:hAnsi="Calibri" w:eastAsia="Times New Roman" w:cs="Calibri"/>
          <w:sz w:val="24"/>
          <w:szCs w:val="24"/>
        </w:rPr>
        <w:t>Subtitle VII-B of the McKinney-Vento Homeless Assistance Act (per Title IX, Part A of the Elementary and Secondary Education Act, as amended by the Every Student Succeeds Act) authorizes th</w:t>
      </w:r>
      <w:r w:rsidRPr="249CC9F3" w:rsidR="2788D361">
        <w:rPr>
          <w:rFonts w:ascii="Calibri" w:hAnsi="Calibri" w:eastAsia="Times New Roman" w:cs="Calibri"/>
          <w:sz w:val="24"/>
          <w:szCs w:val="24"/>
        </w:rPr>
        <w:t xml:space="preserve">at a local educational agency (LEA) may use funds awarded </w:t>
      </w:r>
      <w:r w:rsidRPr="249CC9F3" w:rsidR="2788D361">
        <w:rPr>
          <w:rFonts w:ascii="Calibri" w:hAnsi="Calibri" w:eastAsia="Times New Roman" w:cs="Calibri"/>
          <w:sz w:val="24"/>
          <w:szCs w:val="24"/>
        </w:rPr>
        <w:t>u</w:t>
      </w:r>
      <w:r w:rsidRPr="249CC9F3" w:rsidR="3209E97A">
        <w:rPr>
          <w:rFonts w:ascii="Calibri" w:hAnsi="Calibri" w:eastAsia="Times New Roman" w:cs="Calibri"/>
          <w:sz w:val="24"/>
          <w:szCs w:val="24"/>
        </w:rPr>
        <w:t>n</w:t>
      </w:r>
      <w:r w:rsidRPr="249CC9F3" w:rsidR="2788D361">
        <w:rPr>
          <w:rFonts w:ascii="Calibri" w:hAnsi="Calibri" w:eastAsia="Times New Roman" w:cs="Calibri"/>
          <w:sz w:val="24"/>
          <w:szCs w:val="24"/>
        </w:rPr>
        <w:t>der</w:t>
      </w:r>
      <w:r w:rsidRPr="249CC9F3" w:rsidR="2788D361">
        <w:rPr>
          <w:rFonts w:ascii="Calibri" w:hAnsi="Calibri" w:eastAsia="Times New Roman" w:cs="Calibri"/>
          <w:sz w:val="24"/>
          <w:szCs w:val="24"/>
        </w:rPr>
        <w:t xml:space="preserve"> </w:t>
      </w:r>
      <w:r w:rsidRPr="249CC9F3" w:rsidR="1DE72DA7">
        <w:rPr>
          <w:rFonts w:ascii="Calibri" w:hAnsi="Calibri" w:eastAsia="Times New Roman" w:cs="Calibri"/>
          <w:sz w:val="24"/>
          <w:szCs w:val="24"/>
        </w:rPr>
        <w:t>the McKinney-Vento</w:t>
      </w:r>
      <w:r w:rsidRPr="249CC9F3" w:rsidR="2788D361">
        <w:rPr>
          <w:rFonts w:ascii="Calibri" w:hAnsi="Calibri" w:eastAsia="Times New Roman" w:cs="Calibri"/>
          <w:sz w:val="24"/>
          <w:szCs w:val="24"/>
        </w:rPr>
        <w:t xml:space="preserve"> section for the activities that carry out the purposes of the</w:t>
      </w:r>
      <w:r w:rsidRPr="249CC9F3" w:rsidR="2788D361">
        <w:rPr>
          <w:rFonts w:ascii="Calibri" w:hAnsi="Calibri" w:eastAsia="Times New Roman" w:cs="Calibri"/>
          <w:sz w:val="24"/>
          <w:szCs w:val="24"/>
        </w:rPr>
        <w:t xml:space="preserve"> Act, </w:t>
      </w:r>
      <w:r w:rsidRPr="249CC9F3" w:rsidR="0876E261">
        <w:rPr>
          <w:rFonts w:ascii="Calibri" w:hAnsi="Calibri" w:eastAsia="Times New Roman" w:cs="Calibri"/>
          <w:sz w:val="24"/>
          <w:szCs w:val="24"/>
        </w:rPr>
        <w:t>including</w:t>
      </w:r>
      <w:r w:rsidRPr="249CC9F3" w:rsidR="2788D361">
        <w:rPr>
          <w:rFonts w:ascii="Calibri" w:hAnsi="Calibri" w:eastAsia="Times New Roman" w:cs="Calibri"/>
          <w:sz w:val="24"/>
          <w:szCs w:val="24"/>
        </w:rPr>
        <w:t xml:space="preserve"> the following</w:t>
      </w:r>
      <w:r w:rsidRPr="249CC9F3" w:rsidR="4E92FB0F">
        <w:rPr>
          <w:rFonts w:ascii="Calibri" w:hAnsi="Calibri" w:eastAsia="Times New Roman" w:cs="Calibri"/>
          <w:sz w:val="24"/>
          <w:szCs w:val="24"/>
        </w:rPr>
        <w:t>:</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 The provision of tutoring, supplemental instruction, and enriched educational services that are linked to the achievement of the same challenging State academic standards as the State establishes for other children and youths.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(2) 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(3) 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(4) The provision of referral services to homeless children and youths for medical, dental, mental, and other health services.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(5) The provision of </w:t>
      </w:r>
      <w:r w:rsidRPr="249CC9F3" w:rsidR="0B739416">
        <w:rPr>
          <w:rFonts w:ascii="Calibri" w:hAnsi="Calibri" w:eastAsia="Times New Roman" w:cs="Calibri"/>
          <w:i w:val="1"/>
          <w:iCs w:val="1"/>
          <w:sz w:val="24"/>
          <w:szCs w:val="24"/>
        </w:rPr>
        <w:t>assistance</w:t>
      </w:r>
      <w:r w:rsidRPr="249CC9F3" w:rsidR="0B739416">
        <w:rPr>
          <w:rFonts w:ascii="Calibri" w:hAnsi="Calibri" w:eastAsia="Times New Roman" w:cs="Calibri"/>
          <w:i w:val="1"/>
          <w:iCs w:val="1"/>
          <w:sz w:val="24"/>
          <w:szCs w:val="24"/>
        </w:rPr>
        <w:t> to defray the excess cost of transportation for students under section 11432(g)(4)(A) of this title, not otherwise provided through Federal, State, or local funding, where necessary to enable students to attend the school selected under section 11432(g)(3) of this title.</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(6) The provision of developmentally </w:t>
      </w:r>
      <w:r w:rsidRPr="249CC9F3" w:rsidR="0B739416">
        <w:rPr>
          <w:rFonts w:ascii="Calibri" w:hAnsi="Calibri" w:eastAsia="Times New Roman" w:cs="Calibri"/>
          <w:i w:val="1"/>
          <w:iCs w:val="1"/>
          <w:sz w:val="24"/>
          <w:szCs w:val="24"/>
        </w:rPr>
        <w:t>appropriate early</w:t>
      </w:r>
      <w:r w:rsidRPr="249CC9F3" w:rsidR="0B739416">
        <w:rPr>
          <w:rFonts w:ascii="Calibri" w:hAnsi="Calibri" w:eastAsia="Times New Roman" w:cs="Calibri"/>
          <w:i w:val="1"/>
          <w:iCs w:val="1"/>
          <w:sz w:val="24"/>
          <w:szCs w:val="24"/>
        </w:rPr>
        <w:t> childhood education programs, not otherwise provided through Federal, State, or local funding, for preschool-aged homeless children.</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(7) The provision of services and </w:t>
      </w:r>
      <w:r w:rsidRPr="249CC9F3" w:rsidR="0B739416">
        <w:rPr>
          <w:rFonts w:ascii="Calibri" w:hAnsi="Calibri" w:eastAsia="Times New Roman" w:cs="Calibri"/>
          <w:i w:val="1"/>
          <w:iCs w:val="1"/>
          <w:sz w:val="24"/>
          <w:szCs w:val="24"/>
        </w:rPr>
        <w:t>assistance</w:t>
      </w:r>
      <w:r w:rsidRPr="249CC9F3" w:rsidR="0B739416">
        <w:rPr>
          <w:rFonts w:ascii="Calibri" w:hAnsi="Calibri" w:eastAsia="Times New Roman" w:cs="Calibri"/>
          <w:i w:val="1"/>
          <w:iCs w:val="1"/>
          <w:sz w:val="24"/>
          <w:szCs w:val="24"/>
        </w:rPr>
        <w:t> to attract, engage, and </w:t>
      </w:r>
      <w:r w:rsidRPr="249CC9F3" w:rsidR="0B739416">
        <w:rPr>
          <w:rFonts w:ascii="Calibri" w:hAnsi="Calibri" w:eastAsia="Times New Roman" w:cs="Calibri"/>
          <w:i w:val="1"/>
          <w:iCs w:val="1"/>
          <w:sz w:val="24"/>
          <w:szCs w:val="24"/>
        </w:rPr>
        <w:t>retain</w:t>
      </w:r>
      <w:r w:rsidRPr="249CC9F3" w:rsidR="0B739416">
        <w:rPr>
          <w:rFonts w:ascii="Calibri" w:hAnsi="Calibri" w:eastAsia="Times New Roman" w:cs="Calibri"/>
          <w:i w:val="1"/>
          <w:iCs w:val="1"/>
          <w:sz w:val="24"/>
          <w:szCs w:val="24"/>
        </w:rPr>
        <w:t> homeless children and youths, particularly homeless children and youths who are not enrolled in school, in public school programs and services provided to </w:t>
      </w:r>
      <w:r w:rsidRPr="249CC9F3" w:rsidR="0B739416">
        <w:rPr>
          <w:rFonts w:ascii="Calibri" w:hAnsi="Calibri" w:eastAsia="Times New Roman" w:cs="Calibri"/>
          <w:i w:val="1"/>
          <w:iCs w:val="1"/>
          <w:sz w:val="24"/>
          <w:szCs w:val="24"/>
        </w:rPr>
        <w:t>nonhomeless</w:t>
      </w:r>
      <w:r w:rsidRPr="249CC9F3" w:rsidR="0B739416">
        <w:rPr>
          <w:rFonts w:ascii="Calibri" w:hAnsi="Calibri" w:eastAsia="Times New Roman" w:cs="Calibri"/>
          <w:i w:val="1"/>
          <w:iCs w:val="1"/>
          <w:sz w:val="24"/>
          <w:szCs w:val="24"/>
        </w:rPr>
        <w:t> children and youths.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(8) The provision for homeless children and youths of before- and after-school, mentoring, and summer programs in which a teacher or other qualified individual provides tutoring, homework </w:t>
      </w:r>
      <w:r w:rsidRPr="249CC9F3" w:rsidR="0B739416">
        <w:rPr>
          <w:rFonts w:ascii="Calibri" w:hAnsi="Calibri" w:eastAsia="Times New Roman" w:cs="Calibri"/>
          <w:i w:val="1"/>
          <w:iCs w:val="1"/>
          <w:sz w:val="24"/>
          <w:szCs w:val="24"/>
        </w:rPr>
        <w:t>assistance</w:t>
      </w:r>
      <w:r w:rsidRPr="249CC9F3" w:rsidR="0B739416">
        <w:rPr>
          <w:rFonts w:ascii="Calibri" w:hAnsi="Calibri" w:eastAsia="Times New Roman" w:cs="Calibri"/>
          <w:i w:val="1"/>
          <w:iCs w:val="1"/>
          <w:sz w:val="24"/>
          <w:szCs w:val="24"/>
        </w:rPr>
        <w:t>, and supervision of educational activities.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(9) 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(10) 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(11) The development of coordination between schools and agencies providing services to homeless children and youths, as described in section 11432(g)(5) of this title.</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(12) The provision of specialized instructional support services (including violence prevention counseling) and referrals for such services.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(13) Activities to address the </w:t>
      </w:r>
      <w:r w:rsidRPr="249CC9F3" w:rsidR="0B739416">
        <w:rPr>
          <w:rFonts w:ascii="Calibri" w:hAnsi="Calibri" w:eastAsia="Times New Roman" w:cs="Calibri"/>
          <w:i w:val="1"/>
          <w:iCs w:val="1"/>
          <w:sz w:val="24"/>
          <w:szCs w:val="24"/>
        </w:rPr>
        <w:t>particular needs</w:t>
      </w:r>
      <w:r w:rsidRPr="249CC9F3" w:rsidR="0B739416">
        <w:rPr>
          <w:rFonts w:ascii="Calibri" w:hAnsi="Calibri" w:eastAsia="Times New Roman" w:cs="Calibri"/>
          <w:i w:val="1"/>
          <w:iCs w:val="1"/>
          <w:sz w:val="24"/>
          <w:szCs w:val="24"/>
        </w:rPr>
        <w:t> of homeless children and youths that may arise from domestic violence and parental mental health or substance abuse problems.</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(14) The adaptation of space and purchase of supplies for any </w:t>
      </w:r>
      <w:r w:rsidRPr="249CC9F3" w:rsidR="2F9C0EE1">
        <w:rPr>
          <w:rFonts w:ascii="Calibri" w:hAnsi="Calibri" w:eastAsia="Times New Roman" w:cs="Calibri"/>
          <w:i w:val="1"/>
          <w:iCs w:val="1"/>
          <w:sz w:val="24"/>
          <w:szCs w:val="24"/>
        </w:rPr>
        <w:t>non-school</w:t>
      </w:r>
      <w:r w:rsidRPr="249CC9F3" w:rsidR="0B739416">
        <w:rPr>
          <w:rFonts w:ascii="Calibri" w:hAnsi="Calibri" w:eastAsia="Times New Roman" w:cs="Calibri"/>
          <w:i w:val="1"/>
          <w:iCs w:val="1"/>
          <w:sz w:val="24"/>
          <w:szCs w:val="24"/>
        </w:rPr>
        <w:t> facilities made available under subsection (a)(2) to provide services under this subsection.</w:t>
      </w:r>
      <w:r w:rsidRPr="249CC9F3" w:rsidR="0B739416">
        <w:rPr>
          <w:rFonts w:ascii="Calibri" w:hAnsi="Calibri" w:eastAsia="Times New Roman" w:cs="Calibri"/>
          <w:sz w:val="24"/>
          <w:szCs w:val="24"/>
        </w:rPr>
        <w:t> </w:t>
      </w:r>
      <w:r>
        <w:br/>
      </w:r>
      <w:r w:rsidRPr="249CC9F3" w:rsidR="0B739416">
        <w:rPr>
          <w:rFonts w:ascii="Corbel" w:hAnsi="Corbel" w:eastAsia="Times New Roman" w:cs="Segoe UI"/>
          <w:sz w:val="24"/>
          <w:szCs w:val="24"/>
        </w:rPr>
        <w:t> </w:t>
      </w:r>
      <w:r>
        <w:br/>
      </w:r>
      <w:r w:rsidRPr="249CC9F3" w:rsidR="0B739416">
        <w:rPr>
          <w:rFonts w:ascii="Calibri" w:hAnsi="Calibri" w:eastAsia="Times New Roman" w:cs="Calibri"/>
          <w:i w:val="1"/>
          <w:iCs w:val="1"/>
          <w:sz w:val="24"/>
          <w:szCs w:val="24"/>
        </w:rPr>
        <w:t>(15) The provision of school supplies, including those </w:t>
      </w:r>
      <w:r w:rsidRPr="249CC9F3" w:rsidR="0DF03803">
        <w:rPr>
          <w:rFonts w:ascii="Calibri" w:hAnsi="Calibri" w:eastAsia="Times New Roman" w:cs="Calibri"/>
          <w:i w:val="1"/>
          <w:iCs w:val="1"/>
          <w:sz w:val="24"/>
          <w:szCs w:val="24"/>
        </w:rPr>
        <w:t>supplies,</w:t>
      </w:r>
      <w:r w:rsidRPr="249CC9F3" w:rsidR="0B739416">
        <w:rPr>
          <w:rFonts w:ascii="Calibri" w:hAnsi="Calibri" w:eastAsia="Times New Roman" w:cs="Calibri"/>
          <w:i w:val="1"/>
          <w:iCs w:val="1"/>
          <w:sz w:val="24"/>
          <w:szCs w:val="24"/>
        </w:rPr>
        <w:t xml:space="preserve"> to be distributed at shelters or temporary housing facilities, or other </w:t>
      </w:r>
      <w:r w:rsidRPr="249CC9F3" w:rsidR="0B739416">
        <w:rPr>
          <w:rFonts w:ascii="Calibri" w:hAnsi="Calibri" w:eastAsia="Times New Roman" w:cs="Calibri"/>
          <w:i w:val="1"/>
          <w:iCs w:val="1"/>
          <w:sz w:val="24"/>
          <w:szCs w:val="24"/>
        </w:rPr>
        <w:t>appropriate locations</w:t>
      </w:r>
      <w:r w:rsidRPr="249CC9F3" w:rsidR="0B739416">
        <w:rPr>
          <w:rFonts w:ascii="Calibri" w:hAnsi="Calibri" w:eastAsia="Times New Roman" w:cs="Calibri"/>
          <w:i w:val="1"/>
          <w:iCs w:val="1"/>
          <w:sz w:val="24"/>
          <w:szCs w:val="24"/>
        </w:rPr>
        <w:t>.</w:t>
      </w:r>
      <w:r w:rsidRPr="249CC9F3" w:rsidR="0B739416">
        <w:rPr>
          <w:rFonts w:ascii="Calibri" w:hAnsi="Calibri" w:eastAsia="Times New Roman" w:cs="Calibri"/>
          <w:sz w:val="24"/>
          <w:szCs w:val="24"/>
        </w:rPr>
        <w:t> </w:t>
      </w:r>
    </w:p>
    <w:p w:rsidR="00EB7A10" w:rsidP="005A1FD4" w:rsidRDefault="00EB7A10" w14:paraId="3370896E" w14:textId="77777777">
      <w:pPr>
        <w:spacing w:after="0" w:line="276" w:lineRule="auto"/>
        <w:textAlignment w:val="baseline"/>
        <w:rPr>
          <w:rFonts w:ascii="Calibri" w:hAnsi="Calibri" w:eastAsia="Times New Roman" w:cs="Calibri"/>
          <w:i/>
          <w:iCs/>
          <w:sz w:val="24"/>
          <w:szCs w:val="24"/>
        </w:rPr>
      </w:pPr>
    </w:p>
    <w:p w:rsidR="000941E8" w:rsidP="005A1FD4" w:rsidRDefault="000941E8" w14:paraId="7EEB55F3" w14:textId="42683971">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i/>
          <w:iCs/>
          <w:sz w:val="24"/>
          <w:szCs w:val="24"/>
        </w:rPr>
        <w:t>(16) The provision of other extraordinary or emergency assistance needed to enable homeless children and youths to attend school and participate fully in school activities.</w:t>
      </w:r>
      <w:r w:rsidRPr="000941E8">
        <w:rPr>
          <w:rFonts w:ascii="Calibri" w:hAnsi="Calibri" w:eastAsia="Times New Roman" w:cs="Calibri"/>
          <w:sz w:val="24"/>
          <w:szCs w:val="24"/>
        </w:rPr>
        <w:t> </w:t>
      </w:r>
    </w:p>
    <w:p w:rsidRPr="000941E8" w:rsidR="005F5628" w:rsidP="005A1FD4" w:rsidRDefault="005F5628" w14:paraId="13CCFF1F" w14:textId="77777777">
      <w:pPr>
        <w:spacing w:after="0" w:line="276" w:lineRule="auto"/>
        <w:textAlignment w:val="baseline"/>
        <w:rPr>
          <w:rFonts w:ascii="Segoe UI" w:hAnsi="Segoe UI" w:eastAsia="Times New Roman" w:cs="Segoe UI"/>
          <w:sz w:val="18"/>
          <w:szCs w:val="18"/>
        </w:rPr>
      </w:pPr>
    </w:p>
    <w:p w:rsidR="249CC9F3" w:rsidP="249CC9F3" w:rsidRDefault="249CC9F3" w14:paraId="1346D2F3" w14:textId="1EBA47E0">
      <w:pPr>
        <w:spacing w:after="0" w:line="276" w:lineRule="auto"/>
        <w:rPr>
          <w:rFonts w:ascii="Calibri" w:hAnsi="Calibri" w:eastAsia="Times New Roman" w:cs="Calibri"/>
          <w:b w:val="1"/>
          <w:bCs w:val="1"/>
          <w:sz w:val="24"/>
          <w:szCs w:val="24"/>
        </w:rPr>
      </w:pPr>
    </w:p>
    <w:p w:rsidR="000941E8" w:rsidP="005A1FD4" w:rsidRDefault="000941E8" w14:paraId="254D3BBF" w14:textId="4A475002">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b/>
          <w:bCs/>
          <w:sz w:val="24"/>
          <w:szCs w:val="24"/>
        </w:rPr>
        <w:t>Costs charged to the McKinney-Vento grant must be (A) necessary and reasonable; (B) allocable to the grant award; and (C) legal. </w:t>
      </w:r>
      <w:r w:rsidRPr="000941E8">
        <w:rPr>
          <w:rFonts w:ascii="Calibri" w:hAnsi="Calibri" w:eastAsia="Times New Roman" w:cs="Calibri"/>
          <w:sz w:val="24"/>
          <w:szCs w:val="24"/>
        </w:rPr>
        <w:t> </w:t>
      </w:r>
    </w:p>
    <w:p w:rsidRPr="000941E8" w:rsidR="005F5628" w:rsidP="005A1FD4" w:rsidRDefault="005F5628" w14:paraId="1A257FCE" w14:textId="77777777">
      <w:pPr>
        <w:spacing w:after="0" w:line="276" w:lineRule="auto"/>
        <w:textAlignment w:val="baseline"/>
        <w:rPr>
          <w:rFonts w:ascii="Segoe UI" w:hAnsi="Segoe UI" w:eastAsia="Times New Roman" w:cs="Segoe UI"/>
          <w:sz w:val="18"/>
          <w:szCs w:val="18"/>
        </w:rPr>
      </w:pPr>
    </w:p>
    <w:p w:rsidRPr="000941E8" w:rsidR="005F5628" w:rsidP="3A432679" w:rsidRDefault="000941E8" w14:paraId="30CA27F6" w14:textId="4E44CBF1">
      <w:pPr>
        <w:pStyle w:val="ListParagraph"/>
        <w:numPr>
          <w:ilvl w:val="0"/>
          <w:numId w:val="16"/>
        </w:numPr>
        <w:spacing w:after="120" w:line="276" w:lineRule="auto"/>
        <w:contextualSpacing w:val="0"/>
        <w:textAlignment w:val="baseline"/>
        <w:rPr>
          <w:rFonts w:ascii="Calibri" w:hAnsi="Calibri" w:eastAsia="Calibri" w:cs="Calibri"/>
          <w:sz w:val="24"/>
          <w:szCs w:val="24"/>
        </w:rPr>
      </w:pPr>
      <w:r w:rsidRPr="3A432679" w:rsidR="334B5C3A">
        <w:rPr>
          <w:rFonts w:ascii="Calibri" w:hAnsi="Calibri" w:eastAsia="Calibri" w:cs="Calibri"/>
          <w:b w:val="1"/>
          <w:bCs w:val="1"/>
          <w:sz w:val="24"/>
          <w:szCs w:val="24"/>
        </w:rPr>
        <w:t>Necessary and reasonable means the proposed expenditure must meet the program's purpose and be of reasonable cost.</w:t>
      </w:r>
      <w:r w:rsidRPr="3A432679" w:rsidR="472B664A">
        <w:rPr>
          <w:rFonts w:ascii="Calibri" w:hAnsi="Calibri" w:eastAsia="Calibri" w:cs="Calibri"/>
          <w:sz w:val="24"/>
          <w:szCs w:val="24"/>
        </w:rPr>
        <w:t xml:space="preserve"> Guidance from the program will help </w:t>
      </w:r>
      <w:r w:rsidRPr="3A432679" w:rsidR="472B664A">
        <w:rPr>
          <w:rFonts w:ascii="Calibri" w:hAnsi="Calibri" w:eastAsia="Calibri" w:cs="Calibri"/>
          <w:sz w:val="24"/>
          <w:szCs w:val="24"/>
        </w:rPr>
        <w:t>determine</w:t>
      </w:r>
      <w:r w:rsidRPr="3A432679" w:rsidR="472B664A">
        <w:rPr>
          <w:rFonts w:ascii="Calibri" w:hAnsi="Calibri" w:eastAsia="Calibri" w:cs="Calibri"/>
          <w:sz w:val="24"/>
          <w:szCs w:val="24"/>
        </w:rPr>
        <w:t> if costs are </w:t>
      </w:r>
      <w:r w:rsidRPr="3A432679" w:rsidR="472B664A">
        <w:rPr>
          <w:rFonts w:ascii="Calibri" w:hAnsi="Calibri" w:eastAsia="Calibri" w:cs="Calibri"/>
          <w:sz w:val="24"/>
          <w:szCs w:val="24"/>
        </w:rPr>
        <w:t>appropriate</w:t>
      </w:r>
      <w:r w:rsidRPr="3A432679" w:rsidR="472B664A">
        <w:rPr>
          <w:rFonts w:ascii="Calibri" w:hAnsi="Calibri" w:eastAsia="Calibri" w:cs="Calibri"/>
          <w:sz w:val="24"/>
          <w:szCs w:val="24"/>
        </w:rPr>
        <w:t>. Some programs, including the McKinney-Vento grant, have specific allowable and nonallowable costs </w:t>
      </w:r>
      <w:r w:rsidRPr="3A432679" w:rsidR="472B664A">
        <w:rPr>
          <w:rFonts w:ascii="Calibri" w:hAnsi="Calibri" w:eastAsia="Calibri" w:cs="Calibri"/>
          <w:sz w:val="24"/>
          <w:szCs w:val="24"/>
        </w:rPr>
        <w:t>identified</w:t>
      </w:r>
      <w:r w:rsidRPr="3A432679" w:rsidR="472B664A">
        <w:rPr>
          <w:rFonts w:ascii="Calibri" w:hAnsi="Calibri" w:eastAsia="Calibri" w:cs="Calibri"/>
          <w:sz w:val="24"/>
          <w:szCs w:val="24"/>
        </w:rPr>
        <w:t> in the statute, guidance, or regulations.  </w:t>
      </w:r>
    </w:p>
    <w:p w:rsidRPr="005F5628" w:rsidR="005F5628" w:rsidP="3A432679" w:rsidRDefault="000941E8" w14:paraId="7E994B4D" w14:textId="77777777">
      <w:pPr>
        <w:pStyle w:val="ListParagraph"/>
        <w:numPr>
          <w:ilvl w:val="0"/>
          <w:numId w:val="16"/>
        </w:numPr>
        <w:spacing w:before="120" w:after="120" w:line="276" w:lineRule="auto"/>
        <w:contextualSpacing w:val="0"/>
        <w:textAlignment w:val="baseline"/>
        <w:rPr>
          <w:rFonts w:ascii="Calibri" w:hAnsi="Calibri" w:eastAsia="Calibri" w:cs="Calibri"/>
          <w:sz w:val="24"/>
          <w:szCs w:val="24"/>
        </w:rPr>
      </w:pPr>
      <w:r w:rsidRPr="3A432679" w:rsidR="472B664A">
        <w:rPr>
          <w:rFonts w:ascii="Calibri" w:hAnsi="Calibri" w:eastAsia="Calibri" w:cs="Calibri"/>
          <w:b w:val="1"/>
          <w:bCs w:val="1"/>
          <w:sz w:val="24"/>
          <w:szCs w:val="24"/>
        </w:rPr>
        <w:t>Allocable cost</w:t>
      </w:r>
      <w:r w:rsidRPr="3A432679" w:rsidR="472B664A">
        <w:rPr>
          <w:rFonts w:ascii="Calibri" w:hAnsi="Calibri" w:eastAsia="Calibri" w:cs="Calibri"/>
          <w:sz w:val="24"/>
          <w:szCs w:val="24"/>
        </w:rPr>
        <w:t> means the funding program must receive the benefit.  </w:t>
      </w:r>
    </w:p>
    <w:p w:rsidRPr="005F5628" w:rsidR="000941E8" w:rsidP="3A432679" w:rsidRDefault="000941E8" w14:paraId="27B56C50" w14:textId="36E7860A">
      <w:pPr>
        <w:pStyle w:val="ListParagraph"/>
        <w:numPr>
          <w:ilvl w:val="0"/>
          <w:numId w:val="16"/>
        </w:numPr>
        <w:spacing w:after="0" w:line="276" w:lineRule="auto"/>
        <w:textAlignment w:val="baseline"/>
        <w:rPr>
          <w:rFonts w:ascii="Segoe UI" w:hAnsi="Segoe UI" w:eastAsia="Times New Roman" w:cs="Segoe UI"/>
          <w:sz w:val="24"/>
          <w:szCs w:val="24"/>
        </w:rPr>
      </w:pPr>
      <w:r w:rsidRPr="3A432679" w:rsidR="472B664A">
        <w:rPr>
          <w:rFonts w:ascii="Calibri" w:hAnsi="Calibri" w:eastAsia="Calibri" w:cs="Calibri"/>
          <w:b w:val="1"/>
          <w:bCs w:val="1"/>
          <w:sz w:val="24"/>
          <w:szCs w:val="24"/>
        </w:rPr>
        <w:t>Legal costs</w:t>
      </w:r>
      <w:r w:rsidRPr="3A432679" w:rsidR="472B664A">
        <w:rPr>
          <w:rFonts w:ascii="Calibri" w:hAnsi="Calibri" w:eastAsia="Calibri" w:cs="Calibri"/>
          <w:sz w:val="24"/>
          <w:szCs w:val="24"/>
        </w:rPr>
        <w:t> for Federal programs are defined in 2 CFR Part 200.435. In addition, </w:t>
      </w:r>
      <w:r w:rsidRPr="3A432679" w:rsidR="3C9DA834">
        <w:rPr>
          <w:rFonts w:ascii="Calibri" w:hAnsi="Calibri" w:eastAsia="Calibri" w:cs="Calibri"/>
          <w:sz w:val="24"/>
          <w:szCs w:val="24"/>
        </w:rPr>
        <w:t>all</w:t>
      </w:r>
      <w:r w:rsidRPr="3A432679" w:rsidR="472B664A">
        <w:rPr>
          <w:rFonts w:ascii="Calibri" w:hAnsi="Calibri" w:eastAsia="Calibri" w:cs="Calibri"/>
          <w:sz w:val="24"/>
          <w:szCs w:val="24"/>
        </w:rPr>
        <w:t> Federal programs have a “supplement, not supplant” requirement. This means that Federal grant funds must be used to enhance the existing educational program and not to substitute for state or local funds or services that would otherwise be used.  </w:t>
      </w:r>
    </w:p>
    <w:p w:rsidR="005F5628" w:rsidP="000941E8" w:rsidRDefault="005F5628" w14:paraId="11850EA6" w14:textId="77777777">
      <w:pPr>
        <w:spacing w:after="0" w:line="240" w:lineRule="auto"/>
        <w:textAlignment w:val="baseline"/>
        <w:rPr>
          <w:rFonts w:ascii="Calibri" w:hAnsi="Calibri" w:eastAsia="Times New Roman" w:cs="Calibri"/>
          <w:sz w:val="24"/>
          <w:szCs w:val="24"/>
        </w:rPr>
      </w:pPr>
    </w:p>
    <w:p w:rsidR="000941E8" w:rsidP="005A1FD4" w:rsidRDefault="000941E8" w14:paraId="76090FE7" w14:textId="16F77AB5">
      <w:pPr>
        <w:spacing w:after="0" w:line="276" w:lineRule="auto"/>
        <w:textAlignment w:val="baseline"/>
        <w:rPr>
          <w:rFonts w:ascii="Calibri" w:hAnsi="Calibri" w:eastAsia="Times New Roman" w:cs="Calibri"/>
          <w:sz w:val="24"/>
          <w:szCs w:val="24"/>
        </w:rPr>
      </w:pPr>
      <w:r w:rsidRPr="3A432679" w:rsidR="0D1EAFF5">
        <w:rPr>
          <w:rFonts w:ascii="Calibri" w:hAnsi="Calibri" w:eastAsia="Times New Roman" w:cs="Calibri"/>
          <w:b w:val="1"/>
          <w:bCs w:val="1"/>
          <w:sz w:val="24"/>
          <w:szCs w:val="24"/>
        </w:rPr>
        <w:t>The general rule asks: Would this program or service be required without these Federal funds?</w:t>
      </w:r>
      <w:r w:rsidRPr="3A432679" w:rsidR="472B664A">
        <w:rPr>
          <w:rFonts w:ascii="Calibri" w:hAnsi="Calibri" w:eastAsia="Times New Roman" w:cs="Calibri"/>
          <w:sz w:val="24"/>
          <w:szCs w:val="24"/>
        </w:rPr>
        <w:t> If the answer is yes, then Federal funds may only be used to supplement the required program. </w:t>
      </w:r>
    </w:p>
    <w:p w:rsidRPr="000941E8" w:rsidR="000941E8" w:rsidP="000941E8" w:rsidRDefault="000941E8" w14:paraId="79F6CA0F" w14:textId="77777777">
      <w:pPr>
        <w:spacing w:after="0" w:line="240" w:lineRule="auto"/>
        <w:textAlignment w:val="baseline"/>
        <w:rPr>
          <w:rFonts w:ascii="Segoe UI" w:hAnsi="Segoe UI" w:eastAsia="Times New Roman" w:cs="Segoe UI"/>
          <w:sz w:val="18"/>
          <w:szCs w:val="18"/>
        </w:rPr>
      </w:pPr>
    </w:p>
    <w:p w:rsidRPr="000941E8" w:rsidR="000941E8" w:rsidP="00DC1B38" w:rsidRDefault="000941E8" w14:paraId="54B3FEC3" w14:textId="77777777">
      <w:pPr>
        <w:pStyle w:val="ODEHeader3"/>
        <w:spacing w:after="120"/>
        <w:rPr>
          <w:rFonts w:ascii="Segoe UI" w:hAnsi="Segoe UI" w:cs="Segoe UI"/>
          <w:sz w:val="18"/>
          <w:szCs w:val="18"/>
        </w:rPr>
      </w:pPr>
      <w:bookmarkStart w:name="_Toc1396271683" w:id="342200584"/>
      <w:r w:rsidR="78513079">
        <w:rPr/>
        <w:t>Resources on Allowable Uses</w:t>
      </w:r>
      <w:bookmarkEnd w:id="342200584"/>
      <w:r w:rsidR="78513079">
        <w:rPr/>
        <w:t> </w:t>
      </w:r>
    </w:p>
    <w:p w:rsidR="000941E8" w:rsidP="005A1FD4" w:rsidRDefault="000941E8" w14:paraId="184163C5" w14:textId="2DF3ED1D">
      <w:pPr>
        <w:spacing w:before="120"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 xml:space="preserve">The National Center for Homeless Education </w:t>
      </w:r>
      <w:r w:rsidR="005F5628">
        <w:rPr>
          <w:rFonts w:ascii="Calibri" w:hAnsi="Calibri" w:eastAsia="Times New Roman" w:cs="Calibri"/>
          <w:sz w:val="24"/>
          <w:szCs w:val="24"/>
        </w:rPr>
        <w:t xml:space="preserve">(NCHE) </w:t>
      </w:r>
      <w:r w:rsidRPr="000941E8">
        <w:rPr>
          <w:rFonts w:ascii="Calibri" w:hAnsi="Calibri" w:eastAsia="Times New Roman" w:cs="Calibri"/>
          <w:sz w:val="24"/>
          <w:szCs w:val="24"/>
        </w:rPr>
        <w:t>has a </w:t>
      </w:r>
      <w:hyperlink w:tgtFrame="_blank" w:history="1" r:id="rId12">
        <w:r w:rsidRPr="000941E8">
          <w:rPr>
            <w:rFonts w:ascii="Corbel" w:hAnsi="Corbel" w:eastAsia="Times New Roman" w:cs="Segoe UI"/>
            <w:color w:val="0070C0"/>
            <w:sz w:val="24"/>
            <w:szCs w:val="24"/>
            <w:u w:val="single"/>
          </w:rPr>
          <w:t>Use-of-Funds Tip Sheet</w:t>
        </w:r>
      </w:hyperlink>
      <w:r w:rsidRPr="000941E8">
        <w:rPr>
          <w:rFonts w:ascii="Calibri" w:hAnsi="Calibri" w:eastAsia="Times New Roman" w:cs="Calibri"/>
          <w:color w:val="0070C0"/>
          <w:sz w:val="24"/>
          <w:szCs w:val="24"/>
        </w:rPr>
        <w:t> </w:t>
      </w:r>
      <w:r w:rsidRPr="000941E8">
        <w:rPr>
          <w:rFonts w:ascii="Calibri" w:hAnsi="Calibri" w:eastAsia="Times New Roman" w:cs="Calibri"/>
          <w:sz w:val="24"/>
          <w:szCs w:val="24"/>
        </w:rPr>
        <w:t>that provides LEAs with guiding questions to assist them in determining how to spend their McKinney-Vento funds.  </w:t>
      </w:r>
    </w:p>
    <w:p w:rsidRPr="000941E8" w:rsidR="000941E8" w:rsidP="005A1FD4" w:rsidRDefault="000941E8" w14:paraId="5CBFCE8F" w14:textId="77777777">
      <w:pPr>
        <w:spacing w:after="0" w:line="276" w:lineRule="auto"/>
        <w:textAlignment w:val="baseline"/>
        <w:rPr>
          <w:rFonts w:ascii="Segoe UI" w:hAnsi="Segoe UI" w:eastAsia="Times New Roman" w:cs="Segoe UI"/>
          <w:sz w:val="18"/>
          <w:szCs w:val="18"/>
        </w:rPr>
      </w:pPr>
    </w:p>
    <w:p w:rsidRPr="000941E8" w:rsidR="000941E8" w:rsidP="005A1FD4" w:rsidRDefault="000941E8" w14:paraId="1F9D49BF" w14:textId="3D918330">
      <w:pPr>
        <w:pStyle w:val="ODEHeader3"/>
        <w:spacing w:line="276" w:lineRule="auto"/>
        <w:rPr>
          <w:rFonts w:ascii="Segoe UI" w:hAnsi="Segoe UI" w:cs="Segoe UI"/>
          <w:sz w:val="18"/>
          <w:szCs w:val="18"/>
        </w:rPr>
      </w:pPr>
      <w:bookmarkStart w:name="_Toc1048552690" w:id="1615021204"/>
      <w:r w:rsidR="6F4AB5AB">
        <w:rPr/>
        <w:t>Prohibition</w:t>
      </w:r>
      <w:r w:rsidR="6F4AB5AB">
        <w:rPr/>
        <w:t xml:space="preserve"> of </w:t>
      </w:r>
      <w:r w:rsidR="78513079">
        <w:rPr/>
        <w:t>Supplanting with Federal Funds</w:t>
      </w:r>
      <w:bookmarkEnd w:id="1615021204"/>
      <w:r w:rsidR="78513079">
        <w:rPr/>
        <w:t> </w:t>
      </w:r>
    </w:p>
    <w:p w:rsidR="000941E8" w:rsidP="005A1FD4" w:rsidRDefault="000941E8" w14:paraId="7022DB4E" w14:textId="77777777">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Supplanting occurs when federal McKinney-Vento dollars replace what is typically paid for by local/state dollars to support the program. If McKinney-Vento funds provided a service that the LEA is required to provide under local or state law, supplanting would occur.  </w:t>
      </w:r>
    </w:p>
    <w:p w:rsidRPr="000941E8" w:rsidR="005B52C6" w:rsidP="005A1FD4" w:rsidRDefault="005B52C6" w14:paraId="368D08CF" w14:textId="77777777">
      <w:pPr>
        <w:spacing w:after="0" w:line="276" w:lineRule="auto"/>
        <w:textAlignment w:val="baseline"/>
        <w:rPr>
          <w:rFonts w:ascii="Segoe UI" w:hAnsi="Segoe UI" w:eastAsia="Times New Roman" w:cs="Segoe UI"/>
          <w:sz w:val="18"/>
          <w:szCs w:val="18"/>
        </w:rPr>
      </w:pPr>
    </w:p>
    <w:p w:rsidR="000941E8" w:rsidP="005A1FD4" w:rsidRDefault="000941E8" w14:paraId="04444503" w14:textId="1ED26B86">
      <w:pPr>
        <w:spacing w:after="0" w:line="276" w:lineRule="auto"/>
        <w:textAlignment w:val="baseline"/>
        <w:rPr>
          <w:rFonts w:ascii="Calibri" w:hAnsi="Calibri" w:eastAsia="Times New Roman" w:cs="Calibri"/>
          <w:sz w:val="24"/>
          <w:szCs w:val="24"/>
        </w:rPr>
      </w:pPr>
      <w:r w:rsidRPr="54E03952" w:rsidR="09F52ABD">
        <w:rPr>
          <w:rFonts w:ascii="Calibri" w:hAnsi="Calibri" w:eastAsia="Times New Roman" w:cs="Calibri"/>
          <w:sz w:val="24"/>
          <w:szCs w:val="24"/>
        </w:rPr>
        <w:t xml:space="preserve">In other words, McKinney-Vento funds cannot be used for LEA’s general responsibilities. Federal McKinney-Vento funds must </w:t>
      </w:r>
      <w:r w:rsidRPr="54E03952" w:rsidR="09F52ABD">
        <w:rPr>
          <w:rFonts w:ascii="Calibri" w:hAnsi="Calibri" w:eastAsia="Times New Roman" w:cs="Calibri"/>
          <w:sz w:val="24"/>
          <w:szCs w:val="24"/>
        </w:rPr>
        <w:t>supplement, not supplant</w:t>
      </w:r>
      <w:r w:rsidRPr="54E03952" w:rsidR="09F52ABD">
        <w:rPr>
          <w:rFonts w:ascii="Calibri" w:hAnsi="Calibri" w:eastAsia="Times New Roman" w:cs="Calibri"/>
          <w:sz w:val="24"/>
          <w:szCs w:val="24"/>
        </w:rPr>
        <w:t xml:space="preserve"> local or state funds. The filter is always to </w:t>
      </w:r>
      <w:r w:rsidRPr="54E03952" w:rsidR="09F52ABD">
        <w:rPr>
          <w:rFonts w:ascii="Calibri" w:hAnsi="Calibri" w:eastAsia="Times New Roman" w:cs="Calibri"/>
          <w:sz w:val="24"/>
          <w:szCs w:val="24"/>
        </w:rPr>
        <w:t>demonstrate</w:t>
      </w:r>
      <w:r w:rsidRPr="54E03952" w:rsidR="09F52ABD">
        <w:rPr>
          <w:rFonts w:ascii="Calibri" w:hAnsi="Calibri" w:eastAsia="Times New Roman" w:cs="Calibri"/>
          <w:sz w:val="24"/>
          <w:szCs w:val="24"/>
        </w:rPr>
        <w:t xml:space="preserve"> that the expenditure of funds improves or expands program support for students navigating housing instability. In both cases, the expenditure of these funds must be </w:t>
      </w:r>
      <w:r w:rsidRPr="54E03952" w:rsidR="041A2CD3">
        <w:rPr>
          <w:rFonts w:ascii="Calibri" w:hAnsi="Calibri" w:eastAsia="Times New Roman" w:cs="Calibri"/>
          <w:sz w:val="24"/>
          <w:szCs w:val="24"/>
        </w:rPr>
        <w:t>in addition to</w:t>
      </w:r>
      <w:r w:rsidRPr="54E03952" w:rsidR="09F52ABD">
        <w:rPr>
          <w:rFonts w:ascii="Calibri" w:hAnsi="Calibri" w:eastAsia="Times New Roman" w:cs="Calibri"/>
          <w:sz w:val="24"/>
          <w:szCs w:val="24"/>
        </w:rPr>
        <w:t xml:space="preserve"> normal operational expenses.  </w:t>
      </w:r>
    </w:p>
    <w:p w:rsidRPr="000941E8" w:rsidR="005F5628" w:rsidP="005A1FD4" w:rsidRDefault="005F5628" w14:paraId="7975A85D" w14:textId="77777777">
      <w:pPr>
        <w:spacing w:after="0" w:line="276" w:lineRule="auto"/>
        <w:textAlignment w:val="baseline"/>
        <w:rPr>
          <w:rFonts w:ascii="Segoe UI" w:hAnsi="Segoe UI" w:eastAsia="Times New Roman" w:cs="Segoe UI"/>
          <w:sz w:val="18"/>
          <w:szCs w:val="18"/>
        </w:rPr>
      </w:pPr>
    </w:p>
    <w:p w:rsidRPr="000941E8" w:rsidR="000941E8" w:rsidP="005A1FD4" w:rsidRDefault="000941E8" w14:paraId="4A18395D" w14:textId="20F35987">
      <w:pPr>
        <w:spacing w:after="0" w:line="276" w:lineRule="auto"/>
        <w:textAlignment w:val="baseline"/>
        <w:rPr>
          <w:rFonts w:ascii="Segoe UI" w:hAnsi="Segoe UI" w:eastAsia="Times New Roman" w:cs="Segoe UI"/>
          <w:sz w:val="18"/>
          <w:szCs w:val="18"/>
        </w:rPr>
      </w:pPr>
      <w:r w:rsidRPr="3A432679" w:rsidR="472B664A">
        <w:rPr>
          <w:rFonts w:ascii="Calibri" w:hAnsi="Calibri" w:eastAsia="Times New Roman" w:cs="Calibri"/>
          <w:b w:val="1"/>
          <w:bCs w:val="1"/>
          <w:sz w:val="24"/>
          <w:szCs w:val="24"/>
        </w:rPr>
        <w:t>Example:</w:t>
      </w:r>
      <w:r w:rsidRPr="3A432679" w:rsidR="472B664A">
        <w:rPr>
          <w:rFonts w:ascii="Calibri" w:hAnsi="Calibri" w:eastAsia="Times New Roman" w:cs="Calibri"/>
          <w:sz w:val="24"/>
          <w:szCs w:val="24"/>
        </w:rPr>
        <w:t xml:space="preserve"> An LEA </w:t>
      </w:r>
      <w:r w:rsidRPr="3A432679" w:rsidR="0F15ECD3">
        <w:rPr>
          <w:rFonts w:ascii="Calibri" w:hAnsi="Calibri" w:eastAsia="Times New Roman" w:cs="Calibri"/>
          <w:sz w:val="24"/>
          <w:szCs w:val="24"/>
        </w:rPr>
        <w:t>paying</w:t>
      </w:r>
      <w:r w:rsidRPr="3A432679" w:rsidR="472B664A">
        <w:rPr>
          <w:rFonts w:ascii="Calibri" w:hAnsi="Calibri" w:eastAsia="Times New Roman" w:cs="Calibri"/>
          <w:sz w:val="24"/>
          <w:szCs w:val="24"/>
        </w:rPr>
        <w:t> full transportation to the school of origin when state </w:t>
      </w:r>
      <w:r w:rsidRPr="3A432679" w:rsidR="2FBE21D1">
        <w:rPr>
          <w:rFonts w:ascii="Calibri" w:hAnsi="Calibri" w:eastAsia="Times New Roman" w:cs="Calibri"/>
          <w:sz w:val="24"/>
          <w:szCs w:val="24"/>
        </w:rPr>
        <w:t>law</w:t>
      </w:r>
      <w:r w:rsidRPr="3A432679" w:rsidR="472B664A">
        <w:rPr>
          <w:rFonts w:ascii="Calibri" w:hAnsi="Calibri" w:eastAsia="Times New Roman" w:cs="Calibri"/>
          <w:sz w:val="24"/>
          <w:szCs w:val="24"/>
        </w:rPr>
        <w:t> mandates that the district </w:t>
      </w:r>
      <w:r w:rsidRPr="3A432679" w:rsidR="2898EA60">
        <w:rPr>
          <w:rFonts w:ascii="Calibri" w:hAnsi="Calibri" w:eastAsia="Times New Roman" w:cs="Calibri"/>
          <w:sz w:val="24"/>
          <w:szCs w:val="24"/>
        </w:rPr>
        <w:t>provides</w:t>
      </w:r>
      <w:r w:rsidRPr="3A432679" w:rsidR="472B664A">
        <w:rPr>
          <w:rFonts w:ascii="Calibri" w:hAnsi="Calibri" w:eastAsia="Times New Roman" w:cs="Calibri"/>
          <w:sz w:val="24"/>
          <w:szCs w:val="24"/>
        </w:rPr>
        <w:t> this transportation. Since the district is legally obligated to provide this service, using McKinney-Vento funds would replace (not supplement) state/local funds. </w:t>
      </w:r>
    </w:p>
    <w:p w:rsidR="000941E8" w:rsidP="006F2BCD" w:rsidRDefault="000941E8" w14:paraId="1E5D843F" w14:textId="6C6972BA">
      <w:pPr>
        <w:spacing w:after="0" w:line="276" w:lineRule="auto"/>
        <w:ind w:left="720"/>
        <w:textAlignment w:val="baseline"/>
        <w:rPr>
          <w:rFonts w:ascii="Calibri" w:hAnsi="Calibri" w:eastAsia="Times New Roman" w:cs="Calibri"/>
          <w:sz w:val="24"/>
          <w:szCs w:val="24"/>
        </w:rPr>
      </w:pPr>
      <w:r w:rsidRPr="3A432679" w:rsidR="472B664A">
        <w:rPr>
          <w:rFonts w:ascii="Calibri" w:hAnsi="Calibri" w:eastAsia="Times New Roman" w:cs="Calibri"/>
          <w:i w:val="1"/>
          <w:iCs w:val="1"/>
          <w:sz w:val="24"/>
          <w:szCs w:val="24"/>
        </w:rPr>
        <w:t>If it costs $75 dollars to transport a housed student and $125 to transport a student eligible for McKinney-Vento, the grant could pay only up to $50 of the excess costs. If LEA covers the full $125 transportation </w:t>
      </w:r>
      <w:r w:rsidRPr="3A432679" w:rsidR="5A7ECD8F">
        <w:rPr>
          <w:rFonts w:ascii="Calibri" w:hAnsi="Calibri" w:eastAsia="Times New Roman" w:cs="Calibri"/>
          <w:i w:val="1"/>
          <w:iCs w:val="1"/>
          <w:sz w:val="24"/>
          <w:szCs w:val="24"/>
        </w:rPr>
        <w:t>cost,</w:t>
      </w:r>
      <w:r w:rsidRPr="3A432679" w:rsidR="472B664A">
        <w:rPr>
          <w:rFonts w:ascii="Calibri" w:hAnsi="Calibri" w:eastAsia="Times New Roman" w:cs="Calibri"/>
          <w:i w:val="1"/>
          <w:iCs w:val="1"/>
          <w:sz w:val="24"/>
          <w:szCs w:val="24"/>
        </w:rPr>
        <w:t xml:space="preserve"> this </w:t>
      </w:r>
      <w:r w:rsidRPr="3A432679" w:rsidR="7BD112FE">
        <w:rPr>
          <w:rFonts w:ascii="Calibri" w:hAnsi="Calibri" w:eastAsia="Times New Roman" w:cs="Calibri"/>
          <w:i w:val="1"/>
          <w:iCs w:val="1"/>
          <w:sz w:val="24"/>
          <w:szCs w:val="24"/>
        </w:rPr>
        <w:t>will</w:t>
      </w:r>
      <w:r w:rsidRPr="3A432679" w:rsidR="472B664A">
        <w:rPr>
          <w:rFonts w:ascii="Calibri" w:hAnsi="Calibri" w:eastAsia="Times New Roman" w:cs="Calibri"/>
          <w:i w:val="1"/>
          <w:iCs w:val="1"/>
          <w:sz w:val="24"/>
          <w:szCs w:val="24"/>
        </w:rPr>
        <w:t xml:space="preserve"> replace rather than supplement, therefore this expense would be supplanting. </w:t>
      </w:r>
      <w:r w:rsidRPr="3A432679" w:rsidR="472B664A">
        <w:rPr>
          <w:rFonts w:ascii="Calibri" w:hAnsi="Calibri" w:eastAsia="Times New Roman" w:cs="Calibri"/>
          <w:sz w:val="24"/>
          <w:szCs w:val="24"/>
        </w:rPr>
        <w:t> </w:t>
      </w:r>
    </w:p>
    <w:p w:rsidRPr="000941E8" w:rsidR="000941E8" w:rsidP="005A1FD4" w:rsidRDefault="000941E8" w14:paraId="2C78C453" w14:textId="77777777">
      <w:pPr>
        <w:spacing w:after="0" w:line="276" w:lineRule="auto"/>
        <w:ind w:left="720"/>
        <w:textAlignment w:val="baseline"/>
        <w:rPr>
          <w:rFonts w:ascii="Segoe UI" w:hAnsi="Segoe UI" w:eastAsia="Times New Roman" w:cs="Segoe UI"/>
          <w:sz w:val="18"/>
          <w:szCs w:val="18"/>
        </w:rPr>
      </w:pPr>
    </w:p>
    <w:p w:rsidRPr="000941E8" w:rsidR="000941E8" w:rsidP="004A0B42" w:rsidRDefault="000941E8" w14:paraId="04A7281A" w14:textId="77777777">
      <w:pPr>
        <w:pStyle w:val="ODEHeader3"/>
        <w:rPr>
          <w:rFonts w:ascii="Segoe UI" w:hAnsi="Segoe UI" w:cs="Segoe UI"/>
          <w:sz w:val="18"/>
          <w:szCs w:val="18"/>
        </w:rPr>
      </w:pPr>
      <w:bookmarkStart w:name="_Toc140601261" w:id="870038968"/>
      <w:r w:rsidR="78513079">
        <w:rPr/>
        <w:t>Indirect/Administrative Costs</w:t>
      </w:r>
      <w:bookmarkEnd w:id="870038968"/>
      <w:r w:rsidR="78513079">
        <w:rPr/>
        <w:t>  </w:t>
      </w:r>
    </w:p>
    <w:p w:rsidR="000941E8" w:rsidP="000941E8" w:rsidRDefault="000941E8" w14:paraId="1BBA1E4D" w14:textId="69EB5053">
      <w:pPr>
        <w:spacing w:after="0" w:line="240" w:lineRule="auto"/>
        <w:textAlignment w:val="baseline"/>
        <w:rPr>
          <w:rFonts w:ascii="Calibri" w:hAnsi="Calibri" w:eastAsia="Times New Roman" w:cs="Calibri"/>
          <w:sz w:val="24"/>
          <w:szCs w:val="24"/>
        </w:rPr>
      </w:pPr>
      <w:r w:rsidRPr="249CC9F3" w:rsidR="264778E5">
        <w:rPr>
          <w:rFonts w:ascii="Calibri" w:hAnsi="Calibri" w:eastAsia="Times New Roman" w:cs="Calibri"/>
          <w:sz w:val="24"/>
          <w:szCs w:val="24"/>
        </w:rPr>
        <w:t>Grant Recipient may be reimbursed for indirect or administrative costs, as a percentage of funds disbursed under this specific grant, in an amount that does not exceed the grantee’s federally approved </w:t>
      </w:r>
      <w:r w:rsidRPr="249CC9F3" w:rsidR="264778E5">
        <w:rPr>
          <w:rFonts w:ascii="Calibri" w:hAnsi="Calibri" w:eastAsia="Times New Roman" w:cs="Calibri"/>
          <w:sz w:val="24"/>
          <w:szCs w:val="24"/>
        </w:rPr>
        <w:t>rate</w:t>
      </w:r>
      <w:r w:rsidRPr="249CC9F3" w:rsidR="264778E5">
        <w:rPr>
          <w:rFonts w:ascii="Calibri" w:hAnsi="Calibri" w:eastAsia="Times New Roman" w:cs="Calibri"/>
          <w:sz w:val="24"/>
          <w:szCs w:val="24"/>
        </w:rPr>
        <w:t xml:space="preserve"> at the time the cost was incurred.  </w:t>
      </w:r>
      <w:r w:rsidRPr="249CC9F3" w:rsidR="0B000780">
        <w:rPr>
          <w:rFonts w:ascii="Calibri" w:hAnsi="Calibri" w:eastAsia="Times New Roman" w:cs="Calibri"/>
          <w:sz w:val="24"/>
          <w:szCs w:val="24"/>
        </w:rPr>
        <w:t>If the grantee does not have a federally approved indirect cost rate, the de-</w:t>
      </w:r>
      <w:r w:rsidRPr="249CC9F3" w:rsidR="0B000780">
        <w:rPr>
          <w:rFonts w:ascii="Calibri" w:hAnsi="Calibri" w:eastAsia="Times New Roman" w:cs="Calibri"/>
          <w:sz w:val="24"/>
          <w:szCs w:val="24"/>
        </w:rPr>
        <w:t>mininimus</w:t>
      </w:r>
      <w:r w:rsidRPr="249CC9F3" w:rsidR="0B000780">
        <w:rPr>
          <w:rFonts w:ascii="Calibri" w:hAnsi="Calibri" w:eastAsia="Times New Roman" w:cs="Calibri"/>
          <w:sz w:val="24"/>
          <w:szCs w:val="24"/>
        </w:rPr>
        <w:t xml:space="preserve"> rate, up to 15%</w:t>
      </w:r>
      <w:r w:rsidRPr="249CC9F3" w:rsidR="0B000780">
        <w:rPr>
          <w:rFonts w:ascii="Calibri" w:hAnsi="Calibri" w:eastAsia="Times New Roman" w:cs="Calibri"/>
          <w:sz w:val="24"/>
          <w:szCs w:val="24"/>
        </w:rPr>
        <w:t>, may</w:t>
      </w:r>
      <w:r w:rsidRPr="249CC9F3" w:rsidR="0B000780">
        <w:rPr>
          <w:rFonts w:ascii="Calibri" w:hAnsi="Calibri" w:eastAsia="Times New Roman" w:cs="Calibri"/>
          <w:sz w:val="24"/>
          <w:szCs w:val="24"/>
        </w:rPr>
        <w:t xml:space="preserve"> be used. </w:t>
      </w:r>
    </w:p>
    <w:p w:rsidRPr="000941E8" w:rsidR="000941E8" w:rsidP="000941E8" w:rsidRDefault="000941E8" w14:paraId="010F49DC" w14:textId="77777777">
      <w:pPr>
        <w:spacing w:after="0" w:line="240" w:lineRule="auto"/>
        <w:textAlignment w:val="baseline"/>
        <w:rPr>
          <w:rFonts w:ascii="Segoe UI" w:hAnsi="Segoe UI" w:eastAsia="Times New Roman" w:cs="Segoe UI"/>
          <w:sz w:val="18"/>
          <w:szCs w:val="18"/>
        </w:rPr>
      </w:pPr>
    </w:p>
    <w:p w:rsidRPr="000941E8" w:rsidR="000941E8" w:rsidP="005E366A" w:rsidRDefault="000941E8" w14:paraId="4E2933EF" w14:textId="77777777">
      <w:pPr>
        <w:pStyle w:val="ODEHeader3"/>
        <w:spacing w:after="120"/>
        <w:rPr>
          <w:rFonts w:ascii="Segoe UI" w:hAnsi="Segoe UI" w:cs="Segoe UI"/>
          <w:sz w:val="18"/>
          <w:szCs w:val="18"/>
        </w:rPr>
      </w:pPr>
      <w:bookmarkStart w:name="_Toc1986142363" w:id="2097024370"/>
      <w:r w:rsidR="78513079">
        <w:rPr/>
        <w:t>General Education Provisions Act (GEPA)</w:t>
      </w:r>
      <w:bookmarkEnd w:id="2097024370"/>
      <w:r w:rsidR="78513079">
        <w:rPr/>
        <w:t>  </w:t>
      </w:r>
    </w:p>
    <w:p w:rsidR="000941E8" w:rsidP="000941E8" w:rsidRDefault="000941E8" w14:paraId="1DBA2800" w14:textId="77777777">
      <w:pPr>
        <w:spacing w:after="0" w:line="240"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The General Education Provisions Act (GEPA) requires recipients of federal grants to describe the steps they will take to ensure equitable access to, and participation in, federally assisted programs by addressing the special needs of students, teachers, and other program beneficiaries.  </w:t>
      </w:r>
    </w:p>
    <w:p w:rsidRPr="000941E8" w:rsidR="000941E8" w:rsidP="000941E8" w:rsidRDefault="000941E8" w14:paraId="5509411A" w14:textId="77777777">
      <w:pPr>
        <w:spacing w:after="0" w:line="240" w:lineRule="auto"/>
        <w:textAlignment w:val="baseline"/>
        <w:rPr>
          <w:rFonts w:ascii="Segoe UI" w:hAnsi="Segoe UI" w:eastAsia="Times New Roman" w:cs="Segoe UI"/>
          <w:sz w:val="18"/>
          <w:szCs w:val="18"/>
        </w:rPr>
      </w:pPr>
    </w:p>
    <w:p w:rsidRPr="000941E8" w:rsidR="000941E8" w:rsidP="005E366A" w:rsidRDefault="000941E8" w14:paraId="099D491E" w14:textId="77777777">
      <w:pPr>
        <w:pStyle w:val="ODEHeader2"/>
        <w:spacing w:after="120"/>
        <w:rPr>
          <w:rFonts w:ascii="Segoe UI" w:hAnsi="Segoe UI" w:cs="Segoe UI"/>
          <w:sz w:val="18"/>
          <w:szCs w:val="18"/>
        </w:rPr>
      </w:pPr>
      <w:bookmarkStart w:name="_Toc1684263646" w:id="604102521"/>
      <w:r w:rsidR="78513079">
        <w:rPr/>
        <w:t>2.3 Non-Allowable Uses of Funds</w:t>
      </w:r>
      <w:bookmarkEnd w:id="604102521"/>
      <w:r w:rsidR="78513079">
        <w:rPr/>
        <w:t> </w:t>
      </w:r>
    </w:p>
    <w:p w:rsidR="005F5628" w:rsidP="00047EBF" w:rsidRDefault="000941E8" w14:paraId="1D4F8F45" w14:textId="4CB3A4F6">
      <w:pPr>
        <w:spacing w:after="120" w:line="276" w:lineRule="auto"/>
        <w:textAlignment w:val="baseline"/>
        <w:rPr>
          <w:rFonts w:ascii="Calibri" w:hAnsi="Calibri" w:eastAsia="Times New Roman" w:cs="Calibri"/>
          <w:b/>
          <w:bCs/>
          <w:sz w:val="24"/>
          <w:szCs w:val="24"/>
        </w:rPr>
      </w:pPr>
      <w:r w:rsidRPr="000941E8">
        <w:rPr>
          <w:rFonts w:ascii="Calibri" w:hAnsi="Calibri" w:eastAsia="Times New Roman" w:cs="Calibri"/>
          <w:sz w:val="24"/>
          <w:szCs w:val="24"/>
        </w:rPr>
        <w:t>Non-allowable uses of McKinney-Vento funds refer to expenditures that do not directly support the removal of barriers for students and youth navigating housing instability or duplicate services already provided through other funding sources. These restrictions exist to ensure that funds are used exclusively for activities that address the unique educational needs of children and youth navigating housing instability, rather than for general school operations or unrelated expenses. </w:t>
      </w:r>
    </w:p>
    <w:p w:rsidRPr="000941E8" w:rsidR="000941E8" w:rsidP="00EB7A10" w:rsidRDefault="000941E8" w14:paraId="1F4699C4" w14:textId="5F135756">
      <w:pPr>
        <w:spacing w:after="120" w:line="240" w:lineRule="auto"/>
        <w:textAlignment w:val="baseline"/>
        <w:rPr>
          <w:rFonts w:ascii="Segoe UI" w:hAnsi="Segoe UI" w:eastAsia="Times New Roman" w:cs="Segoe UI"/>
          <w:sz w:val="18"/>
          <w:szCs w:val="18"/>
        </w:rPr>
      </w:pPr>
      <w:r w:rsidRPr="000941E8">
        <w:rPr>
          <w:rFonts w:ascii="Calibri" w:hAnsi="Calibri" w:eastAsia="Times New Roman" w:cs="Calibri"/>
          <w:b/>
          <w:bCs/>
          <w:sz w:val="24"/>
          <w:szCs w:val="24"/>
        </w:rPr>
        <w:t>Some examples of non-allowable uses of funds include:</w:t>
      </w:r>
      <w:r w:rsidRPr="000941E8">
        <w:rPr>
          <w:rFonts w:ascii="Calibri" w:hAnsi="Calibri" w:eastAsia="Times New Roman" w:cs="Calibri"/>
          <w:sz w:val="24"/>
          <w:szCs w:val="24"/>
        </w:rPr>
        <w:t> </w:t>
      </w:r>
    </w:p>
    <w:p w:rsidRPr="000941E8" w:rsidR="000941E8" w:rsidP="000F6161" w:rsidRDefault="000941E8" w14:paraId="7285B9F5" w14:textId="77777777">
      <w:pPr>
        <w:numPr>
          <w:ilvl w:val="0"/>
          <w:numId w:val="13"/>
        </w:numPr>
        <w:tabs>
          <w:tab w:val="num" w:pos="0"/>
          <w:tab w:val="left" w:pos="720"/>
        </w:tabs>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Capital expenses like building renovations or purchasing land.  </w:t>
      </w:r>
    </w:p>
    <w:p w:rsidRPr="000941E8" w:rsidR="000941E8" w:rsidP="000F6161" w:rsidRDefault="000941E8" w14:paraId="0F3BF055" w14:textId="77777777">
      <w:pPr>
        <w:numPr>
          <w:ilvl w:val="0"/>
          <w:numId w:val="14"/>
        </w:numPr>
        <w:tabs>
          <w:tab w:val="num" w:pos="0"/>
          <w:tab w:val="left" w:pos="720"/>
        </w:tabs>
        <w:spacing w:after="0" w:line="276" w:lineRule="auto"/>
        <w:textAlignment w:val="baseline"/>
        <w:rPr>
          <w:rFonts w:ascii="Calibri" w:hAnsi="Calibri" w:eastAsia="Times New Roman" w:cs="Calibri"/>
          <w:sz w:val="24"/>
          <w:szCs w:val="24"/>
        </w:rPr>
      </w:pPr>
      <w:r w:rsidRPr="3A432679" w:rsidR="472B664A">
        <w:rPr>
          <w:rFonts w:ascii="Calibri" w:hAnsi="Calibri" w:eastAsia="Times New Roman" w:cs="Calibri"/>
          <w:sz w:val="24"/>
          <w:szCs w:val="24"/>
        </w:rPr>
        <w:t>Long-term housing, rent payments, or hotel/motel short stays.  </w:t>
      </w:r>
    </w:p>
    <w:p w:rsidRPr="00CA21CA" w:rsidR="00047EBF" w:rsidP="3A432679" w:rsidRDefault="000941E8" w14:paraId="134D9E8F" w14:textId="250BF213">
      <w:pPr>
        <w:numPr>
          <w:ilvl w:val="0"/>
          <w:numId w:val="15"/>
        </w:numPr>
        <w:tabs>
          <w:tab w:val="num" w:pos="0"/>
          <w:tab w:val="left" w:pos="720"/>
        </w:tabs>
        <w:spacing w:after="0" w:line="240" w:lineRule="auto"/>
        <w:textAlignment w:val="baseline"/>
        <w:rPr>
          <w:rFonts w:ascii="Calibri" w:hAnsi="Calibri" w:eastAsia="Times New Roman" w:cs="Calibri"/>
          <w:b w:val="1"/>
          <w:bCs w:val="1"/>
          <w:color w:val="0070C0"/>
          <w:sz w:val="24"/>
          <w:szCs w:val="24"/>
        </w:rPr>
      </w:pPr>
      <w:r w:rsidRPr="3A432679" w:rsidR="472B664A">
        <w:rPr>
          <w:rFonts w:ascii="Calibri" w:hAnsi="Calibri" w:eastAsia="Times New Roman" w:cs="Calibri"/>
          <w:sz w:val="24"/>
          <w:szCs w:val="24"/>
        </w:rPr>
        <w:t>General administrative costs </w:t>
      </w:r>
      <w:r w:rsidRPr="3A432679" w:rsidR="6277D998">
        <w:rPr>
          <w:rFonts w:ascii="Calibri" w:hAnsi="Calibri" w:eastAsia="Times New Roman" w:cs="Calibri"/>
          <w:sz w:val="24"/>
          <w:szCs w:val="24"/>
        </w:rPr>
        <w:t>are unrelated</w:t>
      </w:r>
      <w:r w:rsidRPr="3A432679" w:rsidR="472B664A">
        <w:rPr>
          <w:rFonts w:ascii="Calibri" w:hAnsi="Calibri" w:eastAsia="Times New Roman" w:cs="Calibri"/>
          <w:sz w:val="24"/>
          <w:szCs w:val="24"/>
        </w:rPr>
        <w:t> to homeless education services. </w:t>
      </w:r>
    </w:p>
    <w:p w:rsidRPr="00CA21CA" w:rsidR="00CA21CA" w:rsidP="00CA21CA" w:rsidRDefault="00CA21CA" w14:paraId="0C94526D" w14:textId="77777777">
      <w:pPr>
        <w:tabs>
          <w:tab w:val="left" w:pos="720"/>
        </w:tabs>
        <w:spacing w:after="0" w:line="240" w:lineRule="auto"/>
        <w:ind w:left="720"/>
        <w:textAlignment w:val="baseline"/>
        <w:rPr>
          <w:rFonts w:ascii="Calibri" w:hAnsi="Calibri" w:eastAsia="Times New Roman" w:cs="Calibri"/>
          <w:b/>
          <w:bCs/>
          <w:color w:val="0070C0"/>
          <w:sz w:val="28"/>
          <w:szCs w:val="28"/>
        </w:rPr>
      </w:pPr>
    </w:p>
    <w:p w:rsidRPr="000941E8" w:rsidR="000941E8" w:rsidP="249CC9F3" w:rsidRDefault="000941E8" w14:paraId="7EF5A336" w14:textId="6F2E722D">
      <w:pPr>
        <w:pStyle w:val="ODEHeader3"/>
        <w:spacing w:after="120"/>
        <w:rPr>
          <w:rFonts w:ascii="Segoe UI" w:hAnsi="Segoe UI" w:cs="Segoe UI"/>
          <w:sz w:val="48"/>
          <w:szCs w:val="48"/>
        </w:rPr>
      </w:pPr>
      <w:bookmarkStart w:name="_Toc295307172" w:id="1891090570"/>
      <w:r w:rsidRPr="54E03952" w:rsidR="3982F55E">
        <w:rPr>
          <w:sz w:val="32"/>
          <w:szCs w:val="32"/>
        </w:rPr>
        <w:t xml:space="preserve">2.4 </w:t>
      </w:r>
      <w:r w:rsidRPr="54E03952" w:rsidR="78513079">
        <w:rPr>
          <w:sz w:val="32"/>
          <w:szCs w:val="32"/>
        </w:rPr>
        <w:t>Service Provisions</w:t>
      </w:r>
      <w:bookmarkEnd w:id="1891090570"/>
      <w:r w:rsidRPr="54E03952" w:rsidR="78513079">
        <w:rPr>
          <w:sz w:val="32"/>
          <w:szCs w:val="32"/>
        </w:rPr>
        <w:t> </w:t>
      </w:r>
      <w:r w:rsidRPr="54E03952" w:rsidR="78513079">
        <w:rPr>
          <w:sz w:val="48"/>
          <w:szCs w:val="48"/>
        </w:rPr>
        <w:t> </w:t>
      </w:r>
    </w:p>
    <w:p w:rsidRPr="000941E8" w:rsidR="000941E8" w:rsidP="007375CB" w:rsidRDefault="000941E8" w14:paraId="30834F92" w14:textId="77777777">
      <w:pPr>
        <w:spacing w:after="120" w:line="240" w:lineRule="auto"/>
        <w:textAlignment w:val="baseline"/>
        <w:rPr>
          <w:rFonts w:ascii="Segoe UI" w:hAnsi="Segoe UI" w:eastAsia="Times New Roman" w:cs="Segoe UI"/>
          <w:sz w:val="18"/>
          <w:szCs w:val="18"/>
        </w:rPr>
      </w:pPr>
      <w:r w:rsidRPr="000941E8">
        <w:rPr>
          <w:rFonts w:ascii="Calibri" w:hAnsi="Calibri" w:eastAsia="Times New Roman" w:cs="Calibri"/>
          <w:b/>
          <w:bCs/>
          <w:sz w:val="24"/>
          <w:szCs w:val="24"/>
        </w:rPr>
        <w:t>Under Section 723 of the McKinney-Vento Act, services provided:</w:t>
      </w:r>
      <w:r w:rsidRPr="000941E8">
        <w:rPr>
          <w:rFonts w:ascii="Calibri" w:hAnsi="Calibri" w:eastAsia="Times New Roman" w:cs="Calibri"/>
          <w:sz w:val="24"/>
          <w:szCs w:val="24"/>
        </w:rPr>
        <w:t> </w:t>
      </w:r>
    </w:p>
    <w:p w:rsidRPr="00CA21CA" w:rsidR="005E366A" w:rsidP="3A432679" w:rsidRDefault="000941E8" w14:paraId="55F07A9F" w14:textId="4D0CCDA5">
      <w:pPr>
        <w:pStyle w:val="ListParagraph"/>
        <w:numPr>
          <w:ilvl w:val="0"/>
          <w:numId w:val="18"/>
        </w:numPr>
        <w:spacing w:before="120" w:after="120" w:line="276" w:lineRule="auto"/>
        <w:contextualSpacing w:val="0"/>
        <w:textAlignment w:val="baseline"/>
        <w:rPr>
          <w:rFonts w:ascii="Segoe UI" w:hAnsi="Segoe UI" w:eastAsia="Times New Roman" w:cs="Segoe UI"/>
          <w:sz w:val="24"/>
          <w:szCs w:val="24"/>
        </w:rPr>
      </w:pPr>
      <w:r w:rsidRPr="3A432679" w:rsidR="472B664A">
        <w:rPr>
          <w:rFonts w:ascii="Calibri" w:hAnsi="Calibri" w:eastAsia="Times New Roman" w:cs="Calibri"/>
          <w:sz w:val="24"/>
          <w:szCs w:val="24"/>
        </w:rPr>
        <w:t>May be provided through programs on school grounds or at other facilities; </w:t>
      </w:r>
    </w:p>
    <w:p w:rsidRPr="005F5628" w:rsidR="000941E8" w:rsidP="3A432679" w:rsidRDefault="000941E8" w14:paraId="158F7C89" w14:textId="729B9438">
      <w:pPr>
        <w:pStyle w:val="ListParagraph"/>
        <w:numPr>
          <w:ilvl w:val="0"/>
          <w:numId w:val="18"/>
        </w:numPr>
        <w:spacing w:before="120" w:after="120" w:line="276" w:lineRule="auto"/>
        <w:contextualSpacing w:val="0"/>
        <w:textAlignment w:val="baseline"/>
        <w:rPr>
          <w:rFonts w:ascii="Segoe UI" w:hAnsi="Segoe UI" w:eastAsia="Times New Roman" w:cs="Segoe UI"/>
          <w:sz w:val="24"/>
          <w:szCs w:val="24"/>
        </w:rPr>
      </w:pPr>
      <w:r w:rsidRPr="3A432679" w:rsidR="472B664A">
        <w:rPr>
          <w:rFonts w:ascii="Calibri" w:hAnsi="Calibri" w:eastAsia="Times New Roman" w:cs="Calibri"/>
          <w:sz w:val="24"/>
          <w:szCs w:val="24"/>
        </w:rPr>
        <w:t xml:space="preserve">Shall, to the maximum extent practical, be provided through existing programs and mechanisms that integrate youth experiencing houselessness and their housed peers; </w:t>
      </w:r>
      <w:r w:rsidRPr="3A432679" w:rsidR="10831199">
        <w:rPr>
          <w:rFonts w:ascii="Calibri" w:hAnsi="Calibri" w:eastAsia="Times New Roman" w:cs="Calibri"/>
          <w:sz w:val="24"/>
          <w:szCs w:val="24"/>
        </w:rPr>
        <w:t>a</w:t>
      </w:r>
      <w:r w:rsidRPr="3A432679" w:rsidR="472B664A">
        <w:rPr>
          <w:rFonts w:ascii="Calibri" w:hAnsi="Calibri" w:eastAsia="Times New Roman" w:cs="Calibri"/>
          <w:sz w:val="24"/>
          <w:szCs w:val="24"/>
        </w:rPr>
        <w:t>nd  </w:t>
      </w:r>
    </w:p>
    <w:p w:rsidRPr="005F5628" w:rsidR="000941E8" w:rsidP="007375CB" w:rsidRDefault="000941E8" w14:paraId="3CA9619F" w14:textId="6A5FEDE0">
      <w:pPr>
        <w:pStyle w:val="ListParagraph"/>
        <w:numPr>
          <w:ilvl w:val="0"/>
          <w:numId w:val="18"/>
        </w:numPr>
        <w:spacing w:before="120" w:after="120" w:line="276" w:lineRule="auto"/>
        <w:contextualSpacing w:val="0"/>
        <w:textAlignment w:val="baseline"/>
        <w:rPr>
          <w:rFonts w:ascii="Calibri" w:hAnsi="Calibri" w:eastAsia="Times New Roman" w:cs="Calibri"/>
          <w:sz w:val="24"/>
          <w:szCs w:val="24"/>
        </w:rPr>
      </w:pPr>
      <w:r w:rsidRPr="005F5628">
        <w:rPr>
          <w:rFonts w:ascii="Calibri" w:hAnsi="Calibri" w:eastAsia="Times New Roman" w:cs="Calibri"/>
          <w:sz w:val="24"/>
          <w:szCs w:val="24"/>
        </w:rPr>
        <w:t>Shall be designed to expand or improve services provided as part of a district’s regular academic program, but not to replace such services provided under that program.  </w:t>
      </w:r>
    </w:p>
    <w:p w:rsidRPr="000941E8" w:rsidR="000941E8" w:rsidP="000941E8" w:rsidRDefault="000941E8" w14:paraId="79A8A512" w14:textId="77777777">
      <w:pPr>
        <w:spacing w:after="0" w:line="240" w:lineRule="auto"/>
        <w:textAlignment w:val="baseline"/>
        <w:rPr>
          <w:rFonts w:ascii="Segoe UI" w:hAnsi="Segoe UI" w:eastAsia="Times New Roman" w:cs="Segoe UI"/>
          <w:sz w:val="18"/>
          <w:szCs w:val="18"/>
        </w:rPr>
      </w:pPr>
    </w:p>
    <w:p w:rsidRPr="000941E8" w:rsidR="000941E8" w:rsidP="005E366A" w:rsidRDefault="000941E8" w14:paraId="4912E009" w14:textId="77777777">
      <w:pPr>
        <w:spacing w:line="240" w:lineRule="auto"/>
        <w:textAlignment w:val="baseline"/>
        <w:rPr>
          <w:rFonts w:ascii="Segoe UI" w:hAnsi="Segoe UI" w:eastAsia="Times New Roman" w:cs="Segoe UI"/>
          <w:sz w:val="18"/>
          <w:szCs w:val="18"/>
        </w:rPr>
      </w:pPr>
      <w:r w:rsidRPr="000941E8">
        <w:rPr>
          <w:rFonts w:ascii="Calibri" w:hAnsi="Calibri" w:eastAsia="Times New Roman" w:cs="Calibri"/>
          <w:b/>
          <w:bCs/>
          <w:sz w:val="24"/>
          <w:szCs w:val="24"/>
        </w:rPr>
        <w:t>If services are provided on school grounds, schools:</w:t>
      </w:r>
      <w:r w:rsidRPr="000941E8">
        <w:rPr>
          <w:rFonts w:ascii="Calibri" w:hAnsi="Calibri" w:eastAsia="Times New Roman" w:cs="Calibri"/>
          <w:sz w:val="24"/>
          <w:szCs w:val="24"/>
        </w:rPr>
        <w:t> </w:t>
      </w:r>
    </w:p>
    <w:p w:rsidR="005E366A" w:rsidP="00CA21CA" w:rsidRDefault="000941E8" w14:paraId="7FF04A3F" w14:textId="77777777">
      <w:pPr>
        <w:pStyle w:val="ListParagraph"/>
        <w:numPr>
          <w:ilvl w:val="0"/>
          <w:numId w:val="19"/>
        </w:numPr>
        <w:spacing w:before="120" w:after="120" w:line="276" w:lineRule="auto"/>
        <w:contextualSpacing w:val="0"/>
        <w:textAlignment w:val="baseline"/>
        <w:rPr>
          <w:rFonts w:ascii="Calibri" w:hAnsi="Calibri" w:eastAsia="Times New Roman" w:cs="Calibri"/>
          <w:sz w:val="24"/>
          <w:szCs w:val="24"/>
        </w:rPr>
      </w:pPr>
      <w:r w:rsidRPr="005E366A">
        <w:rPr>
          <w:rFonts w:ascii="Calibri" w:hAnsi="Calibri" w:eastAsia="Times New Roman" w:cs="Calibri"/>
          <w:sz w:val="24"/>
          <w:szCs w:val="24"/>
        </w:rPr>
        <w:t>May use funds under this grant to provide the same services to other children and youth who are determined by the district to be at risk of houselessness; and  </w:t>
      </w:r>
    </w:p>
    <w:p w:rsidRPr="005E366A" w:rsidR="000941E8" w:rsidP="00112970" w:rsidRDefault="000941E8" w14:paraId="7B001F33" w14:textId="3A30DF38">
      <w:pPr>
        <w:pStyle w:val="ListParagraph"/>
        <w:numPr>
          <w:ilvl w:val="0"/>
          <w:numId w:val="19"/>
        </w:numPr>
        <w:spacing w:before="240" w:after="0" w:line="276" w:lineRule="auto"/>
        <w:contextualSpacing w:val="0"/>
        <w:textAlignment w:val="baseline"/>
        <w:rPr>
          <w:rFonts w:ascii="Calibri" w:hAnsi="Calibri" w:eastAsia="Times New Roman" w:cs="Calibri"/>
          <w:sz w:val="24"/>
          <w:szCs w:val="24"/>
        </w:rPr>
      </w:pPr>
      <w:r w:rsidRPr="005E366A">
        <w:rPr>
          <w:rFonts w:ascii="Calibri" w:hAnsi="Calibri" w:eastAsia="Times New Roman" w:cs="Calibri"/>
          <w:sz w:val="24"/>
          <w:szCs w:val="24"/>
        </w:rPr>
        <w:t>Shall not provide services in settings that separate homeless children and youth from other students, except as necessary for short periods of time for health and safety emergencies, or to provide temporary, special, and supplementary services to meet the unique needs of students &amp; youth navigating housing instability.  </w:t>
      </w:r>
    </w:p>
    <w:p w:rsidRPr="000941E8" w:rsidR="000941E8" w:rsidP="000941E8" w:rsidRDefault="000941E8" w14:paraId="62CEEC72" w14:textId="77777777">
      <w:pPr>
        <w:spacing w:after="0" w:line="240" w:lineRule="auto"/>
        <w:textAlignment w:val="baseline"/>
        <w:rPr>
          <w:rFonts w:ascii="Segoe UI" w:hAnsi="Segoe UI" w:eastAsia="Times New Roman" w:cs="Segoe UI"/>
          <w:sz w:val="18"/>
          <w:szCs w:val="18"/>
        </w:rPr>
      </w:pPr>
    </w:p>
    <w:p w:rsidRPr="000941E8" w:rsidR="000941E8" w:rsidP="005F5628" w:rsidRDefault="000941E8" w14:paraId="4EB9F404" w14:textId="34407BD0">
      <w:pPr>
        <w:pStyle w:val="ODEHeader1"/>
        <w:numPr>
          <w:ilvl w:val="0"/>
          <w:numId w:val="0"/>
        </w:numPr>
        <w:rPr>
          <w:rFonts w:ascii="Segoe UI" w:hAnsi="Segoe UI" w:cs="Segoe UI"/>
          <w:sz w:val="18"/>
          <w:szCs w:val="18"/>
        </w:rPr>
      </w:pPr>
      <w:bookmarkStart w:name="_Toc81932236" w:id="128749800"/>
      <w:r w:rsidR="78513079">
        <w:rPr/>
        <w:t>3.</w:t>
      </w:r>
      <w:r w:rsidR="7E9F61A0">
        <w:rPr/>
        <w:t xml:space="preserve"> </w:t>
      </w:r>
      <w:r w:rsidR="78513079">
        <w:rPr/>
        <w:t>Program Administration</w:t>
      </w:r>
      <w:bookmarkEnd w:id="128749800"/>
      <w:r w:rsidR="78513079">
        <w:rPr/>
        <w:t> </w:t>
      </w:r>
    </w:p>
    <w:p w:rsidRPr="000941E8" w:rsidR="000941E8" w:rsidP="005E366A" w:rsidRDefault="000941E8" w14:paraId="4ED32D78" w14:textId="77777777">
      <w:pPr>
        <w:pStyle w:val="ODEHeader2"/>
        <w:spacing w:before="120" w:after="120"/>
        <w:rPr>
          <w:rFonts w:ascii="Segoe UI" w:hAnsi="Segoe UI" w:cs="Segoe UI"/>
          <w:sz w:val="18"/>
          <w:szCs w:val="18"/>
        </w:rPr>
      </w:pPr>
      <w:bookmarkStart w:name="_Toc1643451333" w:id="1948901156"/>
      <w:r w:rsidR="78513079">
        <w:rPr/>
        <w:t>3.1 Grant Reimbursement</w:t>
      </w:r>
      <w:bookmarkEnd w:id="1948901156"/>
      <w:r w:rsidR="78513079">
        <w:rPr/>
        <w:t> </w:t>
      </w:r>
    </w:p>
    <w:p w:rsidR="000941E8" w:rsidP="000F6161" w:rsidRDefault="000941E8" w14:paraId="168443A4" w14:textId="6E28439E">
      <w:pPr>
        <w:spacing w:after="0" w:line="276" w:lineRule="auto"/>
        <w:textAlignment w:val="baseline"/>
        <w:rPr>
          <w:rFonts w:ascii="Calibri" w:hAnsi="Calibri" w:eastAsia="Times New Roman" w:cs="Calibri"/>
          <w:sz w:val="24"/>
          <w:szCs w:val="24"/>
        </w:rPr>
      </w:pPr>
      <w:r w:rsidRPr="249CC9F3" w:rsidR="0B739416">
        <w:rPr>
          <w:rFonts w:ascii="Calibri" w:hAnsi="Calibri" w:eastAsia="Times New Roman" w:cs="Calibri"/>
          <w:sz w:val="24"/>
          <w:szCs w:val="24"/>
        </w:rPr>
        <w:t>McKinney-Vento grants </w:t>
      </w:r>
      <w:r w:rsidRPr="249CC9F3" w:rsidR="0B739416">
        <w:rPr>
          <w:rFonts w:ascii="Calibri" w:hAnsi="Calibri" w:eastAsia="Times New Roman" w:cs="Calibri"/>
          <w:sz w:val="24"/>
          <w:szCs w:val="24"/>
        </w:rPr>
        <w:t>operate</w:t>
      </w:r>
      <w:r w:rsidRPr="249CC9F3" w:rsidR="0B739416">
        <w:rPr>
          <w:rFonts w:ascii="Calibri" w:hAnsi="Calibri" w:eastAsia="Times New Roman" w:cs="Calibri"/>
          <w:sz w:val="24"/>
          <w:szCs w:val="24"/>
        </w:rPr>
        <w:t> on a </w:t>
      </w:r>
      <w:r w:rsidRPr="249CC9F3" w:rsidR="5F2C2AF0">
        <w:rPr>
          <w:rFonts w:ascii="Calibri" w:hAnsi="Calibri" w:eastAsia="Times New Roman" w:cs="Calibri"/>
          <w:sz w:val="24"/>
          <w:szCs w:val="24"/>
        </w:rPr>
        <w:t>reimbursement basis</w:t>
      </w:r>
      <w:r w:rsidRPr="249CC9F3" w:rsidR="0B739416">
        <w:rPr>
          <w:rFonts w:ascii="Calibri" w:hAnsi="Calibri" w:eastAsia="Times New Roman" w:cs="Calibri"/>
          <w:sz w:val="24"/>
          <w:szCs w:val="24"/>
        </w:rPr>
        <w:t xml:space="preserve"> only. There are no scheduled payments or advance payments. </w:t>
      </w:r>
      <w:r w:rsidRPr="249CC9F3" w:rsidR="4D6BD76B">
        <w:rPr>
          <w:rFonts w:ascii="Calibri" w:hAnsi="Calibri" w:eastAsia="Times New Roman" w:cs="Calibri"/>
          <w:sz w:val="24"/>
          <w:szCs w:val="24"/>
        </w:rPr>
        <w:t>Grantees</w:t>
      </w:r>
      <w:r w:rsidRPr="249CC9F3" w:rsidR="4D6BD76B">
        <w:rPr>
          <w:rFonts w:ascii="Calibri" w:hAnsi="Calibri" w:eastAsia="Times New Roman" w:cs="Calibri"/>
          <w:sz w:val="24"/>
          <w:szCs w:val="24"/>
        </w:rPr>
        <w:t xml:space="preserve"> </w:t>
      </w:r>
      <w:r w:rsidRPr="249CC9F3" w:rsidR="48DE311A">
        <w:rPr>
          <w:rFonts w:ascii="Calibri" w:hAnsi="Calibri" w:eastAsia="Times New Roman" w:cs="Calibri"/>
          <w:sz w:val="24"/>
          <w:szCs w:val="24"/>
        </w:rPr>
        <w:t>mu</w:t>
      </w:r>
      <w:r w:rsidRPr="249CC9F3" w:rsidR="48DE311A">
        <w:rPr>
          <w:rFonts w:ascii="Calibri" w:hAnsi="Calibri" w:eastAsia="Times New Roman" w:cs="Calibri"/>
          <w:sz w:val="24"/>
          <w:szCs w:val="24"/>
        </w:rPr>
        <w:t>st</w:t>
      </w:r>
      <w:r w:rsidRPr="249CC9F3" w:rsidR="4D6BD76B">
        <w:rPr>
          <w:rFonts w:ascii="Calibri" w:hAnsi="Calibri" w:eastAsia="Times New Roman" w:cs="Calibri"/>
          <w:sz w:val="24"/>
          <w:szCs w:val="24"/>
        </w:rPr>
        <w:t xml:space="preserve"> </w:t>
      </w:r>
      <w:r w:rsidRPr="249CC9F3" w:rsidR="4D6BD76B">
        <w:rPr>
          <w:rFonts w:ascii="Calibri" w:hAnsi="Calibri" w:eastAsia="Times New Roman" w:cs="Calibri"/>
          <w:sz w:val="24"/>
          <w:szCs w:val="24"/>
        </w:rPr>
        <w:t>request reimburseme</w:t>
      </w:r>
      <w:r w:rsidRPr="249CC9F3" w:rsidR="4D6BD76B">
        <w:rPr>
          <w:rFonts w:ascii="Calibri" w:hAnsi="Calibri" w:eastAsia="Times New Roman" w:cs="Calibri"/>
          <w:sz w:val="24"/>
          <w:szCs w:val="24"/>
        </w:rPr>
        <w:t>n</w:t>
      </w:r>
      <w:r w:rsidRPr="249CC9F3" w:rsidR="4D6BD76B">
        <w:rPr>
          <w:rFonts w:ascii="Calibri" w:hAnsi="Calibri" w:eastAsia="Times New Roman" w:cs="Calibri"/>
          <w:sz w:val="24"/>
          <w:szCs w:val="24"/>
        </w:rPr>
        <w:t>ts</w:t>
      </w:r>
      <w:r w:rsidRPr="249CC9F3" w:rsidR="4D6BD76B">
        <w:rPr>
          <w:rFonts w:ascii="Calibri" w:hAnsi="Calibri" w:eastAsia="Times New Roman" w:cs="Calibri"/>
          <w:sz w:val="24"/>
          <w:szCs w:val="24"/>
        </w:rPr>
        <w:t xml:space="preserve"> </w:t>
      </w:r>
      <w:r w:rsidRPr="249CC9F3" w:rsidR="21866A0B">
        <w:rPr>
          <w:rFonts w:ascii="Calibri" w:hAnsi="Calibri" w:eastAsia="Times New Roman" w:cs="Calibri"/>
          <w:sz w:val="24"/>
          <w:szCs w:val="24"/>
        </w:rPr>
        <w:t>at</w:t>
      </w:r>
      <w:r w:rsidRPr="249CC9F3" w:rsidR="4D6BD76B">
        <w:rPr>
          <w:rFonts w:ascii="Calibri" w:hAnsi="Calibri" w:eastAsia="Times New Roman" w:cs="Calibri"/>
          <w:sz w:val="24"/>
          <w:szCs w:val="24"/>
        </w:rPr>
        <w:t xml:space="preserve"> least quarterly.  </w:t>
      </w:r>
      <w:r w:rsidRPr="249CC9F3" w:rsidR="0B739416">
        <w:rPr>
          <w:rFonts w:ascii="Calibri" w:hAnsi="Calibri" w:eastAsia="Times New Roman" w:cs="Calibri"/>
          <w:sz w:val="24"/>
          <w:szCs w:val="24"/>
        </w:rPr>
        <w:t>Reimbursement requests can be made through the ODE’s Grants Management System (EGMS). EGMS enables grant recipients to access an online interface to view their grant and award notifications and enter claims. Recipients will first need to contact their District Security Administrator (DSA) to obtain a username and password to login. The DSA will also need to add EGMS Read/Insert/Update permissions to the grant recipient’s account in Web Security. </w:t>
      </w:r>
    </w:p>
    <w:p w:rsidRPr="000941E8" w:rsidR="000F6161" w:rsidP="000F6161" w:rsidRDefault="000F6161" w14:paraId="376FE2A1" w14:textId="77777777">
      <w:pPr>
        <w:spacing w:after="0" w:line="276" w:lineRule="auto"/>
        <w:textAlignment w:val="baseline"/>
        <w:rPr>
          <w:rFonts w:ascii="Segoe UI" w:hAnsi="Segoe UI" w:eastAsia="Times New Roman" w:cs="Segoe UI"/>
          <w:sz w:val="18"/>
          <w:szCs w:val="18"/>
        </w:rPr>
      </w:pPr>
    </w:p>
    <w:p w:rsidR="000941E8" w:rsidP="000F6161" w:rsidRDefault="000941E8" w14:paraId="6B23A565" w14:textId="79F583A2">
      <w:pPr>
        <w:spacing w:after="0" w:line="276" w:lineRule="auto"/>
        <w:textAlignment w:val="baseline"/>
        <w:rPr>
          <w:rFonts w:ascii="Calibri" w:hAnsi="Calibri" w:eastAsia="Times New Roman" w:cs="Calibri"/>
          <w:sz w:val="24"/>
          <w:szCs w:val="24"/>
        </w:rPr>
      </w:pPr>
      <w:r w:rsidRPr="3A432679" w:rsidR="472B664A">
        <w:rPr>
          <w:rFonts w:ascii="Calibri" w:hAnsi="Calibri" w:eastAsia="Times New Roman" w:cs="Calibri"/>
          <w:sz w:val="24"/>
          <w:szCs w:val="24"/>
        </w:rPr>
        <w:t>For more information and support on using </w:t>
      </w:r>
      <w:r w:rsidRPr="3A432679" w:rsidR="162C0516">
        <w:rPr>
          <w:rFonts w:ascii="Calibri" w:hAnsi="Calibri" w:eastAsia="Times New Roman" w:cs="Calibri"/>
          <w:sz w:val="24"/>
          <w:szCs w:val="24"/>
        </w:rPr>
        <w:t>the grant</w:t>
      </w:r>
      <w:r w:rsidRPr="3A432679" w:rsidR="472B664A">
        <w:rPr>
          <w:rFonts w:ascii="Calibri" w:hAnsi="Calibri" w:eastAsia="Times New Roman" w:cs="Calibri"/>
          <w:sz w:val="24"/>
          <w:szCs w:val="24"/>
        </w:rPr>
        <w:t> management system please review the ODE </w:t>
      </w:r>
      <w:hyperlink r:id="R7798f389ab9e4748">
        <w:r w:rsidRPr="3A432679" w:rsidR="472B664A">
          <w:rPr>
            <w:rFonts w:ascii="Calibri" w:hAnsi="Calibri" w:eastAsia="Times New Roman" w:cs="Calibri"/>
            <w:color w:val="0070C0"/>
            <w:sz w:val="24"/>
            <w:szCs w:val="24"/>
            <w:u w:val="single"/>
          </w:rPr>
          <w:t>EGMS External User’s Guide</w:t>
        </w:r>
      </w:hyperlink>
      <w:r w:rsidRPr="3A432679" w:rsidR="472B664A">
        <w:rPr>
          <w:rFonts w:ascii="Calibri" w:hAnsi="Calibri" w:eastAsia="Times New Roman" w:cs="Calibri"/>
          <w:sz w:val="24"/>
          <w:szCs w:val="24"/>
        </w:rPr>
        <w:t>. </w:t>
      </w:r>
    </w:p>
    <w:p w:rsidRPr="000941E8" w:rsidR="000F6161" w:rsidP="000F6161" w:rsidRDefault="000F6161" w14:paraId="344DE111" w14:textId="77777777">
      <w:pPr>
        <w:spacing w:after="0" w:line="276" w:lineRule="auto"/>
        <w:textAlignment w:val="baseline"/>
        <w:rPr>
          <w:rFonts w:ascii="Segoe UI" w:hAnsi="Segoe UI" w:eastAsia="Times New Roman" w:cs="Segoe UI"/>
          <w:sz w:val="18"/>
          <w:szCs w:val="18"/>
        </w:rPr>
      </w:pPr>
    </w:p>
    <w:p w:rsidRPr="000941E8" w:rsidR="000941E8" w:rsidP="000F6161" w:rsidRDefault="000941E8" w14:paraId="518D0415" w14:textId="03068E26">
      <w:pPr>
        <w:spacing w:after="0" w:line="276" w:lineRule="auto"/>
        <w:textAlignment w:val="baseline"/>
        <w:rPr>
          <w:rFonts w:ascii="Segoe UI" w:hAnsi="Segoe UI" w:eastAsia="Times New Roman" w:cs="Segoe UI"/>
          <w:sz w:val="18"/>
          <w:szCs w:val="18"/>
        </w:rPr>
      </w:pPr>
      <w:r w:rsidRPr="000941E8">
        <w:rPr>
          <w:rFonts w:ascii="Calibri" w:hAnsi="Calibri" w:eastAsia="Times New Roman" w:cs="Calibri"/>
          <w:b/>
          <w:bCs/>
          <w:sz w:val="24"/>
          <w:szCs w:val="24"/>
        </w:rPr>
        <w:t>All reimbursement requests entered in EGMS must be accompanied by supporting detailed documentation using the </w:t>
      </w:r>
      <w:hyperlink w:tgtFrame="_blank" w:history="1" r:id="rId14">
        <w:r w:rsidRPr="000941E8">
          <w:rPr>
            <w:rFonts w:ascii="Calibri" w:hAnsi="Calibri" w:eastAsia="Times New Roman" w:cs="Calibri"/>
            <w:b/>
            <w:bCs/>
            <w:color w:val="0070C0"/>
            <w:sz w:val="24"/>
            <w:szCs w:val="24"/>
            <w:u w:val="single"/>
          </w:rPr>
          <w:t>McKinney-Vento 2025-28 Subgrant Reimbursement Form</w:t>
        </w:r>
      </w:hyperlink>
      <w:r w:rsidRPr="000941E8">
        <w:rPr>
          <w:rFonts w:ascii="Calibri" w:hAnsi="Calibri" w:eastAsia="Times New Roman" w:cs="Calibri"/>
          <w:color w:val="0070C0"/>
          <w:sz w:val="24"/>
          <w:szCs w:val="24"/>
        </w:rPr>
        <w:t> </w:t>
      </w:r>
      <w:r w:rsidRPr="000941E8">
        <w:rPr>
          <w:rFonts w:ascii="Calibri" w:hAnsi="Calibri" w:eastAsia="Times New Roman" w:cs="Calibri"/>
          <w:b/>
          <w:bCs/>
          <w:color w:val="000000"/>
          <w:sz w:val="24"/>
          <w:szCs w:val="24"/>
        </w:rPr>
        <w:t>which must be submitted in the </w:t>
      </w:r>
      <w:hyperlink w:tgtFrame="_blank" w:history="1" r:id="rId15">
        <w:r w:rsidRPr="000941E8">
          <w:rPr>
            <w:rFonts w:ascii="Calibri" w:hAnsi="Calibri" w:eastAsia="Times New Roman" w:cs="Calibri"/>
            <w:b/>
            <w:bCs/>
            <w:color w:val="0070C0"/>
            <w:sz w:val="24"/>
            <w:szCs w:val="24"/>
            <w:u w:val="single"/>
          </w:rPr>
          <w:t>McKinney-Vento 2025-28 Subgrant Reimbursement Portal</w:t>
        </w:r>
      </w:hyperlink>
      <w:r w:rsidR="00BF33C3">
        <w:rPr>
          <w:rFonts w:ascii="Calibri" w:hAnsi="Calibri" w:eastAsia="Times New Roman" w:cs="Calibri"/>
          <w:sz w:val="24"/>
          <w:szCs w:val="24"/>
        </w:rPr>
        <w:t xml:space="preserve">, both of which are linked to the </w:t>
      </w:r>
      <w:hyperlink w:history="1" r:id="rId16">
        <w:r w:rsidRPr="00AD68BF" w:rsidR="00C82E36">
          <w:rPr>
            <w:rStyle w:val="Hyperlink"/>
            <w:rFonts w:ascii="Calibri" w:hAnsi="Calibri" w:eastAsia="Times New Roman" w:cs="Calibri"/>
            <w:sz w:val="24"/>
            <w:szCs w:val="24"/>
          </w:rPr>
          <w:t xml:space="preserve">Oregon Department of Education </w:t>
        </w:r>
        <w:r w:rsidRPr="00AD68BF" w:rsidR="00BF33C3">
          <w:rPr>
            <w:rStyle w:val="Hyperlink"/>
            <w:rFonts w:ascii="Calibri" w:hAnsi="Calibri" w:eastAsia="Times New Roman" w:cs="Calibri"/>
            <w:sz w:val="24"/>
            <w:szCs w:val="24"/>
          </w:rPr>
          <w:t xml:space="preserve">McKinney-Vento </w:t>
        </w:r>
        <w:r w:rsidRPr="00AD68BF" w:rsidR="00C82E36">
          <w:rPr>
            <w:rStyle w:val="Hyperlink"/>
            <w:rFonts w:ascii="Calibri" w:hAnsi="Calibri" w:eastAsia="Times New Roman" w:cs="Calibri"/>
            <w:sz w:val="24"/>
            <w:szCs w:val="24"/>
          </w:rPr>
          <w:t>Liaisons, Districts, &amp; ESDs webpage</w:t>
        </w:r>
      </w:hyperlink>
      <w:r w:rsidR="00C82E36">
        <w:rPr>
          <w:rFonts w:ascii="Calibri" w:hAnsi="Calibri" w:eastAsia="Times New Roman" w:cs="Calibri"/>
          <w:sz w:val="24"/>
          <w:szCs w:val="24"/>
        </w:rPr>
        <w:t xml:space="preserve">, under </w:t>
      </w:r>
      <w:r w:rsidRPr="009E110E" w:rsidR="00AD68BF">
        <w:rPr>
          <w:rFonts w:ascii="Calibri" w:hAnsi="Calibri" w:eastAsia="Times New Roman" w:cs="Calibri"/>
          <w:b/>
          <w:bCs/>
          <w:sz w:val="24"/>
          <w:szCs w:val="24"/>
        </w:rPr>
        <w:t>Resources</w:t>
      </w:r>
      <w:r w:rsidR="00AD68BF">
        <w:rPr>
          <w:rFonts w:ascii="Calibri" w:hAnsi="Calibri" w:eastAsia="Times New Roman" w:cs="Calibri"/>
          <w:sz w:val="24"/>
          <w:szCs w:val="24"/>
        </w:rPr>
        <w:t xml:space="preserve">; </w:t>
      </w:r>
      <w:r w:rsidRPr="009E110E" w:rsidR="00AD68BF">
        <w:rPr>
          <w:rFonts w:ascii="Calibri" w:hAnsi="Calibri" w:eastAsia="Times New Roman" w:cs="Calibri"/>
          <w:b/>
          <w:bCs/>
          <w:i/>
          <w:iCs/>
          <w:sz w:val="24"/>
          <w:szCs w:val="24"/>
        </w:rPr>
        <w:t>McKinney-Vento Subgrant</w:t>
      </w:r>
      <w:r w:rsidR="00AD68BF">
        <w:rPr>
          <w:rFonts w:ascii="Calibri" w:hAnsi="Calibri" w:eastAsia="Times New Roman" w:cs="Calibri"/>
          <w:sz w:val="24"/>
          <w:szCs w:val="24"/>
        </w:rPr>
        <w:t>.</w:t>
      </w:r>
      <w:r w:rsidRPr="000941E8">
        <w:rPr>
          <w:rFonts w:ascii="Calibri" w:hAnsi="Calibri" w:eastAsia="Times New Roman" w:cs="Calibri"/>
          <w:sz w:val="24"/>
          <w:szCs w:val="24"/>
        </w:rPr>
        <w:t>  </w:t>
      </w:r>
    </w:p>
    <w:p w:rsidRPr="000941E8" w:rsidR="000941E8" w:rsidP="000941E8" w:rsidRDefault="000941E8" w14:paraId="29E28527"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color w:val="41AEBD"/>
          <w:sz w:val="32"/>
          <w:szCs w:val="32"/>
        </w:rPr>
        <w:t> </w:t>
      </w:r>
    </w:p>
    <w:p w:rsidR="00BF33C3" w:rsidRDefault="00BF33C3" w14:paraId="2544B414" w14:textId="77777777">
      <w:pPr>
        <w:rPr>
          <w:rFonts w:ascii="Calibri" w:hAnsi="Calibri" w:eastAsia="Times New Roman" w:cs="Calibri"/>
          <w:b/>
          <w:bCs/>
          <w:color w:val="0070C0"/>
          <w:sz w:val="32"/>
          <w:szCs w:val="32"/>
        </w:rPr>
      </w:pPr>
      <w:r>
        <w:br w:type="page"/>
      </w:r>
    </w:p>
    <w:p w:rsidRPr="000941E8" w:rsidR="000941E8" w:rsidP="000F6161" w:rsidRDefault="000941E8" w14:paraId="721AF5BE" w14:textId="6C9B84DB">
      <w:pPr>
        <w:pStyle w:val="ODEHeader2"/>
        <w:spacing w:after="120"/>
        <w:rPr>
          <w:rFonts w:ascii="Segoe UI" w:hAnsi="Segoe UI" w:cs="Segoe UI"/>
          <w:sz w:val="18"/>
          <w:szCs w:val="18"/>
        </w:rPr>
      </w:pPr>
      <w:bookmarkStart w:name="_Toc260430645" w:id="362340829"/>
      <w:r w:rsidR="78513079">
        <w:rPr/>
        <w:t>3.2 Data Reporting</w:t>
      </w:r>
      <w:bookmarkEnd w:id="362340829"/>
      <w:r w:rsidR="78513079">
        <w:rPr/>
        <w:t> </w:t>
      </w:r>
    </w:p>
    <w:p w:rsidR="000941E8" w:rsidP="00AF7817" w:rsidRDefault="000941E8" w14:paraId="0F526C4B" w14:textId="09322D02">
      <w:pPr>
        <w:spacing w:after="0" w:line="276" w:lineRule="auto"/>
        <w:textAlignment w:val="baseline"/>
        <w:rPr>
          <w:rFonts w:ascii="Calibri" w:hAnsi="Calibri" w:eastAsia="Times New Roman" w:cs="Calibri"/>
          <w:sz w:val="24"/>
          <w:szCs w:val="24"/>
        </w:rPr>
      </w:pPr>
      <w:r w:rsidRPr="249CC9F3" w:rsidR="264778E5">
        <w:rPr>
          <w:rFonts w:ascii="Calibri" w:hAnsi="Calibri" w:eastAsia="Times New Roman" w:cs="Calibri"/>
          <w:sz w:val="24"/>
          <w:szCs w:val="24"/>
        </w:rPr>
        <w:t>The U.S. Department of Education (ED), Office of Elementary and Secondary Education, requires state education agencies (SEAs) to </w:t>
      </w:r>
      <w:r w:rsidRPr="249CC9F3" w:rsidR="264778E5">
        <w:rPr>
          <w:rFonts w:ascii="Calibri" w:hAnsi="Calibri" w:eastAsia="Times New Roman" w:cs="Calibri"/>
          <w:sz w:val="24"/>
          <w:szCs w:val="24"/>
        </w:rPr>
        <w:t>submit</w:t>
      </w:r>
      <w:r w:rsidRPr="249CC9F3" w:rsidR="264778E5">
        <w:rPr>
          <w:rFonts w:ascii="Calibri" w:hAnsi="Calibri" w:eastAsia="Times New Roman" w:cs="Calibri"/>
          <w:sz w:val="24"/>
          <w:szCs w:val="24"/>
        </w:rPr>
        <w:t> data on homeless children and youth on an annual basis</w:t>
      </w:r>
      <w:r w:rsidRPr="249CC9F3" w:rsidR="00055103">
        <w:rPr>
          <w:rFonts w:ascii="Calibri" w:hAnsi="Calibri" w:eastAsia="Times New Roman" w:cs="Calibri"/>
          <w:sz w:val="24"/>
          <w:szCs w:val="24"/>
        </w:rPr>
        <w:t xml:space="preserve"> </w:t>
      </w:r>
      <w:r w:rsidRPr="249CC9F3" w:rsidR="00055103">
        <w:rPr>
          <w:rFonts w:ascii="Calibri" w:hAnsi="Calibri" w:eastAsia="Times New Roman" w:cs="Calibri"/>
          <w:sz w:val="24"/>
          <w:szCs w:val="24"/>
        </w:rPr>
        <w:t>in the late spr</w:t>
      </w:r>
      <w:r w:rsidRPr="249CC9F3" w:rsidR="00055103">
        <w:rPr>
          <w:rFonts w:ascii="Calibri" w:hAnsi="Calibri" w:eastAsia="Times New Roman" w:cs="Calibri"/>
          <w:sz w:val="24"/>
          <w:szCs w:val="24"/>
        </w:rPr>
        <w:t>ing</w:t>
      </w:r>
      <w:r w:rsidRPr="249CC9F3" w:rsidR="264778E5">
        <w:rPr>
          <w:rFonts w:ascii="Calibri" w:hAnsi="Calibri" w:eastAsia="Times New Roman" w:cs="Calibri"/>
          <w:sz w:val="24"/>
          <w:szCs w:val="24"/>
        </w:rPr>
        <w:t>. This information allows ED to </w:t>
      </w:r>
      <w:r w:rsidRPr="249CC9F3" w:rsidR="264778E5">
        <w:rPr>
          <w:rFonts w:ascii="Calibri" w:hAnsi="Calibri" w:eastAsia="Times New Roman" w:cs="Calibri"/>
          <w:sz w:val="24"/>
          <w:szCs w:val="24"/>
        </w:rPr>
        <w:t>determine</w:t>
      </w:r>
      <w:r w:rsidRPr="249CC9F3" w:rsidR="264778E5">
        <w:rPr>
          <w:rFonts w:ascii="Calibri" w:hAnsi="Calibri" w:eastAsia="Times New Roman" w:cs="Calibri"/>
          <w:sz w:val="24"/>
          <w:szCs w:val="24"/>
        </w:rPr>
        <w:t> the extent to which states ensure homeless children and youth</w:t>
      </w:r>
      <w:r w:rsidRPr="249CC9F3" w:rsidR="264778E5">
        <w:rPr>
          <w:rFonts w:ascii="Calibri" w:hAnsi="Calibri" w:eastAsia="Times New Roman" w:cs="Calibri"/>
          <w:sz w:val="24"/>
          <w:szCs w:val="24"/>
        </w:rPr>
        <w:t xml:space="preserve"> have access to a free, </w:t>
      </w:r>
      <w:r w:rsidRPr="249CC9F3" w:rsidR="264778E5">
        <w:rPr>
          <w:rFonts w:ascii="Calibri" w:hAnsi="Calibri" w:eastAsia="Times New Roman" w:cs="Calibri"/>
          <w:sz w:val="24"/>
          <w:szCs w:val="24"/>
        </w:rPr>
        <w:t>appropriate public</w:t>
      </w:r>
      <w:r w:rsidRPr="249CC9F3" w:rsidR="264778E5">
        <w:rPr>
          <w:rFonts w:ascii="Calibri" w:hAnsi="Calibri" w:eastAsia="Times New Roman" w:cs="Calibri"/>
          <w:sz w:val="24"/>
          <w:szCs w:val="24"/>
        </w:rPr>
        <w:t> education under the federal McKinney-Vento (MKV) Homeless Assistance Act. </w:t>
      </w:r>
    </w:p>
    <w:p w:rsidRPr="000941E8" w:rsidR="00AF7817" w:rsidP="00AF7817" w:rsidRDefault="00AF7817" w14:paraId="3C814E44" w14:textId="77777777">
      <w:pPr>
        <w:spacing w:after="0" w:line="276" w:lineRule="auto"/>
        <w:textAlignment w:val="baseline"/>
        <w:rPr>
          <w:rFonts w:ascii="Segoe UI" w:hAnsi="Segoe UI" w:eastAsia="Times New Roman" w:cs="Segoe UI"/>
          <w:sz w:val="18"/>
          <w:szCs w:val="18"/>
        </w:rPr>
      </w:pPr>
    </w:p>
    <w:p w:rsidR="000941E8" w:rsidP="00AF7817" w:rsidRDefault="000941E8" w14:paraId="68112CDF" w14:textId="6AFDDDDE">
      <w:pPr>
        <w:spacing w:after="0" w:line="276" w:lineRule="auto"/>
        <w:textAlignment w:val="baseline"/>
        <w:rPr>
          <w:rFonts w:ascii="Calibri" w:hAnsi="Calibri" w:eastAsia="Times New Roman" w:cs="Calibri"/>
          <w:sz w:val="24"/>
          <w:szCs w:val="24"/>
        </w:rPr>
      </w:pPr>
      <w:r w:rsidRPr="54E03952" w:rsidR="09F52ABD">
        <w:rPr>
          <w:rFonts w:ascii="Calibri" w:hAnsi="Calibri" w:eastAsia="Times New Roman" w:cs="Calibri"/>
          <w:sz w:val="24"/>
          <w:szCs w:val="24"/>
        </w:rPr>
        <w:t>Data from this collection may also be used by family and youth service providers to </w:t>
      </w:r>
      <w:r w:rsidRPr="54E03952" w:rsidR="09F52ABD">
        <w:rPr>
          <w:rFonts w:ascii="Calibri" w:hAnsi="Calibri" w:eastAsia="Times New Roman" w:cs="Calibri"/>
          <w:sz w:val="24"/>
          <w:szCs w:val="24"/>
        </w:rPr>
        <w:t>determine</w:t>
      </w:r>
      <w:r w:rsidRPr="54E03952" w:rsidR="09F52ABD">
        <w:rPr>
          <w:rFonts w:ascii="Calibri" w:hAnsi="Calibri" w:eastAsia="Times New Roman" w:cs="Calibri"/>
          <w:sz w:val="24"/>
          <w:szCs w:val="24"/>
        </w:rPr>
        <w:t> the extent of homelessness among families and youth</w:t>
      </w:r>
      <w:r w:rsidRPr="54E03952" w:rsidR="09F52ABD">
        <w:rPr>
          <w:rFonts w:ascii="Calibri" w:hAnsi="Calibri" w:eastAsia="Times New Roman" w:cs="Calibri"/>
          <w:sz w:val="24"/>
          <w:szCs w:val="24"/>
        </w:rPr>
        <w:t xml:space="preserve"> and to apply for funding for housing and other </w:t>
      </w:r>
      <w:r w:rsidRPr="54E03952" w:rsidR="09F52ABD">
        <w:rPr>
          <w:rFonts w:ascii="Calibri" w:hAnsi="Calibri" w:eastAsia="Times New Roman" w:cs="Calibri"/>
          <w:sz w:val="24"/>
          <w:szCs w:val="24"/>
        </w:rPr>
        <w:t>assistance</w:t>
      </w:r>
      <w:r w:rsidRPr="54E03952" w:rsidR="09F52ABD">
        <w:rPr>
          <w:rFonts w:ascii="Calibri" w:hAnsi="Calibri" w:eastAsia="Times New Roman" w:cs="Calibri"/>
          <w:sz w:val="24"/>
          <w:szCs w:val="24"/>
        </w:rPr>
        <w:t>.  </w:t>
      </w:r>
    </w:p>
    <w:p w:rsidRPr="000941E8" w:rsidR="000941E8" w:rsidP="000941E8" w:rsidRDefault="000941E8" w14:paraId="56B2E54A" w14:textId="77777777">
      <w:pPr>
        <w:spacing w:after="0" w:line="240" w:lineRule="auto"/>
        <w:textAlignment w:val="baseline"/>
        <w:rPr>
          <w:rFonts w:ascii="Segoe UI" w:hAnsi="Segoe UI" w:eastAsia="Times New Roman" w:cs="Segoe UI"/>
          <w:sz w:val="18"/>
          <w:szCs w:val="18"/>
        </w:rPr>
      </w:pPr>
    </w:p>
    <w:p w:rsidRPr="000941E8" w:rsidR="000941E8" w:rsidP="005F5628" w:rsidRDefault="000941E8" w14:paraId="75F3469E" w14:textId="77777777">
      <w:pPr>
        <w:pStyle w:val="ODEHeader3"/>
        <w:rPr>
          <w:rFonts w:ascii="Segoe UI" w:hAnsi="Segoe UI" w:cs="Segoe UI"/>
          <w:sz w:val="18"/>
          <w:szCs w:val="18"/>
        </w:rPr>
      </w:pPr>
      <w:bookmarkStart w:name="_Toc222688815" w:id="1057815376"/>
      <w:r w:rsidR="78513079">
        <w:rPr/>
        <w:t>Eligible Student Count Reporting</w:t>
      </w:r>
      <w:bookmarkEnd w:id="1057815376"/>
      <w:r w:rsidR="78513079">
        <w:rPr/>
        <w:t> </w:t>
      </w:r>
    </w:p>
    <w:p w:rsidR="000941E8" w:rsidP="00AF7817" w:rsidRDefault="000941E8" w14:paraId="10E912EA" w14:textId="0F9D4ED7">
      <w:pPr>
        <w:spacing w:before="120"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ODE requires LEAs to report in the spring of each school year. More information on the state reporting process and requirements under the McKinney-Vento Act can be found on</w:t>
      </w:r>
      <w:r w:rsidR="00A167B0">
        <w:rPr>
          <w:rFonts w:ascii="Calibri" w:hAnsi="Calibri" w:eastAsia="Times New Roman" w:cs="Calibri"/>
          <w:sz w:val="24"/>
          <w:szCs w:val="24"/>
        </w:rPr>
        <w:t xml:space="preserve"> the</w:t>
      </w:r>
      <w:r w:rsidRPr="000941E8">
        <w:rPr>
          <w:rFonts w:ascii="Calibri" w:hAnsi="Calibri" w:eastAsia="Times New Roman" w:cs="Calibri"/>
          <w:sz w:val="24"/>
          <w:szCs w:val="24"/>
        </w:rPr>
        <w:t xml:space="preserve"> </w:t>
      </w:r>
      <w:hyperlink w:tgtFrame="_blank" w:history="1" r:id="rId17">
        <w:r w:rsidRPr="000941E8">
          <w:rPr>
            <w:rFonts w:ascii="Calibri" w:hAnsi="Calibri" w:eastAsia="Times New Roman" w:cs="Calibri"/>
            <w:color w:val="0070C0"/>
            <w:sz w:val="24"/>
            <w:szCs w:val="24"/>
            <w:u w:val="single"/>
          </w:rPr>
          <w:t>ODE Collection &amp; Validations website</w:t>
        </w:r>
      </w:hyperlink>
      <w:r w:rsidRPr="000941E8">
        <w:rPr>
          <w:rFonts w:ascii="Calibri" w:hAnsi="Calibri" w:eastAsia="Times New Roman" w:cs="Calibri"/>
          <w:sz w:val="24"/>
          <w:szCs w:val="24"/>
        </w:rPr>
        <w:t>.  </w:t>
      </w:r>
    </w:p>
    <w:p w:rsidRPr="000941E8" w:rsidR="000941E8" w:rsidP="000941E8" w:rsidRDefault="000941E8" w14:paraId="00A2AC27" w14:textId="77777777">
      <w:pPr>
        <w:spacing w:after="0" w:line="240" w:lineRule="auto"/>
        <w:textAlignment w:val="baseline"/>
        <w:rPr>
          <w:rFonts w:ascii="Segoe UI" w:hAnsi="Segoe UI" w:eastAsia="Times New Roman" w:cs="Segoe UI"/>
          <w:sz w:val="18"/>
          <w:szCs w:val="18"/>
        </w:rPr>
      </w:pPr>
    </w:p>
    <w:p w:rsidRPr="000941E8" w:rsidR="000941E8" w:rsidP="00E97D7E" w:rsidRDefault="000941E8" w14:paraId="588743B1" w14:textId="77777777">
      <w:pPr>
        <w:pStyle w:val="ODEHeader3"/>
        <w:spacing w:after="120"/>
        <w:rPr>
          <w:rFonts w:ascii="Segoe UI" w:hAnsi="Segoe UI" w:cs="Segoe UI"/>
          <w:sz w:val="18"/>
          <w:szCs w:val="18"/>
        </w:rPr>
      </w:pPr>
      <w:bookmarkStart w:name="_Toc1718483112" w:id="823398353"/>
      <w:r w:rsidR="78513079">
        <w:rPr/>
        <w:t>Annual Narrative Reporting</w:t>
      </w:r>
      <w:bookmarkEnd w:id="823398353"/>
      <w:r w:rsidR="78513079">
        <w:rPr/>
        <w:t> </w:t>
      </w:r>
    </w:p>
    <w:p w:rsidR="00AF7817" w:rsidP="00AF7817" w:rsidRDefault="000941E8" w14:paraId="4DB8972D" w14:textId="7597F4EC">
      <w:pPr>
        <w:spacing w:after="0" w:line="276" w:lineRule="auto"/>
        <w:textAlignment w:val="baseline"/>
        <w:rPr>
          <w:rFonts w:ascii="Calibri" w:hAnsi="Calibri" w:eastAsia="Times New Roman" w:cs="Calibri"/>
          <w:sz w:val="24"/>
          <w:szCs w:val="24"/>
        </w:rPr>
      </w:pPr>
      <w:r w:rsidRPr="3A432679" w:rsidR="472B664A">
        <w:rPr>
          <w:rFonts w:ascii="Calibri" w:hAnsi="Calibri" w:eastAsia="Times New Roman" w:cs="Calibri"/>
          <w:sz w:val="24"/>
          <w:szCs w:val="24"/>
        </w:rPr>
        <w:t>All recipients are </w:t>
      </w:r>
      <w:r w:rsidRPr="3A432679" w:rsidR="472B664A">
        <w:rPr>
          <w:rFonts w:ascii="Calibri" w:hAnsi="Calibri" w:eastAsia="Times New Roman" w:cs="Calibri"/>
          <w:sz w:val="24"/>
          <w:szCs w:val="24"/>
        </w:rPr>
        <w:t>required</w:t>
      </w:r>
      <w:r w:rsidRPr="3A432679" w:rsidR="472B664A">
        <w:rPr>
          <w:rFonts w:ascii="Calibri" w:hAnsi="Calibri" w:eastAsia="Times New Roman" w:cs="Calibri"/>
          <w:sz w:val="24"/>
          <w:szCs w:val="24"/>
        </w:rPr>
        <w:t> at the end of each funded year to </w:t>
      </w:r>
      <w:r w:rsidRPr="3A432679" w:rsidR="472B664A">
        <w:rPr>
          <w:rFonts w:ascii="Calibri" w:hAnsi="Calibri" w:eastAsia="Times New Roman" w:cs="Calibri"/>
          <w:sz w:val="24"/>
          <w:szCs w:val="24"/>
        </w:rPr>
        <w:t>submit</w:t>
      </w:r>
      <w:r w:rsidRPr="3A432679" w:rsidR="472B664A">
        <w:rPr>
          <w:rFonts w:ascii="Calibri" w:hAnsi="Calibri" w:eastAsia="Times New Roman" w:cs="Calibri"/>
          <w:sz w:val="24"/>
          <w:szCs w:val="24"/>
        </w:rPr>
        <w:t> a Year-End Progress Report on Grant project activities on a template </w:t>
      </w:r>
      <w:r w:rsidRPr="3A432679" w:rsidR="0B3CE5C0">
        <w:rPr>
          <w:rFonts w:ascii="Calibri" w:hAnsi="Calibri" w:eastAsia="Times New Roman" w:cs="Calibri"/>
          <w:sz w:val="24"/>
          <w:szCs w:val="24"/>
        </w:rPr>
        <w:t xml:space="preserve">provided </w:t>
      </w:r>
      <w:r w:rsidRPr="3A432679" w:rsidR="472B664A">
        <w:rPr>
          <w:rFonts w:ascii="Calibri" w:hAnsi="Calibri" w:eastAsia="Times New Roman" w:cs="Calibri"/>
          <w:sz w:val="24"/>
          <w:szCs w:val="24"/>
        </w:rPr>
        <w:t>by ODE. These progress reports are an evaluation tool used to </w:t>
      </w:r>
      <w:r w:rsidRPr="3A432679" w:rsidR="472B664A">
        <w:rPr>
          <w:rFonts w:ascii="Calibri" w:hAnsi="Calibri" w:eastAsia="Times New Roman" w:cs="Calibri"/>
          <w:sz w:val="24"/>
          <w:szCs w:val="24"/>
        </w:rPr>
        <w:t>monitor</w:t>
      </w:r>
      <w:r w:rsidRPr="3A432679" w:rsidR="472B664A">
        <w:rPr>
          <w:rFonts w:ascii="Calibri" w:hAnsi="Calibri" w:eastAsia="Times New Roman" w:cs="Calibri"/>
          <w:sz w:val="24"/>
          <w:szCs w:val="24"/>
        </w:rPr>
        <w:t> compliance and ensure that projects </w:t>
      </w:r>
      <w:r w:rsidRPr="3A432679" w:rsidR="3FD8CB54">
        <w:rPr>
          <w:rFonts w:ascii="Calibri" w:hAnsi="Calibri" w:eastAsia="Times New Roman" w:cs="Calibri"/>
          <w:sz w:val="24"/>
          <w:szCs w:val="24"/>
        </w:rPr>
        <w:t>meet</w:t>
      </w:r>
      <w:r w:rsidRPr="3A432679" w:rsidR="472B664A">
        <w:rPr>
          <w:rFonts w:ascii="Calibri" w:hAnsi="Calibri" w:eastAsia="Times New Roman" w:cs="Calibri"/>
          <w:sz w:val="24"/>
          <w:szCs w:val="24"/>
        </w:rPr>
        <w:t> goals and </w:t>
      </w:r>
      <w:r w:rsidRPr="3A432679" w:rsidR="454AD13F">
        <w:rPr>
          <w:rFonts w:ascii="Calibri" w:hAnsi="Calibri" w:eastAsia="Times New Roman" w:cs="Calibri"/>
          <w:sz w:val="24"/>
          <w:szCs w:val="24"/>
        </w:rPr>
        <w:t>achieve</w:t>
      </w:r>
      <w:r w:rsidRPr="3A432679" w:rsidR="472B664A">
        <w:rPr>
          <w:rFonts w:ascii="Calibri" w:hAnsi="Calibri" w:eastAsia="Times New Roman" w:cs="Calibri"/>
          <w:sz w:val="24"/>
          <w:szCs w:val="24"/>
        </w:rPr>
        <w:t> </w:t>
      </w:r>
      <w:r w:rsidRPr="3A432679" w:rsidR="4024E956">
        <w:rPr>
          <w:rFonts w:ascii="Calibri" w:hAnsi="Calibri" w:eastAsia="Times New Roman" w:cs="Calibri"/>
          <w:sz w:val="24"/>
          <w:szCs w:val="24"/>
        </w:rPr>
        <w:t>identified</w:t>
      </w:r>
      <w:r w:rsidRPr="3A432679" w:rsidR="472B664A">
        <w:rPr>
          <w:rFonts w:ascii="Calibri" w:hAnsi="Calibri" w:eastAsia="Times New Roman" w:cs="Calibri"/>
          <w:sz w:val="24"/>
          <w:szCs w:val="24"/>
        </w:rPr>
        <w:t xml:space="preserve"> outcomes. </w:t>
      </w:r>
    </w:p>
    <w:p w:rsidR="00AF7817" w:rsidP="00AF7817" w:rsidRDefault="00AF7817" w14:paraId="5222D37A" w14:textId="77777777">
      <w:pPr>
        <w:spacing w:after="0" w:line="276" w:lineRule="auto"/>
        <w:textAlignment w:val="baseline"/>
        <w:rPr>
          <w:rFonts w:ascii="Calibri" w:hAnsi="Calibri" w:eastAsia="Times New Roman" w:cs="Calibri"/>
          <w:sz w:val="24"/>
          <w:szCs w:val="24"/>
        </w:rPr>
      </w:pPr>
    </w:p>
    <w:p w:rsidRPr="000941E8" w:rsidR="00422F6D" w:rsidP="00F06885" w:rsidRDefault="00422F6D" w14:paraId="377E3F15" w14:textId="6E608672">
      <w:pPr>
        <w:pStyle w:val="ODEHeader3"/>
        <w:rPr>
          <w:rFonts w:ascii="Segoe UI" w:hAnsi="Segoe UI" w:cs="Segoe UI"/>
          <w:sz w:val="18"/>
          <w:szCs w:val="18"/>
        </w:rPr>
      </w:pPr>
      <w:bookmarkStart w:name="_Toc1902371660" w:id="1208983825"/>
      <w:r w:rsidR="630CBB11">
        <w:rPr/>
        <w:t>McKinney-Vento Subgrant Annual Reporting Schedule</w:t>
      </w:r>
      <w:bookmarkEnd w:id="1208983825"/>
    </w:p>
    <w:tbl>
      <w:tblPr>
        <w:tblW w:w="9457"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7"/>
        <w:gridCol w:w="4500"/>
        <w:gridCol w:w="2700"/>
      </w:tblGrid>
      <w:tr w:rsidRPr="000941E8" w:rsidR="000941E8" w:rsidTr="54E03952" w14:paraId="4B050B59" w14:textId="77777777">
        <w:trPr>
          <w:trHeight w:val="300"/>
        </w:trPr>
        <w:tc>
          <w:tcPr>
            <w:tcW w:w="225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0941E8" w:rsidR="000941E8" w:rsidP="000941E8" w:rsidRDefault="000941E8" w14:paraId="2FEB27FB"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b/>
                <w:bCs/>
                <w:sz w:val="24"/>
                <w:szCs w:val="24"/>
              </w:rPr>
              <w:t>Deliverable</w:t>
            </w:r>
            <w:r w:rsidRPr="000941E8">
              <w:rPr>
                <w:rFonts w:ascii="Calibri" w:hAnsi="Calibri" w:eastAsia="Times New Roman" w:cs="Calibri"/>
                <w:sz w:val="24"/>
                <w:szCs w:val="24"/>
              </w:rPr>
              <w:t> </w:t>
            </w:r>
          </w:p>
        </w:tc>
        <w:tc>
          <w:tcPr>
            <w:tcW w:w="450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0941E8" w:rsidR="000941E8" w:rsidP="000941E8" w:rsidRDefault="000941E8" w14:paraId="6B6986D2"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b/>
                <w:bCs/>
                <w:sz w:val="24"/>
                <w:szCs w:val="24"/>
              </w:rPr>
              <w:t>Performance Period</w:t>
            </w:r>
            <w:r w:rsidRPr="000941E8">
              <w:rPr>
                <w:rFonts w:ascii="Calibri" w:hAnsi="Calibri" w:eastAsia="Times New Roman" w:cs="Calibri"/>
                <w:sz w:val="24"/>
                <w:szCs w:val="24"/>
              </w:rPr>
              <w:t> </w:t>
            </w:r>
          </w:p>
        </w:tc>
        <w:tc>
          <w:tcPr>
            <w:tcW w:w="270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0941E8" w:rsidR="000941E8" w:rsidP="000941E8" w:rsidRDefault="000941E8" w14:paraId="4A6620CC"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b/>
                <w:bCs/>
                <w:sz w:val="24"/>
                <w:szCs w:val="24"/>
              </w:rPr>
              <w:t>Due Date</w:t>
            </w:r>
            <w:r w:rsidRPr="000941E8">
              <w:rPr>
                <w:rFonts w:ascii="Calibri" w:hAnsi="Calibri" w:eastAsia="Times New Roman" w:cs="Calibri"/>
                <w:sz w:val="24"/>
                <w:szCs w:val="24"/>
              </w:rPr>
              <w:t> </w:t>
            </w:r>
          </w:p>
        </w:tc>
      </w:tr>
      <w:tr w:rsidRPr="000941E8" w:rsidR="000941E8" w:rsidTr="54E03952" w14:paraId="721B1A21" w14:textId="77777777">
        <w:trPr>
          <w:trHeight w:val="990"/>
        </w:trPr>
        <w:tc>
          <w:tcPr>
            <w:tcW w:w="2257" w:type="dxa"/>
            <w:tcBorders>
              <w:top w:val="single" w:color="auto" w:sz="6" w:space="0"/>
              <w:left w:val="single" w:color="auto" w:sz="6" w:space="0"/>
              <w:bottom w:val="single" w:color="auto" w:sz="6" w:space="0"/>
              <w:right w:val="single" w:color="auto" w:sz="6" w:space="0"/>
            </w:tcBorders>
            <w:tcMar/>
            <w:hideMark/>
          </w:tcPr>
          <w:p w:rsidRPr="000941E8" w:rsidR="000941E8" w:rsidP="000941E8" w:rsidRDefault="000941E8" w14:paraId="1B913BFD"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sz w:val="24"/>
                <w:szCs w:val="24"/>
              </w:rPr>
              <w:t>Year-End Progress Report  </w:t>
            </w:r>
          </w:p>
        </w:tc>
        <w:tc>
          <w:tcPr>
            <w:tcW w:w="45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2DB7068B"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July 1, 2025, to September 30, 2026 </w:t>
            </w:r>
          </w:p>
        </w:tc>
        <w:tc>
          <w:tcPr>
            <w:tcW w:w="27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6182CDB9"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October 31, 2026 </w:t>
            </w:r>
          </w:p>
        </w:tc>
      </w:tr>
      <w:tr w:rsidRPr="000941E8" w:rsidR="000941E8" w:rsidTr="54E03952" w14:paraId="0C6CF5A7" w14:textId="77777777">
        <w:trPr>
          <w:trHeight w:val="870"/>
        </w:trPr>
        <w:tc>
          <w:tcPr>
            <w:tcW w:w="2257" w:type="dxa"/>
            <w:tcBorders>
              <w:top w:val="single" w:color="auto" w:sz="6" w:space="0"/>
              <w:left w:val="single" w:color="auto" w:sz="6" w:space="0"/>
              <w:bottom w:val="single" w:color="auto" w:sz="6" w:space="0"/>
              <w:right w:val="single" w:color="auto" w:sz="6" w:space="0"/>
            </w:tcBorders>
            <w:tcMar/>
            <w:hideMark/>
          </w:tcPr>
          <w:p w:rsidRPr="000941E8" w:rsidR="000941E8" w:rsidP="000941E8" w:rsidRDefault="000941E8" w14:paraId="14C661B9"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sz w:val="24"/>
                <w:szCs w:val="24"/>
              </w:rPr>
              <w:t>Year-End Progress Report  </w:t>
            </w:r>
          </w:p>
        </w:tc>
        <w:tc>
          <w:tcPr>
            <w:tcW w:w="45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199FA1E5"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July 1, 2026, to September 30, 2027 </w:t>
            </w:r>
          </w:p>
        </w:tc>
        <w:tc>
          <w:tcPr>
            <w:tcW w:w="27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1C127DB3"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October 31, 2027 </w:t>
            </w:r>
          </w:p>
        </w:tc>
      </w:tr>
      <w:tr w:rsidRPr="000941E8" w:rsidR="000941E8" w:rsidTr="54E03952" w14:paraId="01C5BA47" w14:textId="77777777">
        <w:trPr>
          <w:trHeight w:val="714"/>
        </w:trPr>
        <w:tc>
          <w:tcPr>
            <w:tcW w:w="2257" w:type="dxa"/>
            <w:tcBorders>
              <w:top w:val="single" w:color="auto" w:sz="6" w:space="0"/>
              <w:left w:val="single" w:color="auto" w:sz="6" w:space="0"/>
              <w:bottom w:val="single" w:color="auto" w:sz="6" w:space="0"/>
              <w:right w:val="single" w:color="auto" w:sz="6" w:space="0"/>
            </w:tcBorders>
            <w:tcMar/>
            <w:hideMark/>
          </w:tcPr>
          <w:p w:rsidRPr="000941E8" w:rsidR="000941E8" w:rsidP="000941E8" w:rsidRDefault="000941E8" w14:paraId="4B18AEEE" w14:textId="77777777">
            <w:pPr>
              <w:spacing w:after="0" w:line="240" w:lineRule="auto"/>
              <w:ind w:left="825"/>
              <w:textAlignment w:val="baseline"/>
              <w:rPr>
                <w:rFonts w:ascii="Times New Roman" w:hAnsi="Times New Roman" w:eastAsia="Times New Roman" w:cs="Times New Roman"/>
                <w:sz w:val="24"/>
                <w:szCs w:val="24"/>
              </w:rPr>
            </w:pPr>
            <w:r w:rsidRPr="000941E8">
              <w:rPr>
                <w:rFonts w:ascii="Calibri" w:hAnsi="Calibri" w:eastAsia="Times New Roman" w:cs="Calibri"/>
                <w:sz w:val="24"/>
                <w:szCs w:val="24"/>
              </w:rPr>
              <w:t>3-Year Summative Report  </w:t>
            </w:r>
          </w:p>
        </w:tc>
        <w:tc>
          <w:tcPr>
            <w:tcW w:w="45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0CFBC132"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July 1, 2025, to September 2028 </w:t>
            </w:r>
          </w:p>
        </w:tc>
        <w:tc>
          <w:tcPr>
            <w:tcW w:w="2700" w:type="dxa"/>
            <w:tcBorders>
              <w:top w:val="single" w:color="auto" w:sz="6" w:space="0"/>
              <w:left w:val="single" w:color="auto" w:sz="6" w:space="0"/>
              <w:bottom w:val="single" w:color="auto" w:sz="6" w:space="0"/>
              <w:right w:val="single" w:color="auto" w:sz="6" w:space="0"/>
            </w:tcBorders>
            <w:tcMar/>
            <w:hideMark/>
          </w:tcPr>
          <w:p w:rsidRPr="000941E8" w:rsidR="000941E8" w:rsidP="54E03952" w:rsidRDefault="000941E8" w14:paraId="312F61BF" w14:textId="77777777">
            <w:pPr>
              <w:spacing w:after="0" w:line="240" w:lineRule="auto"/>
              <w:ind w:left="720"/>
              <w:jc w:val="left"/>
              <w:textAlignment w:val="baseline"/>
              <w:rPr>
                <w:rFonts w:ascii="Times New Roman" w:hAnsi="Times New Roman" w:eastAsia="Times New Roman" w:cs="Times New Roman"/>
                <w:sz w:val="24"/>
                <w:szCs w:val="24"/>
              </w:rPr>
            </w:pPr>
            <w:r w:rsidRPr="54E03952" w:rsidR="293F1268">
              <w:rPr>
                <w:rFonts w:ascii="Calibri" w:hAnsi="Calibri" w:eastAsia="Times New Roman" w:cs="Calibri"/>
                <w:sz w:val="24"/>
                <w:szCs w:val="24"/>
              </w:rPr>
              <w:t>October 31, 2028 </w:t>
            </w:r>
          </w:p>
        </w:tc>
      </w:tr>
    </w:tbl>
    <w:p w:rsidRPr="000941E8" w:rsidR="000941E8" w:rsidP="000941E8" w:rsidRDefault="000941E8" w14:paraId="1987D9C3"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422F6D" w:rsidRDefault="000941E8" w14:paraId="0BB9C884" w14:textId="3A08EB67">
      <w:pPr>
        <w:spacing w:after="0" w:line="276" w:lineRule="auto"/>
        <w:ind w:right="-90"/>
        <w:textAlignment w:val="baseline"/>
        <w:rPr>
          <w:rFonts w:ascii="Segoe UI" w:hAnsi="Segoe UI" w:eastAsia="Times New Roman" w:cs="Segoe UI"/>
          <w:sz w:val="18"/>
          <w:szCs w:val="18"/>
        </w:rPr>
      </w:pPr>
      <w:r w:rsidRPr="249CC9F3" w:rsidR="264778E5">
        <w:rPr>
          <w:rFonts w:ascii="Calibri" w:hAnsi="Calibri" w:eastAsia="Times New Roman" w:cs="Calibri"/>
          <w:sz w:val="24"/>
          <w:szCs w:val="24"/>
        </w:rPr>
        <w:t xml:space="preserve">Consortium members </w:t>
      </w:r>
      <w:r w:rsidRPr="249CC9F3" w:rsidR="264778E5">
        <w:rPr>
          <w:rFonts w:ascii="Calibri" w:hAnsi="Calibri" w:eastAsia="Times New Roman" w:cs="Calibri"/>
          <w:sz w:val="24"/>
          <w:szCs w:val="24"/>
        </w:rPr>
        <w:t xml:space="preserve">may </w:t>
      </w:r>
      <w:r w:rsidRPr="249CC9F3" w:rsidR="264778E5">
        <w:rPr>
          <w:rFonts w:ascii="Calibri" w:hAnsi="Calibri" w:eastAsia="Times New Roman" w:cs="Calibri"/>
          <w:sz w:val="24"/>
          <w:szCs w:val="24"/>
        </w:rPr>
        <w:t>submit</w:t>
      </w:r>
      <w:r w:rsidRPr="249CC9F3" w:rsidR="264778E5">
        <w:rPr>
          <w:rFonts w:ascii="Calibri" w:hAnsi="Calibri" w:eastAsia="Times New Roman" w:cs="Calibri"/>
          <w:sz w:val="24"/>
          <w:szCs w:val="24"/>
        </w:rPr>
        <w:t> </w:t>
      </w:r>
      <w:r w:rsidRPr="249CC9F3" w:rsidR="724DA72C">
        <w:rPr>
          <w:rFonts w:ascii="Calibri" w:hAnsi="Calibri" w:eastAsia="Times New Roman" w:cs="Calibri"/>
          <w:sz w:val="24"/>
          <w:szCs w:val="24"/>
        </w:rPr>
        <w:t xml:space="preserve">only </w:t>
      </w:r>
      <w:r w:rsidRPr="249CC9F3" w:rsidR="264778E5">
        <w:rPr>
          <w:rFonts w:ascii="Calibri" w:hAnsi="Calibri" w:eastAsia="Times New Roman" w:cs="Calibri"/>
          <w:sz w:val="24"/>
          <w:szCs w:val="24"/>
        </w:rPr>
        <w:t>one Year-End Progress Report but </w:t>
      </w:r>
      <w:r w:rsidRPr="249CC9F3" w:rsidR="264778E5">
        <w:rPr>
          <w:rFonts w:ascii="Calibri" w:hAnsi="Calibri" w:eastAsia="Times New Roman" w:cs="Calibri"/>
          <w:b w:val="1"/>
          <w:bCs w:val="1"/>
          <w:sz w:val="24"/>
          <w:szCs w:val="24"/>
        </w:rPr>
        <w:t>must </w:t>
      </w:r>
      <w:r w:rsidRPr="249CC9F3" w:rsidR="264778E5">
        <w:rPr>
          <w:rFonts w:ascii="Calibri" w:hAnsi="Calibri" w:eastAsia="Times New Roman" w:cs="Calibri"/>
          <w:sz w:val="24"/>
          <w:szCs w:val="24"/>
        </w:rPr>
        <w:t xml:space="preserve">report </w:t>
      </w:r>
      <w:r w:rsidRPr="249CC9F3" w:rsidR="15D40F0F">
        <w:rPr>
          <w:rFonts w:ascii="Calibri" w:hAnsi="Calibri" w:eastAsia="Times New Roman" w:cs="Calibri"/>
          <w:sz w:val="24"/>
          <w:szCs w:val="24"/>
        </w:rPr>
        <w:t>t</w:t>
      </w:r>
      <w:r w:rsidRPr="249CC9F3" w:rsidR="264778E5">
        <w:rPr>
          <w:rFonts w:ascii="Calibri" w:hAnsi="Calibri" w:eastAsia="Times New Roman" w:cs="Calibri"/>
          <w:sz w:val="24"/>
          <w:szCs w:val="24"/>
        </w:rPr>
        <w:t>heir McKinney-Vento student counts, including birth-5 aged unenrolled youth </w:t>
      </w:r>
      <w:r w:rsidRPr="249CC9F3" w:rsidR="264778E5">
        <w:rPr>
          <w:rFonts w:ascii="Calibri" w:hAnsi="Calibri" w:eastAsia="Times New Roman" w:cs="Calibri"/>
          <w:b w:val="1"/>
          <w:bCs w:val="1"/>
          <w:sz w:val="24"/>
          <w:szCs w:val="24"/>
        </w:rPr>
        <w:t>separately</w:t>
      </w:r>
      <w:r w:rsidRPr="249CC9F3" w:rsidR="264778E5">
        <w:rPr>
          <w:rFonts w:ascii="Calibri" w:hAnsi="Calibri" w:eastAsia="Times New Roman" w:cs="Calibri"/>
          <w:sz w:val="24"/>
          <w:szCs w:val="24"/>
        </w:rPr>
        <w:t>.  </w:t>
      </w:r>
    </w:p>
    <w:p w:rsidRPr="000941E8" w:rsidR="000941E8" w:rsidP="00586DE9" w:rsidRDefault="000941E8" w14:paraId="714E1CAF" w14:textId="3BD48CEB">
      <w:pPr>
        <w:spacing w:after="0" w:line="276" w:lineRule="auto"/>
        <w:textAlignment w:val="baseline"/>
        <w:rPr>
          <w:rFonts w:ascii="Segoe UI" w:hAnsi="Segoe UI" w:eastAsia="Times New Roman" w:cs="Segoe UI"/>
          <w:sz w:val="18"/>
          <w:szCs w:val="18"/>
        </w:rPr>
      </w:pPr>
      <w:r w:rsidRPr="3A432679" w:rsidR="472B664A">
        <w:rPr>
          <w:rFonts w:ascii="Calibri" w:hAnsi="Calibri" w:eastAsia="Times New Roman" w:cs="Calibri"/>
          <w:sz w:val="24"/>
          <w:szCs w:val="24"/>
        </w:rPr>
        <w:t>The Year-End Progress Report template can be </w:t>
      </w:r>
      <w:r w:rsidRPr="3A432679" w:rsidR="1683EBA7">
        <w:rPr>
          <w:rFonts w:ascii="Calibri" w:hAnsi="Calibri" w:eastAsia="Times New Roman" w:cs="Calibri"/>
          <w:sz w:val="24"/>
          <w:szCs w:val="24"/>
        </w:rPr>
        <w:t>found</w:t>
      </w:r>
      <w:r w:rsidRPr="3A432679" w:rsidR="472B664A">
        <w:rPr>
          <w:rFonts w:ascii="Calibri" w:hAnsi="Calibri" w:eastAsia="Times New Roman" w:cs="Calibri"/>
          <w:sz w:val="24"/>
          <w:szCs w:val="24"/>
        </w:rPr>
        <w:t> on the ODE’s McKinney-Vento website.  </w:t>
      </w:r>
    </w:p>
    <w:p w:rsidRPr="000941E8" w:rsidR="000941E8" w:rsidP="00586DE9" w:rsidRDefault="000941E8" w14:paraId="4CA75A15" w14:textId="77777777">
      <w:pPr>
        <w:pStyle w:val="ODEHeader2"/>
        <w:spacing w:after="120"/>
        <w:rPr>
          <w:rFonts w:ascii="Segoe UI" w:hAnsi="Segoe UI" w:cs="Segoe UI"/>
          <w:sz w:val="18"/>
          <w:szCs w:val="18"/>
        </w:rPr>
      </w:pPr>
      <w:bookmarkStart w:name="_Toc1590109903" w:id="1748301566"/>
      <w:r w:rsidR="78513079">
        <w:rPr/>
        <w:t>3.3 Monitoring</w:t>
      </w:r>
      <w:bookmarkEnd w:id="1748301566"/>
      <w:r w:rsidR="78513079">
        <w:rPr/>
        <w:t> </w:t>
      </w:r>
    </w:p>
    <w:p w:rsidR="000941E8" w:rsidP="00586DE9" w:rsidRDefault="000941E8" w14:paraId="4B37AA80" w14:textId="77777777">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Every district in Oregon, regardless of whether the district receives or accepts federal funds, must meet the requirements laid out in the McKinney-Vento Act. </w:t>
      </w:r>
    </w:p>
    <w:p w:rsidRPr="000941E8" w:rsidR="0026221D" w:rsidP="00586DE9" w:rsidRDefault="0026221D" w14:paraId="67773E02" w14:textId="77777777">
      <w:pPr>
        <w:spacing w:after="0" w:line="276" w:lineRule="auto"/>
        <w:textAlignment w:val="baseline"/>
        <w:rPr>
          <w:rFonts w:ascii="Segoe UI" w:hAnsi="Segoe UI" w:eastAsia="Times New Roman" w:cs="Segoe UI"/>
          <w:sz w:val="18"/>
          <w:szCs w:val="18"/>
        </w:rPr>
      </w:pPr>
    </w:p>
    <w:p w:rsidR="000941E8" w:rsidP="00586DE9" w:rsidRDefault="000941E8" w14:paraId="3194C64B" w14:textId="77777777">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ODE conducts a monitoring review of Titles I-A, I-D, II-A, IV-A, V-B REAP, McKinney-Vento, Foster Care, and Equitable Services under the Elementary and Secondary Education Act (ESEA).  Each district is selected for monitoring through a </w:t>
      </w:r>
      <w:hyperlink w:tgtFrame="_blank" w:history="1" r:id="rId18">
        <w:r w:rsidRPr="000941E8">
          <w:rPr>
            <w:rFonts w:ascii="Calibri" w:hAnsi="Calibri" w:eastAsia="Times New Roman" w:cs="Calibri"/>
            <w:color w:val="0070C0"/>
            <w:sz w:val="24"/>
            <w:szCs w:val="24"/>
            <w:u w:val="single"/>
          </w:rPr>
          <w:t>risk assessment</w:t>
        </w:r>
      </w:hyperlink>
      <w:r w:rsidRPr="000941E8">
        <w:rPr>
          <w:rFonts w:ascii="Corbel" w:hAnsi="Corbel" w:eastAsia="Times New Roman" w:cs="Segoe UI"/>
          <w:sz w:val="24"/>
          <w:szCs w:val="24"/>
        </w:rPr>
        <w:t>,</w:t>
      </w:r>
      <w:r w:rsidRPr="000941E8">
        <w:rPr>
          <w:rFonts w:ascii="Calibri" w:hAnsi="Calibri" w:eastAsia="Times New Roman" w:cs="Calibri"/>
          <w:sz w:val="24"/>
          <w:szCs w:val="24"/>
        </w:rPr>
        <w:t> and, if selected, will receive an official letter detailing the monitoring process.  </w:t>
      </w:r>
    </w:p>
    <w:p w:rsidRPr="000941E8" w:rsidR="005F5628" w:rsidP="00586DE9" w:rsidRDefault="005F5628" w14:paraId="1C368E2D" w14:textId="77777777">
      <w:pPr>
        <w:spacing w:after="0" w:line="276" w:lineRule="auto"/>
        <w:textAlignment w:val="baseline"/>
        <w:rPr>
          <w:rFonts w:ascii="Segoe UI" w:hAnsi="Segoe UI" w:eastAsia="Times New Roman" w:cs="Segoe UI"/>
          <w:sz w:val="18"/>
          <w:szCs w:val="18"/>
        </w:rPr>
      </w:pPr>
    </w:p>
    <w:p w:rsidR="000941E8" w:rsidP="00586DE9" w:rsidRDefault="000941E8" w14:paraId="33880443" w14:textId="1B06C7E5">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More information on an LEA’s monitoring requirements can be found</w:t>
      </w:r>
      <w:r w:rsidR="00586DE9">
        <w:rPr>
          <w:rFonts w:ascii="Calibri" w:hAnsi="Calibri" w:eastAsia="Times New Roman" w:cs="Calibri"/>
          <w:sz w:val="24"/>
          <w:szCs w:val="24"/>
        </w:rPr>
        <w:t xml:space="preserve"> on the </w:t>
      </w:r>
      <w:hyperlink w:tgtFrame="_blank" w:history="1" r:id="rId19">
        <w:r w:rsidRPr="000941E8">
          <w:rPr>
            <w:rFonts w:ascii="Calibri" w:hAnsi="Calibri" w:eastAsia="Times New Roman" w:cs="Calibri"/>
            <w:color w:val="0070C0"/>
            <w:sz w:val="24"/>
            <w:szCs w:val="24"/>
            <w:u w:val="single"/>
          </w:rPr>
          <w:t>ODE ESEA Federal Monitoring Webpage</w:t>
        </w:r>
      </w:hyperlink>
      <w:r w:rsidRPr="00586DE9" w:rsidR="00586DE9">
        <w:rPr>
          <w:rFonts w:eastAsia="Times New Roman" w:cstheme="minorHAnsi"/>
          <w:sz w:val="24"/>
          <w:szCs w:val="24"/>
        </w:rPr>
        <w:t xml:space="preserve">, </w:t>
      </w:r>
      <w:r w:rsidRPr="000941E8">
        <w:rPr>
          <w:rFonts w:ascii="Calibri" w:hAnsi="Calibri" w:eastAsia="Times New Roman" w:cs="Calibri"/>
          <w:sz w:val="24"/>
          <w:szCs w:val="24"/>
        </w:rPr>
        <w:t>includ</w:t>
      </w:r>
      <w:r w:rsidR="00586DE9">
        <w:rPr>
          <w:rFonts w:ascii="Calibri" w:hAnsi="Calibri" w:eastAsia="Times New Roman" w:cs="Calibri"/>
          <w:sz w:val="24"/>
          <w:szCs w:val="24"/>
        </w:rPr>
        <w:t>ing</w:t>
      </w:r>
      <w:r w:rsidRPr="000941E8">
        <w:rPr>
          <w:rFonts w:ascii="Calibri" w:hAnsi="Calibri" w:eastAsia="Times New Roman" w:cs="Calibri"/>
          <w:sz w:val="24"/>
          <w:szCs w:val="24"/>
        </w:rPr>
        <w:t xml:space="preserve"> an updated schedule of LEAs that have been selected for monitoring.  </w:t>
      </w:r>
    </w:p>
    <w:p w:rsidRPr="000941E8" w:rsidR="000941E8" w:rsidP="000941E8" w:rsidRDefault="000941E8" w14:paraId="1522F552" w14:textId="77777777">
      <w:pPr>
        <w:spacing w:after="0" w:line="240" w:lineRule="auto"/>
        <w:textAlignment w:val="baseline"/>
        <w:rPr>
          <w:rFonts w:ascii="Segoe UI" w:hAnsi="Segoe UI" w:eastAsia="Times New Roman" w:cs="Segoe UI"/>
          <w:sz w:val="18"/>
          <w:szCs w:val="18"/>
        </w:rPr>
      </w:pPr>
    </w:p>
    <w:p w:rsidRPr="000941E8" w:rsidR="000941E8" w:rsidP="004429AE" w:rsidRDefault="000941E8" w14:paraId="04185017" w14:textId="77777777">
      <w:pPr>
        <w:pStyle w:val="ODEHeader3"/>
        <w:spacing w:after="120"/>
        <w:rPr>
          <w:rFonts w:ascii="Segoe UI" w:hAnsi="Segoe UI" w:cs="Segoe UI"/>
          <w:sz w:val="18"/>
          <w:szCs w:val="18"/>
        </w:rPr>
      </w:pPr>
      <w:bookmarkStart w:name="_Toc1784079289" w:id="924295531"/>
      <w:r w:rsidR="78513079">
        <w:rPr/>
        <w:t>Technical Assistance</w:t>
      </w:r>
      <w:bookmarkEnd w:id="924295531"/>
      <w:r w:rsidR="78513079">
        <w:rPr/>
        <w:t> </w:t>
      </w:r>
    </w:p>
    <w:p w:rsidR="000941E8" w:rsidP="004429AE" w:rsidRDefault="000941E8" w14:paraId="33C53C5A" w14:textId="2FBE627E">
      <w:pPr>
        <w:spacing w:after="0" w:line="276" w:lineRule="auto"/>
        <w:textAlignment w:val="baseline"/>
        <w:rPr>
          <w:rFonts w:ascii="Calibri" w:hAnsi="Calibri" w:eastAsia="Times New Roman" w:cs="Calibri"/>
          <w:sz w:val="24"/>
          <w:szCs w:val="24"/>
        </w:rPr>
      </w:pPr>
      <w:r w:rsidRPr="000941E8">
        <w:rPr>
          <w:rFonts w:ascii="Calibri" w:hAnsi="Calibri" w:eastAsia="Times New Roman" w:cs="Calibri"/>
          <w:sz w:val="24"/>
          <w:szCs w:val="24"/>
        </w:rPr>
        <w:t>ODE will provide technical assistance to all recipients in an ongoing effort to promote and strengthen McKinney-Vento programs and student achievement and educational outcomes. Technical assistance will be provided to recipients as needed or by request. </w:t>
      </w:r>
    </w:p>
    <w:p w:rsidRPr="000941E8" w:rsidR="000941E8" w:rsidP="004429AE" w:rsidRDefault="000941E8" w14:paraId="5A994D8C" w14:textId="77777777">
      <w:pPr>
        <w:spacing w:after="0" w:line="276" w:lineRule="auto"/>
        <w:textAlignment w:val="baseline"/>
        <w:rPr>
          <w:rFonts w:ascii="Segoe UI" w:hAnsi="Segoe UI" w:eastAsia="Times New Roman" w:cs="Segoe UI"/>
          <w:sz w:val="18"/>
          <w:szCs w:val="18"/>
        </w:rPr>
      </w:pPr>
    </w:p>
    <w:p w:rsidRPr="000941E8" w:rsidR="000941E8" w:rsidP="00C0108D" w:rsidRDefault="000941E8" w14:paraId="30A912CD" w14:textId="77777777">
      <w:pPr>
        <w:pStyle w:val="ODEHeader3"/>
        <w:spacing w:after="120"/>
        <w:rPr>
          <w:rFonts w:ascii="Segoe UI" w:hAnsi="Segoe UI" w:cs="Segoe UI"/>
          <w:sz w:val="18"/>
          <w:szCs w:val="18"/>
        </w:rPr>
      </w:pPr>
      <w:bookmarkStart w:name="_Toc1480489483" w:id="1536178281"/>
      <w:r w:rsidR="78513079">
        <w:rPr/>
        <w:t>Program Evaluation</w:t>
      </w:r>
      <w:bookmarkEnd w:id="1536178281"/>
      <w:r w:rsidR="78513079">
        <w:rPr/>
        <w:t> </w:t>
      </w:r>
    </w:p>
    <w:p w:rsidRPr="000941E8" w:rsidR="000941E8" w:rsidP="00C0108D" w:rsidRDefault="000941E8" w14:paraId="7D88A77B" w14:textId="481AE0E2">
      <w:pPr>
        <w:spacing w:after="0" w:line="276"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Each recipient is asked to complete an annual survey on the program and grant implementation to help ODE identify strengths, gaps, and areas for improvement.   </w:t>
      </w:r>
    </w:p>
    <w:p w:rsidRPr="000941E8" w:rsidR="000941E8" w:rsidP="000941E8" w:rsidRDefault="000941E8" w14:paraId="7E8E172F"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0941E8" w:rsidRDefault="000941E8" w14:paraId="2C1C6FDE"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0941E8" w:rsidRDefault="000941E8" w14:paraId="59FC72FC"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0941E8" w:rsidRDefault="000941E8" w14:paraId="44D4177F"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0941E8" w:rsidRDefault="000941E8" w14:paraId="179636D6"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24"/>
          <w:szCs w:val="24"/>
        </w:rPr>
        <w:t> </w:t>
      </w:r>
    </w:p>
    <w:p w:rsidRPr="000941E8" w:rsidR="000941E8" w:rsidP="000941E8" w:rsidRDefault="000941E8" w14:paraId="78C25F18"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sz w:val="48"/>
          <w:szCs w:val="48"/>
        </w:rPr>
        <w:t> </w:t>
      </w:r>
    </w:p>
    <w:p w:rsidRPr="000941E8" w:rsidR="000941E8" w:rsidP="000941E8" w:rsidRDefault="000941E8" w14:paraId="53C71421" w14:textId="77777777">
      <w:pPr>
        <w:spacing w:after="0" w:line="240" w:lineRule="auto"/>
        <w:textAlignment w:val="baseline"/>
        <w:rPr>
          <w:rFonts w:ascii="Segoe UI" w:hAnsi="Segoe UI" w:eastAsia="Times New Roman" w:cs="Segoe UI"/>
          <w:sz w:val="18"/>
          <w:szCs w:val="18"/>
        </w:rPr>
      </w:pPr>
      <w:r w:rsidRPr="000941E8">
        <w:rPr>
          <w:rFonts w:ascii="Calibri" w:hAnsi="Calibri" w:eastAsia="Times New Roman" w:cs="Calibri"/>
          <w:color w:val="41AEBD"/>
          <w:sz w:val="48"/>
          <w:szCs w:val="48"/>
        </w:rPr>
        <w:t> </w:t>
      </w:r>
    </w:p>
    <w:p w:rsidR="000941E8" w:rsidRDefault="000941E8" w14:paraId="40C98A8F" w14:textId="77777777">
      <w:pPr>
        <w:rPr>
          <w:rFonts w:ascii="Calibri" w:hAnsi="Calibri" w:eastAsia="Times New Roman" w:cs="Calibri"/>
          <w:b/>
          <w:bCs/>
          <w:color w:val="0070C0"/>
          <w:sz w:val="48"/>
          <w:szCs w:val="48"/>
        </w:rPr>
      </w:pPr>
      <w:r>
        <w:rPr>
          <w:rFonts w:ascii="Calibri" w:hAnsi="Calibri" w:eastAsia="Times New Roman" w:cs="Calibri"/>
          <w:b/>
          <w:bCs/>
          <w:color w:val="0070C0"/>
          <w:sz w:val="48"/>
          <w:szCs w:val="48"/>
        </w:rPr>
        <w:br w:type="page"/>
      </w:r>
    </w:p>
    <w:p w:rsidRPr="000941E8" w:rsidR="000941E8" w:rsidP="0026221D" w:rsidRDefault="000941E8" w14:paraId="175C0BEF" w14:textId="4640D8CA">
      <w:pPr>
        <w:pStyle w:val="ODEHeader1"/>
        <w:numPr>
          <w:ilvl w:val="0"/>
          <w:numId w:val="0"/>
        </w:numPr>
        <w:spacing w:after="120"/>
        <w:rPr>
          <w:rFonts w:ascii="Segoe UI" w:hAnsi="Segoe UI" w:cs="Segoe UI"/>
          <w:sz w:val="18"/>
          <w:szCs w:val="18"/>
        </w:rPr>
      </w:pPr>
      <w:bookmarkStart w:name="_Toc1657794242" w:id="843720982"/>
      <w:r w:rsidR="78513079">
        <w:rPr/>
        <w:t>Appendix</w:t>
      </w:r>
      <w:bookmarkEnd w:id="843720982"/>
      <w:r w:rsidR="78513079">
        <w:rPr/>
        <w:t>  </w:t>
      </w:r>
    </w:p>
    <w:p w:rsidR="000941E8" w:rsidP="005F5628" w:rsidRDefault="000941E8" w14:paraId="4142906A" w14:textId="77777777">
      <w:pPr>
        <w:pStyle w:val="ODEHeader2"/>
      </w:pPr>
      <w:bookmarkStart w:name="_Toc1748607601" w:id="1048415688"/>
      <w:r w:rsidR="78513079">
        <w:rPr/>
        <w:t>McKinney-Vento Grant Compliance Check List</w:t>
      </w:r>
      <w:bookmarkEnd w:id="1048415688"/>
      <w:r w:rsidR="78513079">
        <w:rPr/>
        <w:t> </w:t>
      </w:r>
    </w:p>
    <w:p w:rsidRPr="000941E8" w:rsidR="005F5628" w:rsidP="005F5628" w:rsidRDefault="005F5628" w14:paraId="68B6D940" w14:textId="77777777">
      <w:pPr>
        <w:pStyle w:val="ODEHeader2"/>
        <w:rPr>
          <w:rFonts w:ascii="Segoe UI" w:hAnsi="Segoe UI" w:cs="Segoe UI"/>
          <w:sz w:val="18"/>
          <w:szCs w:val="18"/>
        </w:rPr>
      </w:pPr>
    </w:p>
    <w:p w:rsidRPr="001A30EA" w:rsidR="000941E8" w:rsidP="001A30EA" w:rsidRDefault="000941E8" w14:paraId="31AAFC03" w14:textId="49DEC2D3">
      <w:pPr>
        <w:pStyle w:val="ListParagraph"/>
        <w:numPr>
          <w:ilvl w:val="0"/>
          <w:numId w:val="20"/>
        </w:numPr>
        <w:spacing w:after="0" w:line="240" w:lineRule="auto"/>
        <w:textAlignment w:val="baseline"/>
        <w:rPr>
          <w:rFonts w:ascii="Segoe UI" w:hAnsi="Segoe UI" w:eastAsia="Times New Roman" w:cs="Segoe UI"/>
          <w:sz w:val="18"/>
          <w:szCs w:val="18"/>
        </w:rPr>
      </w:pPr>
      <w:r w:rsidRPr="001A30EA">
        <w:rPr>
          <w:rFonts w:ascii="Calibri" w:hAnsi="Calibri" w:eastAsia="Times New Roman" w:cs="Calibri"/>
          <w:b/>
          <w:bCs/>
          <w:sz w:val="24"/>
          <w:szCs w:val="24"/>
        </w:rPr>
        <w:t>Alignment with Program Goals</w:t>
      </w:r>
      <w:r w:rsidRPr="001A30EA">
        <w:rPr>
          <w:rFonts w:ascii="Calibri" w:hAnsi="Calibri" w:eastAsia="Times New Roman" w:cs="Calibri"/>
          <w:sz w:val="24"/>
          <w:szCs w:val="24"/>
        </w:rPr>
        <w:t> </w:t>
      </w:r>
    </w:p>
    <w:p w:rsidRPr="000941E8" w:rsidR="000941E8" w:rsidP="00460649" w:rsidRDefault="000941E8" w14:paraId="0792E033" w14:textId="18ACB72B">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1104406992"/>
          <w14:checkbox>
            <w14:checked w14:val="0"/>
            <w14:checkedState w14:val="2612" w14:font="MS Gothic"/>
            <w14:uncheckedState w14:val="2610" w14:font="MS Gothic"/>
          </w14:checkbox>
        </w:sdtPr>
        <w:sdtContent>
          <w:r w:rsidR="003422A6">
            <w:rPr>
              <w:rFonts w:hint="eastAsia" w:ascii="MS Gothic" w:hAnsi="MS Gothic" w:eastAsia="MS Gothic" w:cs="Calibri"/>
              <w:sz w:val="24"/>
              <w:szCs w:val="24"/>
            </w:rPr>
            <w:t>☐</w:t>
          </w:r>
        </w:sdtContent>
      </w:sdt>
      <w:r w:rsidR="003422A6">
        <w:rPr>
          <w:rFonts w:ascii="Calibri" w:hAnsi="Calibri" w:eastAsia="Times New Roman" w:cs="Calibri"/>
          <w:sz w:val="24"/>
          <w:szCs w:val="24"/>
        </w:rPr>
        <w:t xml:space="preserve"> </w:t>
      </w:r>
      <w:r w:rsidRPr="000941E8">
        <w:rPr>
          <w:rFonts w:ascii="Calibri" w:hAnsi="Calibri" w:eastAsia="Times New Roman" w:cs="Calibri"/>
          <w:sz w:val="24"/>
          <w:szCs w:val="24"/>
        </w:rPr>
        <w:t>Does the expense directly support the removal of barriers for homeless students? </w:t>
      </w:r>
    </w:p>
    <w:p w:rsidR="000941E8" w:rsidP="00460649" w:rsidRDefault="000941E8" w14:paraId="28AFC797" w14:textId="20F957DF">
      <w:pPr>
        <w:spacing w:before="240" w:after="0" w:line="240" w:lineRule="auto"/>
        <w:ind w:left="360"/>
        <w:textAlignment w:val="baseline"/>
        <w:rPr>
          <w:rFonts w:ascii="Calibri" w:hAnsi="Calibri" w:eastAsia="Times New Roman" w:cs="Calibri"/>
          <w:sz w:val="24"/>
          <w:szCs w:val="24"/>
        </w:rPr>
      </w:pPr>
      <w:r w:rsidRPr="000941E8">
        <w:rPr>
          <w:rFonts w:ascii="Calibri" w:hAnsi="Calibri" w:eastAsia="Times New Roman" w:cs="Calibri"/>
          <w:sz w:val="24"/>
          <w:szCs w:val="24"/>
        </w:rPr>
        <w:t>​​​</w:t>
      </w:r>
      <w:sdt>
        <w:sdtPr>
          <w:rPr>
            <w:rFonts w:ascii="Calibri" w:hAnsi="Calibri" w:eastAsia="Times New Roman" w:cs="Calibri"/>
            <w:sz w:val="24"/>
            <w:szCs w:val="24"/>
          </w:rPr>
          <w:id w:val="113876756"/>
          <w14:checkbox>
            <w14:checked w14:val="0"/>
            <w14:checkedState w14:val="2612" w14:font="MS Gothic"/>
            <w14:uncheckedState w14:val="2610" w14:font="MS Gothic"/>
          </w14:checkbox>
        </w:sdtPr>
        <w:sdtContent>
          <w:r w:rsidR="003422A6">
            <w:rPr>
              <w:rFonts w:hint="eastAsia" w:ascii="MS Gothic" w:hAnsi="MS Gothic" w:eastAsia="MS Gothic" w:cs="Calibri"/>
              <w:sz w:val="24"/>
              <w:szCs w:val="24"/>
            </w:rPr>
            <w:t>☐</w:t>
          </w:r>
        </w:sdtContent>
      </w:sdt>
      <w:r w:rsidRPr="000941E8">
        <w:rPr>
          <w:rFonts w:ascii="Calibri" w:hAnsi="Calibri" w:eastAsia="Times New Roman" w:cs="Calibri"/>
          <w:sz w:val="24"/>
          <w:szCs w:val="24"/>
        </w:rPr>
        <w:t> Is the activity designed to improve enrollment, attendance, or academic success? </w:t>
      </w:r>
    </w:p>
    <w:p w:rsidRPr="000941E8" w:rsidR="000941E8" w:rsidP="000941E8" w:rsidRDefault="000941E8" w14:paraId="5ED49837" w14:textId="77777777">
      <w:pPr>
        <w:spacing w:after="0" w:line="240" w:lineRule="auto"/>
        <w:ind w:left="720"/>
        <w:textAlignment w:val="baseline"/>
        <w:rPr>
          <w:rFonts w:ascii="Segoe UI" w:hAnsi="Segoe UI" w:eastAsia="Times New Roman" w:cs="Segoe UI"/>
          <w:sz w:val="18"/>
          <w:szCs w:val="18"/>
        </w:rPr>
      </w:pPr>
    </w:p>
    <w:p w:rsidRPr="001A30EA" w:rsidR="000941E8" w:rsidP="001A30EA" w:rsidRDefault="000941E8" w14:paraId="7A88B522" w14:textId="69746374">
      <w:pPr>
        <w:pStyle w:val="ListParagraph"/>
        <w:numPr>
          <w:ilvl w:val="0"/>
          <w:numId w:val="20"/>
        </w:numPr>
        <w:spacing w:after="0" w:line="240" w:lineRule="auto"/>
        <w:textAlignment w:val="baseline"/>
        <w:rPr>
          <w:rFonts w:ascii="Segoe UI" w:hAnsi="Segoe UI" w:eastAsia="Times New Roman" w:cs="Segoe UI"/>
          <w:sz w:val="18"/>
          <w:szCs w:val="18"/>
        </w:rPr>
      </w:pPr>
      <w:r w:rsidRPr="001A30EA">
        <w:rPr>
          <w:rFonts w:ascii="Calibri" w:hAnsi="Calibri" w:eastAsia="Times New Roman" w:cs="Calibri"/>
          <w:b/>
          <w:bCs/>
          <w:sz w:val="24"/>
          <w:szCs w:val="24"/>
        </w:rPr>
        <w:t>Allowable Use Verification</w:t>
      </w:r>
      <w:r w:rsidRPr="001A30EA">
        <w:rPr>
          <w:rFonts w:ascii="Calibri" w:hAnsi="Calibri" w:eastAsia="Times New Roman" w:cs="Calibri"/>
          <w:sz w:val="24"/>
          <w:szCs w:val="24"/>
        </w:rPr>
        <w:t> </w:t>
      </w:r>
    </w:p>
    <w:p w:rsidRPr="000941E8" w:rsidR="000941E8" w:rsidP="00460649" w:rsidRDefault="000941E8" w14:paraId="6999CBEA" w14:textId="7DD470A9">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960311838"/>
          <w14:checkbox>
            <w14:checked w14:val="0"/>
            <w14:checkedState w14:val="2612" w14:font="MS Gothic"/>
            <w14:uncheckedState w14:val="2610" w14:font="MS Gothic"/>
          </w14:checkbox>
        </w:sdtPr>
        <w:sdtContent>
          <w:r w:rsidR="003422A6">
            <w:rPr>
              <w:rFonts w:hint="eastAsia" w:ascii="MS Gothic" w:hAnsi="MS Gothic" w:eastAsia="MS Gothic" w:cs="Calibri"/>
              <w:sz w:val="24"/>
              <w:szCs w:val="24"/>
            </w:rPr>
            <w:t>☐</w:t>
          </w:r>
        </w:sdtContent>
      </w:sdt>
      <w:r w:rsidRPr="000941E8">
        <w:rPr>
          <w:rFonts w:ascii="Calibri" w:hAnsi="Calibri" w:eastAsia="Times New Roman" w:cs="Calibri"/>
          <w:sz w:val="24"/>
          <w:szCs w:val="24"/>
        </w:rPr>
        <w:t>​ Is the service supplemental and not provided to all students? </w:t>
      </w:r>
    </w:p>
    <w:p w:rsidRPr="000941E8" w:rsidR="000941E8" w:rsidP="00460649" w:rsidRDefault="000941E8" w14:paraId="4C30C5DF" w14:textId="6DF982B6">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933708799"/>
          <w14:checkbox>
            <w14:checked w14:val="0"/>
            <w14:checkedState w14:val="2612" w14:font="MS Gothic"/>
            <w14:uncheckedState w14:val="2610" w14:font="MS Gothic"/>
          </w14:checkbox>
        </w:sdtPr>
        <w:sdtContent>
          <w:r w:rsidR="003422A6">
            <w:rPr>
              <w:rFonts w:hint="eastAsia" w:ascii="MS Gothic" w:hAnsi="MS Gothic" w:eastAsia="MS Gothic" w:cs="Calibri"/>
              <w:sz w:val="24"/>
              <w:szCs w:val="24"/>
            </w:rPr>
            <w:t>☐</w:t>
          </w:r>
        </w:sdtContent>
      </w:sdt>
      <w:r w:rsidRPr="000941E8">
        <w:rPr>
          <w:rFonts w:ascii="Calibri" w:hAnsi="Calibri" w:eastAsia="Times New Roman" w:cs="Calibri"/>
          <w:sz w:val="24"/>
          <w:szCs w:val="24"/>
        </w:rPr>
        <w:t>​ Does it avoid duplication with other federal, state, or local programs (e.g., Title I)? </w:t>
      </w:r>
    </w:p>
    <w:p w:rsidR="000941E8" w:rsidP="00460649" w:rsidRDefault="000941E8" w14:paraId="0623CB24" w14:textId="4C58E516">
      <w:pPr>
        <w:spacing w:before="240" w:after="0" w:line="240" w:lineRule="auto"/>
        <w:ind w:left="360"/>
        <w:textAlignment w:val="baseline"/>
        <w:rPr>
          <w:rFonts w:ascii="Calibri" w:hAnsi="Calibri" w:eastAsia="Times New Roman" w:cs="Calibri"/>
          <w:sz w:val="24"/>
          <w:szCs w:val="24"/>
        </w:rPr>
      </w:pPr>
      <w:r w:rsidRPr="000941E8">
        <w:rPr>
          <w:rFonts w:ascii="Calibri" w:hAnsi="Calibri" w:eastAsia="Times New Roman" w:cs="Calibri"/>
          <w:sz w:val="24"/>
          <w:szCs w:val="24"/>
        </w:rPr>
        <w:t>​​</w:t>
      </w:r>
      <w:sdt>
        <w:sdtPr>
          <w:rPr>
            <w:rFonts w:ascii="Calibri" w:hAnsi="Calibri" w:eastAsia="Times New Roman" w:cs="Calibri"/>
            <w:sz w:val="24"/>
            <w:szCs w:val="24"/>
          </w:rPr>
          <w:id w:val="-1305461414"/>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Is the expenditure tied to homeless student needs (e.g., tutoring, transportation, outreach)? </w:t>
      </w:r>
    </w:p>
    <w:p w:rsidRPr="000941E8" w:rsidR="000941E8" w:rsidP="000941E8" w:rsidRDefault="000941E8" w14:paraId="71CFAA2D" w14:textId="77777777">
      <w:pPr>
        <w:spacing w:after="0" w:line="240" w:lineRule="auto"/>
        <w:ind w:left="720"/>
        <w:textAlignment w:val="baseline"/>
        <w:rPr>
          <w:rFonts w:ascii="Segoe UI" w:hAnsi="Segoe UI" w:eastAsia="Times New Roman" w:cs="Segoe UI"/>
          <w:sz w:val="18"/>
          <w:szCs w:val="18"/>
        </w:rPr>
      </w:pPr>
    </w:p>
    <w:p w:rsidRPr="001A30EA" w:rsidR="000941E8" w:rsidP="001A30EA" w:rsidRDefault="000941E8" w14:paraId="2634D05D" w14:textId="6C76A83B">
      <w:pPr>
        <w:pStyle w:val="ListParagraph"/>
        <w:numPr>
          <w:ilvl w:val="0"/>
          <w:numId w:val="20"/>
        </w:numPr>
        <w:spacing w:after="0" w:line="240" w:lineRule="auto"/>
        <w:textAlignment w:val="baseline"/>
        <w:rPr>
          <w:rFonts w:ascii="Segoe UI" w:hAnsi="Segoe UI" w:eastAsia="Times New Roman" w:cs="Segoe UI"/>
          <w:sz w:val="18"/>
          <w:szCs w:val="18"/>
        </w:rPr>
      </w:pPr>
      <w:r w:rsidRPr="001A30EA">
        <w:rPr>
          <w:rFonts w:ascii="Calibri" w:hAnsi="Calibri" w:eastAsia="Times New Roman" w:cs="Calibri"/>
          <w:b/>
          <w:bCs/>
          <w:sz w:val="24"/>
          <w:szCs w:val="24"/>
        </w:rPr>
        <w:t>Non-Allowable Use Check</w:t>
      </w:r>
      <w:r w:rsidRPr="001A30EA">
        <w:rPr>
          <w:rFonts w:ascii="Calibri" w:hAnsi="Calibri" w:eastAsia="Times New Roman" w:cs="Calibri"/>
          <w:sz w:val="24"/>
          <w:szCs w:val="24"/>
        </w:rPr>
        <w:t> </w:t>
      </w:r>
    </w:p>
    <w:p w:rsidRPr="000941E8" w:rsidR="000941E8" w:rsidP="00460649" w:rsidRDefault="000941E8" w14:paraId="532A40AC" w14:textId="4D9D7C08">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506413602"/>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No funds used for housing or rent payments. </w:t>
      </w:r>
    </w:p>
    <w:p w:rsidRPr="000941E8" w:rsidR="000941E8" w:rsidP="00460649" w:rsidRDefault="000941E8" w14:paraId="16FFEBDD" w14:textId="6147EA05">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812071547"/>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No capital expenses (construction, building renovations, property purchase). </w:t>
      </w:r>
    </w:p>
    <w:p w:rsidRPr="000941E8" w:rsidR="000941E8" w:rsidP="00460649" w:rsidRDefault="000941E8" w14:paraId="73084DE8" w14:textId="1928EEB9">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725727839"/>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No general administrative costs are unrelated to homeless education. </w:t>
      </w:r>
    </w:p>
    <w:p w:rsidRPr="000941E8" w:rsidR="000941E8" w:rsidP="00460649" w:rsidRDefault="000941E8" w14:paraId="20A1A835" w14:textId="1974206E">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360059530"/>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No general school supplies or meals for all students. </w:t>
      </w:r>
    </w:p>
    <w:p w:rsidR="000941E8" w:rsidP="00460649" w:rsidRDefault="000941E8" w14:paraId="74BEB485" w14:textId="6D195CDF">
      <w:pPr>
        <w:spacing w:before="240" w:after="0" w:line="240" w:lineRule="auto"/>
        <w:ind w:left="360"/>
        <w:textAlignment w:val="baseline"/>
        <w:rPr>
          <w:rFonts w:ascii="Calibri" w:hAnsi="Calibri" w:eastAsia="Times New Roman" w:cs="Calibri"/>
          <w:sz w:val="24"/>
          <w:szCs w:val="24"/>
        </w:rPr>
      </w:pPr>
      <w:r w:rsidRPr="000941E8">
        <w:rPr>
          <w:rFonts w:ascii="Calibri" w:hAnsi="Calibri" w:eastAsia="Times New Roman" w:cs="Calibri"/>
          <w:sz w:val="24"/>
          <w:szCs w:val="24"/>
        </w:rPr>
        <w:t>​​</w:t>
      </w:r>
      <w:sdt>
        <w:sdtPr>
          <w:rPr>
            <w:rFonts w:ascii="Calibri" w:hAnsi="Calibri" w:eastAsia="Times New Roman" w:cs="Calibri"/>
            <w:sz w:val="24"/>
            <w:szCs w:val="24"/>
          </w:rPr>
          <w:id w:val="693418949"/>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No services already funded by other programs. </w:t>
      </w:r>
    </w:p>
    <w:p w:rsidRPr="000941E8" w:rsidR="000941E8" w:rsidP="000941E8" w:rsidRDefault="000941E8" w14:paraId="28E84371" w14:textId="77777777">
      <w:pPr>
        <w:spacing w:after="0" w:line="240" w:lineRule="auto"/>
        <w:ind w:left="720"/>
        <w:textAlignment w:val="baseline"/>
        <w:rPr>
          <w:rFonts w:ascii="Segoe UI" w:hAnsi="Segoe UI" w:eastAsia="Times New Roman" w:cs="Segoe UI"/>
          <w:sz w:val="18"/>
          <w:szCs w:val="18"/>
        </w:rPr>
      </w:pPr>
    </w:p>
    <w:p w:rsidRPr="001A30EA" w:rsidR="000941E8" w:rsidP="001A30EA" w:rsidRDefault="000941E8" w14:paraId="53204628" w14:textId="0A5C54EE">
      <w:pPr>
        <w:pStyle w:val="ListParagraph"/>
        <w:numPr>
          <w:ilvl w:val="0"/>
          <w:numId w:val="20"/>
        </w:numPr>
        <w:spacing w:after="0" w:line="240" w:lineRule="auto"/>
        <w:textAlignment w:val="baseline"/>
        <w:rPr>
          <w:rFonts w:ascii="Segoe UI" w:hAnsi="Segoe UI" w:eastAsia="Times New Roman" w:cs="Segoe UI"/>
          <w:sz w:val="18"/>
          <w:szCs w:val="18"/>
        </w:rPr>
      </w:pPr>
      <w:r w:rsidRPr="001A30EA">
        <w:rPr>
          <w:rFonts w:ascii="Calibri" w:hAnsi="Calibri" w:eastAsia="Times New Roman" w:cs="Calibri"/>
          <w:b/>
          <w:bCs/>
          <w:sz w:val="24"/>
          <w:szCs w:val="24"/>
        </w:rPr>
        <w:t>Documentation</w:t>
      </w:r>
      <w:r w:rsidRPr="001A30EA">
        <w:rPr>
          <w:rFonts w:ascii="Calibri" w:hAnsi="Calibri" w:eastAsia="Times New Roman" w:cs="Calibri"/>
          <w:sz w:val="24"/>
          <w:szCs w:val="24"/>
        </w:rPr>
        <w:t> </w:t>
      </w:r>
    </w:p>
    <w:p w:rsidRPr="000941E8" w:rsidR="000941E8" w:rsidP="00460649" w:rsidRDefault="000941E8" w14:paraId="18303F7B" w14:textId="6FEBF264">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1188956411"/>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Maintain detailed records of expenditures and justification. </w:t>
      </w:r>
    </w:p>
    <w:p w:rsidRPr="000941E8" w:rsidR="000941E8" w:rsidP="00460649" w:rsidRDefault="000941E8" w14:paraId="0E000816" w14:textId="15449955">
      <w:pPr>
        <w:spacing w:before="240" w:after="0" w:line="240" w:lineRule="auto"/>
        <w:ind w:left="360"/>
        <w:textAlignment w:val="baseline"/>
        <w:rPr>
          <w:rFonts w:ascii="Segoe UI" w:hAnsi="Segoe UI" w:eastAsia="Times New Roman" w:cs="Segoe UI"/>
          <w:sz w:val="18"/>
          <w:szCs w:val="18"/>
        </w:rPr>
      </w:pPr>
      <w:r w:rsidRPr="000941E8">
        <w:rPr>
          <w:rFonts w:ascii="Calibri" w:hAnsi="Calibri" w:eastAsia="Times New Roman" w:cs="Calibri"/>
          <w:sz w:val="24"/>
          <w:szCs w:val="24"/>
        </w:rPr>
        <w:t>​​</w:t>
      </w:r>
      <w:sdt>
        <w:sdtPr>
          <w:rPr>
            <w:rFonts w:ascii="Calibri" w:hAnsi="Calibri" w:eastAsia="Times New Roman" w:cs="Calibri"/>
            <w:sz w:val="24"/>
            <w:szCs w:val="24"/>
          </w:rPr>
          <w:id w:val="1118336732"/>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Ensure invoices and receipts clearly indicate homeless student support. </w:t>
      </w:r>
    </w:p>
    <w:p w:rsidR="000941E8" w:rsidP="00460649" w:rsidRDefault="000941E8" w14:paraId="3242E286" w14:textId="5FCC4C60">
      <w:pPr>
        <w:spacing w:before="240" w:after="0" w:line="240" w:lineRule="auto"/>
        <w:ind w:left="360"/>
        <w:textAlignment w:val="baseline"/>
        <w:rPr>
          <w:rFonts w:ascii="Calibri" w:hAnsi="Calibri" w:eastAsia="Times New Roman" w:cs="Calibri"/>
          <w:sz w:val="24"/>
          <w:szCs w:val="24"/>
        </w:rPr>
      </w:pPr>
      <w:r w:rsidRPr="000941E8">
        <w:rPr>
          <w:rFonts w:ascii="Calibri" w:hAnsi="Calibri" w:eastAsia="Times New Roman" w:cs="Calibri"/>
          <w:sz w:val="24"/>
          <w:szCs w:val="24"/>
        </w:rPr>
        <w:t>​​</w:t>
      </w:r>
      <w:sdt>
        <w:sdtPr>
          <w:rPr>
            <w:rFonts w:ascii="Calibri" w:hAnsi="Calibri" w:eastAsia="Times New Roman" w:cs="Calibri"/>
            <w:sz w:val="24"/>
            <w:szCs w:val="24"/>
          </w:rPr>
          <w:id w:val="2127811553"/>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Keep evidence of coordination with other programs to prevent duplication. </w:t>
      </w:r>
    </w:p>
    <w:p w:rsidRPr="000941E8" w:rsidR="000941E8" w:rsidP="000941E8" w:rsidRDefault="000941E8" w14:paraId="064B42B6" w14:textId="77777777">
      <w:pPr>
        <w:spacing w:after="0" w:line="240" w:lineRule="auto"/>
        <w:ind w:left="720"/>
        <w:textAlignment w:val="baseline"/>
        <w:rPr>
          <w:rFonts w:ascii="Segoe UI" w:hAnsi="Segoe UI" w:eastAsia="Times New Roman" w:cs="Segoe UI"/>
          <w:sz w:val="18"/>
          <w:szCs w:val="18"/>
        </w:rPr>
      </w:pPr>
    </w:p>
    <w:p w:rsidRPr="001A30EA" w:rsidR="000941E8" w:rsidP="001A30EA" w:rsidRDefault="000941E8" w14:paraId="4AF900CD" w14:textId="6A828F4D">
      <w:pPr>
        <w:pStyle w:val="ListParagraph"/>
        <w:numPr>
          <w:ilvl w:val="0"/>
          <w:numId w:val="20"/>
        </w:numPr>
        <w:spacing w:after="0" w:line="240" w:lineRule="auto"/>
        <w:textAlignment w:val="baseline"/>
        <w:rPr>
          <w:rFonts w:ascii="Segoe UI" w:hAnsi="Segoe UI" w:eastAsia="Times New Roman" w:cs="Segoe UI"/>
          <w:sz w:val="18"/>
          <w:szCs w:val="18"/>
        </w:rPr>
      </w:pPr>
      <w:r w:rsidRPr="001A30EA">
        <w:rPr>
          <w:rFonts w:ascii="Calibri" w:hAnsi="Calibri" w:eastAsia="Times New Roman" w:cs="Calibri"/>
          <w:b/>
          <w:bCs/>
          <w:sz w:val="24"/>
          <w:szCs w:val="24"/>
        </w:rPr>
        <w:t>Approval Process</w:t>
      </w:r>
      <w:r w:rsidRPr="001A30EA">
        <w:rPr>
          <w:rFonts w:ascii="Calibri" w:hAnsi="Calibri" w:eastAsia="Times New Roman" w:cs="Calibri"/>
          <w:sz w:val="24"/>
          <w:szCs w:val="24"/>
        </w:rPr>
        <w:t> </w:t>
      </w:r>
    </w:p>
    <w:p w:rsidRPr="000941E8" w:rsidR="000941E8" w:rsidP="00460649" w:rsidRDefault="000941E8" w14:paraId="4DA0954F" w14:textId="42A15050">
      <w:pPr>
        <w:spacing w:before="240" w:after="0" w:line="240" w:lineRule="auto"/>
        <w:ind w:left="360"/>
        <w:textAlignment w:val="baseline"/>
        <w:rPr>
          <w:rFonts w:ascii="Segoe UI" w:hAnsi="Segoe UI" w:eastAsia="Times New Roman" w:cs="Segoe UI"/>
          <w:sz w:val="18"/>
          <w:szCs w:val="18"/>
        </w:rPr>
      </w:pPr>
      <w:r w:rsidRPr="3A432679" w:rsidR="472B664A">
        <w:rPr>
          <w:rFonts w:ascii="Calibri" w:hAnsi="Calibri" w:eastAsia="Times New Roman" w:cs="Calibri"/>
          <w:sz w:val="24"/>
          <w:szCs w:val="24"/>
        </w:rPr>
        <w:t>​​</w:t>
      </w:r>
      <w:sdt>
        <w:sdtPr>
          <w:id w:val="-1500119885"/>
          <w14:checkbox>
            <w14:checked w14:val="0"/>
            <w14:checkedState w14:val="2612" w14:font="MS Gothic"/>
            <w14:uncheckedState w14:val="2610" w14:font="MS Gothic"/>
          </w14:checkbox>
          <w:rPr>
            <w:rFonts w:ascii="Calibri" w:hAnsi="Calibri" w:eastAsia="Times New Roman" w:cs="Calibri"/>
            <w:sz w:val="24"/>
            <w:szCs w:val="24"/>
          </w:rPr>
        </w:sdtPr>
        <w:sdtContent>
          <w:r w:rsidRPr="3A432679" w:rsidR="62E08628">
            <w:rPr>
              <w:rFonts w:ascii="MS Gothic" w:hAnsi="MS Gothic" w:eastAsia="MS Gothic" w:cs="MS Gothic"/>
              <w:sz w:val="24"/>
              <w:szCs w:val="24"/>
            </w:rPr>
            <w:t>☐</w:t>
          </w:r>
        </w:sdtContent>
        <w:sdtEndPr>
          <w:rPr>
            <w:rFonts w:ascii="Calibri" w:hAnsi="Calibri" w:eastAsia="Times New Roman" w:cs="Calibri"/>
            <w:sz w:val="24"/>
            <w:szCs w:val="24"/>
          </w:rPr>
        </w:sdtEndPr>
      </w:sdt>
      <w:r w:rsidRPr="3A432679" w:rsidR="472B664A">
        <w:rPr>
          <w:rFonts w:ascii="Calibri" w:hAnsi="Calibri" w:eastAsia="Times New Roman" w:cs="Calibri"/>
          <w:sz w:val="24"/>
          <w:szCs w:val="24"/>
        </w:rPr>
        <w:t>​ Expense reviewed and approved by designated program administrator. </w:t>
      </w:r>
    </w:p>
    <w:p w:rsidR="00507C82" w:rsidP="00460649" w:rsidRDefault="000941E8" w14:paraId="36F730B6" w14:textId="03AC3A25">
      <w:pPr>
        <w:spacing w:before="240" w:after="0" w:line="240" w:lineRule="auto"/>
        <w:ind w:left="360" w:right="-630"/>
        <w:textAlignment w:val="baseline"/>
        <w:rPr>
          <w:rFonts w:ascii="Calibri" w:hAnsi="Calibri" w:eastAsiaTheme="majorEastAsia" w:cstheme="majorBidi"/>
          <w:b/>
          <w:sz w:val="24"/>
          <w:szCs w:val="44"/>
        </w:rPr>
      </w:pPr>
      <w:r w:rsidRPr="000941E8">
        <w:rPr>
          <w:rFonts w:ascii="Calibri" w:hAnsi="Calibri" w:eastAsia="Times New Roman" w:cs="Calibri"/>
          <w:sz w:val="24"/>
          <w:szCs w:val="24"/>
        </w:rPr>
        <w:t>​​</w:t>
      </w:r>
      <w:sdt>
        <w:sdtPr>
          <w:rPr>
            <w:rFonts w:ascii="Calibri" w:hAnsi="Calibri" w:eastAsia="Times New Roman" w:cs="Calibri"/>
            <w:sz w:val="24"/>
            <w:szCs w:val="24"/>
          </w:rPr>
          <w:id w:val="423844212"/>
          <w14:checkbox>
            <w14:checked w14:val="0"/>
            <w14:checkedState w14:val="2612" w14:font="MS Gothic"/>
            <w14:uncheckedState w14:val="2610" w14:font="MS Gothic"/>
          </w14:checkbox>
        </w:sdtPr>
        <w:sdtContent>
          <w:r w:rsidR="0026221D">
            <w:rPr>
              <w:rFonts w:hint="eastAsia" w:ascii="MS Gothic" w:hAnsi="MS Gothic" w:eastAsia="MS Gothic" w:cs="Calibri"/>
              <w:sz w:val="24"/>
              <w:szCs w:val="24"/>
            </w:rPr>
            <w:t>☐</w:t>
          </w:r>
        </w:sdtContent>
      </w:sdt>
      <w:r w:rsidRPr="000941E8">
        <w:rPr>
          <w:rFonts w:ascii="Calibri" w:hAnsi="Calibri" w:eastAsia="Times New Roman" w:cs="Calibri"/>
          <w:sz w:val="24"/>
          <w:szCs w:val="24"/>
        </w:rPr>
        <w:t>​ Compliance confirmed against federal and state guidance</w:t>
      </w:r>
      <w:r w:rsidR="005F5628">
        <w:rPr>
          <w:rFonts w:ascii="Calibri" w:hAnsi="Calibri" w:eastAsia="Times New Roman" w:cs="Calibri"/>
          <w:sz w:val="24"/>
          <w:szCs w:val="24"/>
        </w:rPr>
        <w:t xml:space="preserve"> b</w:t>
      </w:r>
      <w:r w:rsidRPr="000941E8">
        <w:rPr>
          <w:rFonts w:ascii="Calibri" w:hAnsi="Calibri" w:eastAsia="Times New Roman" w:cs="Calibri"/>
          <w:sz w:val="24"/>
          <w:szCs w:val="24"/>
        </w:rPr>
        <w:t>efore requesting payment. </w:t>
      </w:r>
    </w:p>
    <w:sectPr w:rsidR="00507C82" w:rsidSect="008B6A52">
      <w:headerReference w:type="default" r:id="rId20"/>
      <w:footerReference w:type="default" r:id="rId21"/>
      <w:headerReference w:type="first" r:id="rId22"/>
      <w:footerReference w:type="first" r:id="rId23"/>
      <w:pgSz w:w="12240" w:h="15840" w:orient="portrait"/>
      <w:pgMar w:top="1440" w:right="1440" w:bottom="16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36A" w:rsidP="00CE459D" w:rsidRDefault="003E236A" w14:paraId="50DDE982" w14:textId="77777777">
      <w:pPr>
        <w:spacing w:after="0" w:line="240" w:lineRule="auto"/>
      </w:pPr>
      <w:r>
        <w:separator/>
      </w:r>
    </w:p>
  </w:endnote>
  <w:endnote w:type="continuationSeparator" w:id="0">
    <w:p w:rsidR="003E236A" w:rsidP="00CE459D" w:rsidRDefault="003E236A" w14:paraId="6EACD8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03389"/>
      <w:docPartObj>
        <w:docPartGallery w:val="Page Numbers (Bottom of Page)"/>
        <w:docPartUnique/>
      </w:docPartObj>
    </w:sdtPr>
    <w:sdtEndPr>
      <w:rPr>
        <w:noProof/>
      </w:rPr>
    </w:sdtEndPr>
    <w:sdtContent>
      <w:p w:rsidR="008B6A52" w:rsidRDefault="008B6A52" w14:paraId="27ADB868" w14:textId="77777777">
        <w:pPr>
          <w:pStyle w:val="Footer"/>
          <w:jc w:val="center"/>
        </w:pPr>
        <w:r>
          <w:fldChar w:fldCharType="begin"/>
        </w:r>
        <w:r>
          <w:instrText xml:space="preserve"> PAGE   \* MERGEFORMAT </w:instrText>
        </w:r>
        <w:r>
          <w:fldChar w:fldCharType="separate"/>
        </w:r>
        <w:r w:rsidR="00507C82">
          <w:rPr>
            <w:noProof/>
          </w:rPr>
          <w:t>4</w:t>
        </w:r>
        <w:r>
          <w:rPr>
            <w:noProof/>
          </w:rPr>
          <w:fldChar w:fldCharType="end"/>
        </w:r>
      </w:p>
    </w:sdtContent>
  </w:sdt>
  <w:p w:rsidR="0026344F" w:rsidP="00B321D1" w:rsidRDefault="0026344F" w14:paraId="4E884393" w14:textId="77777777">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010D" w:rsidRDefault="00367412" w14:paraId="57DA5294" w14:textId="77777777">
    <w:pPr>
      <w:pStyle w:val="Footer"/>
    </w:pPr>
    <w:r>
      <w:rPr>
        <w:noProof/>
      </w:rPr>
      <w:drawing>
        <wp:anchor distT="0" distB="0" distL="114300" distR="114300" simplePos="0" relativeHeight="251658242" behindDoc="1" locked="0" layoutInCell="1" allowOverlap="1" wp14:anchorId="012DFD89" wp14:editId="02004370">
          <wp:simplePos x="0" y="0"/>
          <wp:positionH relativeFrom="column">
            <wp:posOffset>3886200</wp:posOffset>
          </wp:positionH>
          <wp:positionV relativeFrom="paragraph">
            <wp:posOffset>-942975</wp:posOffset>
          </wp:positionV>
          <wp:extent cx="2627814" cy="1306830"/>
          <wp:effectExtent l="0" t="0" r="0" b="0"/>
          <wp:wrapNone/>
          <wp:docPr id="5" name="Picture 5" descr="Oregon Department of Education logo&#10;Oregon achieves...togethe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13" name="1170823_ODE_HLogo TAG_2016-FINAL-CMYK.pn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627814" cy="13068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36A" w:rsidP="00CE459D" w:rsidRDefault="003E236A" w14:paraId="4DF6FAAF" w14:textId="77777777">
      <w:pPr>
        <w:spacing w:after="0" w:line="240" w:lineRule="auto"/>
      </w:pPr>
      <w:r>
        <w:separator/>
      </w:r>
    </w:p>
  </w:footnote>
  <w:footnote w:type="continuationSeparator" w:id="0">
    <w:p w:rsidR="003E236A" w:rsidP="00CE459D" w:rsidRDefault="003E236A" w14:paraId="58C523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90179237"/>
      <w:dataBinding w:prefixMappings="xmlns:ns0='http://purl.org/dc/elements/1.1/' xmlns:ns1='http://schemas.openxmlformats.org/package/2006/metadata/core-properties' " w:xpath="/ns1:coreProperties[1]/ns0:title[1]" w:storeItemID="{6C3C8BC8-F283-45AE-878A-BAB7291924A1}"/>
      <w:text/>
    </w:sdtPr>
    <w:sdtContent>
      <w:p w:rsidR="0026344F" w:rsidP="00B75657" w:rsidRDefault="00CF7D1C" w14:paraId="26DDC2EE" w14:textId="25903CCD">
        <w:pPr>
          <w:pStyle w:val="Header"/>
        </w:pPr>
        <w:r>
          <w:t>McKinney-Vento Grant Administrator's Guide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010D" w:rsidRDefault="0075010D" w14:paraId="637BD59E" w14:textId="77777777">
    <w:pPr>
      <w:pStyle w:val="Header"/>
    </w:pPr>
    <w:r>
      <w:rPr>
        <w:noProof/>
      </w:rPr>
      <w:drawing>
        <wp:anchor distT="0" distB="0" distL="114300" distR="114300" simplePos="0" relativeHeight="251658240" behindDoc="1" locked="0" layoutInCell="1" allowOverlap="1" wp14:anchorId="4A69A4AD" wp14:editId="51DF5E35">
          <wp:simplePos x="0" y="0"/>
          <wp:positionH relativeFrom="column">
            <wp:posOffset>-451485</wp:posOffset>
          </wp:positionH>
          <wp:positionV relativeFrom="page">
            <wp:posOffset>466725</wp:posOffset>
          </wp:positionV>
          <wp:extent cx="1463040" cy="9144000"/>
          <wp:effectExtent l="0" t="0" r="3810" b="0"/>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r w:rsidR="3A432679">
      <w:drawing>
        <wp:anchor distT="0" distB="0" distL="114300" distR="114300" simplePos="0" relativeHeight="251658241" behindDoc="1" locked="0" layoutInCell="1" allowOverlap="1" wp14:editId="0B9A00B8" wp14:anchorId="08763A93">
          <wp:simplePos x="0" y="0"/>
          <wp:positionH relativeFrom="column">
            <wp:posOffset>-276225</wp:posOffset>
          </wp:positionH>
          <wp:positionV relativeFrom="paragraph">
            <wp:posOffset>7791450</wp:posOffset>
          </wp:positionV>
          <wp:extent cx="914400" cy="914400"/>
          <wp:effectExtent l="0" t="0" r="0" b="0"/>
          <wp:wrapNone/>
          <wp:docPr id="6" name="Picture 6" descr="Oregon state sea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Oregon_StSeal_white.png"/>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TqdZxZNeYK8tQ6" int2:id="nSXBr0oR">
      <int2:state int2:type="spell" int2:value="Rejected"/>
    </int2:textHash>
    <int2:bookmark int2:bookmarkName="_Int_qxdhX4VI" int2:invalidationBookmarkName="" int2:hashCode="3nPqwMMFA48EN7" int2:id="bMI4D38O">
      <int2:state int2:type="gram" int2:value="Rejected"/>
    </int2:bookmark>
    <int2:bookmark int2:bookmarkName="_Int_kZ1QgRkV" int2:invalidationBookmarkName="" int2:hashCode="zCPoYIEiIb172+" int2:id="4WEffHF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A8D8FE72"/>
    <w:lvl w:ilvl="0">
      <w:start w:val="1"/>
      <w:numFmt w:val="bullet"/>
      <w:pStyle w:val="ListBullet2"/>
      <w:lvlText w:val=""/>
      <w:lvlJc w:val="left"/>
      <w:pPr>
        <w:ind w:left="720" w:hanging="360"/>
      </w:pPr>
      <w:rPr>
        <w:rFonts w:hint="default" w:ascii="Wingdings" w:hAnsi="Wingdings"/>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A29CA"/>
    <w:lvl w:ilvl="0">
      <w:start w:val="1"/>
      <w:numFmt w:val="bullet"/>
      <w:pStyle w:val="ListBullet"/>
      <w:lvlText w:val=""/>
      <w:lvlJc w:val="left"/>
      <w:pPr>
        <w:ind w:left="360" w:hanging="360"/>
      </w:pPr>
      <w:rPr>
        <w:rFonts w:hint="default" w:ascii="Wingdings" w:hAnsi="Wingdings"/>
        <w:color w:val="1B75BC" w:themeColor="accent1"/>
      </w:rPr>
    </w:lvl>
  </w:abstractNum>
  <w:abstractNum w:abstractNumId="10" w15:restartNumberingAfterBreak="0">
    <w:nsid w:val="12061D64"/>
    <w:multiLevelType w:val="hybridMultilevel"/>
    <w:tmpl w:val="559C9834"/>
    <w:lvl w:ilvl="0" w:tplc="70B2B95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2113EA1"/>
    <w:multiLevelType w:val="multilevel"/>
    <w:tmpl w:val="3C84E274"/>
    <w:lvl w:ilvl="0">
      <w:start w:val="1"/>
      <w:numFmt w:val="decimal"/>
      <w:pStyle w:val="ODEHeader1"/>
      <w:lvlText w:val="%1."/>
      <w:lvlJc w:val="left"/>
      <w:pPr>
        <w:tabs>
          <w:tab w:val="num" w:pos="630"/>
        </w:tabs>
        <w:ind w:left="630" w:hanging="360"/>
      </w:pPr>
      <w:rPr>
        <w:color w:val="0070C0"/>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F27EE4"/>
    <w:multiLevelType w:val="hybridMultilevel"/>
    <w:tmpl w:val="5392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B7619"/>
    <w:multiLevelType w:val="hybridMultilevel"/>
    <w:tmpl w:val="92321972"/>
    <w:lvl w:ilvl="0" w:tplc="B4ACDD80">
      <w:start w:val="1"/>
      <w:numFmt w:val="decimal"/>
      <w:lvlText w:val="%1."/>
      <w:lvlJc w:val="left"/>
      <w:pPr>
        <w:ind w:left="360" w:hanging="360"/>
      </w:pPr>
      <w:rPr>
        <w:rFonts w:hint="default" w:asciiTheme="minorHAnsi" w:hAnsiTheme="minorHAnsi" w:cstheme="minorHAnsi"/>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923DF5"/>
    <w:multiLevelType w:val="multilevel"/>
    <w:tmpl w:val="6EC4DD10"/>
    <w:lvl w:ilvl="0">
      <w:start w:val="3"/>
      <w:numFmt w:val="decimal"/>
      <w:lvlText w:val="%1."/>
      <w:lvlJc w:val="left"/>
      <w:pPr>
        <w:tabs>
          <w:tab w:val="num" w:pos="720"/>
        </w:tabs>
        <w:ind w:left="720" w:hanging="360"/>
      </w:pPr>
      <w:rPr>
        <w:b w:val="0"/>
        <w:bCs w:val="0"/>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F0A8A"/>
    <w:multiLevelType w:val="hybridMultilevel"/>
    <w:tmpl w:val="434887C8"/>
    <w:lvl w:ilvl="0" w:tplc="818A31B6">
      <w:start w:val="1"/>
      <w:numFmt w:val="upperLetter"/>
      <w:lvlText w:val="%1."/>
      <w:lvlJc w:val="left"/>
      <w:pPr>
        <w:ind w:left="720" w:hanging="360"/>
      </w:pPr>
      <w:rPr>
        <w:rFonts w:hint="default" w:asciiTheme="minorHAnsi" w:hAnsiTheme="minorHAnsi" w:cstheme="minorHAns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60B99"/>
    <w:multiLevelType w:val="multilevel"/>
    <w:tmpl w:val="2B50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F0790"/>
    <w:multiLevelType w:val="multilevel"/>
    <w:tmpl w:val="A0F09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40D66"/>
    <w:multiLevelType w:val="hybridMultilevel"/>
    <w:tmpl w:val="74F65EE6"/>
    <w:lvl w:ilvl="0" w:tplc="70B2B95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32843637">
    <w:abstractNumId w:val="12"/>
  </w:num>
  <w:num w:numId="2" w16cid:durableId="1449154500">
    <w:abstractNumId w:val="9"/>
  </w:num>
  <w:num w:numId="3" w16cid:durableId="2087726110">
    <w:abstractNumId w:val="7"/>
  </w:num>
  <w:num w:numId="4" w16cid:durableId="1358120377">
    <w:abstractNumId w:val="6"/>
  </w:num>
  <w:num w:numId="5" w16cid:durableId="1908762999">
    <w:abstractNumId w:val="5"/>
  </w:num>
  <w:num w:numId="6" w16cid:durableId="1542741719">
    <w:abstractNumId w:val="4"/>
  </w:num>
  <w:num w:numId="7" w16cid:durableId="1556313400">
    <w:abstractNumId w:val="8"/>
  </w:num>
  <w:num w:numId="8" w16cid:durableId="1015426204">
    <w:abstractNumId w:val="3"/>
  </w:num>
  <w:num w:numId="9" w16cid:durableId="1048261694">
    <w:abstractNumId w:val="2"/>
  </w:num>
  <w:num w:numId="10" w16cid:durableId="2099791787">
    <w:abstractNumId w:val="1"/>
  </w:num>
  <w:num w:numId="11" w16cid:durableId="1044207877">
    <w:abstractNumId w:val="0"/>
  </w:num>
  <w:num w:numId="12" w16cid:durableId="1134298966">
    <w:abstractNumId w:val="11"/>
  </w:num>
  <w:num w:numId="13" w16cid:durableId="975834240">
    <w:abstractNumId w:val="17"/>
  </w:num>
  <w:num w:numId="14" w16cid:durableId="1390807534">
    <w:abstractNumId w:val="18"/>
  </w:num>
  <w:num w:numId="15" w16cid:durableId="1900162764">
    <w:abstractNumId w:val="15"/>
  </w:num>
  <w:num w:numId="16" w16cid:durableId="687029482">
    <w:abstractNumId w:val="16"/>
  </w:num>
  <w:num w:numId="17" w16cid:durableId="1169441830">
    <w:abstractNumId w:val="13"/>
  </w:num>
  <w:num w:numId="18" w16cid:durableId="1678342095">
    <w:abstractNumId w:val="10"/>
  </w:num>
  <w:num w:numId="19" w16cid:durableId="1943949156">
    <w:abstractNumId w:val="19"/>
  </w:num>
  <w:num w:numId="20" w16cid:durableId="1417823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1C"/>
    <w:rsid w:val="00020B0A"/>
    <w:rsid w:val="00044664"/>
    <w:rsid w:val="00047EBF"/>
    <w:rsid w:val="00055103"/>
    <w:rsid w:val="00060CD0"/>
    <w:rsid w:val="00061255"/>
    <w:rsid w:val="000941E8"/>
    <w:rsid w:val="000951FF"/>
    <w:rsid w:val="000A2E40"/>
    <w:rsid w:val="000C18DA"/>
    <w:rsid w:val="000C5F65"/>
    <w:rsid w:val="000D3C77"/>
    <w:rsid w:val="000E093D"/>
    <w:rsid w:val="000E1ACF"/>
    <w:rsid w:val="000F6161"/>
    <w:rsid w:val="00112970"/>
    <w:rsid w:val="0018356E"/>
    <w:rsid w:val="001A30EA"/>
    <w:rsid w:val="001B33A3"/>
    <w:rsid w:val="0020401A"/>
    <w:rsid w:val="00220F69"/>
    <w:rsid w:val="002319E0"/>
    <w:rsid w:val="00234F23"/>
    <w:rsid w:val="00246BF6"/>
    <w:rsid w:val="0026221D"/>
    <w:rsid w:val="0026344F"/>
    <w:rsid w:val="00265616"/>
    <w:rsid w:val="002B3215"/>
    <w:rsid w:val="002E12D1"/>
    <w:rsid w:val="00327642"/>
    <w:rsid w:val="003422A6"/>
    <w:rsid w:val="00367412"/>
    <w:rsid w:val="003B30CC"/>
    <w:rsid w:val="003E236A"/>
    <w:rsid w:val="00422BDE"/>
    <w:rsid w:val="00422F6D"/>
    <w:rsid w:val="00426D51"/>
    <w:rsid w:val="004429AE"/>
    <w:rsid w:val="00460649"/>
    <w:rsid w:val="00464A26"/>
    <w:rsid w:val="004701F8"/>
    <w:rsid w:val="004A0B42"/>
    <w:rsid w:val="004C5B3F"/>
    <w:rsid w:val="004C5BD1"/>
    <w:rsid w:val="00500516"/>
    <w:rsid w:val="00507C82"/>
    <w:rsid w:val="00532EC4"/>
    <w:rsid w:val="00544E72"/>
    <w:rsid w:val="00577930"/>
    <w:rsid w:val="00586DE9"/>
    <w:rsid w:val="005A1FD4"/>
    <w:rsid w:val="005A4BC5"/>
    <w:rsid w:val="005B52C6"/>
    <w:rsid w:val="005B6F2B"/>
    <w:rsid w:val="005C6884"/>
    <w:rsid w:val="005E366A"/>
    <w:rsid w:val="005F2534"/>
    <w:rsid w:val="005F5628"/>
    <w:rsid w:val="00655A8A"/>
    <w:rsid w:val="006C3671"/>
    <w:rsid w:val="006F2BCD"/>
    <w:rsid w:val="007130E3"/>
    <w:rsid w:val="007375CB"/>
    <w:rsid w:val="0075010D"/>
    <w:rsid w:val="00785814"/>
    <w:rsid w:val="007962A9"/>
    <w:rsid w:val="007D738F"/>
    <w:rsid w:val="00847D70"/>
    <w:rsid w:val="0085553D"/>
    <w:rsid w:val="00856427"/>
    <w:rsid w:val="00887B0D"/>
    <w:rsid w:val="008B6A52"/>
    <w:rsid w:val="008D33EE"/>
    <w:rsid w:val="008F53C6"/>
    <w:rsid w:val="00983ED8"/>
    <w:rsid w:val="009A4B0A"/>
    <w:rsid w:val="009A747A"/>
    <w:rsid w:val="009C4602"/>
    <w:rsid w:val="009E110E"/>
    <w:rsid w:val="00A167B0"/>
    <w:rsid w:val="00A6777C"/>
    <w:rsid w:val="00AA2758"/>
    <w:rsid w:val="00AA3417"/>
    <w:rsid w:val="00AD68BF"/>
    <w:rsid w:val="00AD74FA"/>
    <w:rsid w:val="00AF7817"/>
    <w:rsid w:val="00B00C83"/>
    <w:rsid w:val="00B07F8F"/>
    <w:rsid w:val="00B25F74"/>
    <w:rsid w:val="00B321D1"/>
    <w:rsid w:val="00B34DEF"/>
    <w:rsid w:val="00B568E7"/>
    <w:rsid w:val="00B75657"/>
    <w:rsid w:val="00B823D7"/>
    <w:rsid w:val="00BE5466"/>
    <w:rsid w:val="00BF2D63"/>
    <w:rsid w:val="00BF304B"/>
    <w:rsid w:val="00BF33C3"/>
    <w:rsid w:val="00C0108D"/>
    <w:rsid w:val="00C4690C"/>
    <w:rsid w:val="00C82E36"/>
    <w:rsid w:val="00CA21CA"/>
    <w:rsid w:val="00CA2B57"/>
    <w:rsid w:val="00CA5DB1"/>
    <w:rsid w:val="00CB5672"/>
    <w:rsid w:val="00CB7BD1"/>
    <w:rsid w:val="00CD732C"/>
    <w:rsid w:val="00CE459D"/>
    <w:rsid w:val="00CF7D1C"/>
    <w:rsid w:val="00D34395"/>
    <w:rsid w:val="00D35BD5"/>
    <w:rsid w:val="00DA52CE"/>
    <w:rsid w:val="00DC1B38"/>
    <w:rsid w:val="00DC673D"/>
    <w:rsid w:val="00DC7D58"/>
    <w:rsid w:val="00DD2C26"/>
    <w:rsid w:val="00DD7D23"/>
    <w:rsid w:val="00E23E48"/>
    <w:rsid w:val="00E77E47"/>
    <w:rsid w:val="00E97D7E"/>
    <w:rsid w:val="00EA1437"/>
    <w:rsid w:val="00EB4378"/>
    <w:rsid w:val="00EB4F90"/>
    <w:rsid w:val="00EB7A10"/>
    <w:rsid w:val="00EE1BED"/>
    <w:rsid w:val="00EE2CFF"/>
    <w:rsid w:val="00F01A54"/>
    <w:rsid w:val="00F06885"/>
    <w:rsid w:val="00FC1574"/>
    <w:rsid w:val="00FD2E59"/>
    <w:rsid w:val="00FE1634"/>
    <w:rsid w:val="011DBAE6"/>
    <w:rsid w:val="01A7AADC"/>
    <w:rsid w:val="028CE370"/>
    <w:rsid w:val="034E13D4"/>
    <w:rsid w:val="041A2CD3"/>
    <w:rsid w:val="0534AFF6"/>
    <w:rsid w:val="055F6CD7"/>
    <w:rsid w:val="081B0D2F"/>
    <w:rsid w:val="0876E261"/>
    <w:rsid w:val="08C8B714"/>
    <w:rsid w:val="09F52ABD"/>
    <w:rsid w:val="0A02E399"/>
    <w:rsid w:val="0A1C0B21"/>
    <w:rsid w:val="0ABDBEEF"/>
    <w:rsid w:val="0B000780"/>
    <w:rsid w:val="0B3CE5C0"/>
    <w:rsid w:val="0B739416"/>
    <w:rsid w:val="0BFD8B65"/>
    <w:rsid w:val="0CEF6A47"/>
    <w:rsid w:val="0D1EAFF5"/>
    <w:rsid w:val="0DF03803"/>
    <w:rsid w:val="0E1103F1"/>
    <w:rsid w:val="0E2E3B36"/>
    <w:rsid w:val="0E8EDBF7"/>
    <w:rsid w:val="0F15ECD3"/>
    <w:rsid w:val="10831199"/>
    <w:rsid w:val="10A84501"/>
    <w:rsid w:val="1146694F"/>
    <w:rsid w:val="1301BF5F"/>
    <w:rsid w:val="146679BB"/>
    <w:rsid w:val="14C1D4C5"/>
    <w:rsid w:val="14DD3FEF"/>
    <w:rsid w:val="1524E7C8"/>
    <w:rsid w:val="15D40F0F"/>
    <w:rsid w:val="161F66A1"/>
    <w:rsid w:val="162C0516"/>
    <w:rsid w:val="1683EBA7"/>
    <w:rsid w:val="1775E732"/>
    <w:rsid w:val="17867FC1"/>
    <w:rsid w:val="182D750A"/>
    <w:rsid w:val="186F4D6F"/>
    <w:rsid w:val="1B308767"/>
    <w:rsid w:val="1C15111D"/>
    <w:rsid w:val="1C3E61C3"/>
    <w:rsid w:val="1DE72DA7"/>
    <w:rsid w:val="1F2602EE"/>
    <w:rsid w:val="203F01E9"/>
    <w:rsid w:val="21334702"/>
    <w:rsid w:val="21866A0B"/>
    <w:rsid w:val="230BE57B"/>
    <w:rsid w:val="249CC9F3"/>
    <w:rsid w:val="2515C9F1"/>
    <w:rsid w:val="25814A2F"/>
    <w:rsid w:val="25A2A11E"/>
    <w:rsid w:val="264778E5"/>
    <w:rsid w:val="26E7EF2B"/>
    <w:rsid w:val="274296A7"/>
    <w:rsid w:val="2788D361"/>
    <w:rsid w:val="2890683E"/>
    <w:rsid w:val="2898EA60"/>
    <w:rsid w:val="28D3D01B"/>
    <w:rsid w:val="293F1268"/>
    <w:rsid w:val="2959A873"/>
    <w:rsid w:val="298FEC1C"/>
    <w:rsid w:val="2A6B3140"/>
    <w:rsid w:val="2AD31BDB"/>
    <w:rsid w:val="2C72E685"/>
    <w:rsid w:val="2D31460A"/>
    <w:rsid w:val="2D3C9E44"/>
    <w:rsid w:val="2F5835E7"/>
    <w:rsid w:val="2F9C0EE1"/>
    <w:rsid w:val="2FBE21D1"/>
    <w:rsid w:val="3209E97A"/>
    <w:rsid w:val="329F745A"/>
    <w:rsid w:val="3329894D"/>
    <w:rsid w:val="334B5C3A"/>
    <w:rsid w:val="34EBD653"/>
    <w:rsid w:val="3630124B"/>
    <w:rsid w:val="3630124B"/>
    <w:rsid w:val="3641E5F9"/>
    <w:rsid w:val="3709CA71"/>
    <w:rsid w:val="38404807"/>
    <w:rsid w:val="3982F55E"/>
    <w:rsid w:val="39FDD7AA"/>
    <w:rsid w:val="3A432679"/>
    <w:rsid w:val="3A7E73A1"/>
    <w:rsid w:val="3A8ABEAC"/>
    <w:rsid w:val="3AA2931D"/>
    <w:rsid w:val="3AD72000"/>
    <w:rsid w:val="3BC1DBC2"/>
    <w:rsid w:val="3C9DA834"/>
    <w:rsid w:val="3CD713EC"/>
    <w:rsid w:val="3DA11BF9"/>
    <w:rsid w:val="3F2E240A"/>
    <w:rsid w:val="3FD8CB54"/>
    <w:rsid w:val="4024E956"/>
    <w:rsid w:val="413EA57E"/>
    <w:rsid w:val="416F8F8A"/>
    <w:rsid w:val="423AF93A"/>
    <w:rsid w:val="426D3FA4"/>
    <w:rsid w:val="431DBCBD"/>
    <w:rsid w:val="43768C0B"/>
    <w:rsid w:val="43F486FC"/>
    <w:rsid w:val="454AD13F"/>
    <w:rsid w:val="46A506E3"/>
    <w:rsid w:val="472B664A"/>
    <w:rsid w:val="48DE311A"/>
    <w:rsid w:val="4956133F"/>
    <w:rsid w:val="4C6842FB"/>
    <w:rsid w:val="4D6BD76B"/>
    <w:rsid w:val="4E8E72E0"/>
    <w:rsid w:val="4E92FB0F"/>
    <w:rsid w:val="50E5F76F"/>
    <w:rsid w:val="5100CDA6"/>
    <w:rsid w:val="527E7EDE"/>
    <w:rsid w:val="54E03952"/>
    <w:rsid w:val="55F933B2"/>
    <w:rsid w:val="5623B311"/>
    <w:rsid w:val="563C14A3"/>
    <w:rsid w:val="578081BF"/>
    <w:rsid w:val="57ABDD6B"/>
    <w:rsid w:val="57F92830"/>
    <w:rsid w:val="58125B63"/>
    <w:rsid w:val="5A7ECD8F"/>
    <w:rsid w:val="5E1D3F54"/>
    <w:rsid w:val="5F2C2AF0"/>
    <w:rsid w:val="5F2E5150"/>
    <w:rsid w:val="615390A0"/>
    <w:rsid w:val="6277D998"/>
    <w:rsid w:val="62E08628"/>
    <w:rsid w:val="630CBB11"/>
    <w:rsid w:val="65EC0DB6"/>
    <w:rsid w:val="66EEDFB7"/>
    <w:rsid w:val="66F48D08"/>
    <w:rsid w:val="66FC89B7"/>
    <w:rsid w:val="6A5F3218"/>
    <w:rsid w:val="6DB273A8"/>
    <w:rsid w:val="6DCC48C0"/>
    <w:rsid w:val="6E3AC54E"/>
    <w:rsid w:val="6F4AB5AB"/>
    <w:rsid w:val="705A4C4A"/>
    <w:rsid w:val="705C80DC"/>
    <w:rsid w:val="708FA202"/>
    <w:rsid w:val="724DA72C"/>
    <w:rsid w:val="78513079"/>
    <w:rsid w:val="7887AB64"/>
    <w:rsid w:val="7BBF5152"/>
    <w:rsid w:val="7BD112FE"/>
    <w:rsid w:val="7BF60C40"/>
    <w:rsid w:val="7BFC770D"/>
    <w:rsid w:val="7CD306AA"/>
    <w:rsid w:val="7E9F61A0"/>
    <w:rsid w:val="7F0054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663512"/>
  <w15:chartTrackingRefBased/>
  <w15:docId w15:val="{98759BFE-CC7E-4E97-A6E3-DE42A5A0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1E8"/>
  </w:style>
  <w:style w:type="paragraph" w:styleId="Heading1">
    <w:name w:val="heading 1"/>
    <w:basedOn w:val="Normal"/>
    <w:next w:val="Normal"/>
    <w:link w:val="Heading1Char"/>
    <w:uiPriority w:val="9"/>
    <w:qFormat/>
    <w:rsid w:val="00507C82"/>
    <w:pPr>
      <w:keepNext/>
      <w:keepLines/>
      <w:spacing w:before="240" w:after="240" w:line="440" w:lineRule="exact"/>
      <w:contextualSpacing/>
      <w:outlineLvl w:val="0"/>
    </w:pPr>
    <w:rPr>
      <w:rFonts w:ascii="Calibri" w:hAnsi="Calibri" w:eastAsiaTheme="majorEastAsia" w:cstheme="majorBidi"/>
      <w:b/>
      <w:sz w:val="24"/>
      <w:szCs w:val="44"/>
    </w:rPr>
  </w:style>
  <w:style w:type="paragraph" w:styleId="Heading2">
    <w:name w:val="heading 2"/>
    <w:basedOn w:val="Normal"/>
    <w:next w:val="Normal"/>
    <w:link w:val="Heading2Char"/>
    <w:uiPriority w:val="9"/>
    <w:unhideWhenUsed/>
    <w:qFormat/>
    <w:rsid w:val="00234F23"/>
    <w:pPr>
      <w:keepNext/>
      <w:keepLines/>
      <w:spacing w:before="40" w:after="0"/>
      <w:outlineLvl w:val="1"/>
    </w:pPr>
    <w:rPr>
      <w:rFonts w:eastAsiaTheme="majorEastAsia" w:cstheme="minorHAnsi"/>
      <w:b/>
      <w:color w:val="1B75BC" w:themeColor="accent1"/>
      <w:sz w:val="28"/>
      <w:szCs w:val="28"/>
    </w:rPr>
  </w:style>
  <w:style w:type="paragraph" w:styleId="Heading3">
    <w:name w:val="heading 3"/>
    <w:basedOn w:val="Normal"/>
    <w:next w:val="Normal"/>
    <w:link w:val="Heading3Char"/>
    <w:uiPriority w:val="9"/>
    <w:unhideWhenUsed/>
    <w:qFormat/>
    <w:rsid w:val="00234F23"/>
    <w:pPr>
      <w:keepNext/>
      <w:keepLines/>
      <w:spacing w:before="40" w:after="0"/>
      <w:outlineLvl w:val="2"/>
    </w:pPr>
    <w:rPr>
      <w:rFonts w:eastAsiaTheme="majorEastAsia" w:cstheme="minorHAnsi"/>
      <w:b/>
      <w:color w:val="000000" w:themeColor="text1"/>
      <w:sz w:val="26"/>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cstheme="minorHAnsi"/>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hAnsiTheme="majorHAnsi" w:eastAsiaTheme="majorEastAsia" w:cstheme="majorBidi"/>
      <w:color w:val="14578C"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stheme="minorHAnsi"/>
      <w:color w:val="000000" w:themeColor="text1"/>
      <w:sz w:val="70"/>
      <w:szCs w:val="70"/>
    </w:rPr>
  </w:style>
  <w:style w:type="character" w:styleId="TitleChar" w:customStyle="1">
    <w:name w:val="Title Char"/>
    <w:basedOn w:val="DefaultParagraphFont"/>
    <w:link w:val="Title"/>
    <w:uiPriority w:val="99"/>
    <w:rsid w:val="00464A26"/>
    <w:rPr>
      <w:rFonts w:eastAsiaTheme="majorEastAsia" w:cstheme="minorHAnsi"/>
      <w:color w:val="000000" w:themeColor="text1"/>
      <w:sz w:val="70"/>
      <w:szCs w:val="70"/>
    </w:rPr>
  </w:style>
  <w:style w:type="character" w:styleId="Heading1Char" w:customStyle="1">
    <w:name w:val="Heading 1 Char"/>
    <w:basedOn w:val="DefaultParagraphFont"/>
    <w:link w:val="Heading1"/>
    <w:uiPriority w:val="9"/>
    <w:rsid w:val="00507C82"/>
    <w:rPr>
      <w:rFonts w:ascii="Calibri" w:hAnsi="Calibri" w:eastAsiaTheme="majorEastAsia" w:cstheme="majorBidi"/>
      <w:b/>
      <w:sz w:val="24"/>
      <w:szCs w:val="44"/>
    </w:rPr>
  </w:style>
  <w:style w:type="character" w:styleId="Heading2Char" w:customStyle="1">
    <w:name w:val="Heading 2 Char"/>
    <w:basedOn w:val="DefaultParagraphFont"/>
    <w:link w:val="Heading2"/>
    <w:uiPriority w:val="9"/>
    <w:rsid w:val="00234F23"/>
    <w:rPr>
      <w:rFonts w:eastAsiaTheme="majorEastAsia" w:cstheme="minorHAnsi"/>
      <w:b/>
      <w:color w:val="1B75BC" w:themeColor="accent1"/>
      <w:sz w:val="28"/>
      <w:szCs w:val="28"/>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234F23"/>
    <w:pPr>
      <w:numPr>
        <w:numId w:val="2"/>
      </w:numPr>
      <w:contextualSpacing/>
    </w:pPr>
  </w:style>
  <w:style w:type="paragraph" w:styleId="ListBullet2">
    <w:name w:val="List Bullet 2"/>
    <w:basedOn w:val="Normal"/>
    <w:uiPriority w:val="99"/>
    <w:unhideWhenUsed/>
    <w:qFormat/>
    <w:rsid w:val="00856427"/>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5DB1"/>
    <w:rPr>
      <w:rFonts w:ascii="Segoe UI" w:hAnsi="Segoe UI" w:cs="Segoe UI"/>
      <w:sz w:val="18"/>
      <w:szCs w:val="18"/>
    </w:rPr>
  </w:style>
  <w:style w:type="character" w:styleId="Heading3Char" w:customStyle="1">
    <w:name w:val="Heading 3 Char"/>
    <w:basedOn w:val="DefaultParagraphFont"/>
    <w:link w:val="Heading3"/>
    <w:uiPriority w:val="9"/>
    <w:rsid w:val="00234F23"/>
    <w:rPr>
      <w:rFonts w:eastAsiaTheme="majorEastAsia" w:cstheme="minorHAnsi"/>
      <w:b/>
      <w:color w:val="000000" w:themeColor="text1"/>
      <w:sz w:val="26"/>
      <w:szCs w:val="26"/>
    </w:rPr>
  </w:style>
  <w:style w:type="character" w:styleId="Heading4Char" w:customStyle="1">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color="1B75BC" w:themeColor="accent1" w:sz="4" w:space="10"/>
        <w:bottom w:val="single" w:color="1B75BC" w:themeColor="accent1" w:sz="4" w:space="10"/>
      </w:pBdr>
      <w:spacing w:before="360" w:after="360"/>
      <w:ind w:left="864" w:right="864"/>
      <w:jc w:val="center"/>
    </w:pPr>
    <w:rPr>
      <w:i/>
      <w:iCs/>
      <w:color w:val="1B75BC" w:themeColor="accent1"/>
    </w:rPr>
  </w:style>
  <w:style w:type="character" w:styleId="IntenseQuoteChar" w:customStyle="1">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D35BD5"/>
    <w:rPr>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styleId="CoverTitle" w:customStyle="1">
    <w:name w:val="Cover Title"/>
    <w:basedOn w:val="Normal"/>
    <w:qFormat/>
    <w:rsid w:val="00DD2C26"/>
    <w:pPr>
      <w:spacing w:before="400" w:after="280" w:line="700" w:lineRule="exact"/>
      <w:ind w:left="2246"/>
    </w:pPr>
    <w:rPr>
      <w:rFonts w:cstheme="minorHAnsi"/>
      <w:b/>
      <w:sz w:val="70"/>
      <w:szCs w:val="70"/>
    </w:rPr>
  </w:style>
  <w:style w:type="paragraph" w:styleId="CoveSubheading" w:customStyle="1">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styleId="Coverdate" w:customStyle="1">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styleId="Heading5Char" w:customStyle="1">
    <w:name w:val="Heading 5 Char"/>
    <w:basedOn w:val="DefaultParagraphFont"/>
    <w:link w:val="Heading5"/>
    <w:uiPriority w:val="9"/>
    <w:rsid w:val="00856427"/>
    <w:rPr>
      <w:rFonts w:asciiTheme="majorHAnsi" w:hAnsiTheme="majorHAnsi" w:eastAsiaTheme="majorEastAsia" w:cstheme="majorBidi"/>
      <w:color w:val="14578C" w:themeColor="accent1" w:themeShade="BF"/>
    </w:rPr>
  </w:style>
  <w:style w:type="paragraph" w:styleId="TOC1">
    <w:name w:val="toc 1"/>
    <w:basedOn w:val="Normal"/>
    <w:next w:val="Normal"/>
    <w:autoRedefine/>
    <w:uiPriority w:val="39"/>
    <w:unhideWhenUsed/>
    <w:rsid w:val="004A0B42"/>
    <w:pPr>
      <w:tabs>
        <w:tab w:val="left" w:pos="720"/>
        <w:tab w:val="right" w:leader="dot" w:pos="9350"/>
      </w:tabs>
      <w:spacing w:after="100"/>
    </w:pPr>
    <w:rPr>
      <w:b/>
      <w:bCs/>
      <w:noProof/>
      <w:sz w:val="24"/>
      <w:szCs w:val="24"/>
    </w:rPr>
  </w:style>
  <w:style w:type="paragraph" w:styleId="TOC2">
    <w:name w:val="toc 2"/>
    <w:basedOn w:val="Normal"/>
    <w:next w:val="Normal"/>
    <w:autoRedefine/>
    <w:uiPriority w:val="39"/>
    <w:unhideWhenUsed/>
    <w:rsid w:val="009A4B0A"/>
    <w:pPr>
      <w:spacing w:after="100"/>
      <w:ind w:left="210"/>
    </w:pPr>
  </w:style>
  <w:style w:type="paragraph" w:styleId="TOC3">
    <w:name w:val="toc 3"/>
    <w:basedOn w:val="Normal"/>
    <w:next w:val="Normal"/>
    <w:autoRedefine/>
    <w:uiPriority w:val="39"/>
    <w:unhideWhenUsed/>
    <w:rsid w:val="009A4B0A"/>
    <w:pPr>
      <w:spacing w:after="100"/>
      <w:ind w:left="420"/>
    </w:pPr>
  </w:style>
  <w:style w:type="paragraph" w:styleId="TOCHeading">
    <w:name w:val="TOC Heading"/>
    <w:basedOn w:val="Heading1"/>
    <w:next w:val="Normal"/>
    <w:uiPriority w:val="39"/>
    <w:unhideWhenUsed/>
    <w:qFormat/>
    <w:rsid w:val="00983ED8"/>
    <w:pPr>
      <w:spacing w:after="0" w:line="259" w:lineRule="auto"/>
      <w:contextualSpacing w:val="0"/>
      <w:outlineLvl w:val="9"/>
    </w:pPr>
    <w:rPr>
      <w:rFonts w:asciiTheme="majorHAnsi" w:hAnsiTheme="majorHAnsi"/>
      <w:b w:val="0"/>
      <w:color w:val="14578C" w:themeColor="accent1" w:themeShade="BF"/>
      <w:sz w:val="32"/>
      <w:szCs w:val="32"/>
    </w:rPr>
  </w:style>
  <w:style w:type="paragraph" w:styleId="ODEHeader1" w:customStyle="1">
    <w:name w:val="ODE Header 1"/>
    <w:basedOn w:val="Heading1"/>
    <w:link w:val="ODEHeader1Char"/>
    <w:qFormat/>
    <w:rsid w:val="00F06885"/>
    <w:pPr>
      <w:numPr>
        <w:numId w:val="12"/>
      </w:numPr>
      <w:spacing w:after="0" w:line="240" w:lineRule="auto"/>
      <w:ind w:left="0" w:firstLine="0"/>
      <w:textAlignment w:val="baseline"/>
    </w:pPr>
    <w:rPr>
      <w:rFonts w:eastAsia="Times New Roman" w:cs="Calibri"/>
      <w:bCs/>
      <w:color w:val="0070C0"/>
      <w:sz w:val="48"/>
      <w:szCs w:val="48"/>
    </w:rPr>
  </w:style>
  <w:style w:type="character" w:styleId="ODEHeader1Char" w:customStyle="1">
    <w:name w:val="ODE Header 1 Char"/>
    <w:basedOn w:val="DefaultParagraphFont"/>
    <w:link w:val="ODEHeader1"/>
    <w:rsid w:val="00F06885"/>
    <w:rPr>
      <w:rFonts w:ascii="Calibri" w:hAnsi="Calibri" w:eastAsia="Times New Roman" w:cs="Calibri"/>
      <w:b/>
      <w:bCs/>
      <w:color w:val="0070C0"/>
      <w:sz w:val="48"/>
      <w:szCs w:val="48"/>
    </w:rPr>
  </w:style>
  <w:style w:type="paragraph" w:styleId="ODEHeader2" w:customStyle="1">
    <w:name w:val="ODE Header 2"/>
    <w:basedOn w:val="Heading2"/>
    <w:link w:val="ODEHeader2Char"/>
    <w:qFormat/>
    <w:rsid w:val="00F06885"/>
    <w:pPr>
      <w:spacing w:line="240" w:lineRule="auto"/>
      <w:textAlignment w:val="baseline"/>
    </w:pPr>
    <w:rPr>
      <w:rFonts w:ascii="Calibri" w:hAnsi="Calibri" w:eastAsia="Times New Roman" w:cs="Calibri"/>
      <w:bCs/>
      <w:color w:val="0070C0"/>
      <w:sz w:val="32"/>
      <w:szCs w:val="32"/>
    </w:rPr>
  </w:style>
  <w:style w:type="character" w:styleId="ODEHeader2Char" w:customStyle="1">
    <w:name w:val="ODE Header 2 Char"/>
    <w:basedOn w:val="DefaultParagraphFont"/>
    <w:link w:val="ODEHeader2"/>
    <w:rsid w:val="00F06885"/>
    <w:rPr>
      <w:rFonts w:ascii="Calibri" w:hAnsi="Calibri" w:eastAsia="Times New Roman" w:cs="Calibri"/>
      <w:b/>
      <w:bCs/>
      <w:color w:val="0070C0"/>
      <w:sz w:val="32"/>
      <w:szCs w:val="32"/>
    </w:rPr>
  </w:style>
  <w:style w:type="paragraph" w:styleId="ODEHeader3" w:customStyle="1">
    <w:name w:val="ODE Header 3"/>
    <w:basedOn w:val="Heading3"/>
    <w:link w:val="ODEHeader3Char"/>
    <w:qFormat/>
    <w:rsid w:val="00F06885"/>
    <w:pPr>
      <w:spacing w:line="240" w:lineRule="auto"/>
      <w:textAlignment w:val="baseline"/>
    </w:pPr>
    <w:rPr>
      <w:rFonts w:ascii="Calibri" w:hAnsi="Calibri" w:eastAsia="Times New Roman" w:cs="Calibri"/>
      <w:bCs/>
      <w:color w:val="0070C0"/>
      <w:sz w:val="28"/>
      <w:szCs w:val="28"/>
    </w:rPr>
  </w:style>
  <w:style w:type="character" w:styleId="ODEHeader3Char" w:customStyle="1">
    <w:name w:val="ODE Header 3 Char"/>
    <w:basedOn w:val="DefaultParagraphFont"/>
    <w:link w:val="ODEHeader3"/>
    <w:rsid w:val="00F06885"/>
    <w:rPr>
      <w:rFonts w:ascii="Calibri" w:hAnsi="Calibri" w:eastAsia="Times New Roman" w:cs="Calibri"/>
      <w:b/>
      <w:bCs/>
      <w:color w:val="0070C0"/>
      <w:sz w:val="28"/>
      <w:szCs w:val="28"/>
    </w:rPr>
  </w:style>
  <w:style w:type="paragraph" w:styleId="ODEHeader4" w:customStyle="1">
    <w:name w:val="ODE Header 4"/>
    <w:basedOn w:val="Normal"/>
    <w:link w:val="ODEHeader4Char"/>
    <w:qFormat/>
    <w:rsid w:val="00983ED8"/>
    <w:pPr>
      <w:spacing w:after="0" w:line="240" w:lineRule="auto"/>
      <w:textAlignment w:val="baseline"/>
    </w:pPr>
    <w:rPr>
      <w:rFonts w:ascii="Calibri" w:hAnsi="Calibri" w:eastAsia="Times New Roman" w:cs="Calibri"/>
      <w:b/>
      <w:bCs/>
      <w:color w:val="0070C0"/>
      <w:sz w:val="28"/>
      <w:szCs w:val="28"/>
    </w:rPr>
  </w:style>
  <w:style w:type="character" w:styleId="ODEHeader4Char" w:customStyle="1">
    <w:name w:val="ODE Header 4 Char"/>
    <w:basedOn w:val="DefaultParagraphFont"/>
    <w:link w:val="ODEHeader4"/>
    <w:rsid w:val="00983ED8"/>
    <w:rPr>
      <w:rFonts w:ascii="Calibri" w:hAnsi="Calibri" w:eastAsia="Times New Roman" w:cs="Calibri"/>
      <w:b/>
      <w:bCs/>
      <w:color w:val="0070C0"/>
      <w:sz w:val="28"/>
      <w:szCs w:val="28"/>
    </w:rPr>
  </w:style>
  <w:style w:type="character" w:styleId="UnresolvedMention">
    <w:name w:val="Unresolved Mention"/>
    <w:basedOn w:val="DefaultParagraphFont"/>
    <w:uiPriority w:val="99"/>
    <w:semiHidden/>
    <w:unhideWhenUsed/>
    <w:rsid w:val="00AD68BF"/>
    <w:rPr>
      <w:color w:val="605E5C"/>
      <w:shd w:val="clear" w:color="auto" w:fill="E1DFDD"/>
    </w:r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TableNormal"/>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7CE61345-ED10-4BC0-891A-25C9941F8E73}">
    <t:Anchor>
      <t:Comment id="196180291"/>
    </t:Anchor>
    <t:History>
      <t:Event id="{4145C54E-8C5A-471E-B9AC-E29A33D7AB94}" time="2026-01-15T21:32:37.012Z">
        <t:Attribution userId="S::cynthia.stinson@ode.oregon.gov::8d3f7ed7-1dc0-4597-82d5-113fd2692964" userProvider="AD" userName="STINSON Cynthia * ODE"/>
        <t:Anchor>
          <t:Comment id="196180291"/>
        </t:Anchor>
        <t:Create/>
      </t:Event>
      <t:Event id="{D4AD7F77-81A9-4953-95D2-999ED62CE77D}" time="2026-01-15T21:32:37.012Z">
        <t:Attribution userId="S::cynthia.stinson@ode.oregon.gov::8d3f7ed7-1dc0-4597-82d5-113fd2692964" userProvider="AD" userName="STINSON Cynthia * ODE"/>
        <t:Anchor>
          <t:Comment id="196180291"/>
        </t:Anchor>
        <t:Assign userId="S::NeemannL@ode.oregon.gov::b0bd19f0-59a4-490c-b763-05b64ae6a8db" userProvider="AD" userName="NEEMANN Lexi * ODE"/>
      </t:Event>
      <t:Event id="{8B8EC59E-4F66-459F-9FB6-0B32C5198C98}" time="2026-01-15T21:32:37.012Z">
        <t:Attribution userId="S::cynthia.stinson@ode.oregon.gov::8d3f7ed7-1dc0-4597-82d5-113fd2692964" userProvider="AD" userName="STINSON Cynthia * ODE"/>
        <t:Anchor>
          <t:Comment id="196180291"/>
        </t:Anchor>
        <t:SetTitle title="@NEEMANN Lexi * ODE I totally don't remember, did we make this a requirement in the RFA and then in the grant agreements, or did we just strongly sugges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www.oregon.gov/ode/schools-and-districts/grants/ESEA/Documents/Risk%20Assessment%20One%20Pager.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99917bbebace43b8" Type="http://schemas.openxmlformats.org/officeDocument/2006/relationships/hyperlink" Target="https://odedistrict.oregon.gov/CollectionsValidations/Collections/Pages/ESEA-McKinney-VentoHomeless.aspx" TargetMode="External"/><Relationship Id="rId7" Type="http://schemas.openxmlformats.org/officeDocument/2006/relationships/endnotes" Target="endnotes.xml"/><Relationship Id="rId12" Type="http://schemas.openxmlformats.org/officeDocument/2006/relationships/hyperlink" Target="https://nche.ed.gov/wp-content/uploads/2025/04/NCHE-Use-of-Funds-Tip-Sheet_2025.pdf" TargetMode="External"/><Relationship Id="rId17" Type="http://schemas.openxmlformats.org/officeDocument/2006/relationships/hyperlink" Target="https://odedistrict.oregon.gov/CollectionsValidations/Collections/Pages/ESEA-McKinney-VentoHomeless.asp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oregon.gov/ode/schools-and-districts/grants/ESEA/McKinney-Vento/Pages/McKinney-Vento-Liaisons,-Districts,-%26-ESDs.aspx" TargetMode="External"/><Relationship Id="rId20" Type="http://schemas.openxmlformats.org/officeDocument/2006/relationships/header" Target="header1.xml"/><Relationship Id="R7798f389ab9e4748" Type="http://schemas.openxmlformats.org/officeDocument/2006/relationships/hyperlink" Target="https://odedistrict.oregon.gov/Applications/Documents/egms-external-user-guide.pdf" TargetMode="External"/><Relationship Id="Rc5de0ecd0f2d41ef" Type="http://schemas.microsoft.com/office/2019/05/relationships/documenttasks" Target="tasks.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martsheet.com/b/form/5337b9d2fcca429e8cbb28a1c255e4a5" TargetMode="External"/><Relationship Id="rId23" Type="http://schemas.openxmlformats.org/officeDocument/2006/relationships/footer" Target="footer2.xml"/><Relationship Id="R4bb3e2a8c0b64383" Type="http://schemas.openxmlformats.org/officeDocument/2006/relationships/hyperlink" Target="https://nche.ed.gov/legislation/mckinney-vento/" TargetMode="External"/><Relationship Id="R0a77b811ad7c4a44" Type="http://schemas.microsoft.com/office/2020/10/relationships/intelligence" Target="intelligence2.xml"/><Relationship Id="rId28" Type="http://schemas.openxmlformats.org/officeDocument/2006/relationships/customXml" Target="../customXml/item3.xml"/><Relationship Id="rId10" Type="http://schemas.openxmlformats.org/officeDocument/2006/relationships/hyperlink" Target="https://oregon.public.law/statutes/ors_339.133" TargetMode="External"/><Relationship Id="rId19" Type="http://schemas.openxmlformats.org/officeDocument/2006/relationships/hyperlink" Target="https://www.oregon.gov/ode/schools-and-districts/grants/ESEA/Pages/ESEA-Monitoring.aspx" TargetMode="External"/><Relationship Id="R4301b3b1a4f44aef" Type="http://schemas.openxmlformats.org/officeDocument/2006/relationships/hyperlink" Target="https://www.oregonlegislature.gov/bills_laws/ors/ors339.html" TargetMode="External"/><Relationship Id="rId4" Type="http://schemas.openxmlformats.org/officeDocument/2006/relationships/settings" Target="settings.xml"/><Relationship Id="rId14" Type="http://schemas.openxmlformats.org/officeDocument/2006/relationships/hyperlink" Target="https://www.oregon.gov/ode/schools-and-districts/grants/ESEA/McKinney-Vento/" TargetMode="External"/><Relationship Id="rId22" Type="http://schemas.openxmlformats.org/officeDocument/2006/relationships/header" Target="header2.xml"/><Relationship Id="rId27" Type="http://schemas.openxmlformats.org/officeDocument/2006/relationships/customXml" Target="../customXml/item2.xml"/></Relationships>
</file>

<file path=word/_rels/footer2.xml.rels>&#65279;<?xml version="1.0" encoding="utf-8"?><Relationships xmlns="http://schemas.openxmlformats.org/package/2006/relationships"><Relationship Type="http://schemas.openxmlformats.org/officeDocument/2006/relationships/image" Target="media/image2.png" Id="rId1" /></Relationships>
</file>

<file path=word/_rels/header2.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media/image3.png" Id="rId2" /></Relationships>
</file>

<file path=word/_rels/settings.xml.rels><?xml version="1.0" encoding="UTF-8" standalone="yes"?>
<Relationships xmlns="http://schemas.openxmlformats.org/package/2006/relationships"><Relationship Id="rId1" Type="http://schemas.openxmlformats.org/officeDocument/2006/relationships/attachedTemplate" Target="file:///\\odefs\collective\t\Communications\ODE%20Report%20Template%20March%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B2A87E862409EA0E56DC03A4C83C7"/>
        <w:category>
          <w:name w:val="General"/>
          <w:gallery w:val="placeholder"/>
        </w:category>
        <w:types>
          <w:type w:val="bbPlcHdr"/>
        </w:types>
        <w:behaviors>
          <w:behavior w:val="content"/>
        </w:behaviors>
        <w:guid w:val="{3D10DDDF-D9B6-4A1D-BBF2-0D86D0C63618}"/>
      </w:docPartPr>
      <w:docPartBody>
        <w:p w:rsidR="002E12D1" w:rsidRDefault="002E12D1">
          <w:pPr>
            <w:pStyle w:val="6CFB2A87E862409EA0E56DC03A4C83C7"/>
          </w:pPr>
          <w:r w:rsidRPr="00EE2F97">
            <w:rPr>
              <w:rStyle w:val="PlaceholderText"/>
            </w:rPr>
            <w:t>[Title]</w:t>
          </w:r>
        </w:p>
      </w:docPartBody>
    </w:docPart>
    <w:docPart>
      <w:docPartPr>
        <w:name w:val="C0B4C393CD9A44B5B8B78EA64DF2D97C"/>
        <w:category>
          <w:name w:val="General"/>
          <w:gallery w:val="placeholder"/>
        </w:category>
        <w:types>
          <w:type w:val="bbPlcHdr"/>
        </w:types>
        <w:behaviors>
          <w:behavior w:val="content"/>
        </w:behaviors>
        <w:guid w:val="{EFEA8B33-F24A-4499-B957-37395D3334AC}"/>
      </w:docPartPr>
      <w:docPartBody>
        <w:p w:rsidR="002E12D1" w:rsidRDefault="002E12D1">
          <w:pPr>
            <w:pStyle w:val="C0B4C393CD9A44B5B8B78EA64DF2D97C"/>
          </w:pPr>
          <w:r w:rsidRPr="00EE2F9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D1"/>
    <w:rsid w:val="002E12D1"/>
    <w:rsid w:val="00B07F8F"/>
    <w:rsid w:val="00BB33CF"/>
    <w:rsid w:val="00FE163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FB2A87E862409EA0E56DC03A4C83C7">
    <w:name w:val="6CFB2A87E862409EA0E56DC03A4C83C7"/>
  </w:style>
  <w:style w:type="paragraph" w:customStyle="1" w:styleId="C0B4C393CD9A44B5B8B78EA64DF2D97C">
    <w:name w:val="C0B4C393CD9A44B5B8B78EA64DF2D97C"/>
  </w:style>
  <w:style w:type="paragraph" w:customStyle="1" w:styleId="338F386A65F04EC1A1AF41B518AC0345">
    <w:name w:val="338F386A65F04EC1A1AF41B518AC0345"/>
    <w:rsid w:val="00BB33CF"/>
    <w:rPr>
      <w:lang w:eastAsia="zh-TW"/>
    </w:rPr>
  </w:style>
  <w:style w:type="paragraph" w:customStyle="1" w:styleId="954377F68FB74FAB9321DFE6B7F415AE">
    <w:name w:val="954377F68FB74FAB9321DFE6B7F415AE"/>
    <w:rsid w:val="00BB33CF"/>
    <w:rPr>
      <w:lang w:eastAsia="zh-TW"/>
    </w:rPr>
  </w:style>
  <w:style w:type="paragraph" w:customStyle="1" w:styleId="47FEB538572E4D5F8F060C384A972BF6">
    <w:name w:val="47FEB538572E4D5F8F060C384A972BF6"/>
    <w:rsid w:val="00BB33CF"/>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2026-01-20T16:19:18+00:00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Props1.xml><?xml version="1.0" encoding="utf-8"?>
<ds:datastoreItem xmlns:ds="http://schemas.openxmlformats.org/officeDocument/2006/customXml" ds:itemID="{878274AE-B32E-4589-A462-AA857DCA2144}">
  <ds:schemaRefs>
    <ds:schemaRef ds:uri="http://schemas.openxmlformats.org/officeDocument/2006/bibliography"/>
  </ds:schemaRefs>
</ds:datastoreItem>
</file>

<file path=customXml/itemProps2.xml><?xml version="1.0" encoding="utf-8"?>
<ds:datastoreItem xmlns:ds="http://schemas.openxmlformats.org/officeDocument/2006/customXml" ds:itemID="{048E7A7F-E6C5-4F44-A593-D1F22940DD07}"/>
</file>

<file path=customXml/itemProps3.xml><?xml version="1.0" encoding="utf-8"?>
<ds:datastoreItem xmlns:ds="http://schemas.openxmlformats.org/officeDocument/2006/customXml" ds:itemID="{72B25A58-4B37-4CC1-A023-03ED79671F84}"/>
</file>

<file path=customXml/itemProps4.xml><?xml version="1.0" encoding="utf-8"?>
<ds:datastoreItem xmlns:ds="http://schemas.openxmlformats.org/officeDocument/2006/customXml" ds:itemID="{3DA4071A-ADA0-4869-AE2B-D61340946AC3}"/>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ODE Report Template March 2019.dotx</ap:Template>
  <ap:Application>Microsoft Word for the web</ap:Application>
  <ap:DocSecurity>4</ap:DocSecurity>
  <ap:ScaleCrop>false</ap:ScaleCrop>
  <ap:Company>State of Oregon, DAS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Grant Administrator's Guide</dc:title>
  <dc:subject>Fall 2025</dc:subject>
  <dc:creator>"SappingJ"</dc:creator>
  <cp:keywords/>
  <dc:description/>
  <cp:lastModifiedBy>SAPPINGTON Jennifer * ODE</cp:lastModifiedBy>
  <cp:revision>15</cp:revision>
  <cp:lastPrinted>2017-01-11T16:49:00Z</cp:lastPrinted>
  <dcterms:created xsi:type="dcterms:W3CDTF">2026-01-15T16:20:00Z</dcterms:created>
  <dcterms:modified xsi:type="dcterms:W3CDTF">2026-01-20T16:17:48Z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