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1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65"/>
        <w:gridCol w:w="5940"/>
        <w:gridCol w:w="2430"/>
        <w:gridCol w:w="900"/>
        <w:gridCol w:w="832"/>
        <w:gridCol w:w="8"/>
      </w:tblGrid>
      <w:tr w:rsidR="00B007CB" w14:paraId="6FCF29E4" w14:textId="77777777" w:rsidTr="00B007CB">
        <w:trPr>
          <w:gridAfter w:val="1"/>
          <w:wAfter w:w="8" w:type="dxa"/>
          <w:trHeight w:val="297"/>
        </w:trPr>
        <w:tc>
          <w:tcPr>
            <w:tcW w:w="11267" w:type="dxa"/>
            <w:gridSpan w:val="5"/>
            <w:shd w:val="clear" w:color="auto" w:fill="365F91" w:themeFill="accent1" w:themeFillShade="BF"/>
            <w:vAlign w:val="center"/>
          </w:tcPr>
          <w:p w14:paraId="1AD1D421" w14:textId="77777777" w:rsidR="00B007CB" w:rsidRPr="00477732" w:rsidRDefault="00B007CB" w:rsidP="00561112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  <w:p w14:paraId="7EC3C3AF" w14:textId="77777777" w:rsidR="00B007CB" w:rsidRDefault="00B007CB" w:rsidP="00561112">
            <w:pPr>
              <w:jc w:val="center"/>
              <w:rPr>
                <w:b/>
                <w:color w:val="FFFFFF"/>
              </w:rPr>
            </w:pPr>
            <w:r w:rsidRPr="00477732">
              <w:rPr>
                <w:b/>
                <w:color w:val="FFFFFF"/>
              </w:rPr>
              <w:t xml:space="preserve">Title I-C </w:t>
            </w:r>
            <w:r>
              <w:rPr>
                <w:b/>
                <w:color w:val="FFFFFF"/>
              </w:rPr>
              <w:t>Monitoring Tool</w:t>
            </w:r>
          </w:p>
          <w:p w14:paraId="37371EA4" w14:textId="77777777" w:rsidR="00B007CB" w:rsidRPr="00381B05" w:rsidRDefault="00B007CB" w:rsidP="00561112">
            <w:pPr>
              <w:jc w:val="center"/>
              <w:rPr>
                <w:b/>
                <w:color w:val="FFFFFF"/>
              </w:rPr>
            </w:pPr>
            <w:r w:rsidRPr="00477732">
              <w:rPr>
                <w:b/>
                <w:color w:val="FFFFFF"/>
              </w:rPr>
              <w:t xml:space="preserve">Education of Migratory Children </w:t>
            </w:r>
          </w:p>
          <w:p w14:paraId="589F3C0A" w14:textId="77777777" w:rsidR="00B007CB" w:rsidRDefault="00B007CB" w:rsidP="00561112">
            <w:pPr>
              <w:jc w:val="center"/>
            </w:pPr>
          </w:p>
        </w:tc>
      </w:tr>
      <w:tr w:rsidR="00B007CB" w14:paraId="79808203" w14:textId="77777777" w:rsidTr="00B007CB">
        <w:trPr>
          <w:gridAfter w:val="1"/>
          <w:wAfter w:w="8" w:type="dxa"/>
          <w:trHeight w:val="297"/>
        </w:trPr>
        <w:tc>
          <w:tcPr>
            <w:tcW w:w="11267" w:type="dxa"/>
            <w:gridSpan w:val="5"/>
            <w:vAlign w:val="center"/>
          </w:tcPr>
          <w:p w14:paraId="7986FCFF" w14:textId="77777777" w:rsidR="00B007CB" w:rsidRDefault="00B007CB" w:rsidP="00561112">
            <w:pPr>
              <w:jc w:val="center"/>
              <w:rPr>
                <w:b/>
                <w:sz w:val="16"/>
                <w:szCs w:val="16"/>
              </w:rPr>
            </w:pPr>
          </w:p>
          <w:p w14:paraId="4AA4B580" w14:textId="77777777" w:rsidR="00B007CB" w:rsidRPr="009F6559" w:rsidRDefault="00B007CB" w:rsidP="00561112">
            <w:pPr>
              <w:jc w:val="center"/>
              <w:rPr>
                <w:b/>
                <w:sz w:val="22"/>
                <w:szCs w:val="22"/>
              </w:rPr>
            </w:pPr>
            <w:r w:rsidRPr="009F6559">
              <w:rPr>
                <w:b/>
                <w:sz w:val="22"/>
                <w:szCs w:val="22"/>
              </w:rPr>
              <w:t>PROGRAM FISCAL REQUIREMENTS DOMAIN</w:t>
            </w:r>
          </w:p>
          <w:p w14:paraId="2BD3DAE0" w14:textId="77777777" w:rsidR="00B007CB" w:rsidRDefault="00B007CB" w:rsidP="005611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07CB" w14:paraId="798F5616" w14:textId="77777777" w:rsidTr="00660816">
        <w:trPr>
          <w:trHeight w:val="297"/>
        </w:trPr>
        <w:tc>
          <w:tcPr>
            <w:tcW w:w="1165" w:type="dxa"/>
            <w:vMerge w:val="restart"/>
            <w:vAlign w:val="center"/>
          </w:tcPr>
          <w:p w14:paraId="5208A799" w14:textId="77777777" w:rsidR="00B007CB" w:rsidRPr="00477732" w:rsidRDefault="00B007CB" w:rsidP="005611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Indicator</w:t>
            </w:r>
            <w:r w:rsidRPr="00477732">
              <w:rPr>
                <w:b/>
                <w:sz w:val="16"/>
                <w:szCs w:val="16"/>
              </w:rPr>
              <w:t xml:space="preserve"> Number</w:t>
            </w:r>
          </w:p>
        </w:tc>
        <w:tc>
          <w:tcPr>
            <w:tcW w:w="5940" w:type="dxa"/>
            <w:vMerge w:val="restart"/>
            <w:vAlign w:val="center"/>
          </w:tcPr>
          <w:p w14:paraId="311271D3" w14:textId="77777777" w:rsidR="00B007CB" w:rsidRPr="00477732" w:rsidRDefault="00B007CB" w:rsidP="005611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Indicator</w:t>
            </w:r>
          </w:p>
        </w:tc>
        <w:tc>
          <w:tcPr>
            <w:tcW w:w="2430" w:type="dxa"/>
            <w:vMerge w:val="restart"/>
            <w:vAlign w:val="center"/>
          </w:tcPr>
          <w:p w14:paraId="2BA56BF1" w14:textId="77777777" w:rsidR="00B007CB" w:rsidRDefault="00B007CB" w:rsidP="00561112">
            <w:pPr>
              <w:jc w:val="center"/>
            </w:pPr>
            <w:r w:rsidRPr="00477732">
              <w:rPr>
                <w:b/>
                <w:sz w:val="16"/>
                <w:szCs w:val="16"/>
              </w:rPr>
              <w:t>Supporting Documentation</w:t>
            </w:r>
          </w:p>
        </w:tc>
        <w:tc>
          <w:tcPr>
            <w:tcW w:w="1740" w:type="dxa"/>
            <w:gridSpan w:val="3"/>
            <w:vAlign w:val="center"/>
          </w:tcPr>
          <w:p w14:paraId="042AD08D" w14:textId="77777777" w:rsidR="00B007CB" w:rsidRDefault="00B007CB" w:rsidP="00561112">
            <w:pPr>
              <w:jc w:val="center"/>
            </w:pPr>
            <w:r w:rsidRPr="00477732">
              <w:rPr>
                <w:b/>
                <w:sz w:val="16"/>
                <w:szCs w:val="16"/>
              </w:rPr>
              <w:t>Compliance Status</w:t>
            </w:r>
          </w:p>
        </w:tc>
      </w:tr>
      <w:tr w:rsidR="00B007CB" w:rsidRPr="00477732" w14:paraId="4776C6FA" w14:textId="77777777" w:rsidTr="00660816">
        <w:trPr>
          <w:trHeight w:val="297"/>
        </w:trPr>
        <w:tc>
          <w:tcPr>
            <w:tcW w:w="1165" w:type="dxa"/>
            <w:vMerge/>
            <w:vAlign w:val="center"/>
          </w:tcPr>
          <w:p w14:paraId="0AE671EC" w14:textId="77777777" w:rsidR="00B007CB" w:rsidRPr="00477732" w:rsidRDefault="00B007CB" w:rsidP="00561112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vMerge/>
            <w:vAlign w:val="center"/>
          </w:tcPr>
          <w:p w14:paraId="45AD1BD0" w14:textId="77777777" w:rsidR="00B007CB" w:rsidRPr="00477732" w:rsidRDefault="00B007CB" w:rsidP="00561112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2430" w:type="dxa"/>
            <w:vMerge/>
            <w:vAlign w:val="center"/>
          </w:tcPr>
          <w:p w14:paraId="1D10D36E" w14:textId="77777777" w:rsidR="00B007CB" w:rsidRPr="00477732" w:rsidRDefault="00B007CB" w:rsidP="00561112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900" w:type="dxa"/>
            <w:vAlign w:val="center"/>
          </w:tcPr>
          <w:p w14:paraId="298BE6C6" w14:textId="77777777" w:rsidR="00B007CB" w:rsidRPr="00477732" w:rsidRDefault="00B007CB" w:rsidP="0056111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840" w:type="dxa"/>
            <w:gridSpan w:val="2"/>
            <w:vAlign w:val="center"/>
          </w:tcPr>
          <w:p w14:paraId="7720FC2A" w14:textId="77777777" w:rsidR="00B007CB" w:rsidRPr="00477732" w:rsidRDefault="00B007CB" w:rsidP="0056111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No</w:t>
            </w:r>
          </w:p>
        </w:tc>
      </w:tr>
      <w:tr w:rsidR="00B007CB" w:rsidRPr="00477732" w14:paraId="53DDEB22" w14:textId="77777777" w:rsidTr="00660816">
        <w:trPr>
          <w:gridAfter w:val="1"/>
          <w:wAfter w:w="8" w:type="dxa"/>
          <w:trHeight w:val="297"/>
        </w:trPr>
        <w:tc>
          <w:tcPr>
            <w:tcW w:w="1165" w:type="dxa"/>
            <w:vAlign w:val="center"/>
          </w:tcPr>
          <w:p w14:paraId="32BC3811" w14:textId="77777777" w:rsidR="00B007CB" w:rsidRPr="00477732" w:rsidRDefault="00B007CB" w:rsidP="00561112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vAlign w:val="center"/>
          </w:tcPr>
          <w:p w14:paraId="79BFB672" w14:textId="6AA07D42" w:rsidR="00B007CB" w:rsidRPr="00477732" w:rsidRDefault="00B007CB" w:rsidP="00561112">
            <w:pPr>
              <w:tabs>
                <w:tab w:val="left" w:pos="245"/>
              </w:tabs>
              <w:rPr>
                <w:sz w:val="16"/>
                <w:szCs w:val="16"/>
                <w:highlight w:val="magenta"/>
              </w:rPr>
            </w:pPr>
            <w:r w:rsidRPr="00660816">
              <w:rPr>
                <w:b/>
                <w:sz w:val="18"/>
                <w:szCs w:val="18"/>
              </w:rPr>
              <w:t>Supplement</w:t>
            </w:r>
            <w:r w:rsidR="00AC350F">
              <w:rPr>
                <w:b/>
                <w:sz w:val="16"/>
                <w:szCs w:val="16"/>
              </w:rPr>
              <w:t xml:space="preserve"> Not Supplant</w:t>
            </w:r>
            <w:r>
              <w:rPr>
                <w:b/>
                <w:sz w:val="16"/>
                <w:szCs w:val="16"/>
              </w:rPr>
              <w:t xml:space="preserve"> Requirements</w:t>
            </w:r>
          </w:p>
        </w:tc>
        <w:tc>
          <w:tcPr>
            <w:tcW w:w="4162" w:type="dxa"/>
            <w:gridSpan w:val="3"/>
            <w:shd w:val="clear" w:color="auto" w:fill="FFFFFF" w:themeFill="background1"/>
            <w:vAlign w:val="center"/>
          </w:tcPr>
          <w:p w14:paraId="4AC71E30" w14:textId="77777777" w:rsidR="00B007CB" w:rsidRPr="00477732" w:rsidRDefault="00B007CB" w:rsidP="00561112">
            <w:pPr>
              <w:shd w:val="clear" w:color="auto" w:fill="FFFFFF" w:themeFill="background1"/>
              <w:ind w:left="360"/>
              <w:rPr>
                <w:sz w:val="16"/>
                <w:szCs w:val="16"/>
                <w:highlight w:val="magenta"/>
              </w:rPr>
            </w:pPr>
          </w:p>
        </w:tc>
      </w:tr>
      <w:tr w:rsidR="00B007CB" w14:paraId="053617EE" w14:textId="77777777" w:rsidTr="00660816">
        <w:trPr>
          <w:trHeight w:val="297"/>
        </w:trPr>
        <w:tc>
          <w:tcPr>
            <w:tcW w:w="1165" w:type="dxa"/>
            <w:vAlign w:val="center"/>
          </w:tcPr>
          <w:p w14:paraId="03924D13" w14:textId="77777777" w:rsidR="00B007CB" w:rsidRPr="00D90214" w:rsidRDefault="00B007CB" w:rsidP="00561112">
            <w:pPr>
              <w:jc w:val="center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IC-AA</w:t>
            </w:r>
          </w:p>
        </w:tc>
        <w:tc>
          <w:tcPr>
            <w:tcW w:w="5940" w:type="dxa"/>
            <w:vAlign w:val="center"/>
          </w:tcPr>
          <w:p w14:paraId="1EA37D97" w14:textId="77777777" w:rsidR="00B007CB" w:rsidRPr="00D90214" w:rsidRDefault="00B007CB" w:rsidP="00660816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SEA and its </w:t>
            </w:r>
            <w:r w:rsidR="00660816">
              <w:rPr>
                <w:rFonts w:ascii="Calibri" w:hAnsi="Calibri" w:cs="Calibri"/>
                <w:color w:val="000000"/>
                <w:sz w:val="20"/>
                <w:szCs w:val="20"/>
              </w:rPr>
              <w:t>sub grantees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must ensure that funds from the Title I, Part C</w:t>
            </w:r>
            <w:r w:rsidR="006608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(Title I-C)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program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 used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supplement not supplant State and local funds.</w:t>
            </w:r>
            <w:r w:rsidR="006608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purposes of determining compliance with the supplement, not supplant requirement, a Title I</w:t>
            </w:r>
            <w:r w:rsidR="006608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 grantee or </w:t>
            </w:r>
            <w:r w:rsidR="00660816">
              <w:rPr>
                <w:rFonts w:ascii="Calibri" w:hAnsi="Calibri" w:cs="Calibri"/>
                <w:color w:val="000000"/>
                <w:sz w:val="20"/>
                <w:szCs w:val="20"/>
              </w:rPr>
              <w:t>sub grantee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may exclude supplemental State and local funds expended in any school attendance area or school for carrying out special programs that meet the intent and purposes of Title I</w:t>
            </w:r>
            <w:r w:rsidR="006608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C.</w:t>
            </w:r>
            <w:r w:rsidR="006608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Before funds for a State and local program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 be excluded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 purposes of this requirement, the SEA must make an advance written determination that the program meets the intent and purposes of Title I</w:t>
            </w:r>
            <w:r w:rsidR="006608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66081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14:paraId="0115B95D" w14:textId="77777777" w:rsidR="00B007CB" w:rsidRDefault="00B007CB" w:rsidP="006449AD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6449AD">
              <w:rPr>
                <w:sz w:val="16"/>
                <w:szCs w:val="16"/>
              </w:rPr>
              <w:t>Expenditure report (</w:t>
            </w:r>
            <w:r w:rsidR="00660816">
              <w:rPr>
                <w:sz w:val="16"/>
                <w:szCs w:val="16"/>
              </w:rPr>
              <w:t>Y</w:t>
            </w:r>
            <w:r w:rsidR="006449AD" w:rsidRPr="006449AD">
              <w:rPr>
                <w:sz w:val="16"/>
                <w:szCs w:val="16"/>
              </w:rPr>
              <w:t xml:space="preserve">ou can provide a </w:t>
            </w:r>
            <w:r w:rsidRPr="006449AD">
              <w:rPr>
                <w:sz w:val="16"/>
                <w:szCs w:val="16"/>
              </w:rPr>
              <w:t>Leger report</w:t>
            </w:r>
            <w:r w:rsidR="006449AD" w:rsidRPr="006449AD">
              <w:rPr>
                <w:sz w:val="16"/>
                <w:szCs w:val="16"/>
              </w:rPr>
              <w:t xml:space="preserve"> or a report that includes date, vendor, item description, and amounts.)</w:t>
            </w:r>
            <w:r w:rsidR="006449AD">
              <w:rPr>
                <w:sz w:val="16"/>
                <w:szCs w:val="16"/>
              </w:rPr>
              <w:t xml:space="preserve"> </w:t>
            </w:r>
          </w:p>
          <w:p w14:paraId="3974DE68" w14:textId="77777777" w:rsidR="006449AD" w:rsidRPr="006449AD" w:rsidRDefault="006449AD" w:rsidP="006449AD">
            <w:pPr>
              <w:shd w:val="clear" w:color="auto" w:fill="FFFFFF" w:themeFill="background1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 that this is from previous year.</w:t>
            </w:r>
          </w:p>
          <w:p w14:paraId="53850968" w14:textId="77777777" w:rsidR="00B007CB" w:rsidRPr="00477732" w:rsidRDefault="00B007CB" w:rsidP="0056111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1C6C6FB" w14:textId="77777777" w:rsidR="00B007CB" w:rsidRDefault="00B007CB" w:rsidP="00561112"/>
        </w:tc>
        <w:tc>
          <w:tcPr>
            <w:tcW w:w="840" w:type="dxa"/>
            <w:gridSpan w:val="2"/>
            <w:vAlign w:val="center"/>
          </w:tcPr>
          <w:p w14:paraId="31CC49C0" w14:textId="77777777" w:rsidR="00B007CB" w:rsidRDefault="00B007CB" w:rsidP="00561112"/>
        </w:tc>
      </w:tr>
      <w:tr w:rsidR="00B007CB" w14:paraId="5072C19D" w14:textId="77777777" w:rsidTr="00660816">
        <w:trPr>
          <w:gridAfter w:val="1"/>
          <w:wAfter w:w="8" w:type="dxa"/>
          <w:trHeight w:val="297"/>
        </w:trPr>
        <w:tc>
          <w:tcPr>
            <w:tcW w:w="1165" w:type="dxa"/>
            <w:vAlign w:val="center"/>
          </w:tcPr>
          <w:p w14:paraId="0740BC63" w14:textId="77777777" w:rsidR="00B007CB" w:rsidRPr="00477732" w:rsidRDefault="00B007CB" w:rsidP="005611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0" w:type="dxa"/>
            <w:vAlign w:val="center"/>
          </w:tcPr>
          <w:p w14:paraId="5987DAE9" w14:textId="77777777" w:rsidR="00B007CB" w:rsidRPr="00660816" w:rsidRDefault="00B007CB" w:rsidP="00561112">
            <w:pPr>
              <w:tabs>
                <w:tab w:val="left" w:pos="245"/>
              </w:tabs>
              <w:rPr>
                <w:sz w:val="18"/>
                <w:szCs w:val="18"/>
                <w:highlight w:val="magenta"/>
              </w:rPr>
            </w:pPr>
            <w:r w:rsidRPr="00660816">
              <w:rPr>
                <w:b/>
                <w:sz w:val="18"/>
                <w:szCs w:val="18"/>
              </w:rPr>
              <w:t>Budgeting and Activities</w:t>
            </w:r>
          </w:p>
        </w:tc>
        <w:tc>
          <w:tcPr>
            <w:tcW w:w="4162" w:type="dxa"/>
            <w:gridSpan w:val="3"/>
            <w:shd w:val="clear" w:color="auto" w:fill="FFFFFF" w:themeFill="background1"/>
          </w:tcPr>
          <w:p w14:paraId="4BE5F848" w14:textId="77777777" w:rsidR="00B007CB" w:rsidRDefault="00B007CB" w:rsidP="00561112"/>
        </w:tc>
      </w:tr>
      <w:tr w:rsidR="00B007CB" w:rsidRPr="00D90214" w14:paraId="289886E4" w14:textId="77777777" w:rsidTr="00660816">
        <w:trPr>
          <w:trHeight w:val="297"/>
        </w:trPr>
        <w:tc>
          <w:tcPr>
            <w:tcW w:w="1165" w:type="dxa"/>
            <w:vAlign w:val="center"/>
          </w:tcPr>
          <w:p w14:paraId="5D7A8D9C" w14:textId="77777777" w:rsidR="00B007CB" w:rsidRPr="00D90214" w:rsidRDefault="00B007CB" w:rsidP="00B007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IC-BB</w:t>
            </w:r>
          </w:p>
        </w:tc>
        <w:tc>
          <w:tcPr>
            <w:tcW w:w="5940" w:type="dxa"/>
            <w:vAlign w:val="center"/>
          </w:tcPr>
          <w:p w14:paraId="419770E3" w14:textId="77777777" w:rsidR="00B007CB" w:rsidRPr="009C01D3" w:rsidRDefault="00B007CB" w:rsidP="009C01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Funds provided for migrant programs first </w:t>
            </w:r>
            <w:proofErr w:type="gramStart"/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>shall be used</w:t>
            </w:r>
            <w:proofErr w:type="gramEnd"/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meet the identified needs of migratory children that result from their migratory lifestyle, and to permit these children to participate effectively in school. (</w:t>
            </w:r>
            <w:r w:rsidR="005C36EE">
              <w:rPr>
                <w:rFonts w:ascii="Calibri" w:hAnsi="Calibri" w:cs="Calibri"/>
                <w:color w:val="000000"/>
                <w:sz w:val="20"/>
                <w:szCs w:val="20"/>
              </w:rPr>
              <w:t>Title I-C sec</w:t>
            </w:r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1306)</w:t>
            </w:r>
          </w:p>
          <w:p w14:paraId="69D29EC9" w14:textId="77777777" w:rsidR="00B007CB" w:rsidRPr="00D90214" w:rsidRDefault="00B007CB" w:rsidP="0048760D">
            <w:pPr>
              <w:rPr>
                <w:sz w:val="16"/>
                <w:szCs w:val="16"/>
              </w:rPr>
            </w:pPr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Note that Title </w:t>
            </w:r>
            <w:r w:rsidR="0048760D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="00660816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>C funds can only be used for allowable costs, as defined in the Uniform Administrative Requirements, Cost Principles, and Audit Requirements (2 C.F.R.200).</w:t>
            </w:r>
          </w:p>
        </w:tc>
        <w:tc>
          <w:tcPr>
            <w:tcW w:w="2430" w:type="dxa"/>
          </w:tcPr>
          <w:p w14:paraId="50227B8E" w14:textId="77777777" w:rsidR="00B007CB" w:rsidRDefault="00B007CB" w:rsidP="00B007CB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Grant Budget </w:t>
            </w:r>
            <w:r w:rsidRPr="004157CC">
              <w:rPr>
                <w:sz w:val="16"/>
                <w:szCs w:val="16"/>
              </w:rPr>
              <w:t>Spending Report</w:t>
            </w:r>
            <w:r w:rsidR="009C01D3">
              <w:rPr>
                <w:sz w:val="16"/>
                <w:szCs w:val="16"/>
              </w:rPr>
              <w:t>s for RY, Pre</w:t>
            </w:r>
            <w:r w:rsidR="0048760D">
              <w:rPr>
                <w:sz w:val="16"/>
                <w:szCs w:val="16"/>
              </w:rPr>
              <w:t>-</w:t>
            </w:r>
            <w:r w:rsidR="009C01D3">
              <w:rPr>
                <w:sz w:val="16"/>
                <w:szCs w:val="16"/>
              </w:rPr>
              <w:t xml:space="preserve">K, and </w:t>
            </w:r>
            <w:proofErr w:type="gramStart"/>
            <w:r w:rsidR="009C01D3">
              <w:rPr>
                <w:sz w:val="16"/>
                <w:szCs w:val="16"/>
              </w:rPr>
              <w:t>Summer</w:t>
            </w:r>
            <w:proofErr w:type="gramEnd"/>
            <w:r w:rsidR="006449AD">
              <w:rPr>
                <w:sz w:val="16"/>
                <w:szCs w:val="16"/>
              </w:rPr>
              <w:t xml:space="preserve"> (</w:t>
            </w:r>
            <w:r w:rsidR="0048760D">
              <w:rPr>
                <w:sz w:val="16"/>
                <w:szCs w:val="16"/>
              </w:rPr>
              <w:t>p</w:t>
            </w:r>
            <w:r w:rsidR="006449AD">
              <w:rPr>
                <w:sz w:val="16"/>
                <w:szCs w:val="16"/>
              </w:rPr>
              <w:t>revious year)</w:t>
            </w:r>
            <w:r w:rsidR="0048760D">
              <w:rPr>
                <w:sz w:val="16"/>
                <w:szCs w:val="16"/>
              </w:rPr>
              <w:t>.</w:t>
            </w:r>
          </w:p>
          <w:p w14:paraId="55EADE10" w14:textId="77777777" w:rsidR="006449AD" w:rsidRDefault="006449AD" w:rsidP="006449AD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6449AD">
              <w:rPr>
                <w:rFonts w:asciiTheme="minorHAnsi" w:hAnsiTheme="minorHAnsi" w:cstheme="minorHAnsi"/>
                <w:b/>
                <w:sz w:val="20"/>
                <w:u w:val="single"/>
              </w:rPr>
              <w:t>Available ODE Resource</w:t>
            </w:r>
          </w:p>
          <w:p w14:paraId="2E55DFBC" w14:textId="77777777" w:rsidR="004B225D" w:rsidRPr="006449AD" w:rsidRDefault="00AC350F" w:rsidP="006449AD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hyperlink r:id="rId8" w:history="1">
              <w:r w:rsidR="004B225D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Tem</w:t>
              </w:r>
              <w:bookmarkStart w:id="0" w:name="_GoBack"/>
              <w:bookmarkEnd w:id="0"/>
              <w:r w:rsidR="004B225D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p</w:t>
              </w:r>
              <w:r w:rsidR="004B225D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lates</w:t>
              </w:r>
            </w:hyperlink>
          </w:p>
          <w:p w14:paraId="2F74F38F" w14:textId="77777777" w:rsidR="004B225D" w:rsidRPr="00D90214" w:rsidRDefault="004B225D" w:rsidP="006449AD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4B07AA2" w14:textId="77777777" w:rsidR="00B007CB" w:rsidRPr="00D90214" w:rsidRDefault="00B007CB" w:rsidP="00B007CB">
            <w:pPr>
              <w:shd w:val="clear" w:color="auto" w:fill="FFFFFF" w:themeFill="background1"/>
            </w:pPr>
          </w:p>
        </w:tc>
        <w:tc>
          <w:tcPr>
            <w:tcW w:w="840" w:type="dxa"/>
            <w:gridSpan w:val="2"/>
            <w:vAlign w:val="center"/>
          </w:tcPr>
          <w:p w14:paraId="715D6FD7" w14:textId="77777777" w:rsidR="00B007CB" w:rsidRPr="00D90214" w:rsidRDefault="00B007CB" w:rsidP="00B007CB">
            <w:pPr>
              <w:shd w:val="clear" w:color="auto" w:fill="FFFFFF" w:themeFill="background1"/>
            </w:pPr>
          </w:p>
        </w:tc>
      </w:tr>
      <w:tr w:rsidR="00B007CB" w:rsidRPr="00D90214" w14:paraId="47C030A5" w14:textId="77777777" w:rsidTr="00660816">
        <w:trPr>
          <w:trHeight w:val="297"/>
        </w:trPr>
        <w:tc>
          <w:tcPr>
            <w:tcW w:w="1165" w:type="dxa"/>
            <w:vAlign w:val="center"/>
          </w:tcPr>
          <w:p w14:paraId="7E7B8EFF" w14:textId="77777777" w:rsidR="00B007CB" w:rsidRPr="00D90214" w:rsidRDefault="00B007CB" w:rsidP="00B007C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IC-CC</w:t>
            </w:r>
          </w:p>
        </w:tc>
        <w:tc>
          <w:tcPr>
            <w:tcW w:w="5940" w:type="dxa"/>
          </w:tcPr>
          <w:p w14:paraId="6529D95A" w14:textId="77777777" w:rsidR="00B007CB" w:rsidRPr="00A5053D" w:rsidRDefault="00B007CB" w:rsidP="00660816">
            <w:pPr>
              <w:rPr>
                <w:rFonts w:cs="Arial"/>
                <w:sz w:val="20"/>
                <w:szCs w:val="22"/>
              </w:rPr>
            </w:pPr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>The Every Student Succeeds Act (ESSA) obliges local educational agencies (LEAs) to implement and maintain financial management systems that comply with federal systems management requirements.</w:t>
            </w:r>
            <w:r w:rsidR="0066081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These requirements are detailed in the Code of Federal Regulations (2 C.F.R., Part 200)</w:t>
            </w:r>
            <w:r w:rsidR="0048760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states that LEAs shall provide “effective control over and accountability for all funds, property, and other assets.</w:t>
            </w:r>
            <w:r w:rsidR="004876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Recipients shall adequately safeguard all assets and assure they are used solely for authorized purposes”.</w:t>
            </w:r>
            <w:r w:rsidR="004876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It also requires an inventory of equipment purchased in whole</w:t>
            </w:r>
            <w:r w:rsidR="0048760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 in part</w:t>
            </w:r>
            <w:r w:rsidR="0048760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by federal program funds at least once every two years. (2</w:t>
            </w:r>
            <w:r w:rsidR="006608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>CFR</w:t>
            </w:r>
            <w:r w:rsidR="0066081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9C01D3">
              <w:rPr>
                <w:rFonts w:ascii="Calibri" w:hAnsi="Calibri" w:cs="Calibri"/>
                <w:color w:val="000000"/>
                <w:sz w:val="20"/>
                <w:szCs w:val="20"/>
              </w:rPr>
              <w:t>200.313 (d)(2))</w:t>
            </w:r>
          </w:p>
        </w:tc>
        <w:tc>
          <w:tcPr>
            <w:tcW w:w="2430" w:type="dxa"/>
          </w:tcPr>
          <w:p w14:paraId="11843055" w14:textId="77777777" w:rsidR="00B007CB" w:rsidRDefault="00B007CB" w:rsidP="00B007CB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Inventory list</w:t>
            </w:r>
          </w:p>
          <w:p w14:paraId="173EF02B" w14:textId="77777777" w:rsidR="006449AD" w:rsidRPr="006449AD" w:rsidRDefault="006449AD" w:rsidP="006449AD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6449AD">
              <w:rPr>
                <w:rFonts w:asciiTheme="minorHAnsi" w:hAnsiTheme="minorHAnsi" w:cstheme="minorHAnsi"/>
                <w:b/>
                <w:sz w:val="20"/>
                <w:u w:val="single"/>
              </w:rPr>
              <w:t>Available ODE Resources</w:t>
            </w:r>
          </w:p>
          <w:p w14:paraId="64905971" w14:textId="77777777" w:rsidR="006449AD" w:rsidRPr="006449AD" w:rsidRDefault="00AC350F" w:rsidP="006449A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6449AD" w:rsidRPr="006449AD">
                <w:rPr>
                  <w:rStyle w:val="Hyperlink"/>
                  <w:rFonts w:asciiTheme="minorHAnsi" w:hAnsiTheme="minorHAnsi" w:cstheme="minorHAnsi"/>
                  <w:sz w:val="20"/>
                </w:rPr>
                <w:t>Inventory Brief</w:t>
              </w:r>
            </w:hyperlink>
          </w:p>
          <w:bookmarkStart w:id="1" w:name="_Hlk83215430"/>
          <w:p w14:paraId="10C42A42" w14:textId="77777777" w:rsidR="006449AD" w:rsidRPr="006449AD" w:rsidRDefault="006449AD" w:rsidP="006449AD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Theme="minorHAnsi" w:hAnsiTheme="minorHAnsi" w:cstheme="minorHAnsi"/>
                <w:sz w:val="20"/>
              </w:rPr>
            </w:pPr>
            <w:r w:rsidRPr="006449AD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6449AD">
              <w:rPr>
                <w:rFonts w:asciiTheme="minorHAnsi" w:hAnsiTheme="minorHAnsi" w:cstheme="minorHAnsi"/>
                <w:sz w:val="20"/>
              </w:rPr>
              <w:instrText>HYPERLINK "https://www.oregon.gov/ode/schools-and-districts/grants/ESEA/Documents/Title%20Programs%20Inventory%20Spreadsheet.xlsx"</w:instrText>
            </w:r>
            <w:r w:rsidRPr="006449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49AD">
              <w:rPr>
                <w:rStyle w:val="Hyperlink"/>
                <w:rFonts w:asciiTheme="minorHAnsi" w:hAnsiTheme="minorHAnsi" w:cstheme="minorHAnsi"/>
                <w:sz w:val="20"/>
              </w:rPr>
              <w:t>Sample Inventory Sheet</w:t>
            </w:r>
            <w:bookmarkEnd w:id="1"/>
          </w:p>
          <w:p w14:paraId="5095D029" w14:textId="77777777" w:rsidR="006449AD" w:rsidRDefault="006449AD" w:rsidP="006449AD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449AD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14:paraId="1E5F98DA" w14:textId="77777777" w:rsidR="00B007CB" w:rsidRPr="006449AD" w:rsidRDefault="00B007CB" w:rsidP="006449AD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Equipment logs </w:t>
            </w:r>
            <w:r w:rsidRPr="006449AD">
              <w:rPr>
                <w:sz w:val="16"/>
                <w:szCs w:val="16"/>
              </w:rPr>
              <w:t>(in case of equipment over $5,000)</w:t>
            </w:r>
          </w:p>
        </w:tc>
        <w:tc>
          <w:tcPr>
            <w:tcW w:w="900" w:type="dxa"/>
            <w:vAlign w:val="center"/>
          </w:tcPr>
          <w:p w14:paraId="5477A282" w14:textId="77777777" w:rsidR="00B007CB" w:rsidRPr="00D90214" w:rsidRDefault="00B007CB" w:rsidP="00B007CB">
            <w:pPr>
              <w:shd w:val="clear" w:color="auto" w:fill="FFFFFF" w:themeFill="background1"/>
            </w:pPr>
          </w:p>
        </w:tc>
        <w:tc>
          <w:tcPr>
            <w:tcW w:w="840" w:type="dxa"/>
            <w:gridSpan w:val="2"/>
            <w:vAlign w:val="center"/>
          </w:tcPr>
          <w:p w14:paraId="0CA241BA" w14:textId="77777777" w:rsidR="00B007CB" w:rsidRPr="00D90214" w:rsidRDefault="00B007CB" w:rsidP="00B007CB">
            <w:pPr>
              <w:shd w:val="clear" w:color="auto" w:fill="FFFFFF" w:themeFill="background1"/>
            </w:pPr>
          </w:p>
        </w:tc>
      </w:tr>
    </w:tbl>
    <w:p w14:paraId="33170CFF" w14:textId="77777777" w:rsidR="00B00F77" w:rsidRPr="00B34BF4" w:rsidRDefault="00B00F77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21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65"/>
        <w:gridCol w:w="5940"/>
        <w:gridCol w:w="2430"/>
        <w:gridCol w:w="30"/>
        <w:gridCol w:w="870"/>
        <w:gridCol w:w="30"/>
        <w:gridCol w:w="802"/>
        <w:gridCol w:w="8"/>
        <w:gridCol w:w="65"/>
      </w:tblGrid>
      <w:tr w:rsidR="00B007CB" w14:paraId="64171772" w14:textId="77777777" w:rsidTr="0048760D">
        <w:trPr>
          <w:trHeight w:val="297"/>
        </w:trPr>
        <w:tc>
          <w:tcPr>
            <w:tcW w:w="11340" w:type="dxa"/>
            <w:gridSpan w:val="9"/>
            <w:vAlign w:val="center"/>
          </w:tcPr>
          <w:p w14:paraId="165A716D" w14:textId="77777777" w:rsidR="00B007CB" w:rsidRPr="009F6559" w:rsidRDefault="00B007CB" w:rsidP="00561112">
            <w:pPr>
              <w:rPr>
                <w:b/>
                <w:sz w:val="22"/>
                <w:szCs w:val="22"/>
              </w:rPr>
            </w:pPr>
          </w:p>
          <w:p w14:paraId="26BE0D75" w14:textId="77777777" w:rsidR="00B007CB" w:rsidRPr="009F6559" w:rsidRDefault="00B007CB" w:rsidP="00561112">
            <w:pPr>
              <w:jc w:val="center"/>
              <w:rPr>
                <w:b/>
                <w:sz w:val="22"/>
                <w:szCs w:val="22"/>
              </w:rPr>
            </w:pPr>
            <w:r w:rsidRPr="009F6559">
              <w:rPr>
                <w:b/>
                <w:sz w:val="22"/>
                <w:szCs w:val="22"/>
              </w:rPr>
              <w:t>PROGRAMMATIC DOMAIN</w:t>
            </w:r>
          </w:p>
        </w:tc>
      </w:tr>
      <w:tr w:rsidR="00B007CB" w14:paraId="37DF4E57" w14:textId="77777777" w:rsidTr="0048760D">
        <w:trPr>
          <w:trHeight w:val="297"/>
        </w:trPr>
        <w:tc>
          <w:tcPr>
            <w:tcW w:w="1165" w:type="dxa"/>
            <w:vMerge w:val="restart"/>
            <w:vAlign w:val="center"/>
          </w:tcPr>
          <w:p w14:paraId="64EB575D" w14:textId="77777777" w:rsidR="00B007CB" w:rsidRPr="00477732" w:rsidRDefault="009C01D3" w:rsidP="005611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Indicator</w:t>
            </w:r>
            <w:r w:rsidR="00B007CB" w:rsidRPr="00477732">
              <w:rPr>
                <w:b/>
                <w:sz w:val="16"/>
                <w:szCs w:val="16"/>
              </w:rPr>
              <w:t xml:space="preserve"> Number</w:t>
            </w:r>
          </w:p>
        </w:tc>
        <w:tc>
          <w:tcPr>
            <w:tcW w:w="5940" w:type="dxa"/>
            <w:vMerge w:val="restart"/>
            <w:vAlign w:val="center"/>
          </w:tcPr>
          <w:p w14:paraId="33837AA7" w14:textId="77777777" w:rsidR="00B007CB" w:rsidRPr="00477732" w:rsidRDefault="00B007CB" w:rsidP="005611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Indicator</w:t>
            </w:r>
          </w:p>
        </w:tc>
        <w:tc>
          <w:tcPr>
            <w:tcW w:w="2430" w:type="dxa"/>
            <w:vMerge w:val="restart"/>
            <w:vAlign w:val="center"/>
          </w:tcPr>
          <w:p w14:paraId="560539C6" w14:textId="77777777" w:rsidR="00B007CB" w:rsidRDefault="00B007CB" w:rsidP="00561112">
            <w:pPr>
              <w:jc w:val="center"/>
            </w:pPr>
            <w:r w:rsidRPr="00477732">
              <w:rPr>
                <w:b/>
                <w:sz w:val="16"/>
                <w:szCs w:val="16"/>
              </w:rPr>
              <w:t>Supporting Documentation</w:t>
            </w:r>
          </w:p>
        </w:tc>
        <w:tc>
          <w:tcPr>
            <w:tcW w:w="1805" w:type="dxa"/>
            <w:gridSpan w:val="6"/>
            <w:vAlign w:val="center"/>
          </w:tcPr>
          <w:p w14:paraId="21864A5B" w14:textId="77777777" w:rsidR="00B007CB" w:rsidRDefault="00B007CB" w:rsidP="00561112">
            <w:pPr>
              <w:jc w:val="center"/>
            </w:pPr>
            <w:r w:rsidRPr="00477732">
              <w:rPr>
                <w:b/>
                <w:sz w:val="16"/>
                <w:szCs w:val="16"/>
              </w:rPr>
              <w:t>Compliance Status</w:t>
            </w:r>
          </w:p>
        </w:tc>
      </w:tr>
      <w:tr w:rsidR="00B007CB" w:rsidRPr="00477732" w14:paraId="72524A92" w14:textId="77777777" w:rsidTr="0048760D">
        <w:trPr>
          <w:trHeight w:val="297"/>
        </w:trPr>
        <w:tc>
          <w:tcPr>
            <w:tcW w:w="1165" w:type="dxa"/>
            <w:vMerge/>
            <w:vAlign w:val="center"/>
          </w:tcPr>
          <w:p w14:paraId="0CCD2BD0" w14:textId="77777777" w:rsidR="00B007CB" w:rsidRPr="00477732" w:rsidRDefault="00B007CB" w:rsidP="00561112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vMerge/>
            <w:vAlign w:val="center"/>
          </w:tcPr>
          <w:p w14:paraId="361673A0" w14:textId="77777777" w:rsidR="00B007CB" w:rsidRPr="00477732" w:rsidRDefault="00B007CB" w:rsidP="00561112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2430" w:type="dxa"/>
            <w:vMerge/>
            <w:vAlign w:val="center"/>
          </w:tcPr>
          <w:p w14:paraId="165E8949" w14:textId="77777777" w:rsidR="00B007CB" w:rsidRPr="00477732" w:rsidRDefault="00B007CB" w:rsidP="00561112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3C565EC" w14:textId="77777777" w:rsidR="00B007CB" w:rsidRPr="00477732" w:rsidRDefault="00B007CB" w:rsidP="0056111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905" w:type="dxa"/>
            <w:gridSpan w:val="4"/>
            <w:vAlign w:val="center"/>
          </w:tcPr>
          <w:p w14:paraId="06E3F59D" w14:textId="77777777" w:rsidR="00B007CB" w:rsidRPr="00477732" w:rsidRDefault="00B007CB" w:rsidP="00561112">
            <w:pPr>
              <w:jc w:val="center"/>
              <w:rPr>
                <w:b/>
                <w:sz w:val="16"/>
                <w:szCs w:val="16"/>
              </w:rPr>
            </w:pPr>
            <w:r w:rsidRPr="00477732">
              <w:rPr>
                <w:b/>
                <w:sz w:val="16"/>
                <w:szCs w:val="16"/>
              </w:rPr>
              <w:t>No</w:t>
            </w:r>
          </w:p>
        </w:tc>
      </w:tr>
      <w:tr w:rsidR="00B007CB" w:rsidRPr="00477732" w14:paraId="27D81CB5" w14:textId="77777777" w:rsidTr="0048760D">
        <w:trPr>
          <w:trHeight w:val="297"/>
        </w:trPr>
        <w:tc>
          <w:tcPr>
            <w:tcW w:w="1165" w:type="dxa"/>
            <w:vAlign w:val="center"/>
          </w:tcPr>
          <w:p w14:paraId="5A03A844" w14:textId="77777777" w:rsidR="00B007CB" w:rsidRPr="00477732" w:rsidRDefault="00B007CB" w:rsidP="00561112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  <w:vAlign w:val="center"/>
          </w:tcPr>
          <w:p w14:paraId="595B21D4" w14:textId="77777777" w:rsidR="00B007CB" w:rsidRPr="00477732" w:rsidRDefault="00B007CB" w:rsidP="00660816">
            <w:pPr>
              <w:tabs>
                <w:tab w:val="left" w:pos="245"/>
              </w:tabs>
              <w:rPr>
                <w:sz w:val="16"/>
                <w:szCs w:val="16"/>
                <w:highlight w:val="magenta"/>
              </w:rPr>
            </w:pPr>
            <w:r>
              <w:rPr>
                <w:b/>
                <w:sz w:val="16"/>
                <w:szCs w:val="16"/>
              </w:rPr>
              <w:t>Program</w:t>
            </w:r>
            <w:r w:rsidRPr="00477732">
              <w:rPr>
                <w:b/>
                <w:sz w:val="16"/>
                <w:szCs w:val="16"/>
              </w:rPr>
              <w:t xml:space="preserve"> </w:t>
            </w:r>
            <w:r w:rsidR="00660816">
              <w:rPr>
                <w:b/>
                <w:sz w:val="16"/>
                <w:szCs w:val="16"/>
              </w:rPr>
              <w:t>P</w:t>
            </w:r>
            <w:r w:rsidRPr="00477732">
              <w:rPr>
                <w:b/>
                <w:sz w:val="16"/>
                <w:szCs w:val="16"/>
              </w:rPr>
              <w:t>lanning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0816">
              <w:rPr>
                <w:b/>
                <w:sz w:val="18"/>
                <w:szCs w:val="18"/>
              </w:rPr>
              <w:t>and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60816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valuation</w:t>
            </w:r>
          </w:p>
        </w:tc>
        <w:tc>
          <w:tcPr>
            <w:tcW w:w="4235" w:type="dxa"/>
            <w:gridSpan w:val="7"/>
            <w:shd w:val="clear" w:color="auto" w:fill="FFFFFF" w:themeFill="background1"/>
            <w:vAlign w:val="center"/>
          </w:tcPr>
          <w:p w14:paraId="182D95CA" w14:textId="77777777" w:rsidR="00B007CB" w:rsidRPr="00477732" w:rsidRDefault="00B007CB" w:rsidP="00561112">
            <w:pPr>
              <w:rPr>
                <w:sz w:val="16"/>
                <w:szCs w:val="16"/>
                <w:highlight w:val="magenta"/>
              </w:rPr>
            </w:pPr>
          </w:p>
        </w:tc>
      </w:tr>
      <w:tr w:rsidR="00B007CB" w14:paraId="1CF8DB88" w14:textId="77777777" w:rsidTr="0048760D">
        <w:trPr>
          <w:trHeight w:val="297"/>
        </w:trPr>
        <w:tc>
          <w:tcPr>
            <w:tcW w:w="1165" w:type="dxa"/>
            <w:vAlign w:val="center"/>
          </w:tcPr>
          <w:p w14:paraId="28D219AE" w14:textId="77777777" w:rsidR="00B007CB" w:rsidRPr="00D90214" w:rsidRDefault="009C01D3" w:rsidP="005611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IC-DD</w:t>
            </w:r>
          </w:p>
        </w:tc>
        <w:tc>
          <w:tcPr>
            <w:tcW w:w="5940" w:type="dxa"/>
            <w:vAlign w:val="center"/>
          </w:tcPr>
          <w:p w14:paraId="1F2FFE75" w14:textId="77777777" w:rsidR="007F7A54" w:rsidRPr="00344604" w:rsidRDefault="00B007CB" w:rsidP="00344604">
            <w:pPr>
              <w:rPr>
                <w:rFonts w:ascii="Calibri" w:hAnsi="Calibri" w:cs="Calibri"/>
                <w:sz w:val="20"/>
                <w:szCs w:val="20"/>
              </w:rPr>
            </w:pPr>
            <w:r w:rsidRPr="00344604">
              <w:rPr>
                <w:rFonts w:ascii="Calibri" w:hAnsi="Calibri" w:cs="Calibri"/>
                <w:sz w:val="20"/>
                <w:szCs w:val="20"/>
              </w:rPr>
              <w:t xml:space="preserve">Services </w:t>
            </w:r>
            <w:proofErr w:type="gramStart"/>
            <w:r w:rsidRPr="00344604">
              <w:rPr>
                <w:rFonts w:ascii="Calibri" w:hAnsi="Calibri" w:cs="Calibri"/>
                <w:sz w:val="20"/>
                <w:szCs w:val="20"/>
              </w:rPr>
              <w:t>are provided</w:t>
            </w:r>
            <w:proofErr w:type="gramEnd"/>
            <w:r w:rsidRPr="00344604">
              <w:rPr>
                <w:rFonts w:ascii="Calibri" w:hAnsi="Calibri" w:cs="Calibri"/>
                <w:sz w:val="20"/>
                <w:szCs w:val="20"/>
              </w:rPr>
              <w:t xml:space="preserve"> to MEP students based on Oregon MPOS. </w:t>
            </w:r>
            <w:r w:rsidR="00344604" w:rsidRPr="0034460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7A54" w:rsidRPr="00344604">
              <w:rPr>
                <w:rFonts w:ascii="Calibri" w:hAnsi="Calibri" w:cs="Calibri"/>
                <w:color w:val="000000"/>
                <w:sz w:val="20"/>
                <w:szCs w:val="20"/>
              </w:rPr>
              <w:t>Regions must use the results of the evaluation carried out by an SEA to improve the services provided to migratory children.</w:t>
            </w:r>
          </w:p>
        </w:tc>
        <w:tc>
          <w:tcPr>
            <w:tcW w:w="2430" w:type="dxa"/>
          </w:tcPr>
          <w:p w14:paraId="0F41849B" w14:textId="77777777" w:rsidR="00B007CB" w:rsidRDefault="00B007CB" w:rsidP="0056111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Graduation rates/</w:t>
            </w:r>
            <w:r w:rsidR="002E21DA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ropout rates for last 3 years.  PFS/Non-PFS/Non-Migrant</w:t>
            </w:r>
            <w:r w:rsidR="007F7A54">
              <w:rPr>
                <w:sz w:val="16"/>
                <w:szCs w:val="16"/>
              </w:rPr>
              <w:t xml:space="preserve">  </w:t>
            </w:r>
            <w:r w:rsidR="007F7A54" w:rsidRPr="004B225D">
              <w:rPr>
                <w:sz w:val="16"/>
                <w:szCs w:val="16"/>
                <w:u w:val="single"/>
              </w:rPr>
              <w:t>(ODE provides this data)</w:t>
            </w:r>
          </w:p>
          <w:p w14:paraId="5F88E754" w14:textId="77777777" w:rsidR="007F7A54" w:rsidRPr="00477732" w:rsidRDefault="007F7A54" w:rsidP="007F7A5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the evaluation of the regional program</w:t>
            </w:r>
            <w:r w:rsidR="00283DAB">
              <w:rPr>
                <w:sz w:val="16"/>
                <w:szCs w:val="16"/>
              </w:rPr>
              <w:t xml:space="preserve"> (RY, Pre</w:t>
            </w:r>
            <w:r w:rsidR="00660816">
              <w:rPr>
                <w:sz w:val="16"/>
                <w:szCs w:val="16"/>
              </w:rPr>
              <w:t>-</w:t>
            </w:r>
            <w:r w:rsidR="00283DAB">
              <w:rPr>
                <w:sz w:val="16"/>
                <w:szCs w:val="16"/>
              </w:rPr>
              <w:t>K</w:t>
            </w:r>
            <w:r w:rsidR="002E21DA">
              <w:rPr>
                <w:sz w:val="16"/>
                <w:szCs w:val="16"/>
              </w:rPr>
              <w:t>,</w:t>
            </w:r>
            <w:r w:rsidR="00283DAB">
              <w:rPr>
                <w:sz w:val="16"/>
                <w:szCs w:val="16"/>
              </w:rPr>
              <w:t xml:space="preserve"> and SS). </w:t>
            </w:r>
          </w:p>
        </w:tc>
        <w:tc>
          <w:tcPr>
            <w:tcW w:w="900" w:type="dxa"/>
            <w:gridSpan w:val="2"/>
            <w:vAlign w:val="center"/>
          </w:tcPr>
          <w:p w14:paraId="221F6420" w14:textId="77777777" w:rsidR="00B007CB" w:rsidRDefault="00B007CB" w:rsidP="00561112"/>
        </w:tc>
        <w:tc>
          <w:tcPr>
            <w:tcW w:w="905" w:type="dxa"/>
            <w:gridSpan w:val="4"/>
            <w:vAlign w:val="center"/>
          </w:tcPr>
          <w:p w14:paraId="2950D49A" w14:textId="77777777" w:rsidR="00B007CB" w:rsidRDefault="00B007CB" w:rsidP="00561112"/>
        </w:tc>
      </w:tr>
      <w:tr w:rsidR="00B007CB" w14:paraId="35DFB634" w14:textId="77777777" w:rsidTr="0048760D">
        <w:trPr>
          <w:trHeight w:val="297"/>
        </w:trPr>
        <w:tc>
          <w:tcPr>
            <w:tcW w:w="1165" w:type="dxa"/>
            <w:vAlign w:val="center"/>
          </w:tcPr>
          <w:p w14:paraId="120AC41B" w14:textId="77777777" w:rsidR="00B007CB" w:rsidRPr="00477732" w:rsidRDefault="00B007CB" w:rsidP="005611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0" w:type="dxa"/>
            <w:vAlign w:val="center"/>
          </w:tcPr>
          <w:p w14:paraId="4211EF2A" w14:textId="77777777" w:rsidR="00B007CB" w:rsidRPr="00477732" w:rsidRDefault="00B007CB" w:rsidP="00561112">
            <w:pPr>
              <w:tabs>
                <w:tab w:val="left" w:pos="245"/>
              </w:tabs>
              <w:rPr>
                <w:sz w:val="16"/>
                <w:szCs w:val="16"/>
                <w:highlight w:val="magenta"/>
              </w:rPr>
            </w:pPr>
            <w:r w:rsidRPr="00477732">
              <w:rPr>
                <w:b/>
                <w:sz w:val="16"/>
                <w:szCs w:val="16"/>
              </w:rPr>
              <w:t xml:space="preserve">Priority for </w:t>
            </w:r>
            <w:r w:rsidRPr="00660816">
              <w:rPr>
                <w:b/>
                <w:sz w:val="18"/>
                <w:szCs w:val="18"/>
              </w:rPr>
              <w:t>Service</w:t>
            </w:r>
            <w:r w:rsidRPr="00477732">
              <w:rPr>
                <w:b/>
                <w:sz w:val="16"/>
                <w:szCs w:val="16"/>
              </w:rPr>
              <w:t xml:space="preserve"> Students</w:t>
            </w:r>
          </w:p>
        </w:tc>
        <w:tc>
          <w:tcPr>
            <w:tcW w:w="4235" w:type="dxa"/>
            <w:gridSpan w:val="7"/>
            <w:shd w:val="clear" w:color="auto" w:fill="FFFFFF" w:themeFill="background1"/>
          </w:tcPr>
          <w:p w14:paraId="4510F04E" w14:textId="77777777" w:rsidR="00B007CB" w:rsidRDefault="00B007CB" w:rsidP="00561112"/>
        </w:tc>
      </w:tr>
      <w:tr w:rsidR="00B007CB" w:rsidRPr="00D90214" w14:paraId="5005FE74" w14:textId="77777777" w:rsidTr="0048760D">
        <w:trPr>
          <w:trHeight w:val="297"/>
        </w:trPr>
        <w:tc>
          <w:tcPr>
            <w:tcW w:w="1165" w:type="dxa"/>
            <w:vAlign w:val="center"/>
          </w:tcPr>
          <w:p w14:paraId="625DC8DF" w14:textId="77777777" w:rsidR="00B007CB" w:rsidRPr="00D90214" w:rsidRDefault="009C01D3" w:rsidP="005611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IC-EE</w:t>
            </w:r>
          </w:p>
        </w:tc>
        <w:tc>
          <w:tcPr>
            <w:tcW w:w="5940" w:type="dxa"/>
            <w:vAlign w:val="center"/>
          </w:tcPr>
          <w:p w14:paraId="42F00700" w14:textId="77777777" w:rsidR="00B007CB" w:rsidRPr="0048760D" w:rsidRDefault="00B007CB" w:rsidP="00344604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8760D">
              <w:rPr>
                <w:rFonts w:asciiTheme="minorHAnsi" w:hAnsiTheme="minorHAnsi" w:cstheme="minorHAnsi"/>
                <w:i/>
                <w:sz w:val="20"/>
                <w:szCs w:val="20"/>
              </w:rPr>
              <w:t>Priority for Service Students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are identified</w:t>
            </w:r>
            <w:proofErr w:type="gramEnd"/>
            <w:r w:rsidR="002E21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Title I</w:t>
            </w:r>
            <w:r w:rsidR="0034460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C sec 1304 (d)</w:t>
            </w:r>
          </w:p>
        </w:tc>
        <w:tc>
          <w:tcPr>
            <w:tcW w:w="2430" w:type="dxa"/>
          </w:tcPr>
          <w:p w14:paraId="0D496BBC" w14:textId="77777777" w:rsidR="00B007CB" w:rsidRPr="00D90214" w:rsidRDefault="00B007CB" w:rsidP="00994B46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 xml:space="preserve">Evidence that </w:t>
            </w:r>
            <w:r w:rsidRPr="00D90214">
              <w:rPr>
                <w:i/>
                <w:sz w:val="16"/>
                <w:szCs w:val="16"/>
              </w:rPr>
              <w:t xml:space="preserve">Priority for </w:t>
            </w:r>
            <w:r w:rsidR="00994B46">
              <w:rPr>
                <w:i/>
                <w:sz w:val="16"/>
                <w:szCs w:val="16"/>
              </w:rPr>
              <w:t>S</w:t>
            </w:r>
            <w:r w:rsidRPr="00D90214">
              <w:rPr>
                <w:i/>
                <w:sz w:val="16"/>
                <w:szCs w:val="16"/>
              </w:rPr>
              <w:t>ervice students</w:t>
            </w:r>
            <w:r w:rsidRPr="00D90214">
              <w:rPr>
                <w:sz w:val="16"/>
                <w:szCs w:val="16"/>
              </w:rPr>
              <w:t xml:space="preserve"> are identified</w:t>
            </w:r>
            <w:r w:rsidR="009C01D3">
              <w:rPr>
                <w:sz w:val="16"/>
                <w:szCs w:val="16"/>
              </w:rPr>
              <w:t xml:space="preserve"> (Living list, exclude names)</w:t>
            </w:r>
          </w:p>
        </w:tc>
        <w:tc>
          <w:tcPr>
            <w:tcW w:w="900" w:type="dxa"/>
            <w:gridSpan w:val="2"/>
            <w:vAlign w:val="center"/>
          </w:tcPr>
          <w:p w14:paraId="54B6D1E1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  <w:tc>
          <w:tcPr>
            <w:tcW w:w="905" w:type="dxa"/>
            <w:gridSpan w:val="4"/>
            <w:vAlign w:val="center"/>
          </w:tcPr>
          <w:p w14:paraId="049E82A1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</w:tr>
      <w:tr w:rsidR="00B007CB" w:rsidRPr="00D90214" w14:paraId="774EB577" w14:textId="77777777" w:rsidTr="0048760D">
        <w:trPr>
          <w:trHeight w:val="297"/>
        </w:trPr>
        <w:tc>
          <w:tcPr>
            <w:tcW w:w="1165" w:type="dxa"/>
            <w:vAlign w:val="center"/>
          </w:tcPr>
          <w:p w14:paraId="10FF892D" w14:textId="77777777" w:rsidR="00B007CB" w:rsidRPr="00D90214" w:rsidRDefault="009C01D3" w:rsidP="005611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IC-FF</w:t>
            </w:r>
          </w:p>
        </w:tc>
        <w:tc>
          <w:tcPr>
            <w:tcW w:w="5940" w:type="dxa"/>
            <w:vAlign w:val="center"/>
          </w:tcPr>
          <w:p w14:paraId="363E3F71" w14:textId="77777777" w:rsidR="00B007CB" w:rsidRPr="0048760D" w:rsidRDefault="00B007CB" w:rsidP="00344604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8760D">
              <w:rPr>
                <w:rFonts w:asciiTheme="minorHAnsi" w:hAnsiTheme="minorHAnsi" w:cstheme="minorHAnsi"/>
                <w:i/>
                <w:sz w:val="20"/>
                <w:szCs w:val="20"/>
              </w:rPr>
              <w:t>Priority for Service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student needs </w:t>
            </w:r>
            <w:proofErr w:type="gramStart"/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are assessed</w:t>
            </w:r>
            <w:proofErr w:type="gramEnd"/>
            <w:r w:rsidR="002E21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Title I</w:t>
            </w:r>
            <w:r w:rsidR="0034460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C sec 1306 (b)(2)</w:t>
            </w:r>
          </w:p>
        </w:tc>
        <w:tc>
          <w:tcPr>
            <w:tcW w:w="2430" w:type="dxa"/>
          </w:tcPr>
          <w:p w14:paraId="0D149F75" w14:textId="77777777" w:rsidR="00B007CB" w:rsidRPr="00D90214" w:rsidRDefault="00B007CB" w:rsidP="00994B46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 xml:space="preserve">Evidence </w:t>
            </w:r>
            <w:r w:rsidRPr="00D90214">
              <w:rPr>
                <w:i/>
                <w:sz w:val="16"/>
                <w:szCs w:val="16"/>
              </w:rPr>
              <w:t xml:space="preserve">Priority for </w:t>
            </w:r>
            <w:r w:rsidR="00994B46">
              <w:rPr>
                <w:i/>
                <w:sz w:val="16"/>
                <w:szCs w:val="16"/>
              </w:rPr>
              <w:t>S</w:t>
            </w:r>
            <w:r w:rsidRPr="00D90214">
              <w:rPr>
                <w:i/>
                <w:sz w:val="16"/>
                <w:szCs w:val="16"/>
              </w:rPr>
              <w:t xml:space="preserve">ervice </w:t>
            </w:r>
            <w:r w:rsidR="0025561E" w:rsidRPr="00D90214">
              <w:rPr>
                <w:i/>
                <w:sz w:val="16"/>
                <w:szCs w:val="16"/>
              </w:rPr>
              <w:t>students’</w:t>
            </w:r>
            <w:r w:rsidRPr="00D90214">
              <w:rPr>
                <w:sz w:val="16"/>
                <w:szCs w:val="16"/>
              </w:rPr>
              <w:t xml:space="preserve"> needs </w:t>
            </w:r>
            <w:proofErr w:type="gramStart"/>
            <w:r w:rsidRPr="00D90214">
              <w:rPr>
                <w:sz w:val="16"/>
                <w:szCs w:val="16"/>
              </w:rPr>
              <w:t>are assessed</w:t>
            </w:r>
            <w:proofErr w:type="gramEnd"/>
            <w:r w:rsidR="009C01D3">
              <w:rPr>
                <w:sz w:val="16"/>
                <w:szCs w:val="16"/>
              </w:rPr>
              <w:t xml:space="preserve">. </w:t>
            </w:r>
            <w:r w:rsidR="00F1252D">
              <w:rPr>
                <w:sz w:val="16"/>
                <w:szCs w:val="16"/>
              </w:rPr>
              <w:t xml:space="preserve"> </w:t>
            </w:r>
            <w:r w:rsidR="009C01D3">
              <w:rPr>
                <w:sz w:val="16"/>
                <w:szCs w:val="16"/>
              </w:rPr>
              <w:t>You can describe this process in a narrative.</w:t>
            </w:r>
          </w:p>
        </w:tc>
        <w:tc>
          <w:tcPr>
            <w:tcW w:w="900" w:type="dxa"/>
            <w:gridSpan w:val="2"/>
            <w:vAlign w:val="center"/>
          </w:tcPr>
          <w:p w14:paraId="6B35F0F7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  <w:tc>
          <w:tcPr>
            <w:tcW w:w="905" w:type="dxa"/>
            <w:gridSpan w:val="4"/>
            <w:vAlign w:val="center"/>
          </w:tcPr>
          <w:p w14:paraId="0F6A2D0B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</w:tr>
      <w:tr w:rsidR="00B007CB" w:rsidRPr="00D90214" w14:paraId="7AB12D05" w14:textId="77777777" w:rsidTr="0048760D">
        <w:trPr>
          <w:trHeight w:val="297"/>
        </w:trPr>
        <w:tc>
          <w:tcPr>
            <w:tcW w:w="1165" w:type="dxa"/>
            <w:vAlign w:val="center"/>
          </w:tcPr>
          <w:p w14:paraId="21949875" w14:textId="77777777" w:rsidR="00B007CB" w:rsidRPr="00D90214" w:rsidRDefault="00B007CB" w:rsidP="005611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940" w:type="dxa"/>
            <w:vAlign w:val="center"/>
          </w:tcPr>
          <w:p w14:paraId="5CA98EA7" w14:textId="77777777" w:rsidR="00B007CB" w:rsidRPr="00D90214" w:rsidRDefault="00B007CB" w:rsidP="00660816">
            <w:pPr>
              <w:shd w:val="clear" w:color="auto" w:fill="FFFFFF" w:themeFill="background1"/>
              <w:rPr>
                <w:i/>
                <w:sz w:val="16"/>
                <w:szCs w:val="16"/>
              </w:rPr>
            </w:pPr>
            <w:r w:rsidRPr="00D90214">
              <w:rPr>
                <w:b/>
                <w:sz w:val="16"/>
                <w:szCs w:val="16"/>
              </w:rPr>
              <w:t>Title I</w:t>
            </w:r>
            <w:r w:rsidR="00660816">
              <w:rPr>
                <w:b/>
                <w:sz w:val="16"/>
                <w:szCs w:val="16"/>
              </w:rPr>
              <w:t>-</w:t>
            </w:r>
            <w:r w:rsidRPr="00D90214">
              <w:rPr>
                <w:b/>
                <w:sz w:val="16"/>
                <w:szCs w:val="16"/>
              </w:rPr>
              <w:t xml:space="preserve">C </w:t>
            </w:r>
            <w:r w:rsidR="00660816">
              <w:rPr>
                <w:b/>
                <w:sz w:val="18"/>
                <w:szCs w:val="18"/>
              </w:rPr>
              <w:t>S</w:t>
            </w:r>
            <w:r w:rsidRPr="00660816">
              <w:rPr>
                <w:b/>
                <w:sz w:val="18"/>
                <w:szCs w:val="18"/>
              </w:rPr>
              <w:t>ervices</w:t>
            </w:r>
          </w:p>
        </w:tc>
        <w:tc>
          <w:tcPr>
            <w:tcW w:w="4235" w:type="dxa"/>
            <w:gridSpan w:val="7"/>
            <w:shd w:val="clear" w:color="auto" w:fill="FFFFFF" w:themeFill="background1"/>
          </w:tcPr>
          <w:p w14:paraId="6FD287D0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</w:tr>
      <w:tr w:rsidR="00B007CB" w:rsidRPr="00D90214" w14:paraId="133593F6" w14:textId="77777777" w:rsidTr="0048760D">
        <w:trPr>
          <w:trHeight w:val="297"/>
        </w:trPr>
        <w:tc>
          <w:tcPr>
            <w:tcW w:w="1165" w:type="dxa"/>
            <w:vAlign w:val="center"/>
          </w:tcPr>
          <w:p w14:paraId="7A191FC2" w14:textId="77777777" w:rsidR="00B007CB" w:rsidRPr="00D90214" w:rsidRDefault="009C01D3" w:rsidP="005611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IC-GG</w:t>
            </w:r>
          </w:p>
        </w:tc>
        <w:tc>
          <w:tcPr>
            <w:tcW w:w="5940" w:type="dxa"/>
            <w:vAlign w:val="center"/>
          </w:tcPr>
          <w:p w14:paraId="30E45AED" w14:textId="77777777" w:rsidR="00B007CB" w:rsidRPr="0048760D" w:rsidRDefault="00B007CB" w:rsidP="00903261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Comprehensive services </w:t>
            </w:r>
            <w:proofErr w:type="gramStart"/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are provided</w:t>
            </w:r>
            <w:proofErr w:type="gramEnd"/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to migrant students and their families</w:t>
            </w:r>
            <w:r w:rsidR="002E21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03261">
              <w:rPr>
                <w:rFonts w:asciiTheme="minorHAnsi" w:hAnsiTheme="minorHAnsi" w:cstheme="minorHAnsi"/>
                <w:sz w:val="20"/>
                <w:szCs w:val="20"/>
              </w:rPr>
              <w:t xml:space="preserve"> Title I-C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sec</w:t>
            </w:r>
            <w:r w:rsidR="00660816" w:rsidRPr="0048760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1304 (c)(6) (A)</w:t>
            </w:r>
          </w:p>
        </w:tc>
        <w:tc>
          <w:tcPr>
            <w:tcW w:w="2430" w:type="dxa"/>
          </w:tcPr>
          <w:p w14:paraId="4380FCE8" w14:textId="77777777" w:rsidR="00B007CB" w:rsidRDefault="00B007CB" w:rsidP="00561112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Evidence of the provision of comprehensive services</w:t>
            </w:r>
            <w:r w:rsidR="007F7A54">
              <w:rPr>
                <w:sz w:val="16"/>
                <w:szCs w:val="16"/>
              </w:rPr>
              <w:t xml:space="preserve"> (</w:t>
            </w:r>
            <w:r w:rsidR="00994B46">
              <w:rPr>
                <w:sz w:val="16"/>
                <w:szCs w:val="16"/>
              </w:rPr>
              <w:t>p</w:t>
            </w:r>
            <w:r w:rsidR="007F7A54">
              <w:rPr>
                <w:sz w:val="16"/>
                <w:szCs w:val="16"/>
              </w:rPr>
              <w:t>rovide a list of services your program provides</w:t>
            </w:r>
            <w:r>
              <w:rPr>
                <w:sz w:val="16"/>
                <w:szCs w:val="16"/>
              </w:rPr>
              <w:t>)</w:t>
            </w:r>
            <w:r w:rsidR="00994B46">
              <w:rPr>
                <w:sz w:val="16"/>
                <w:szCs w:val="16"/>
              </w:rPr>
              <w:t>.</w:t>
            </w:r>
          </w:p>
          <w:p w14:paraId="46731CB5" w14:textId="77777777" w:rsidR="00283DAB" w:rsidRDefault="00283DAB" w:rsidP="00561112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growth form</w:t>
            </w:r>
          </w:p>
          <w:p w14:paraId="49213015" w14:textId="7548E01C" w:rsidR="00283DAB" w:rsidRPr="00D90214" w:rsidRDefault="00283DAB" w:rsidP="00561112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66081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K program form</w:t>
            </w:r>
            <w:r w:rsidR="00AC350F">
              <w:rPr>
                <w:sz w:val="16"/>
                <w:szCs w:val="16"/>
              </w:rPr>
              <w:t xml:space="preserve"> (site based only)</w:t>
            </w:r>
          </w:p>
        </w:tc>
        <w:tc>
          <w:tcPr>
            <w:tcW w:w="900" w:type="dxa"/>
            <w:gridSpan w:val="2"/>
            <w:vAlign w:val="center"/>
          </w:tcPr>
          <w:p w14:paraId="193E77CA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  <w:tc>
          <w:tcPr>
            <w:tcW w:w="905" w:type="dxa"/>
            <w:gridSpan w:val="4"/>
            <w:vAlign w:val="center"/>
          </w:tcPr>
          <w:p w14:paraId="0C8631EA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</w:tr>
      <w:tr w:rsidR="00B007CB" w:rsidRPr="00D90214" w14:paraId="555BC273" w14:textId="77777777" w:rsidTr="0048760D">
        <w:trPr>
          <w:trHeight w:val="297"/>
        </w:trPr>
        <w:tc>
          <w:tcPr>
            <w:tcW w:w="1165" w:type="dxa"/>
            <w:vAlign w:val="center"/>
          </w:tcPr>
          <w:p w14:paraId="0979EF74" w14:textId="77777777" w:rsidR="00B007CB" w:rsidRPr="00D90214" w:rsidRDefault="009C01D3" w:rsidP="005611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IC-HH</w:t>
            </w:r>
          </w:p>
        </w:tc>
        <w:tc>
          <w:tcPr>
            <w:tcW w:w="5940" w:type="dxa"/>
            <w:vAlign w:val="center"/>
          </w:tcPr>
          <w:p w14:paraId="25E3F9A1" w14:textId="77777777" w:rsidR="00B007CB" w:rsidRPr="0048760D" w:rsidRDefault="00B007CB" w:rsidP="00903261">
            <w:pPr>
              <w:shd w:val="clear" w:color="auto" w:fill="FFFFFF" w:themeFill="background1"/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There are programs to facilitate the transition of secondary schools students to postsecondary education or employment</w:t>
            </w:r>
            <w:r w:rsidR="002E21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03261">
              <w:rPr>
                <w:rFonts w:asciiTheme="minorHAnsi" w:hAnsiTheme="minorHAnsi" w:cstheme="minorHAnsi"/>
                <w:sz w:val="20"/>
                <w:szCs w:val="20"/>
              </w:rPr>
              <w:t xml:space="preserve"> Title I-C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sec 1304 (c)(6)(E)</w:t>
            </w:r>
          </w:p>
        </w:tc>
        <w:tc>
          <w:tcPr>
            <w:tcW w:w="2430" w:type="dxa"/>
          </w:tcPr>
          <w:p w14:paraId="35EC49B7" w14:textId="77777777" w:rsidR="00B007CB" w:rsidRPr="00D90214" w:rsidRDefault="00B007CB" w:rsidP="00561112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Evidence of district programs to facilitate transition</w:t>
            </w:r>
            <w:r w:rsidR="007F7A54">
              <w:rPr>
                <w:sz w:val="16"/>
                <w:szCs w:val="16"/>
              </w:rPr>
              <w:t xml:space="preserve">. </w:t>
            </w:r>
            <w:r w:rsidR="0025561E">
              <w:rPr>
                <w:sz w:val="16"/>
                <w:szCs w:val="16"/>
              </w:rPr>
              <w:t xml:space="preserve"> </w:t>
            </w:r>
            <w:r w:rsidR="007F7A54">
              <w:rPr>
                <w:sz w:val="16"/>
                <w:szCs w:val="16"/>
              </w:rPr>
              <w:t xml:space="preserve">List and describe these services. </w:t>
            </w:r>
            <w:r w:rsidR="0025561E">
              <w:rPr>
                <w:sz w:val="16"/>
                <w:szCs w:val="16"/>
              </w:rPr>
              <w:t xml:space="preserve"> </w:t>
            </w:r>
            <w:r w:rsidR="007F7A54">
              <w:rPr>
                <w:sz w:val="16"/>
                <w:szCs w:val="16"/>
              </w:rPr>
              <w:t>Include images with titles in the narrative if available.</w:t>
            </w:r>
          </w:p>
        </w:tc>
        <w:tc>
          <w:tcPr>
            <w:tcW w:w="900" w:type="dxa"/>
            <w:gridSpan w:val="2"/>
            <w:vAlign w:val="center"/>
          </w:tcPr>
          <w:p w14:paraId="44D4BC1C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  <w:tc>
          <w:tcPr>
            <w:tcW w:w="905" w:type="dxa"/>
            <w:gridSpan w:val="4"/>
            <w:vAlign w:val="center"/>
          </w:tcPr>
          <w:p w14:paraId="304154B7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</w:tr>
      <w:tr w:rsidR="00B007CB" w:rsidRPr="00D90214" w14:paraId="7D8CE3CB" w14:textId="77777777" w:rsidTr="0048760D">
        <w:trPr>
          <w:trHeight w:val="297"/>
        </w:trPr>
        <w:tc>
          <w:tcPr>
            <w:tcW w:w="1165" w:type="dxa"/>
            <w:vAlign w:val="center"/>
          </w:tcPr>
          <w:p w14:paraId="3C3FAB0A" w14:textId="77777777" w:rsidR="00B007CB" w:rsidRPr="00D90214" w:rsidRDefault="00B007CB" w:rsidP="005611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IC-</w:t>
            </w:r>
            <w:r w:rsidR="009C01D3">
              <w:rPr>
                <w:sz w:val="16"/>
                <w:szCs w:val="16"/>
              </w:rPr>
              <w:t>II</w:t>
            </w:r>
          </w:p>
        </w:tc>
        <w:tc>
          <w:tcPr>
            <w:tcW w:w="5940" w:type="dxa"/>
            <w:vAlign w:val="center"/>
          </w:tcPr>
          <w:p w14:paraId="719182BC" w14:textId="77777777" w:rsidR="00B007CB" w:rsidRPr="0048760D" w:rsidRDefault="00B007CB" w:rsidP="00903261">
            <w:pPr>
              <w:shd w:val="clear" w:color="auto" w:fill="FFFFFF" w:themeFill="background1"/>
              <w:tabs>
                <w:tab w:val="left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Students are permitted to continue receiving service after eligibility has ended but their needs are unmet</w:t>
            </w:r>
            <w:r w:rsidR="002E21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Title I</w:t>
            </w:r>
            <w:r w:rsidR="0090326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C sec 1304 (e)(1)(2) (3)</w:t>
            </w:r>
          </w:p>
        </w:tc>
        <w:tc>
          <w:tcPr>
            <w:tcW w:w="2430" w:type="dxa"/>
          </w:tcPr>
          <w:p w14:paraId="765159E9" w14:textId="77777777" w:rsidR="00B007CB" w:rsidRPr="001A5C44" w:rsidRDefault="00B007CB" w:rsidP="0025561E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brief table specifying the number of migratory students under COS.</w:t>
            </w:r>
            <w:r w:rsidR="002556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Do not include names. </w:t>
            </w:r>
            <w:r w:rsidR="002556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Include the date of end of eligibility. </w:t>
            </w:r>
            <w:r w:rsidR="002556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Last, include a description </w:t>
            </w:r>
            <w:r w:rsidRPr="001A5C44">
              <w:rPr>
                <w:sz w:val="16"/>
                <w:szCs w:val="16"/>
              </w:rPr>
              <w:t>of services provided after eligibility ends</w:t>
            </w:r>
            <w:r w:rsidR="0025561E">
              <w:rPr>
                <w:sz w:val="16"/>
                <w:szCs w:val="16"/>
              </w:rPr>
              <w:t>,</w:t>
            </w:r>
            <w:r w:rsidRPr="001A5C44">
              <w:rPr>
                <w:sz w:val="16"/>
                <w:szCs w:val="16"/>
              </w:rPr>
              <w:t xml:space="preserve"> and students needs are unmet.  </w:t>
            </w:r>
            <w:r w:rsidR="0025561E">
              <w:rPr>
                <w:sz w:val="16"/>
                <w:szCs w:val="16"/>
              </w:rPr>
              <w:t>Migratory children with COS.</w:t>
            </w:r>
          </w:p>
        </w:tc>
        <w:tc>
          <w:tcPr>
            <w:tcW w:w="900" w:type="dxa"/>
            <w:gridSpan w:val="2"/>
            <w:vAlign w:val="center"/>
          </w:tcPr>
          <w:p w14:paraId="29F323FA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  <w:tc>
          <w:tcPr>
            <w:tcW w:w="905" w:type="dxa"/>
            <w:gridSpan w:val="4"/>
            <w:vAlign w:val="center"/>
          </w:tcPr>
          <w:p w14:paraId="6FB7E9AF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</w:tr>
      <w:tr w:rsidR="00B007CB" w:rsidRPr="00D90214" w14:paraId="634FA82E" w14:textId="77777777" w:rsidTr="0048760D">
        <w:trPr>
          <w:trHeight w:val="297"/>
        </w:trPr>
        <w:tc>
          <w:tcPr>
            <w:tcW w:w="1165" w:type="dxa"/>
            <w:vAlign w:val="center"/>
          </w:tcPr>
          <w:p w14:paraId="210BE174" w14:textId="77777777" w:rsidR="00B007CB" w:rsidRPr="00D90214" w:rsidRDefault="00B007CB" w:rsidP="005611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940" w:type="dxa"/>
            <w:vAlign w:val="center"/>
          </w:tcPr>
          <w:p w14:paraId="5FD4D89C" w14:textId="77777777" w:rsidR="00B007CB" w:rsidRPr="00D90214" w:rsidRDefault="00B007CB" w:rsidP="00561112">
            <w:pPr>
              <w:shd w:val="clear" w:color="auto" w:fill="FFFFFF" w:themeFill="background1"/>
              <w:tabs>
                <w:tab w:val="left" w:pos="360"/>
              </w:tabs>
              <w:rPr>
                <w:sz w:val="16"/>
                <w:szCs w:val="16"/>
              </w:rPr>
            </w:pPr>
            <w:r w:rsidRPr="00D90214">
              <w:rPr>
                <w:b/>
                <w:sz w:val="16"/>
                <w:szCs w:val="16"/>
              </w:rPr>
              <w:t xml:space="preserve">Parent </w:t>
            </w:r>
            <w:r w:rsidRPr="00B34BF4">
              <w:rPr>
                <w:b/>
                <w:sz w:val="18"/>
                <w:szCs w:val="18"/>
              </w:rPr>
              <w:t>Involvement</w:t>
            </w:r>
          </w:p>
        </w:tc>
        <w:tc>
          <w:tcPr>
            <w:tcW w:w="4235" w:type="dxa"/>
            <w:gridSpan w:val="7"/>
            <w:shd w:val="clear" w:color="auto" w:fill="FFFFFF" w:themeFill="background1"/>
          </w:tcPr>
          <w:p w14:paraId="0386BEBA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</w:tr>
      <w:tr w:rsidR="00B007CB" w:rsidRPr="00D90214" w14:paraId="33B3173E" w14:textId="77777777" w:rsidTr="0048760D">
        <w:trPr>
          <w:trHeight w:val="297"/>
        </w:trPr>
        <w:tc>
          <w:tcPr>
            <w:tcW w:w="1165" w:type="dxa"/>
            <w:vAlign w:val="center"/>
          </w:tcPr>
          <w:p w14:paraId="01F3D8E9" w14:textId="77777777" w:rsidR="00B007CB" w:rsidRPr="00D90214" w:rsidRDefault="00B007CB" w:rsidP="005611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lastRenderedPageBreak/>
              <w:t>IC</w:t>
            </w:r>
            <w:r w:rsidR="009C01D3">
              <w:rPr>
                <w:sz w:val="16"/>
                <w:szCs w:val="16"/>
              </w:rPr>
              <w:t>-JJ</w:t>
            </w:r>
          </w:p>
        </w:tc>
        <w:tc>
          <w:tcPr>
            <w:tcW w:w="5940" w:type="dxa"/>
            <w:vAlign w:val="center"/>
          </w:tcPr>
          <w:p w14:paraId="02D52137" w14:textId="77E0647D" w:rsidR="00B007CB" w:rsidRPr="0048760D" w:rsidRDefault="00B007CB" w:rsidP="00903261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Meetings </w:t>
            </w:r>
            <w:proofErr w:type="gramStart"/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are arranged</w:t>
            </w:r>
            <w:proofErr w:type="gramEnd"/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and transportation, childcare</w:t>
            </w:r>
            <w:r w:rsidR="002E21D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and other services to assist parents in participating are provided</w:t>
            </w:r>
            <w:r w:rsidR="002E21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03261">
              <w:rPr>
                <w:rFonts w:asciiTheme="minorHAnsi" w:hAnsiTheme="minorHAnsi" w:cstheme="minorHAnsi"/>
                <w:sz w:val="20"/>
                <w:szCs w:val="20"/>
              </w:rPr>
              <w:t xml:space="preserve"> Title I-C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sec</w:t>
            </w:r>
            <w:r w:rsidR="009032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1304 (c)(3)</w:t>
            </w:r>
          </w:p>
        </w:tc>
        <w:tc>
          <w:tcPr>
            <w:tcW w:w="2430" w:type="dxa"/>
          </w:tcPr>
          <w:p w14:paraId="4567E1CC" w14:textId="77777777" w:rsidR="00B007CB" w:rsidRPr="00D90214" w:rsidRDefault="00B007CB" w:rsidP="00561112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Meeting notices and agendas</w:t>
            </w:r>
            <w:r>
              <w:rPr>
                <w:sz w:val="16"/>
                <w:szCs w:val="16"/>
              </w:rPr>
              <w:t xml:space="preserve"> (</w:t>
            </w:r>
            <w:r w:rsidR="00B34BF4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erge in PDF)</w:t>
            </w:r>
            <w:r w:rsidR="007F7A54">
              <w:rPr>
                <w:sz w:val="16"/>
                <w:szCs w:val="16"/>
              </w:rPr>
              <w:t xml:space="preserve"> </w:t>
            </w:r>
            <w:r w:rsidR="00B34BF4">
              <w:rPr>
                <w:sz w:val="16"/>
                <w:szCs w:val="16"/>
              </w:rPr>
              <w:t>Maximum</w:t>
            </w:r>
            <w:r w:rsidR="007F7A54">
              <w:rPr>
                <w:sz w:val="16"/>
                <w:szCs w:val="16"/>
              </w:rPr>
              <w:t xml:space="preserve"> 5 samples.</w:t>
            </w:r>
          </w:p>
          <w:p w14:paraId="3D4E1D08" w14:textId="77777777" w:rsidR="00B007CB" w:rsidRPr="00D90214" w:rsidRDefault="00B007CB" w:rsidP="007F7A54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 xml:space="preserve">PAC </w:t>
            </w:r>
            <w:r w:rsidR="007F7A54">
              <w:rPr>
                <w:sz w:val="16"/>
                <w:szCs w:val="16"/>
              </w:rPr>
              <w:t>Bylaws or any document that parents use to understand their PAC</w:t>
            </w:r>
            <w:r w:rsidR="0025561E">
              <w:rPr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14:paraId="78BC8A81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  <w:tc>
          <w:tcPr>
            <w:tcW w:w="905" w:type="dxa"/>
            <w:gridSpan w:val="4"/>
            <w:vAlign w:val="center"/>
          </w:tcPr>
          <w:p w14:paraId="741A6574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</w:tr>
      <w:tr w:rsidR="00B007CB" w:rsidRPr="00D90214" w14:paraId="42AB4E4D" w14:textId="77777777" w:rsidTr="0048760D">
        <w:trPr>
          <w:trHeight w:val="297"/>
        </w:trPr>
        <w:tc>
          <w:tcPr>
            <w:tcW w:w="1165" w:type="dxa"/>
            <w:vAlign w:val="center"/>
          </w:tcPr>
          <w:p w14:paraId="788F61FD" w14:textId="77777777" w:rsidR="00B007CB" w:rsidRPr="00D90214" w:rsidRDefault="00B007CB" w:rsidP="005611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IC-</w:t>
            </w:r>
            <w:r w:rsidR="009C01D3">
              <w:rPr>
                <w:sz w:val="16"/>
                <w:szCs w:val="16"/>
              </w:rPr>
              <w:t>KK</w:t>
            </w:r>
          </w:p>
        </w:tc>
        <w:tc>
          <w:tcPr>
            <w:tcW w:w="5940" w:type="dxa"/>
            <w:vAlign w:val="center"/>
          </w:tcPr>
          <w:p w14:paraId="2FAF1727" w14:textId="77777777" w:rsidR="00B007CB" w:rsidRPr="0048760D" w:rsidRDefault="00B007CB" w:rsidP="00561112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There is evidence of parental involvement in the education of their children</w:t>
            </w:r>
            <w:r w:rsidR="002E21D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Title I</w:t>
            </w:r>
            <w:r w:rsidR="0090326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C sec 1304 (c)(3)</w:t>
            </w:r>
          </w:p>
        </w:tc>
        <w:tc>
          <w:tcPr>
            <w:tcW w:w="2430" w:type="dxa"/>
          </w:tcPr>
          <w:p w14:paraId="6B1810E7" w14:textId="77777777" w:rsidR="00B007CB" w:rsidRDefault="00B007CB" w:rsidP="00561112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Documentation of parent opportunities to become involved in education of students</w:t>
            </w:r>
            <w:r w:rsidR="007F7A54">
              <w:rPr>
                <w:sz w:val="16"/>
                <w:szCs w:val="16"/>
              </w:rPr>
              <w:t>.</w:t>
            </w:r>
            <w:r w:rsidR="0025561E">
              <w:rPr>
                <w:sz w:val="16"/>
                <w:szCs w:val="16"/>
              </w:rPr>
              <w:t xml:space="preserve"> </w:t>
            </w:r>
            <w:r w:rsidR="007F7A54">
              <w:rPr>
                <w:sz w:val="16"/>
                <w:szCs w:val="16"/>
              </w:rPr>
              <w:t xml:space="preserve"> Include how parents are ask for feedback around services.</w:t>
            </w:r>
          </w:p>
          <w:p w14:paraId="154D50AD" w14:textId="77777777" w:rsidR="004B225D" w:rsidRPr="00D90214" w:rsidRDefault="004B225D" w:rsidP="00561112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 of Family Engagement efforts that promotes parental involvement in the education of their children.</w:t>
            </w:r>
          </w:p>
        </w:tc>
        <w:tc>
          <w:tcPr>
            <w:tcW w:w="900" w:type="dxa"/>
            <w:gridSpan w:val="2"/>
            <w:vAlign w:val="center"/>
          </w:tcPr>
          <w:p w14:paraId="521CBFE8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  <w:tc>
          <w:tcPr>
            <w:tcW w:w="905" w:type="dxa"/>
            <w:gridSpan w:val="4"/>
            <w:vAlign w:val="center"/>
          </w:tcPr>
          <w:p w14:paraId="33FB16ED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</w:tr>
      <w:tr w:rsidR="00B007CB" w:rsidRPr="00D90214" w14:paraId="3FDED07A" w14:textId="77777777" w:rsidTr="0048760D">
        <w:trPr>
          <w:gridAfter w:val="2"/>
          <w:wAfter w:w="73" w:type="dxa"/>
          <w:trHeight w:val="297"/>
        </w:trPr>
        <w:tc>
          <w:tcPr>
            <w:tcW w:w="1165" w:type="dxa"/>
            <w:vAlign w:val="center"/>
          </w:tcPr>
          <w:p w14:paraId="40E7AF66" w14:textId="77777777" w:rsidR="00B007CB" w:rsidRPr="00D90214" w:rsidRDefault="00B007CB" w:rsidP="0056111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940" w:type="dxa"/>
            <w:vAlign w:val="center"/>
          </w:tcPr>
          <w:p w14:paraId="1340A437" w14:textId="77777777" w:rsidR="00B007CB" w:rsidRPr="00D90214" w:rsidRDefault="00B007CB" w:rsidP="00561112">
            <w:pPr>
              <w:shd w:val="clear" w:color="auto" w:fill="FFFFFF" w:themeFill="background1"/>
              <w:tabs>
                <w:tab w:val="left" w:pos="360"/>
              </w:tabs>
              <w:rPr>
                <w:sz w:val="16"/>
                <w:szCs w:val="16"/>
              </w:rPr>
            </w:pPr>
            <w:r w:rsidRPr="00D90214">
              <w:rPr>
                <w:b/>
                <w:sz w:val="16"/>
                <w:szCs w:val="16"/>
              </w:rPr>
              <w:t>Title I</w:t>
            </w:r>
            <w:r w:rsidR="00B34BF4">
              <w:rPr>
                <w:b/>
                <w:sz w:val="16"/>
                <w:szCs w:val="16"/>
              </w:rPr>
              <w:t>-</w:t>
            </w:r>
            <w:r w:rsidRPr="00D90214">
              <w:rPr>
                <w:b/>
                <w:sz w:val="16"/>
                <w:szCs w:val="16"/>
              </w:rPr>
              <w:t>C Staff</w:t>
            </w:r>
          </w:p>
        </w:tc>
        <w:tc>
          <w:tcPr>
            <w:tcW w:w="4162" w:type="dxa"/>
            <w:gridSpan w:val="5"/>
            <w:shd w:val="clear" w:color="auto" w:fill="FFFFFF" w:themeFill="background1"/>
          </w:tcPr>
          <w:p w14:paraId="31E88263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</w:tr>
      <w:tr w:rsidR="00B007CB" w:rsidRPr="00D90214" w14:paraId="35879579" w14:textId="77777777" w:rsidTr="0048760D">
        <w:trPr>
          <w:gridAfter w:val="1"/>
          <w:wAfter w:w="65" w:type="dxa"/>
          <w:trHeight w:val="297"/>
        </w:trPr>
        <w:tc>
          <w:tcPr>
            <w:tcW w:w="1165" w:type="dxa"/>
            <w:vAlign w:val="center"/>
          </w:tcPr>
          <w:p w14:paraId="61F0C138" w14:textId="77777777" w:rsidR="00B007CB" w:rsidRPr="00D90214" w:rsidRDefault="00B007CB" w:rsidP="005611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IC-</w:t>
            </w:r>
            <w:r w:rsidR="009C01D3">
              <w:rPr>
                <w:sz w:val="16"/>
                <w:szCs w:val="16"/>
              </w:rPr>
              <w:t>LL</w:t>
            </w:r>
          </w:p>
        </w:tc>
        <w:tc>
          <w:tcPr>
            <w:tcW w:w="5940" w:type="dxa"/>
            <w:vAlign w:val="center"/>
          </w:tcPr>
          <w:p w14:paraId="6C316692" w14:textId="77777777" w:rsidR="0048760D" w:rsidRDefault="00B007CB" w:rsidP="00561112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Title I</w:t>
            </w:r>
            <w:r w:rsidR="00B34BF4" w:rsidRPr="0048760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C funded staff work with Title I</w:t>
            </w:r>
            <w:r w:rsidR="00B34BF4" w:rsidRPr="0048760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C students, Paraprofessionals, teachers, recruiters</w:t>
            </w:r>
            <w:r w:rsidR="00B34BF4" w:rsidRPr="0048760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and home liaisons. </w:t>
            </w:r>
            <w:r w:rsidR="004876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E38D817" w14:textId="77777777" w:rsidR="00B007CB" w:rsidRPr="0048760D" w:rsidRDefault="00B007CB" w:rsidP="00561112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Title I</w:t>
            </w:r>
            <w:r w:rsidR="00B34BF4" w:rsidRPr="0048760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C sec 1304 (c)(1) OMB A-133 G2.2 </w:t>
            </w:r>
          </w:p>
          <w:p w14:paraId="25C6B74F" w14:textId="77777777" w:rsidR="00B007CB" w:rsidRPr="0048760D" w:rsidRDefault="00B007CB" w:rsidP="002E21DA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Title I</w:t>
            </w:r>
            <w:r w:rsidR="00B34BF4" w:rsidRPr="0048760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C sec 1304 (c)(7)</w:t>
            </w:r>
          </w:p>
        </w:tc>
        <w:tc>
          <w:tcPr>
            <w:tcW w:w="2460" w:type="dxa"/>
            <w:gridSpan w:val="2"/>
          </w:tcPr>
          <w:p w14:paraId="53731A14" w14:textId="77777777" w:rsidR="00B007CB" w:rsidRDefault="00B007CB" w:rsidP="00561112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Copies of job descriptions</w:t>
            </w:r>
            <w:r w:rsidR="006449AD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 time and effort records</w:t>
            </w:r>
          </w:p>
          <w:p w14:paraId="01BC5CF1" w14:textId="77777777" w:rsidR="006449AD" w:rsidRPr="006449AD" w:rsidRDefault="006449AD" w:rsidP="006449AD">
            <w:pPr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6449AD">
              <w:rPr>
                <w:rFonts w:asciiTheme="minorHAnsi" w:hAnsiTheme="minorHAnsi" w:cstheme="minorHAnsi"/>
                <w:b/>
                <w:sz w:val="20"/>
                <w:u w:val="single"/>
              </w:rPr>
              <w:t>Available ODE Resource</w:t>
            </w:r>
          </w:p>
          <w:p w14:paraId="32463DB4" w14:textId="77777777" w:rsidR="006449AD" w:rsidRPr="006449AD" w:rsidRDefault="00AC350F" w:rsidP="006449AD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Theme="minorHAnsi" w:hAnsiTheme="minorHAnsi" w:cstheme="minorHAnsi"/>
                <w:sz w:val="20"/>
              </w:rPr>
            </w:pPr>
            <w:hyperlink r:id="rId10" w:history="1">
              <w:r w:rsidR="006449AD" w:rsidRPr="006449AD">
                <w:rPr>
                  <w:rStyle w:val="Hyperlink"/>
                  <w:rFonts w:asciiTheme="minorHAnsi" w:hAnsiTheme="minorHAnsi" w:cstheme="minorHAnsi"/>
                  <w:sz w:val="20"/>
                </w:rPr>
                <w:t>Time and Effort Reporting Form (Sample)</w:t>
              </w:r>
            </w:hyperlink>
          </w:p>
          <w:p w14:paraId="4BB9E60E" w14:textId="77777777" w:rsidR="006449AD" w:rsidRPr="006449AD" w:rsidRDefault="00AC350F" w:rsidP="006449AD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Theme="minorHAnsi" w:hAnsiTheme="minorHAnsi" w:cstheme="minorHAnsi"/>
                <w:sz w:val="20"/>
              </w:rPr>
            </w:pPr>
            <w:hyperlink r:id="rId11" w:history="1">
              <w:r w:rsidR="006449AD" w:rsidRPr="006449AD">
                <w:rPr>
                  <w:rStyle w:val="Hyperlink"/>
                  <w:rFonts w:asciiTheme="minorHAnsi" w:hAnsiTheme="minorHAnsi" w:cstheme="minorHAnsi"/>
                  <w:sz w:val="20"/>
                </w:rPr>
                <w:t>Time and Effort Brief</w:t>
              </w:r>
            </w:hyperlink>
          </w:p>
          <w:p w14:paraId="35BB7264" w14:textId="77777777" w:rsidR="00B007CB" w:rsidRDefault="00B007CB" w:rsidP="00561112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Logs</w:t>
            </w:r>
            <w:r w:rsidR="004B225D">
              <w:rPr>
                <w:sz w:val="16"/>
                <w:szCs w:val="16"/>
              </w:rPr>
              <w:t xml:space="preserve"> of</w:t>
            </w:r>
            <w:r w:rsidRPr="00D90214">
              <w:rPr>
                <w:sz w:val="16"/>
                <w:szCs w:val="16"/>
              </w:rPr>
              <w:t xml:space="preserve"> recruiters showing 61% of their time </w:t>
            </w:r>
            <w:r>
              <w:rPr>
                <w:sz w:val="16"/>
                <w:szCs w:val="16"/>
              </w:rPr>
              <w:t>is recruiting from past 3 years</w:t>
            </w:r>
            <w:r w:rsidR="0025561E">
              <w:rPr>
                <w:sz w:val="16"/>
                <w:szCs w:val="16"/>
              </w:rPr>
              <w:t>.</w:t>
            </w:r>
          </w:p>
          <w:p w14:paraId="73202EDB" w14:textId="77777777" w:rsidR="00B007CB" w:rsidRPr="00D90214" w:rsidRDefault="007F7A54" w:rsidP="0048760D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Provided a report with n</w:t>
            </w:r>
            <w:r w:rsidR="00B007CB" w:rsidRPr="00D90214">
              <w:rPr>
                <w:sz w:val="16"/>
                <w:szCs w:val="16"/>
              </w:rPr>
              <w:t xml:space="preserve">umber of migrant students </w:t>
            </w:r>
            <w:r w:rsidR="009C01D3" w:rsidRPr="00D90214">
              <w:rPr>
                <w:sz w:val="16"/>
                <w:szCs w:val="16"/>
              </w:rPr>
              <w:t>served</w:t>
            </w:r>
            <w:r w:rsidR="009C01D3">
              <w:rPr>
                <w:sz w:val="16"/>
                <w:szCs w:val="16"/>
              </w:rPr>
              <w:t xml:space="preserve"> </w:t>
            </w:r>
            <w:r w:rsidR="0048760D">
              <w:rPr>
                <w:sz w:val="16"/>
                <w:szCs w:val="16"/>
              </w:rPr>
              <w:t>v</w:t>
            </w:r>
            <w:r w:rsidR="009C01D3">
              <w:rPr>
                <w:sz w:val="16"/>
                <w:szCs w:val="16"/>
              </w:rPr>
              <w:t>ersus non-</w:t>
            </w:r>
            <w:r>
              <w:rPr>
                <w:sz w:val="16"/>
                <w:szCs w:val="16"/>
              </w:rPr>
              <w:t xml:space="preserve">served. </w:t>
            </w:r>
          </w:p>
        </w:tc>
        <w:tc>
          <w:tcPr>
            <w:tcW w:w="900" w:type="dxa"/>
            <w:gridSpan w:val="2"/>
            <w:vAlign w:val="center"/>
          </w:tcPr>
          <w:p w14:paraId="34B2812B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  <w:tc>
          <w:tcPr>
            <w:tcW w:w="810" w:type="dxa"/>
            <w:gridSpan w:val="2"/>
            <w:vAlign w:val="center"/>
          </w:tcPr>
          <w:p w14:paraId="3F1220F8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</w:tr>
      <w:tr w:rsidR="00B007CB" w:rsidRPr="00D90214" w14:paraId="4523EF9A" w14:textId="77777777" w:rsidTr="0048760D">
        <w:trPr>
          <w:gridAfter w:val="2"/>
          <w:wAfter w:w="73" w:type="dxa"/>
          <w:trHeight w:val="297"/>
        </w:trPr>
        <w:tc>
          <w:tcPr>
            <w:tcW w:w="1165" w:type="dxa"/>
            <w:vAlign w:val="center"/>
          </w:tcPr>
          <w:p w14:paraId="2D7E1275" w14:textId="77777777" w:rsidR="00B007CB" w:rsidRPr="00D90214" w:rsidRDefault="00B007CB" w:rsidP="005611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940" w:type="dxa"/>
            <w:vAlign w:val="center"/>
          </w:tcPr>
          <w:p w14:paraId="5896E1A1" w14:textId="77777777" w:rsidR="00B007CB" w:rsidRPr="00D90214" w:rsidRDefault="00B007CB" w:rsidP="00561112">
            <w:pPr>
              <w:shd w:val="clear" w:color="auto" w:fill="FFFFFF" w:themeFill="background1"/>
              <w:tabs>
                <w:tab w:val="left" w:pos="360"/>
              </w:tabs>
              <w:rPr>
                <w:sz w:val="16"/>
                <w:szCs w:val="16"/>
              </w:rPr>
            </w:pPr>
            <w:r w:rsidRPr="00D90214">
              <w:rPr>
                <w:b/>
                <w:sz w:val="16"/>
                <w:szCs w:val="16"/>
              </w:rPr>
              <w:t>Identification and Recruitment</w:t>
            </w:r>
          </w:p>
        </w:tc>
        <w:tc>
          <w:tcPr>
            <w:tcW w:w="4162" w:type="dxa"/>
            <w:gridSpan w:val="5"/>
            <w:shd w:val="clear" w:color="auto" w:fill="B3B3B3"/>
          </w:tcPr>
          <w:p w14:paraId="2F5AB023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</w:tr>
      <w:tr w:rsidR="00B007CB" w:rsidRPr="00D90214" w14:paraId="5FE21A9B" w14:textId="77777777" w:rsidTr="0048760D">
        <w:trPr>
          <w:gridAfter w:val="1"/>
          <w:wAfter w:w="65" w:type="dxa"/>
          <w:trHeight w:val="297"/>
        </w:trPr>
        <w:tc>
          <w:tcPr>
            <w:tcW w:w="1165" w:type="dxa"/>
            <w:vAlign w:val="center"/>
          </w:tcPr>
          <w:p w14:paraId="0EABCC54" w14:textId="77777777" w:rsidR="00B007CB" w:rsidRPr="00D90214" w:rsidRDefault="00B007CB" w:rsidP="005611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IC-</w:t>
            </w:r>
            <w:r w:rsidR="009C01D3">
              <w:rPr>
                <w:sz w:val="16"/>
                <w:szCs w:val="16"/>
              </w:rPr>
              <w:t>MM</w:t>
            </w:r>
          </w:p>
        </w:tc>
        <w:tc>
          <w:tcPr>
            <w:tcW w:w="5940" w:type="dxa"/>
            <w:vAlign w:val="center"/>
          </w:tcPr>
          <w:p w14:paraId="53274413" w14:textId="77777777" w:rsidR="00B007CB" w:rsidRDefault="00B007CB" w:rsidP="00561112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Students </w:t>
            </w:r>
            <w:proofErr w:type="gramStart"/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are properly identified</w:t>
            </w:r>
            <w:proofErr w:type="gramEnd"/>
            <w:r w:rsidRPr="0048760D">
              <w:rPr>
                <w:rFonts w:asciiTheme="minorHAnsi" w:hAnsiTheme="minorHAnsi" w:cstheme="minorHAnsi"/>
                <w:sz w:val="20"/>
                <w:szCs w:val="20"/>
              </w:rPr>
              <w:t xml:space="preserve"> with COEs.  Title I</w:t>
            </w:r>
            <w:r w:rsidR="002E21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C sec 1309 115(b)(1)(A)</w:t>
            </w:r>
          </w:p>
          <w:p w14:paraId="17B61F41" w14:textId="77777777" w:rsidR="00E83DD1" w:rsidRDefault="00E83DD1" w:rsidP="00E83DD1">
            <w:pPr>
              <w:pStyle w:val="NormalWeb"/>
              <w:spacing w:before="0" w:beforeAutospacing="0" w:after="0" w:afterAutospacing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Maintain a system of quality control. </w:t>
            </w:r>
            <w:hyperlink r:id="rId12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34 C.F.R. §§ 200.89(b)-(d)</w:t>
              </w:r>
            </w:hyperlink>
          </w:p>
          <w:p w14:paraId="6FCA5CC6" w14:textId="1CEBA8C4" w:rsidR="00E83DD1" w:rsidRPr="0048760D" w:rsidRDefault="00E83DD1" w:rsidP="00561112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14:paraId="415602DA" w14:textId="77777777" w:rsidR="00B007CB" w:rsidRPr="00D90214" w:rsidRDefault="00B007CB" w:rsidP="0056111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 xml:space="preserve">ID&amp;R Plan Provided.  </w:t>
            </w:r>
          </w:p>
          <w:p w14:paraId="1BB846D4" w14:textId="77777777" w:rsidR="00B007CB" w:rsidRDefault="00B007CB" w:rsidP="00561112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D90214">
              <w:rPr>
                <w:sz w:val="16"/>
                <w:szCs w:val="16"/>
              </w:rPr>
              <w:t>A table with numbers of MEP s</w:t>
            </w:r>
            <w:r>
              <w:rPr>
                <w:sz w:val="16"/>
                <w:szCs w:val="16"/>
              </w:rPr>
              <w:t>tudents for the last five years</w:t>
            </w:r>
            <w:r w:rsidR="0025561E">
              <w:rPr>
                <w:sz w:val="16"/>
                <w:szCs w:val="16"/>
              </w:rPr>
              <w:t>.</w:t>
            </w:r>
          </w:p>
          <w:p w14:paraId="0782007F" w14:textId="77777777" w:rsidR="000B3247" w:rsidRDefault="000B3247" w:rsidP="00561112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summary of re-interview results from the past 12 months, including a description of how any identified issues </w:t>
            </w:r>
            <w:proofErr w:type="gramStart"/>
            <w:r>
              <w:rPr>
                <w:sz w:val="16"/>
                <w:szCs w:val="16"/>
              </w:rPr>
              <w:t>have been addressed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2159B492" w14:textId="77777777" w:rsidR="000B3247" w:rsidRPr="00D90214" w:rsidRDefault="000B3247" w:rsidP="00561112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Documentation of IDRC assessment results for coordinator, recruiter(s), and data specialist(s), and a description of training and follow up for any MEP </w:t>
            </w:r>
            <w:r>
              <w:rPr>
                <w:sz w:val="16"/>
                <w:szCs w:val="16"/>
              </w:rPr>
              <w:lastRenderedPageBreak/>
              <w:t>staff members scoring &lt;80%</w:t>
            </w:r>
          </w:p>
        </w:tc>
        <w:tc>
          <w:tcPr>
            <w:tcW w:w="900" w:type="dxa"/>
            <w:gridSpan w:val="2"/>
            <w:vAlign w:val="center"/>
          </w:tcPr>
          <w:p w14:paraId="097113DE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  <w:tc>
          <w:tcPr>
            <w:tcW w:w="810" w:type="dxa"/>
            <w:gridSpan w:val="2"/>
            <w:vAlign w:val="center"/>
          </w:tcPr>
          <w:p w14:paraId="5213E26C" w14:textId="77777777" w:rsidR="00B007CB" w:rsidRPr="00D90214" w:rsidRDefault="00B007CB" w:rsidP="00561112">
            <w:pPr>
              <w:shd w:val="clear" w:color="auto" w:fill="FFFFFF" w:themeFill="background1"/>
            </w:pPr>
          </w:p>
        </w:tc>
      </w:tr>
      <w:tr w:rsidR="00B007CB" w14:paraId="7133E88B" w14:textId="77777777" w:rsidTr="0048760D">
        <w:trPr>
          <w:gridAfter w:val="1"/>
          <w:wAfter w:w="65" w:type="dxa"/>
          <w:trHeight w:val="297"/>
        </w:trPr>
        <w:tc>
          <w:tcPr>
            <w:tcW w:w="1165" w:type="dxa"/>
            <w:vAlign w:val="center"/>
          </w:tcPr>
          <w:p w14:paraId="00239031" w14:textId="77777777" w:rsidR="00B007CB" w:rsidRDefault="009C01D3" w:rsidP="0056111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IC-NN</w:t>
            </w:r>
          </w:p>
        </w:tc>
        <w:tc>
          <w:tcPr>
            <w:tcW w:w="5940" w:type="dxa"/>
            <w:vAlign w:val="center"/>
          </w:tcPr>
          <w:p w14:paraId="74FCADE5" w14:textId="77777777" w:rsidR="00B007CB" w:rsidRDefault="00B007CB" w:rsidP="00561112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48760D">
              <w:rPr>
                <w:rFonts w:asciiTheme="minorHAnsi" w:hAnsiTheme="minorHAnsi" w:cstheme="minorHAnsi"/>
                <w:sz w:val="20"/>
                <w:szCs w:val="20"/>
              </w:rPr>
              <w:t>Review Communication Distribution Process with Families</w:t>
            </w:r>
            <w:r w:rsidR="002E21D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CA8150B" w14:textId="77777777" w:rsidR="00E83DD1" w:rsidRDefault="00AC350F" w:rsidP="00E83DD1">
            <w:pPr>
              <w:pStyle w:val="NormalWeb"/>
              <w:spacing w:before="0" w:beforeAutospacing="0" w:after="0" w:afterAutospacing="0"/>
            </w:pPr>
            <w:hyperlink r:id="rId13" w:history="1">
              <w:r w:rsidR="00E83DD1">
                <w:rPr>
                  <w:rStyle w:val="Hyperlink"/>
                  <w:rFonts w:ascii="Calibri" w:hAnsi="Calibri" w:cs="Calibri"/>
                  <w:sz w:val="20"/>
                  <w:szCs w:val="20"/>
                </w:rPr>
                <w:t>34 C.F.R. §§ 200.89(b)-(d)</w:t>
              </w:r>
            </w:hyperlink>
          </w:p>
          <w:p w14:paraId="6F5F6025" w14:textId="2DF0410F" w:rsidR="00E83DD1" w:rsidRPr="0048760D" w:rsidRDefault="00E83DD1" w:rsidP="00561112">
            <w:pPr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0" w:type="dxa"/>
            <w:gridSpan w:val="2"/>
          </w:tcPr>
          <w:p w14:paraId="38F85C10" w14:textId="7CEE1741" w:rsidR="00B007CB" w:rsidRPr="00D90214" w:rsidRDefault="00E83DD1" w:rsidP="009C01D3">
            <w:pPr>
              <w:numPr>
                <w:ilvl w:val="0"/>
                <w:numId w:val="1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Any </w:t>
            </w:r>
            <w:r w:rsidR="00AC350F">
              <w:rPr>
                <w:sz w:val="16"/>
                <w:szCs w:val="16"/>
              </w:rPr>
              <w:t>letter</w:t>
            </w:r>
            <w:r w:rsidR="009C01D3">
              <w:rPr>
                <w:sz w:val="16"/>
                <w:szCs w:val="16"/>
              </w:rPr>
              <w:t xml:space="preserve"> around program eligibility such as welcome letter, end of eligibility letter, etc.</w:t>
            </w:r>
          </w:p>
        </w:tc>
        <w:tc>
          <w:tcPr>
            <w:tcW w:w="900" w:type="dxa"/>
            <w:gridSpan w:val="2"/>
            <w:vAlign w:val="center"/>
          </w:tcPr>
          <w:p w14:paraId="2AF093FA" w14:textId="77777777" w:rsidR="00B007CB" w:rsidRDefault="00B007CB" w:rsidP="00561112">
            <w:pPr>
              <w:shd w:val="clear" w:color="auto" w:fill="FFFFFF" w:themeFill="background1"/>
            </w:pPr>
          </w:p>
        </w:tc>
        <w:tc>
          <w:tcPr>
            <w:tcW w:w="810" w:type="dxa"/>
            <w:gridSpan w:val="2"/>
            <w:vAlign w:val="center"/>
          </w:tcPr>
          <w:p w14:paraId="6A69A034" w14:textId="77777777" w:rsidR="00B007CB" w:rsidRDefault="00B007CB" w:rsidP="00561112">
            <w:pPr>
              <w:shd w:val="clear" w:color="auto" w:fill="FFFFFF" w:themeFill="background1"/>
            </w:pPr>
          </w:p>
        </w:tc>
      </w:tr>
    </w:tbl>
    <w:p w14:paraId="6F6D0DC9" w14:textId="77777777" w:rsidR="00B007CB" w:rsidRDefault="00B007CB"/>
    <w:sectPr w:rsidR="00B00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2D4D"/>
    <w:multiLevelType w:val="hybridMultilevel"/>
    <w:tmpl w:val="18DC08D0"/>
    <w:lvl w:ilvl="0" w:tplc="5D307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91B2D"/>
    <w:multiLevelType w:val="hybridMultilevel"/>
    <w:tmpl w:val="EB803ACC"/>
    <w:lvl w:ilvl="0" w:tplc="2BBAC76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2D707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CB"/>
    <w:rsid w:val="00057FD8"/>
    <w:rsid w:val="0009345E"/>
    <w:rsid w:val="000A5756"/>
    <w:rsid w:val="000B3247"/>
    <w:rsid w:val="000C14A2"/>
    <w:rsid w:val="000D36B7"/>
    <w:rsid w:val="000E7BC7"/>
    <w:rsid w:val="00187FD9"/>
    <w:rsid w:val="0022037B"/>
    <w:rsid w:val="00223DAF"/>
    <w:rsid w:val="0025561E"/>
    <w:rsid w:val="00283DAB"/>
    <w:rsid w:val="00295954"/>
    <w:rsid w:val="002D37BB"/>
    <w:rsid w:val="002E21DA"/>
    <w:rsid w:val="00300E2F"/>
    <w:rsid w:val="003367CC"/>
    <w:rsid w:val="00344604"/>
    <w:rsid w:val="00346621"/>
    <w:rsid w:val="0038567A"/>
    <w:rsid w:val="003A5E26"/>
    <w:rsid w:val="003E5AD4"/>
    <w:rsid w:val="003F6983"/>
    <w:rsid w:val="004024D8"/>
    <w:rsid w:val="004159AA"/>
    <w:rsid w:val="004516E5"/>
    <w:rsid w:val="00465BAE"/>
    <w:rsid w:val="0048760D"/>
    <w:rsid w:val="004B225D"/>
    <w:rsid w:val="004B38C1"/>
    <w:rsid w:val="005110C4"/>
    <w:rsid w:val="00520730"/>
    <w:rsid w:val="00532D27"/>
    <w:rsid w:val="005C36EE"/>
    <w:rsid w:val="00617A1A"/>
    <w:rsid w:val="006449AD"/>
    <w:rsid w:val="00660816"/>
    <w:rsid w:val="00712E0C"/>
    <w:rsid w:val="007F0145"/>
    <w:rsid w:val="007F7A54"/>
    <w:rsid w:val="00903261"/>
    <w:rsid w:val="00994B46"/>
    <w:rsid w:val="009C01D3"/>
    <w:rsid w:val="00A00D35"/>
    <w:rsid w:val="00A1287D"/>
    <w:rsid w:val="00AB351A"/>
    <w:rsid w:val="00AC350F"/>
    <w:rsid w:val="00AD1307"/>
    <w:rsid w:val="00B007CB"/>
    <w:rsid w:val="00B00F77"/>
    <w:rsid w:val="00B01343"/>
    <w:rsid w:val="00B04F92"/>
    <w:rsid w:val="00B34BF4"/>
    <w:rsid w:val="00B3764B"/>
    <w:rsid w:val="00B556B7"/>
    <w:rsid w:val="00B56B6A"/>
    <w:rsid w:val="00C25BBC"/>
    <w:rsid w:val="00C26B6D"/>
    <w:rsid w:val="00CB1057"/>
    <w:rsid w:val="00CB56F4"/>
    <w:rsid w:val="00D429F2"/>
    <w:rsid w:val="00D93014"/>
    <w:rsid w:val="00DD212E"/>
    <w:rsid w:val="00E13D62"/>
    <w:rsid w:val="00E70EDF"/>
    <w:rsid w:val="00E73AC0"/>
    <w:rsid w:val="00E83DD1"/>
    <w:rsid w:val="00E90494"/>
    <w:rsid w:val="00F1252D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BE5C"/>
  <w15:chartTrackingRefBased/>
  <w15:docId w15:val="{577CFDCB-BE19-42E7-AC9F-70BFC642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CB"/>
    <w:pPr>
      <w:spacing w:after="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7CB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00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9AD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449AD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3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24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24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4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3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8fwcuzsLxiSfrky8eGdSOug-fs3P7mT4/edit?usp=sharing&amp;ouid=115355562132095491366&amp;rtpof=true&amp;sd=true" TargetMode="External"/><Relationship Id="rId13" Type="http://schemas.openxmlformats.org/officeDocument/2006/relationships/hyperlink" Target="https://ecfr.federalregister.gov/current/title-34/subtitle-B/chapter-II/part-200/subpart-C/section-200.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fr.federalregister.gov/current/title-34/subtitle-B/chapter-II/part-200/subpart-C/section-200.8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schools-and-districts/grants/ESEA/Documents/TIME%20AND%20EFFOR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regon.gov/ode/schools-and-districts/grants/ESEA/IA/Documents/Time%20and%20Effort%20Reporting%20Form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regon.gov/ode/schools-and-districts/grants/ESEA/Documents/Inventor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3ae8067-7289-4b32-b7f2-51b79028773a" xsi:nil="true"/>
    <PublishingExpirationDate xmlns="http://schemas.microsoft.com/sharepoint/v3" xsi:nil="true"/>
    <PublishingStartDate xmlns="http://schemas.microsoft.com/sharepoint/v3" xsi:nil="true"/>
    <Remediation_x0020_Date xmlns="e3ae8067-7289-4b32-b7f2-51b79028773a">2023-09-06T16:02:01+00:00</Remediation_x0020_Date>
    <Priority xmlns="e3ae8067-7289-4b32-b7f2-51b79028773a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BE687-A1F7-402D-9CE9-DD3E6D9D06BF}">
  <ds:schemaRefs>
    <ds:schemaRef ds:uri="e3ae8067-7289-4b32-b7f2-51b7902877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D2E3DF-036E-48DF-A094-900A26C72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82FA1-36D1-48ED-A17B-35F7C15CC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ae8067-7289-4b32-b7f2-51b79028773a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KENFIELD Yuliana * ODE</dc:creator>
  <cp:keywords/>
  <dc:description/>
  <cp:lastModifiedBy>KENFIELD Yuliana * ODE</cp:lastModifiedBy>
  <cp:revision>2</cp:revision>
  <dcterms:created xsi:type="dcterms:W3CDTF">2023-09-22T15:51:00Z</dcterms:created>
  <dcterms:modified xsi:type="dcterms:W3CDTF">2023-09-22T15:51:00Z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