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F893" w14:textId="77777777" w:rsidR="008B2F2A" w:rsidRPr="008B2F2A" w:rsidRDefault="008B2F2A" w:rsidP="008B2F2A">
      <w:pPr>
        <w:pStyle w:val="Heading1"/>
      </w:pPr>
      <w:r w:rsidRPr="008B2F2A">
        <w:t xml:space="preserve">FEDERAL FUNDS SPENDING GUIDANCE BY TITLE PROGRAM </w:t>
      </w:r>
    </w:p>
    <w:p w14:paraId="40CF018F" w14:textId="77777777" w:rsidR="008B2F2A" w:rsidRDefault="008B2F2A" w:rsidP="008B2F2A">
      <w:pPr>
        <w:pStyle w:val="Heading2"/>
      </w:pPr>
      <w:r w:rsidRPr="008B2F2A">
        <w:t xml:space="preserve">Title I, Part A (Title I-A) Improving Basic Services Operated by Local Educational Agencies (LEAs) 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3978"/>
        <w:gridCol w:w="7020"/>
        <w:gridCol w:w="3690"/>
      </w:tblGrid>
      <w:tr w:rsidR="008B2F2A" w14:paraId="56BE59F1" w14:textId="77777777" w:rsidTr="008B2F2A">
        <w:tc>
          <w:tcPr>
            <w:tcW w:w="3978" w:type="dxa"/>
          </w:tcPr>
          <w:p w14:paraId="3837B6F0" w14:textId="02E64C9E" w:rsidR="008B2F2A" w:rsidRDefault="008B2F2A" w:rsidP="008B2F2A">
            <w:pPr>
              <w:jc w:val="center"/>
            </w:pPr>
            <w:r>
              <w:t>Program Intent and Purpose</w:t>
            </w:r>
          </w:p>
        </w:tc>
        <w:tc>
          <w:tcPr>
            <w:tcW w:w="7020" w:type="dxa"/>
          </w:tcPr>
          <w:p w14:paraId="4C71E19D" w14:textId="5816093C" w:rsidR="008B2F2A" w:rsidRDefault="008B2F2A" w:rsidP="008B2F2A">
            <w:pPr>
              <w:jc w:val="center"/>
            </w:pPr>
            <w:r>
              <w:t>Allowable Activities</w:t>
            </w:r>
          </w:p>
        </w:tc>
        <w:tc>
          <w:tcPr>
            <w:tcW w:w="3690" w:type="dxa"/>
          </w:tcPr>
          <w:p w14:paraId="47E9285D" w14:textId="606D39B5" w:rsidR="008B2F2A" w:rsidRDefault="008B2F2A" w:rsidP="008B2F2A">
            <w:pPr>
              <w:jc w:val="center"/>
            </w:pPr>
            <w:r>
              <w:t>Expenditure Categories</w:t>
            </w:r>
          </w:p>
        </w:tc>
      </w:tr>
      <w:tr w:rsidR="008B2F2A" w14:paraId="6849B447" w14:textId="77777777" w:rsidTr="008B2F2A">
        <w:trPr>
          <w:trHeight w:val="6515"/>
        </w:trPr>
        <w:tc>
          <w:tcPr>
            <w:tcW w:w="3978" w:type="dxa"/>
          </w:tcPr>
          <w:p w14:paraId="7C8A769A" w14:textId="77777777" w:rsidR="008B2F2A" w:rsidRDefault="008B2F2A" w:rsidP="008B2F2A">
            <w:pPr>
              <w:spacing w:after="2" w:line="240" w:lineRule="auto"/>
              <w:ind w:left="114" w:right="122"/>
              <w:jc w:val="both"/>
            </w:pPr>
            <w:r>
              <w:rPr>
                <w:sz w:val="18"/>
              </w:rPr>
              <w:t xml:space="preserve">Title I-A aims to provide financial assistance to LEAs to ensure that all children receive equitable, high-quality education and to close educational achievement gaps. </w:t>
            </w:r>
          </w:p>
          <w:p w14:paraId="66F4EE40" w14:textId="77777777" w:rsidR="008B2F2A" w:rsidRDefault="008B2F2A" w:rsidP="008B2F2A">
            <w:pPr>
              <w:ind w:left="4"/>
            </w:pPr>
            <w:r>
              <w:rPr>
                <w:b/>
                <w:sz w:val="18"/>
              </w:rPr>
              <w:t xml:space="preserve"> </w:t>
            </w:r>
          </w:p>
          <w:p w14:paraId="5D64F446" w14:textId="77777777" w:rsidR="008B2F2A" w:rsidRDefault="008B2F2A" w:rsidP="008B2F2A">
            <w:pPr>
              <w:spacing w:after="8" w:line="237" w:lineRule="auto"/>
              <w:ind w:left="114"/>
            </w:pPr>
            <w:r>
              <w:rPr>
                <w:sz w:val="18"/>
              </w:rPr>
              <w:t xml:space="preserve">It enhances basic education programs by funding activities that support students in Title I-A schools that: </w:t>
            </w:r>
          </w:p>
          <w:p w14:paraId="04FC1845" w14:textId="77777777" w:rsidR="008B2F2A" w:rsidRDefault="008B2F2A" w:rsidP="008B2F2A">
            <w:pPr>
              <w:ind w:left="4"/>
            </w:pPr>
            <w:r>
              <w:rPr>
                <w:b/>
                <w:sz w:val="18"/>
              </w:rPr>
              <w:t xml:space="preserve"> </w:t>
            </w:r>
          </w:p>
          <w:p w14:paraId="563BC5B0" w14:textId="77777777" w:rsidR="008B2F2A" w:rsidRDefault="008B2F2A" w:rsidP="008B2F2A">
            <w:pPr>
              <w:numPr>
                <w:ilvl w:val="0"/>
                <w:numId w:val="1"/>
              </w:numPr>
              <w:spacing w:after="7" w:line="237" w:lineRule="auto"/>
              <w:ind w:right="125" w:hanging="360"/>
            </w:pPr>
            <w:r>
              <w:rPr>
                <w:sz w:val="18"/>
              </w:rPr>
              <w:t xml:space="preserve">Provide access to </w:t>
            </w:r>
            <w:r>
              <w:rPr>
                <w:b/>
                <w:sz w:val="18"/>
              </w:rPr>
              <w:t>supplemental educational services</w:t>
            </w:r>
            <w:r>
              <w:rPr>
                <w:sz w:val="18"/>
              </w:rPr>
              <w:t xml:space="preserve"> for students </w:t>
            </w:r>
          </w:p>
          <w:p w14:paraId="4E1BDABC" w14:textId="31545235" w:rsidR="008B2F2A" w:rsidRDefault="008B2F2A" w:rsidP="008B2F2A">
            <w:pPr>
              <w:numPr>
                <w:ilvl w:val="0"/>
                <w:numId w:val="1"/>
              </w:numPr>
              <w:spacing w:after="0" w:line="240" w:lineRule="auto"/>
              <w:ind w:right="125" w:hanging="360"/>
            </w:pPr>
            <w:r>
              <w:rPr>
                <w:sz w:val="18"/>
              </w:rPr>
              <w:t xml:space="preserve">Provide access to </w:t>
            </w:r>
            <w:r>
              <w:rPr>
                <w:b/>
                <w:sz w:val="18"/>
              </w:rPr>
              <w:t>non-instructional</w:t>
            </w:r>
            <w:r>
              <w:rPr>
                <w:b/>
                <w:sz w:val="18"/>
              </w:rPr>
              <w:t xml:space="preserve"> supports </w:t>
            </w:r>
            <w:r>
              <w:rPr>
                <w:sz w:val="18"/>
              </w:rPr>
              <w:t xml:space="preserve">like behavior and social-emotional learning </w:t>
            </w:r>
          </w:p>
          <w:p w14:paraId="1DA34A6C" w14:textId="77777777" w:rsidR="008B2F2A" w:rsidRDefault="008B2F2A" w:rsidP="008B2F2A">
            <w:pPr>
              <w:numPr>
                <w:ilvl w:val="0"/>
                <w:numId w:val="1"/>
              </w:numPr>
              <w:spacing w:after="7" w:line="240" w:lineRule="auto"/>
              <w:ind w:right="125" w:hanging="360"/>
            </w:pPr>
            <w:r>
              <w:rPr>
                <w:sz w:val="18"/>
              </w:rPr>
              <w:t xml:space="preserve">Other </w:t>
            </w:r>
            <w:r>
              <w:rPr>
                <w:b/>
                <w:sz w:val="18"/>
              </w:rPr>
              <w:t>high</w:t>
            </w:r>
            <w:r>
              <w:rPr>
                <w:sz w:val="18"/>
              </w:rPr>
              <w:t>-</w:t>
            </w:r>
            <w:r>
              <w:rPr>
                <w:b/>
                <w:sz w:val="18"/>
              </w:rPr>
              <w:t xml:space="preserve">quality professional development </w:t>
            </w:r>
            <w:r>
              <w:rPr>
                <w:sz w:val="18"/>
              </w:rPr>
              <w:t xml:space="preserve">for teachers and staff </w:t>
            </w:r>
          </w:p>
          <w:p w14:paraId="1C6AC8D5" w14:textId="77777777" w:rsidR="008B2F2A" w:rsidRDefault="008B2F2A" w:rsidP="008B2F2A">
            <w:pPr>
              <w:numPr>
                <w:ilvl w:val="0"/>
                <w:numId w:val="1"/>
              </w:numPr>
              <w:spacing w:after="0" w:line="238" w:lineRule="auto"/>
              <w:ind w:right="125" w:hanging="360"/>
            </w:pPr>
            <w:r>
              <w:rPr>
                <w:sz w:val="18"/>
              </w:rPr>
              <w:t xml:space="preserve">Support </w:t>
            </w:r>
            <w:r>
              <w:rPr>
                <w:b/>
                <w:sz w:val="18"/>
              </w:rPr>
              <w:t xml:space="preserve">evidence-based </w:t>
            </w:r>
            <w:r>
              <w:rPr>
                <w:sz w:val="18"/>
              </w:rPr>
              <w:t xml:space="preserve">instructional practices. </w:t>
            </w:r>
          </w:p>
          <w:p w14:paraId="47A764AD" w14:textId="77777777" w:rsidR="008B2F2A" w:rsidRDefault="008B2F2A" w:rsidP="008B2F2A">
            <w:pPr>
              <w:numPr>
                <w:ilvl w:val="0"/>
                <w:numId w:val="1"/>
              </w:numPr>
              <w:spacing w:after="2" w:line="240" w:lineRule="auto"/>
              <w:ind w:right="125" w:hanging="360"/>
            </w:pPr>
            <w:r>
              <w:rPr>
                <w:sz w:val="18"/>
              </w:rPr>
              <w:t xml:space="preserve">Provide support for </w:t>
            </w:r>
            <w:r>
              <w:rPr>
                <w:b/>
                <w:sz w:val="18"/>
              </w:rPr>
              <w:t xml:space="preserve">family engagement and involvement </w:t>
            </w:r>
          </w:p>
          <w:p w14:paraId="5F8D4A71" w14:textId="27E7D78F" w:rsidR="008B2F2A" w:rsidRDefault="008B2F2A" w:rsidP="008B2F2A">
            <w:pPr>
              <w:numPr>
                <w:ilvl w:val="0"/>
                <w:numId w:val="1"/>
              </w:numPr>
              <w:spacing w:after="0"/>
              <w:ind w:right="125" w:hanging="360"/>
            </w:pPr>
            <w:r>
              <w:rPr>
                <w:sz w:val="18"/>
              </w:rPr>
              <w:t xml:space="preserve">Implement </w:t>
            </w:r>
            <w:r>
              <w:rPr>
                <w:b/>
                <w:sz w:val="18"/>
              </w:rPr>
              <w:t>comprehensive</w:t>
            </w:r>
            <w:r>
              <w:rPr>
                <w:b/>
                <w:sz w:val="18"/>
              </w:rPr>
              <w:t xml:space="preserve"> </w:t>
            </w:r>
            <w:r w:rsidRPr="008B2F2A">
              <w:rPr>
                <w:b/>
                <w:sz w:val="18"/>
              </w:rPr>
              <w:t>school level</w:t>
            </w:r>
            <w:r w:rsidRPr="008B2F2A">
              <w:rPr>
                <w:sz w:val="18"/>
              </w:rPr>
              <w:t xml:space="preserve"> plans</w:t>
            </w:r>
          </w:p>
        </w:tc>
        <w:tc>
          <w:tcPr>
            <w:tcW w:w="7020" w:type="dxa"/>
          </w:tcPr>
          <w:p w14:paraId="46D24A51" w14:textId="77777777" w:rsidR="008B2F2A" w:rsidRDefault="008B2F2A" w:rsidP="008B2F2A">
            <w:pPr>
              <w:ind w:left="112"/>
            </w:pPr>
            <w:r>
              <w:rPr>
                <w:b/>
                <w:sz w:val="18"/>
              </w:rPr>
              <w:t xml:space="preserve">Supplemental educational services </w:t>
            </w:r>
          </w:p>
          <w:p w14:paraId="0C79D18E" w14:textId="77777777" w:rsidR="008B2F2A" w:rsidRDefault="008B2F2A" w:rsidP="008B2F2A">
            <w:pPr>
              <w:numPr>
                <w:ilvl w:val="0"/>
                <w:numId w:val="2"/>
              </w:numPr>
              <w:spacing w:after="6" w:line="240" w:lineRule="auto"/>
              <w:ind w:hanging="360"/>
            </w:pPr>
            <w:r>
              <w:rPr>
                <w:sz w:val="18"/>
              </w:rPr>
              <w:t xml:space="preserve">High-quality preschool and full-day kindergarten programs with support for transitioning to elementary education </w:t>
            </w:r>
          </w:p>
          <w:p w14:paraId="3868FD0B" w14:textId="77777777" w:rsidR="008B2F2A" w:rsidRDefault="008B2F2A" w:rsidP="008B2F2A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18"/>
              </w:rPr>
              <w:t xml:space="preserve">Counseling, mental health services, mentoring, and strategies to enhance non-academic skills </w:t>
            </w:r>
          </w:p>
          <w:p w14:paraId="2EC05B46" w14:textId="77777777" w:rsidR="008B2F2A" w:rsidRDefault="008B2F2A" w:rsidP="008B2F2A">
            <w:pPr>
              <w:numPr>
                <w:ilvl w:val="0"/>
                <w:numId w:val="2"/>
              </w:numPr>
              <w:spacing w:after="218" w:line="240" w:lineRule="auto"/>
              <w:ind w:hanging="360"/>
            </w:pPr>
            <w:r>
              <w:rPr>
                <w:sz w:val="18"/>
              </w:rPr>
              <w:t xml:space="preserve">Early identification of students' learning or behavioral needs through response-to-intervention strategies with tiered support </w:t>
            </w:r>
          </w:p>
          <w:p w14:paraId="247A62D3" w14:textId="77777777" w:rsidR="008B2F2A" w:rsidRDefault="008B2F2A" w:rsidP="008B2F2A">
            <w:pPr>
              <w:ind w:left="112"/>
            </w:pPr>
            <w:r>
              <w:rPr>
                <w:b/>
                <w:sz w:val="18"/>
              </w:rPr>
              <w:t xml:space="preserve">Non-instructional support </w:t>
            </w:r>
          </w:p>
          <w:p w14:paraId="062DFCB1" w14:textId="77777777" w:rsidR="008B2F2A" w:rsidRDefault="008B2F2A" w:rsidP="008B2F2A">
            <w:pPr>
              <w:numPr>
                <w:ilvl w:val="0"/>
                <w:numId w:val="2"/>
              </w:numPr>
              <w:spacing w:after="7" w:line="240" w:lineRule="auto"/>
              <w:ind w:hanging="360"/>
            </w:pPr>
            <w:r>
              <w:rPr>
                <w:sz w:val="18"/>
              </w:rPr>
              <w:t xml:space="preserve">School climate interventions (e.g., anti-bullying strategies, positive behavior support, safety programs) </w:t>
            </w:r>
          </w:p>
          <w:p w14:paraId="2D43C315" w14:textId="77777777" w:rsidR="008B2F2A" w:rsidRDefault="008B2F2A" w:rsidP="008B2F2A">
            <w:pPr>
              <w:numPr>
                <w:ilvl w:val="0"/>
                <w:numId w:val="2"/>
              </w:numPr>
              <w:spacing w:after="218" w:line="240" w:lineRule="auto"/>
              <w:ind w:left="475" w:hanging="360"/>
            </w:pPr>
            <w:r>
              <w:rPr>
                <w:sz w:val="18"/>
              </w:rPr>
              <w:t xml:space="preserve">Equipment, materials, and training to analyze student achievement data for monitoring progress and identifying students needing additional support (early warning system) </w:t>
            </w:r>
          </w:p>
          <w:p w14:paraId="1B9FB9A0" w14:textId="77777777" w:rsidR="008B2F2A" w:rsidRDefault="008B2F2A" w:rsidP="008B2F2A">
            <w:pPr>
              <w:ind w:left="112"/>
            </w:pPr>
            <w:r>
              <w:rPr>
                <w:b/>
                <w:sz w:val="18"/>
              </w:rPr>
              <w:t xml:space="preserve">High-quality professional development for teachers and staff </w:t>
            </w:r>
          </w:p>
          <w:p w14:paraId="59A0DD0E" w14:textId="77777777" w:rsidR="008B2F2A" w:rsidRPr="00E01E61" w:rsidRDefault="008B2F2A" w:rsidP="008B2F2A">
            <w:pPr>
              <w:numPr>
                <w:ilvl w:val="0"/>
                <w:numId w:val="2"/>
              </w:numPr>
              <w:spacing w:after="0" w:line="246" w:lineRule="auto"/>
              <w:ind w:hanging="360"/>
            </w:pPr>
            <w:r>
              <w:rPr>
                <w:sz w:val="18"/>
              </w:rPr>
              <w:t>Instructional coaches to provide high-quality, school-based professional development</w:t>
            </w:r>
          </w:p>
          <w:p w14:paraId="468E8F54" w14:textId="245FA405" w:rsidR="008B2F2A" w:rsidRDefault="008B2F2A" w:rsidP="008B2F2A">
            <w:pPr>
              <w:numPr>
                <w:ilvl w:val="0"/>
                <w:numId w:val="2"/>
              </w:numPr>
              <w:spacing w:after="218" w:line="247" w:lineRule="auto"/>
              <w:ind w:left="475" w:hanging="360"/>
            </w:pPr>
            <w:r>
              <w:rPr>
                <w:sz w:val="18"/>
              </w:rPr>
              <w:t xml:space="preserve">Professional Development aligned to needs </w:t>
            </w:r>
          </w:p>
          <w:p w14:paraId="2EFD8DE1" w14:textId="77777777" w:rsidR="008B2F2A" w:rsidRDefault="008B2F2A" w:rsidP="008B2F2A">
            <w:pPr>
              <w:ind w:left="112"/>
            </w:pPr>
            <w:r>
              <w:rPr>
                <w:b/>
                <w:sz w:val="18"/>
              </w:rPr>
              <w:t xml:space="preserve">Evidence-based instructional practices </w:t>
            </w:r>
          </w:p>
          <w:p w14:paraId="5038C99A" w14:textId="77777777" w:rsidR="008B2F2A" w:rsidRDefault="008B2F2A" w:rsidP="008B2F2A">
            <w:pPr>
              <w:numPr>
                <w:ilvl w:val="0"/>
                <w:numId w:val="2"/>
              </w:numPr>
              <w:spacing w:after="7" w:line="240" w:lineRule="auto"/>
              <w:ind w:hanging="360"/>
            </w:pPr>
            <w:r>
              <w:rPr>
                <w:sz w:val="18"/>
              </w:rPr>
              <w:t xml:space="preserve">Hiring additional teachers to implement evidence-based strategies for better student outcomes </w:t>
            </w:r>
          </w:p>
          <w:p w14:paraId="0F76B760" w14:textId="6B10D74F" w:rsidR="008B2F2A" w:rsidRPr="008B2F2A" w:rsidRDefault="008B2F2A" w:rsidP="008B2F2A">
            <w:pPr>
              <w:numPr>
                <w:ilvl w:val="0"/>
                <w:numId w:val="2"/>
              </w:numPr>
              <w:spacing w:after="218" w:line="235" w:lineRule="auto"/>
              <w:ind w:left="475" w:hanging="360"/>
            </w:pPr>
            <w:r>
              <w:rPr>
                <w:sz w:val="18"/>
              </w:rPr>
              <w:t xml:space="preserve">Upgrading the curriculum, reorganizing class schedules for increased planning and collaboration, and promoting personalized learning </w:t>
            </w:r>
          </w:p>
          <w:p w14:paraId="02A8BDDC" w14:textId="661D5C9C" w:rsidR="008B2F2A" w:rsidRDefault="008B2F2A" w:rsidP="008B2F2A">
            <w:pPr>
              <w:ind w:left="112"/>
            </w:pPr>
            <w:r>
              <w:rPr>
                <w:b/>
                <w:sz w:val="18"/>
              </w:rPr>
              <w:t xml:space="preserve">Support for family engagement and involvement </w:t>
            </w:r>
          </w:p>
          <w:p w14:paraId="498C1221" w14:textId="5A4360D4" w:rsidR="008B2F2A" w:rsidRPr="008B2F2A" w:rsidRDefault="008B2F2A" w:rsidP="008B2F2A">
            <w:pPr>
              <w:numPr>
                <w:ilvl w:val="0"/>
                <w:numId w:val="2"/>
              </w:numPr>
              <w:spacing w:after="218" w:line="235" w:lineRule="auto"/>
              <w:ind w:left="475" w:hanging="360"/>
            </w:pPr>
            <w:r>
              <w:rPr>
                <w:sz w:val="18"/>
              </w:rPr>
              <w:t xml:space="preserve">Activities that are effective at increasing family and community engagement in the school, including family literacy programs </w:t>
            </w:r>
          </w:p>
          <w:p w14:paraId="14CD65B2" w14:textId="5865842A" w:rsidR="008B2F2A" w:rsidRDefault="008B2F2A" w:rsidP="008B2F2A">
            <w:pPr>
              <w:ind w:left="112"/>
            </w:pPr>
            <w:r>
              <w:rPr>
                <w:b/>
                <w:sz w:val="18"/>
              </w:rPr>
              <w:t xml:space="preserve">Comprehensive school improvement plans </w:t>
            </w:r>
          </w:p>
          <w:p w14:paraId="26C327EB" w14:textId="77777777" w:rsidR="008B2F2A" w:rsidRDefault="008B2F2A" w:rsidP="008B2F2A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18"/>
              </w:rPr>
              <w:t xml:space="preserve">Recruitment and retention of effective teachers, particularly in high-need subjects </w:t>
            </w:r>
          </w:p>
          <w:p w14:paraId="4A6DAD5D" w14:textId="27DF3C70" w:rsidR="008B2F2A" w:rsidRDefault="008B2F2A" w:rsidP="008B2F2A">
            <w:r>
              <w:rPr>
                <w:sz w:val="18"/>
              </w:rPr>
              <w:t>Devices and software for students to access digital learning materials and collaborate with peers, and related educator training</w:t>
            </w:r>
          </w:p>
        </w:tc>
        <w:tc>
          <w:tcPr>
            <w:tcW w:w="3690" w:type="dxa"/>
          </w:tcPr>
          <w:p w14:paraId="49DE0EFA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Instructional &amp; professional staff </w:t>
            </w:r>
          </w:p>
          <w:p w14:paraId="66F173FF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Support staff salaries </w:t>
            </w:r>
          </w:p>
          <w:p w14:paraId="72684374" w14:textId="77777777" w:rsidR="008B2F2A" w:rsidRP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Program Administration </w:t>
            </w:r>
          </w:p>
          <w:p w14:paraId="74358D1A" w14:textId="41EF178C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Stipends </w:t>
            </w:r>
          </w:p>
          <w:p w14:paraId="457308FE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  <w:spacing w:after="4" w:line="240" w:lineRule="auto"/>
            </w:pPr>
            <w:r w:rsidRPr="008B2F2A">
              <w:rPr>
                <w:sz w:val="18"/>
              </w:rPr>
              <w:t xml:space="preserve">Instructional materials and supplies </w:t>
            </w:r>
          </w:p>
          <w:p w14:paraId="692CDD80" w14:textId="6A5DE750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Computers for </w:t>
            </w:r>
            <w:r w:rsidRPr="008B2F2A">
              <w:rPr>
                <w:sz w:val="18"/>
              </w:rPr>
              <w:t>students</w:t>
            </w:r>
            <w:r w:rsidRPr="008B2F2A">
              <w:rPr>
                <w:sz w:val="18"/>
              </w:rPr>
              <w:t xml:space="preserve"> use in </w:t>
            </w:r>
          </w:p>
          <w:p w14:paraId="793A608C" w14:textId="77777777" w:rsidR="008B2F2A" w:rsidRDefault="008B2F2A" w:rsidP="008B2F2A">
            <w:pPr>
              <w:pStyle w:val="ListParagraph"/>
            </w:pPr>
            <w:r w:rsidRPr="008B2F2A">
              <w:rPr>
                <w:sz w:val="18"/>
              </w:rPr>
              <w:t xml:space="preserve">classrooms </w:t>
            </w:r>
          </w:p>
          <w:p w14:paraId="4F96CE06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Curriculum licenses </w:t>
            </w:r>
          </w:p>
          <w:p w14:paraId="676A9D0F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  <w:spacing w:after="1" w:line="240" w:lineRule="auto"/>
            </w:pPr>
            <w:r w:rsidRPr="008B2F2A">
              <w:rPr>
                <w:sz w:val="18"/>
              </w:rPr>
              <w:t xml:space="preserve">Equipment (copiers, postage meters) </w:t>
            </w:r>
          </w:p>
          <w:p w14:paraId="00184356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  <w:spacing w:after="7" w:line="235" w:lineRule="auto"/>
            </w:pPr>
            <w:r w:rsidRPr="008B2F2A">
              <w:rPr>
                <w:sz w:val="18"/>
              </w:rPr>
              <w:t xml:space="preserve">Field trips (educational or academic-related) </w:t>
            </w:r>
          </w:p>
          <w:p w14:paraId="3DDBE986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Mailings (brochures, parent &amp; </w:t>
            </w:r>
          </w:p>
          <w:p w14:paraId="389A84C3" w14:textId="77777777" w:rsidR="008B2F2A" w:rsidRDefault="008B2F2A" w:rsidP="008B2F2A">
            <w:pPr>
              <w:pStyle w:val="ListParagraph"/>
            </w:pPr>
            <w:r w:rsidRPr="008B2F2A">
              <w:rPr>
                <w:sz w:val="18"/>
              </w:rPr>
              <w:t xml:space="preserve">family notifications) </w:t>
            </w:r>
          </w:p>
          <w:p w14:paraId="1AE3EE1B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Parent workshops </w:t>
            </w:r>
          </w:p>
          <w:p w14:paraId="35323D4D" w14:textId="77DEA0AA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Professional and consultant </w:t>
            </w:r>
          </w:p>
          <w:p w14:paraId="6366955A" w14:textId="77777777" w:rsidR="008B2F2A" w:rsidRDefault="008B2F2A" w:rsidP="008B2F2A">
            <w:pPr>
              <w:pStyle w:val="ListParagraph"/>
            </w:pPr>
            <w:r w:rsidRPr="008B2F2A">
              <w:rPr>
                <w:sz w:val="18"/>
              </w:rPr>
              <w:t xml:space="preserve">services </w:t>
            </w:r>
          </w:p>
          <w:p w14:paraId="013F8246" w14:textId="77777777" w:rsidR="002E4A0F" w:rsidRPr="002E4A0F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>Travel (conferences &amp; registration)</w:t>
            </w:r>
          </w:p>
          <w:p w14:paraId="51D9D3B9" w14:textId="699481AC" w:rsidR="008B2F2A" w:rsidRDefault="008B2F2A" w:rsidP="008B2F2A">
            <w:pPr>
              <w:pStyle w:val="ListParagraph"/>
              <w:numPr>
                <w:ilvl w:val="0"/>
                <w:numId w:val="3"/>
              </w:numPr>
            </w:pPr>
            <w:r w:rsidRPr="008B2F2A">
              <w:rPr>
                <w:sz w:val="18"/>
              </w:rPr>
              <w:t xml:space="preserve">Transportation </w:t>
            </w:r>
          </w:p>
          <w:p w14:paraId="2C9C32DB" w14:textId="77777777" w:rsidR="008B2F2A" w:rsidRDefault="008B2F2A" w:rsidP="008B2F2A">
            <w:pPr>
              <w:pStyle w:val="ListParagraph"/>
              <w:numPr>
                <w:ilvl w:val="0"/>
                <w:numId w:val="3"/>
              </w:numPr>
              <w:spacing w:after="97"/>
            </w:pPr>
            <w:r w:rsidRPr="008B2F2A">
              <w:rPr>
                <w:sz w:val="18"/>
              </w:rPr>
              <w:t xml:space="preserve">Tutoring </w:t>
            </w:r>
          </w:p>
          <w:p w14:paraId="6CA09A3B" w14:textId="77777777" w:rsidR="008B2F2A" w:rsidRDefault="008B2F2A" w:rsidP="008B2F2A"/>
        </w:tc>
      </w:tr>
    </w:tbl>
    <w:p w14:paraId="714DCFFD" w14:textId="77777777" w:rsidR="008B2F2A" w:rsidRPr="008B2F2A" w:rsidRDefault="008B2F2A" w:rsidP="008B2F2A"/>
    <w:p w14:paraId="778313B5" w14:textId="77777777" w:rsidR="00B00F77" w:rsidRDefault="00B00F77"/>
    <w:sectPr w:rsidR="00B00F77" w:rsidSect="008B2F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7A33"/>
    <w:multiLevelType w:val="hybridMultilevel"/>
    <w:tmpl w:val="99528A08"/>
    <w:lvl w:ilvl="0" w:tplc="B51C69DC">
      <w:start w:val="1"/>
      <w:numFmt w:val="bullet"/>
      <w:lvlText w:val=""/>
      <w:lvlJc w:val="left"/>
      <w:pPr>
        <w:ind w:left="47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F2A22C">
      <w:start w:val="1"/>
      <w:numFmt w:val="bullet"/>
      <w:lvlText w:val="o"/>
      <w:lvlJc w:val="left"/>
      <w:pPr>
        <w:ind w:left="119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942250">
      <w:start w:val="1"/>
      <w:numFmt w:val="bullet"/>
      <w:lvlText w:val="▪"/>
      <w:lvlJc w:val="left"/>
      <w:pPr>
        <w:ind w:left="191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46AE52">
      <w:start w:val="1"/>
      <w:numFmt w:val="bullet"/>
      <w:lvlText w:val="•"/>
      <w:lvlJc w:val="left"/>
      <w:pPr>
        <w:ind w:left="263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1279DC">
      <w:start w:val="1"/>
      <w:numFmt w:val="bullet"/>
      <w:lvlText w:val="o"/>
      <w:lvlJc w:val="left"/>
      <w:pPr>
        <w:ind w:left="335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2E364">
      <w:start w:val="1"/>
      <w:numFmt w:val="bullet"/>
      <w:lvlText w:val="▪"/>
      <w:lvlJc w:val="left"/>
      <w:pPr>
        <w:ind w:left="407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5028AA">
      <w:start w:val="1"/>
      <w:numFmt w:val="bullet"/>
      <w:lvlText w:val="•"/>
      <w:lvlJc w:val="left"/>
      <w:pPr>
        <w:ind w:left="479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EEB31A">
      <w:start w:val="1"/>
      <w:numFmt w:val="bullet"/>
      <w:lvlText w:val="o"/>
      <w:lvlJc w:val="left"/>
      <w:pPr>
        <w:ind w:left="551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D4D812">
      <w:start w:val="1"/>
      <w:numFmt w:val="bullet"/>
      <w:lvlText w:val="▪"/>
      <w:lvlJc w:val="left"/>
      <w:pPr>
        <w:ind w:left="6232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13B30"/>
    <w:multiLevelType w:val="hybridMultilevel"/>
    <w:tmpl w:val="00B46F2A"/>
    <w:lvl w:ilvl="0" w:tplc="0B9E130E">
      <w:start w:val="1"/>
      <w:numFmt w:val="decimal"/>
      <w:lvlText w:val="%1.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4EC684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906D58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0A65B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0A2F3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0E4778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923A1E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F6A996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9696F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D07C9"/>
    <w:multiLevelType w:val="hybridMultilevel"/>
    <w:tmpl w:val="C20253C4"/>
    <w:lvl w:ilvl="0" w:tplc="B51C69D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560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81492">
    <w:abstractNumId w:val="1"/>
  </w:num>
  <w:num w:numId="2" w16cid:durableId="1194461411">
    <w:abstractNumId w:val="0"/>
  </w:num>
  <w:num w:numId="3" w16cid:durableId="53366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2A"/>
    <w:rsid w:val="00057FD8"/>
    <w:rsid w:val="0009345E"/>
    <w:rsid w:val="000A5756"/>
    <w:rsid w:val="000C14A2"/>
    <w:rsid w:val="000D36B7"/>
    <w:rsid w:val="000E7BC7"/>
    <w:rsid w:val="00167EDF"/>
    <w:rsid w:val="00171AD3"/>
    <w:rsid w:val="00187FD9"/>
    <w:rsid w:val="0022037B"/>
    <w:rsid w:val="00223DAF"/>
    <w:rsid w:val="00295954"/>
    <w:rsid w:val="002D37BB"/>
    <w:rsid w:val="002E4A0F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830ED4"/>
    <w:rsid w:val="008B2F2A"/>
    <w:rsid w:val="00A00D35"/>
    <w:rsid w:val="00A1287D"/>
    <w:rsid w:val="00A750A1"/>
    <w:rsid w:val="00A95BF5"/>
    <w:rsid w:val="00AB351A"/>
    <w:rsid w:val="00AD1307"/>
    <w:rsid w:val="00B00F77"/>
    <w:rsid w:val="00B01343"/>
    <w:rsid w:val="00B04F92"/>
    <w:rsid w:val="00B3764B"/>
    <w:rsid w:val="00B556B7"/>
    <w:rsid w:val="00B56B6A"/>
    <w:rsid w:val="00B9012E"/>
    <w:rsid w:val="00C25BBC"/>
    <w:rsid w:val="00C26B6D"/>
    <w:rsid w:val="00CB1057"/>
    <w:rsid w:val="00CB56F4"/>
    <w:rsid w:val="00D429F2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77D1"/>
  <w15:chartTrackingRefBased/>
  <w15:docId w15:val="{6367007C-93A8-48E8-A3F3-1FC8C648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F2A"/>
    <w:pPr>
      <w:spacing w:after="59"/>
      <w:outlineLvl w:val="0"/>
    </w:pPr>
    <w:rPr>
      <w:b/>
      <w:color w:val="215E99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2A"/>
    <w:pPr>
      <w:outlineLvl w:val="1"/>
    </w:pPr>
    <w:rPr>
      <w:b/>
      <w:color w:val="156082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2A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2A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2A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2A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2A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2A"/>
    <w:rPr>
      <w:rFonts w:ascii="Calibri" w:eastAsia="Calibri" w:hAnsi="Calibri" w:cs="Calibri"/>
      <w:b/>
      <w:color w:val="215E99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2F2A"/>
    <w:rPr>
      <w:rFonts w:ascii="Calibri" w:eastAsia="Calibri" w:hAnsi="Calibri" w:cs="Calibri"/>
      <w:b/>
      <w:color w:val="15608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2A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2A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2A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2A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2A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2A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2A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2A"/>
    <w:pPr>
      <w:numPr>
        <w:ilvl w:val="1"/>
      </w:numPr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2A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2A"/>
    <w:pPr>
      <w:spacing w:before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2A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B2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2A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2A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2A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2A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59"/>
    <w:rsid w:val="008B2F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593790B3F94785C3573F9D73A655" ma:contentTypeVersion="6" ma:contentTypeDescription="Create a new document." ma:contentTypeScope="" ma:versionID="57a8e91d2cda501e6dd2dec800b8c410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0ED29-2129-4F88-A388-8F517EF06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58971-5556-422A-994E-B77F031F4EC0}"/>
</file>

<file path=customXml/itemProps3.xml><?xml version="1.0" encoding="utf-8"?>
<ds:datastoreItem xmlns:ds="http://schemas.openxmlformats.org/officeDocument/2006/customXml" ds:itemID="{AD312599-D72C-4BBE-902E-11F6BC94935D}"/>
</file>

<file path=customXml/itemProps4.xml><?xml version="1.0" encoding="utf-8"?>
<ds:datastoreItem xmlns:ds="http://schemas.openxmlformats.org/officeDocument/2006/customXml" ds:itemID="{E9A0B1B3-EDE1-4003-94E1-1395FDEB23D4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2524</Characters>
  <Application>Microsoft Office Word</Application>
  <DocSecurity>0</DocSecurity>
  <Lines>105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REMONDINO Laura * ODE</dc:creator>
  <cp:keywords/>
  <dc:description/>
  <cp:lastModifiedBy>REMONDINO Laura * ODE</cp:lastModifiedBy>
  <cp:revision>1</cp:revision>
  <dcterms:created xsi:type="dcterms:W3CDTF">2026-02-25T22:41:00Z</dcterms:created>
  <dcterms:modified xsi:type="dcterms:W3CDTF">2026-02-25T22:54:00Z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0x0101005B81593790B3F94785C3573F9D73A655</vt:lpwstr>
  </property>
</Properties>
</file>