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5AC57" w14:textId="77777777" w:rsidR="00DD3A62" w:rsidRPr="00DD3A62" w:rsidRDefault="00DD3A62" w:rsidP="00DD3A62">
      <w:pPr>
        <w:pStyle w:val="Heading1"/>
      </w:pPr>
      <w:r w:rsidRPr="00DD3A62">
        <w:t xml:space="preserve">FEDERAL FUNDS SPENDING GUIDANCE BY TITLE PROGRAM </w:t>
      </w:r>
    </w:p>
    <w:p w14:paraId="2FD1515C" w14:textId="77777777" w:rsidR="00DD3A62" w:rsidRPr="00DD3A62" w:rsidRDefault="00DD3A62" w:rsidP="00DD3A62">
      <w:pPr>
        <w:pStyle w:val="Heading2"/>
      </w:pPr>
      <w:r w:rsidRPr="00DD3A62">
        <w:t xml:space="preserve">Title I, Part D (Title I-D) Neglected and Delinquent Programs Subpart 2: Local Education Agency Programs </w:t>
      </w:r>
    </w:p>
    <w:p w14:paraId="216EE9B2" w14:textId="77777777" w:rsidR="00B00F77" w:rsidRDefault="00B00F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7290"/>
        <w:gridCol w:w="3528"/>
      </w:tblGrid>
      <w:tr w:rsidR="00DD3A62" w14:paraId="4C5D23CE" w14:textId="77777777" w:rsidTr="00DD3A62">
        <w:tc>
          <w:tcPr>
            <w:tcW w:w="3798" w:type="dxa"/>
          </w:tcPr>
          <w:p w14:paraId="7B5ABE3D" w14:textId="73E2E7B1" w:rsidR="00DD3A62" w:rsidRPr="00DD3A62" w:rsidRDefault="00DD3A62" w:rsidP="00DD3A62">
            <w:pPr>
              <w:jc w:val="center"/>
              <w:rPr>
                <w:b/>
                <w:bCs/>
              </w:rPr>
            </w:pPr>
            <w:r w:rsidRPr="00DD3A62">
              <w:rPr>
                <w:b/>
                <w:bCs/>
              </w:rPr>
              <w:t>Program Intent and Purpose</w:t>
            </w:r>
          </w:p>
        </w:tc>
        <w:tc>
          <w:tcPr>
            <w:tcW w:w="7290" w:type="dxa"/>
          </w:tcPr>
          <w:p w14:paraId="63412C89" w14:textId="140F39AB" w:rsidR="00DD3A62" w:rsidRPr="00DD3A62" w:rsidRDefault="00DD3A62" w:rsidP="00DD3A62">
            <w:pPr>
              <w:jc w:val="center"/>
              <w:rPr>
                <w:b/>
                <w:bCs/>
              </w:rPr>
            </w:pPr>
            <w:r w:rsidRPr="00DD3A62">
              <w:rPr>
                <w:b/>
                <w:bCs/>
              </w:rPr>
              <w:t>Allowable Activities</w:t>
            </w:r>
          </w:p>
        </w:tc>
        <w:tc>
          <w:tcPr>
            <w:tcW w:w="3528" w:type="dxa"/>
          </w:tcPr>
          <w:p w14:paraId="56566B3F" w14:textId="27240766" w:rsidR="00DD3A62" w:rsidRPr="00DD3A62" w:rsidRDefault="00DD3A62" w:rsidP="00DD3A62">
            <w:pPr>
              <w:jc w:val="center"/>
              <w:rPr>
                <w:b/>
                <w:bCs/>
              </w:rPr>
            </w:pPr>
            <w:r w:rsidRPr="00DD3A62">
              <w:rPr>
                <w:b/>
                <w:bCs/>
              </w:rPr>
              <w:t>Expenditure Categories</w:t>
            </w:r>
          </w:p>
        </w:tc>
      </w:tr>
      <w:tr w:rsidR="00DD3A62" w14:paraId="6CCABF65" w14:textId="77777777" w:rsidTr="00DD3A62">
        <w:trPr>
          <w:trHeight w:val="8108"/>
        </w:trPr>
        <w:tc>
          <w:tcPr>
            <w:tcW w:w="3798" w:type="dxa"/>
          </w:tcPr>
          <w:p w14:paraId="36588721" w14:textId="77777777" w:rsidR="00DD3A62" w:rsidRPr="00DD3A62" w:rsidRDefault="00DD3A62" w:rsidP="00DD3A62">
            <w:pPr>
              <w:spacing w:after="1" w:line="241" w:lineRule="auto"/>
              <w:ind w:left="114" w:right="39"/>
              <w:jc w:val="both"/>
              <w:rPr>
                <w:sz w:val="16"/>
                <w:szCs w:val="16"/>
              </w:rPr>
            </w:pPr>
            <w:r w:rsidRPr="00DD3A62">
              <w:rPr>
                <w:sz w:val="16"/>
                <w:szCs w:val="16"/>
              </w:rPr>
              <w:t xml:space="preserve">The purpose of Title I, Part D, Subpart 2 is to support the operation of local educational agency (LEA) programs that involve collaboration with locally operated correctional facilities: </w:t>
            </w:r>
          </w:p>
          <w:p w14:paraId="7D44D7DF" w14:textId="77777777" w:rsidR="00DD3A62" w:rsidRPr="00DD3A62" w:rsidRDefault="00DD3A62" w:rsidP="00DD3A62">
            <w:pPr>
              <w:spacing w:after="0"/>
              <w:ind w:left="4"/>
              <w:rPr>
                <w:sz w:val="16"/>
                <w:szCs w:val="16"/>
              </w:rPr>
            </w:pPr>
            <w:r w:rsidRPr="00DD3A62">
              <w:rPr>
                <w:b/>
                <w:sz w:val="16"/>
                <w:szCs w:val="16"/>
              </w:rPr>
              <w:t xml:space="preserve"> </w:t>
            </w:r>
          </w:p>
          <w:p w14:paraId="551A92E0" w14:textId="77777777" w:rsidR="00DD3A62" w:rsidRPr="00DD3A62" w:rsidRDefault="00DD3A62" w:rsidP="00DD3A62">
            <w:pPr>
              <w:spacing w:after="0"/>
              <w:ind w:left="114"/>
              <w:rPr>
                <w:sz w:val="16"/>
                <w:szCs w:val="16"/>
              </w:rPr>
            </w:pPr>
            <w:r w:rsidRPr="00DD3A62">
              <w:rPr>
                <w:sz w:val="16"/>
                <w:szCs w:val="16"/>
              </w:rPr>
              <w:t xml:space="preserve"> </w:t>
            </w:r>
          </w:p>
          <w:p w14:paraId="778187CB" w14:textId="77777777" w:rsidR="00DD3A62" w:rsidRPr="00DD3A62" w:rsidRDefault="00DD3A62" w:rsidP="00DD3A62">
            <w:pPr>
              <w:numPr>
                <w:ilvl w:val="0"/>
                <w:numId w:val="1"/>
              </w:numPr>
              <w:spacing w:after="8" w:line="236" w:lineRule="auto"/>
              <w:ind w:hanging="360"/>
              <w:rPr>
                <w:sz w:val="16"/>
                <w:szCs w:val="16"/>
              </w:rPr>
            </w:pPr>
            <w:r w:rsidRPr="00DD3A62">
              <w:rPr>
                <w:sz w:val="16"/>
                <w:szCs w:val="16"/>
              </w:rPr>
              <w:t xml:space="preserve">To carry out </w:t>
            </w:r>
            <w:r w:rsidRPr="00DD3A62">
              <w:rPr>
                <w:b/>
                <w:sz w:val="16"/>
                <w:szCs w:val="16"/>
              </w:rPr>
              <w:t>high-quality education programs</w:t>
            </w:r>
            <w:r w:rsidRPr="00DD3A62">
              <w:rPr>
                <w:sz w:val="16"/>
                <w:szCs w:val="16"/>
              </w:rPr>
              <w:t xml:space="preserve"> to prepare students for secondary school completion, training, employment, or further education </w:t>
            </w:r>
          </w:p>
          <w:p w14:paraId="3F437094" w14:textId="77777777" w:rsidR="00DD3A62" w:rsidRPr="00DD3A62" w:rsidRDefault="00DD3A62" w:rsidP="00DD3A62">
            <w:pPr>
              <w:numPr>
                <w:ilvl w:val="0"/>
                <w:numId w:val="1"/>
              </w:numPr>
              <w:spacing w:after="18" w:line="233" w:lineRule="auto"/>
              <w:ind w:hanging="360"/>
              <w:rPr>
                <w:sz w:val="16"/>
                <w:szCs w:val="16"/>
              </w:rPr>
            </w:pPr>
            <w:r w:rsidRPr="00DD3A62">
              <w:rPr>
                <w:sz w:val="16"/>
                <w:szCs w:val="16"/>
              </w:rPr>
              <w:t xml:space="preserve">To provide activities to </w:t>
            </w:r>
            <w:r w:rsidRPr="00DD3A62">
              <w:rPr>
                <w:b/>
                <w:sz w:val="16"/>
                <w:szCs w:val="16"/>
              </w:rPr>
              <w:t>facilitate the transition</w:t>
            </w:r>
            <w:r w:rsidRPr="00DD3A62">
              <w:rPr>
                <w:sz w:val="16"/>
                <w:szCs w:val="16"/>
              </w:rPr>
              <w:t xml:space="preserve"> of such students from the correctional program to further education or employment </w:t>
            </w:r>
          </w:p>
          <w:p w14:paraId="1942C518" w14:textId="77777777" w:rsidR="00DD3A62" w:rsidRPr="00DD3A62" w:rsidRDefault="00DD3A62" w:rsidP="00DD3A62">
            <w:pPr>
              <w:numPr>
                <w:ilvl w:val="0"/>
                <w:numId w:val="1"/>
              </w:numPr>
              <w:spacing w:after="8" w:line="236" w:lineRule="auto"/>
              <w:ind w:hanging="360"/>
              <w:rPr>
                <w:sz w:val="16"/>
                <w:szCs w:val="16"/>
              </w:rPr>
            </w:pPr>
            <w:r w:rsidRPr="00DD3A62">
              <w:rPr>
                <w:sz w:val="16"/>
                <w:szCs w:val="16"/>
              </w:rPr>
              <w:t xml:space="preserve">To operate programs in local schools, including schools operated or funded by the Bureau of Indian Education, for </w:t>
            </w:r>
            <w:r w:rsidRPr="00DD3A62">
              <w:rPr>
                <w:b/>
                <w:sz w:val="16"/>
                <w:szCs w:val="16"/>
              </w:rPr>
              <w:t xml:space="preserve">students returning from correctional facilities and programs that may serve at-risk students. </w:t>
            </w:r>
          </w:p>
          <w:p w14:paraId="318FEFB4" w14:textId="77777777" w:rsidR="00DD3A62" w:rsidRPr="00DD3A62" w:rsidRDefault="00DD3A62" w:rsidP="00DD3A62">
            <w:pPr>
              <w:spacing w:after="0"/>
              <w:ind w:left="4"/>
              <w:rPr>
                <w:sz w:val="16"/>
                <w:szCs w:val="16"/>
              </w:rPr>
            </w:pPr>
            <w:r w:rsidRPr="00DD3A62">
              <w:rPr>
                <w:b/>
                <w:sz w:val="16"/>
                <w:szCs w:val="16"/>
              </w:rPr>
              <w:t xml:space="preserve"> </w:t>
            </w:r>
          </w:p>
          <w:p w14:paraId="79EB98E4" w14:textId="77777777" w:rsidR="00DD3A62" w:rsidRPr="00DD3A62" w:rsidRDefault="00DD3A62" w:rsidP="00DD3A62">
            <w:pPr>
              <w:spacing w:after="0"/>
              <w:ind w:left="174"/>
              <w:rPr>
                <w:sz w:val="16"/>
                <w:szCs w:val="16"/>
              </w:rPr>
            </w:pPr>
            <w:r w:rsidRPr="00DD3A62">
              <w:rPr>
                <w:b/>
                <w:sz w:val="16"/>
                <w:szCs w:val="16"/>
              </w:rPr>
              <w:t xml:space="preserve"> </w:t>
            </w:r>
          </w:p>
          <w:p w14:paraId="5E554E20" w14:textId="77777777" w:rsidR="00DD3A62" w:rsidRPr="00DD3A62" w:rsidRDefault="00DD3A62" w:rsidP="00DD3A62">
            <w:pPr>
              <w:spacing w:after="0"/>
              <w:ind w:left="114"/>
              <w:rPr>
                <w:sz w:val="16"/>
                <w:szCs w:val="16"/>
              </w:rPr>
            </w:pPr>
            <w:r w:rsidRPr="00DD3A62">
              <w:rPr>
                <w:sz w:val="16"/>
                <w:szCs w:val="16"/>
              </w:rPr>
              <w:t xml:space="preserve">The Subpart 2 LEA program requires each State </w:t>
            </w:r>
          </w:p>
          <w:p w14:paraId="2C338076" w14:textId="09A2FFAA" w:rsidR="00DD3A62" w:rsidRDefault="00DD3A62" w:rsidP="00DD3A62">
            <w:r w:rsidRPr="00DD3A62">
              <w:rPr>
                <w:sz w:val="16"/>
                <w:szCs w:val="16"/>
              </w:rPr>
              <w:t>Educational Agency (SEA) to retain from its Title I, Part A (CFDA 84.010A) allocation funds generated by the number of children and youth ages 5-17 living in local facilities for delinquent children, including adult correctional facilities.</w:t>
            </w:r>
          </w:p>
        </w:tc>
        <w:tc>
          <w:tcPr>
            <w:tcW w:w="7290" w:type="dxa"/>
          </w:tcPr>
          <w:p w14:paraId="441246B8" w14:textId="77777777" w:rsidR="00DD3A62" w:rsidRDefault="00DD3A62" w:rsidP="00DD3A62">
            <w:pPr>
              <w:spacing w:after="0"/>
              <w:ind w:left="111"/>
            </w:pPr>
            <w:r>
              <w:rPr>
                <w:b/>
                <w:sz w:val="16"/>
              </w:rPr>
              <w:t xml:space="preserve">Program Services </w:t>
            </w:r>
          </w:p>
          <w:p w14:paraId="0C2FC901" w14:textId="77777777" w:rsidR="00DD3A62" w:rsidRDefault="00DD3A62" w:rsidP="00DD3A62">
            <w:pPr>
              <w:numPr>
                <w:ilvl w:val="0"/>
                <w:numId w:val="2"/>
              </w:numPr>
              <w:spacing w:after="0"/>
              <w:ind w:hanging="392"/>
            </w:pPr>
            <w:r>
              <w:rPr>
                <w:sz w:val="16"/>
              </w:rPr>
              <w:t xml:space="preserve">Teacher(s) for supplemental instruction or intervention services </w:t>
            </w:r>
          </w:p>
          <w:p w14:paraId="203EDBC5" w14:textId="77777777" w:rsidR="00DD3A62" w:rsidRDefault="00DD3A62" w:rsidP="00DD3A62">
            <w:pPr>
              <w:numPr>
                <w:ilvl w:val="0"/>
                <w:numId w:val="2"/>
              </w:numPr>
              <w:spacing w:after="0"/>
              <w:ind w:hanging="392"/>
            </w:pPr>
            <w:r>
              <w:rPr>
                <w:sz w:val="16"/>
              </w:rPr>
              <w:t xml:space="preserve">Guidance counselors and social workers for students </w:t>
            </w:r>
          </w:p>
          <w:p w14:paraId="2681D515" w14:textId="77777777" w:rsidR="00DD3A62" w:rsidRDefault="00DD3A62" w:rsidP="00DD3A62">
            <w:pPr>
              <w:numPr>
                <w:ilvl w:val="0"/>
                <w:numId w:val="2"/>
              </w:numPr>
              <w:spacing w:after="10" w:line="243" w:lineRule="auto"/>
              <w:ind w:hanging="392"/>
            </w:pPr>
            <w:r>
              <w:rPr>
                <w:sz w:val="16"/>
              </w:rPr>
              <w:t xml:space="preserve">Career and Technical Education (CTE) instruction, vocational training, and vendors providing CTE or vocational programming </w:t>
            </w:r>
          </w:p>
          <w:p w14:paraId="5DD8492A" w14:textId="77777777" w:rsidR="00DD3A62" w:rsidRDefault="00DD3A62" w:rsidP="00DD3A62">
            <w:pPr>
              <w:numPr>
                <w:ilvl w:val="0"/>
                <w:numId w:val="2"/>
              </w:numPr>
              <w:spacing w:after="0"/>
              <w:ind w:hanging="392"/>
            </w:pPr>
            <w:r>
              <w:rPr>
                <w:sz w:val="16"/>
              </w:rPr>
              <w:t xml:space="preserve">Tutors, tutoring, or academic intervention services </w:t>
            </w:r>
          </w:p>
          <w:p w14:paraId="4D7BB57C" w14:textId="77777777" w:rsidR="00DD3A62" w:rsidRDefault="00DD3A62" w:rsidP="00DD3A62">
            <w:pPr>
              <w:numPr>
                <w:ilvl w:val="0"/>
                <w:numId w:val="2"/>
              </w:numPr>
              <w:spacing w:after="0"/>
              <w:ind w:hanging="392"/>
            </w:pPr>
            <w:r>
              <w:rPr>
                <w:sz w:val="16"/>
              </w:rPr>
              <w:t xml:space="preserve">Staff providing after-school and summer programming </w:t>
            </w:r>
          </w:p>
          <w:p w14:paraId="1DEE3F19" w14:textId="77777777" w:rsidR="00DD3A62" w:rsidRDefault="00DD3A62" w:rsidP="00DD3A62">
            <w:pPr>
              <w:numPr>
                <w:ilvl w:val="0"/>
                <w:numId w:val="2"/>
              </w:numPr>
              <w:spacing w:after="0"/>
              <w:ind w:hanging="392"/>
            </w:pPr>
            <w:r>
              <w:rPr>
                <w:sz w:val="16"/>
              </w:rPr>
              <w:t xml:space="preserve">Supplies, materials, and equipment required to run a CTE or vocational program </w:t>
            </w:r>
          </w:p>
          <w:p w14:paraId="57F76EE2" w14:textId="77777777" w:rsidR="00DD3A62" w:rsidRDefault="00DD3A62" w:rsidP="00DD3A62">
            <w:pPr>
              <w:numPr>
                <w:ilvl w:val="0"/>
                <w:numId w:val="2"/>
              </w:numPr>
              <w:spacing w:after="0"/>
              <w:ind w:hanging="392"/>
            </w:pPr>
            <w:r>
              <w:rPr>
                <w:sz w:val="16"/>
              </w:rPr>
              <w:t xml:space="preserve">Coordination of Health and Social Services </w:t>
            </w:r>
          </w:p>
          <w:p w14:paraId="4A65B4E9" w14:textId="77777777" w:rsidR="00DD3A62" w:rsidRDefault="00DD3A62" w:rsidP="00DD3A62">
            <w:pPr>
              <w:numPr>
                <w:ilvl w:val="0"/>
                <w:numId w:val="2"/>
              </w:numPr>
              <w:spacing w:after="179"/>
              <w:ind w:hanging="392"/>
            </w:pPr>
            <w:r>
              <w:rPr>
                <w:sz w:val="16"/>
              </w:rPr>
              <w:t xml:space="preserve">Mentoring and Peer Mediation </w:t>
            </w:r>
          </w:p>
          <w:p w14:paraId="3ADA1C32" w14:textId="77777777" w:rsidR="00DD3A62" w:rsidRDefault="00DD3A62" w:rsidP="00DD3A62">
            <w:pPr>
              <w:spacing w:after="0"/>
              <w:ind w:left="111"/>
            </w:pPr>
            <w:r>
              <w:rPr>
                <w:b/>
                <w:sz w:val="16"/>
              </w:rPr>
              <w:t xml:space="preserve">Program Supports </w:t>
            </w:r>
          </w:p>
          <w:p w14:paraId="5C7883ED" w14:textId="77777777" w:rsidR="00DD3A62" w:rsidRDefault="00DD3A62" w:rsidP="00DD3A62">
            <w:pPr>
              <w:numPr>
                <w:ilvl w:val="0"/>
                <w:numId w:val="2"/>
              </w:numPr>
              <w:spacing w:after="0"/>
              <w:ind w:hanging="392"/>
            </w:pPr>
            <w:r>
              <w:rPr>
                <w:sz w:val="16"/>
              </w:rPr>
              <w:t xml:space="preserve">Substitutes for allowable positions </w:t>
            </w:r>
          </w:p>
          <w:p w14:paraId="166A0C2B" w14:textId="77777777" w:rsidR="00DD3A62" w:rsidRDefault="00DD3A62" w:rsidP="00DD3A62">
            <w:pPr>
              <w:numPr>
                <w:ilvl w:val="0"/>
                <w:numId w:val="2"/>
              </w:numPr>
              <w:spacing w:after="0"/>
              <w:ind w:hanging="392"/>
            </w:pPr>
            <w:r>
              <w:rPr>
                <w:sz w:val="16"/>
              </w:rPr>
              <w:t xml:space="preserve">Paraprofessionals </w:t>
            </w:r>
          </w:p>
          <w:p w14:paraId="7D6184C4" w14:textId="77777777" w:rsidR="00DD3A62" w:rsidRDefault="00DD3A62" w:rsidP="00DD3A62">
            <w:pPr>
              <w:numPr>
                <w:ilvl w:val="0"/>
                <w:numId w:val="2"/>
              </w:numPr>
              <w:spacing w:after="1"/>
              <w:ind w:hanging="392"/>
            </w:pPr>
            <w:r>
              <w:rPr>
                <w:sz w:val="16"/>
              </w:rPr>
              <w:t xml:space="preserve">Data management staff  </w:t>
            </w:r>
          </w:p>
          <w:p w14:paraId="212F476B" w14:textId="77777777" w:rsidR="00DD3A62" w:rsidRDefault="00DD3A62" w:rsidP="00DD3A62">
            <w:pPr>
              <w:numPr>
                <w:ilvl w:val="0"/>
                <w:numId w:val="2"/>
              </w:numPr>
              <w:spacing w:after="0"/>
              <w:ind w:hanging="392"/>
            </w:pPr>
            <w:r>
              <w:rPr>
                <w:sz w:val="16"/>
              </w:rPr>
              <w:t xml:space="preserve">Secretary and/or clerical position  </w:t>
            </w:r>
          </w:p>
          <w:p w14:paraId="2DD3A339" w14:textId="77777777" w:rsidR="00DD3A62" w:rsidRDefault="00DD3A62" w:rsidP="00DD3A62">
            <w:pPr>
              <w:numPr>
                <w:ilvl w:val="0"/>
                <w:numId w:val="2"/>
              </w:numPr>
              <w:spacing w:after="0"/>
              <w:ind w:hanging="392"/>
            </w:pPr>
            <w:r>
              <w:rPr>
                <w:sz w:val="16"/>
              </w:rPr>
              <w:t xml:space="preserve">Staff supporting CTE and/or Vocational Training </w:t>
            </w:r>
          </w:p>
          <w:p w14:paraId="2B2982E5" w14:textId="77777777" w:rsidR="00DD3A62" w:rsidRDefault="00DD3A62" w:rsidP="00DD3A62">
            <w:pPr>
              <w:numPr>
                <w:ilvl w:val="0"/>
                <w:numId w:val="2"/>
              </w:numPr>
              <w:spacing w:after="0"/>
              <w:ind w:hanging="392"/>
            </w:pPr>
            <w:r>
              <w:rPr>
                <w:sz w:val="16"/>
              </w:rPr>
              <w:t xml:space="preserve">Software Licenses, including credit recovery software </w:t>
            </w:r>
          </w:p>
          <w:p w14:paraId="728F6614" w14:textId="77777777" w:rsidR="00DD3A62" w:rsidRDefault="00DD3A62" w:rsidP="00DD3A62">
            <w:pPr>
              <w:numPr>
                <w:ilvl w:val="0"/>
                <w:numId w:val="2"/>
              </w:numPr>
              <w:spacing w:after="0"/>
              <w:ind w:hanging="392"/>
            </w:pPr>
            <w:r>
              <w:rPr>
                <w:sz w:val="16"/>
              </w:rPr>
              <w:t xml:space="preserve">Diagnostic tests for ongoing assessment </w:t>
            </w:r>
          </w:p>
          <w:p w14:paraId="024BF3C6" w14:textId="77777777" w:rsidR="00DD3A62" w:rsidRDefault="00DD3A62" w:rsidP="00DD3A62">
            <w:pPr>
              <w:numPr>
                <w:ilvl w:val="0"/>
                <w:numId w:val="2"/>
              </w:numPr>
              <w:spacing w:after="179"/>
              <w:ind w:hanging="392"/>
            </w:pPr>
            <w:r>
              <w:rPr>
                <w:sz w:val="16"/>
              </w:rPr>
              <w:t xml:space="preserve">Credit-bearing after-school and summer programming </w:t>
            </w:r>
          </w:p>
          <w:p w14:paraId="36D392A0" w14:textId="77777777" w:rsidR="00DD3A62" w:rsidRDefault="00DD3A62" w:rsidP="00DD3A62">
            <w:pPr>
              <w:spacing w:after="0"/>
              <w:ind w:left="111"/>
            </w:pPr>
            <w:r>
              <w:rPr>
                <w:b/>
                <w:sz w:val="16"/>
              </w:rPr>
              <w:t xml:space="preserve">Professional Development Opportunities </w:t>
            </w:r>
          </w:p>
          <w:p w14:paraId="6DACD798" w14:textId="77777777" w:rsidR="00DD3A62" w:rsidRDefault="00DD3A62" w:rsidP="00DD3A62">
            <w:pPr>
              <w:numPr>
                <w:ilvl w:val="0"/>
                <w:numId w:val="2"/>
              </w:numPr>
              <w:spacing w:after="8" w:line="235" w:lineRule="auto"/>
              <w:ind w:hanging="392"/>
            </w:pPr>
            <w:r>
              <w:rPr>
                <w:sz w:val="16"/>
              </w:rPr>
              <w:t xml:space="preserve">Professional development opportunities for staff working with N&amp;D students that comply with state and federal travel and stipend guidelines </w:t>
            </w:r>
          </w:p>
          <w:p w14:paraId="1AD7E067" w14:textId="77777777" w:rsidR="00DD3A62" w:rsidRDefault="00DD3A62" w:rsidP="00DD3A62">
            <w:pPr>
              <w:spacing w:after="0"/>
              <w:ind w:left="5"/>
            </w:pPr>
            <w:r>
              <w:rPr>
                <w:b/>
                <w:sz w:val="16"/>
              </w:rPr>
              <w:t xml:space="preserve"> </w:t>
            </w:r>
          </w:p>
          <w:p w14:paraId="66C87E65" w14:textId="77777777" w:rsidR="00DD3A62" w:rsidRDefault="00DD3A62" w:rsidP="00DD3A62">
            <w:pPr>
              <w:spacing w:after="0"/>
              <w:ind w:left="111"/>
            </w:pPr>
            <w:r>
              <w:rPr>
                <w:b/>
                <w:sz w:val="16"/>
              </w:rPr>
              <w:t xml:space="preserve">Supplemental Support Services and Resources </w:t>
            </w:r>
          </w:p>
          <w:p w14:paraId="34A5E4A0" w14:textId="77777777" w:rsidR="00DD3A62" w:rsidRDefault="00DD3A62" w:rsidP="00DD3A62">
            <w:pPr>
              <w:numPr>
                <w:ilvl w:val="0"/>
                <w:numId w:val="2"/>
              </w:numPr>
              <w:spacing w:after="0"/>
              <w:ind w:hanging="392"/>
            </w:pPr>
            <w:r>
              <w:rPr>
                <w:sz w:val="16"/>
              </w:rPr>
              <w:t xml:space="preserve">Educational Consultants </w:t>
            </w:r>
          </w:p>
          <w:p w14:paraId="5B40923C" w14:textId="77777777" w:rsidR="00DD3A62" w:rsidRDefault="00DD3A62" w:rsidP="00DD3A62">
            <w:pPr>
              <w:numPr>
                <w:ilvl w:val="0"/>
                <w:numId w:val="2"/>
              </w:numPr>
              <w:spacing w:after="11" w:line="241" w:lineRule="auto"/>
              <w:ind w:hanging="392"/>
            </w:pPr>
            <w:r>
              <w:rPr>
                <w:sz w:val="16"/>
              </w:rPr>
              <w:t xml:space="preserve">Materials, supplies, and equipment for use in the N&amp;D program aligned with program goals </w:t>
            </w:r>
          </w:p>
          <w:p w14:paraId="5736E5E8" w14:textId="77777777" w:rsidR="00DD3A62" w:rsidRDefault="00DD3A62" w:rsidP="00DD3A62">
            <w:pPr>
              <w:numPr>
                <w:ilvl w:val="0"/>
                <w:numId w:val="2"/>
              </w:numPr>
              <w:spacing w:after="0"/>
              <w:ind w:hanging="392"/>
            </w:pPr>
            <w:r>
              <w:rPr>
                <w:sz w:val="16"/>
              </w:rPr>
              <w:t xml:space="preserve">Materials and light refreshments for parent &amp; family engagement activities </w:t>
            </w:r>
          </w:p>
          <w:p w14:paraId="701ED483" w14:textId="77777777" w:rsidR="00DD3A62" w:rsidRDefault="00DD3A62" w:rsidP="00DD3A62">
            <w:pPr>
              <w:numPr>
                <w:ilvl w:val="0"/>
                <w:numId w:val="2"/>
              </w:numPr>
              <w:spacing w:after="15" w:line="243" w:lineRule="auto"/>
              <w:ind w:hanging="392"/>
            </w:pPr>
            <w:r>
              <w:rPr>
                <w:sz w:val="16"/>
              </w:rPr>
              <w:t xml:space="preserve">Materials and supplies that support after-school and summer programming and supplemental credit recovery programs </w:t>
            </w:r>
          </w:p>
          <w:p w14:paraId="69CBA09F" w14:textId="77777777" w:rsidR="00DD3A62" w:rsidRDefault="00DD3A62" w:rsidP="00DD3A62">
            <w:pPr>
              <w:numPr>
                <w:ilvl w:val="0"/>
                <w:numId w:val="2"/>
              </w:numPr>
              <w:spacing w:after="0"/>
              <w:ind w:hanging="392"/>
            </w:pPr>
            <w:r>
              <w:rPr>
                <w:sz w:val="16"/>
              </w:rPr>
              <w:t xml:space="preserve">Transporting parents/families to meetings </w:t>
            </w:r>
          </w:p>
          <w:p w14:paraId="43DDD77E" w14:textId="77777777" w:rsidR="00DD3A62" w:rsidRDefault="00DD3A62" w:rsidP="00DD3A62">
            <w:pPr>
              <w:numPr>
                <w:ilvl w:val="0"/>
                <w:numId w:val="2"/>
              </w:numPr>
              <w:spacing w:after="0"/>
              <w:ind w:hanging="392"/>
            </w:pPr>
            <w:r>
              <w:rPr>
                <w:sz w:val="16"/>
              </w:rPr>
              <w:t xml:space="preserve">Transportation for N&amp;D students to attend N&amp;D program activities </w:t>
            </w:r>
          </w:p>
          <w:p w14:paraId="30A0CD8C" w14:textId="77777777" w:rsidR="00DD3A62" w:rsidRDefault="00DD3A62" w:rsidP="00DD3A62">
            <w:pPr>
              <w:spacing w:after="0"/>
              <w:ind w:left="5"/>
            </w:pPr>
            <w:r>
              <w:rPr>
                <w:b/>
                <w:sz w:val="16"/>
              </w:rPr>
              <w:t xml:space="preserve"> </w:t>
            </w:r>
          </w:p>
          <w:p w14:paraId="23FA465C" w14:textId="77777777" w:rsidR="00DD3A62" w:rsidRDefault="00DD3A62" w:rsidP="00DD3A62">
            <w:pPr>
              <w:spacing w:after="0"/>
              <w:ind w:left="111"/>
            </w:pPr>
            <w:r>
              <w:rPr>
                <w:b/>
                <w:sz w:val="16"/>
              </w:rPr>
              <w:t xml:space="preserve">Transition Services </w:t>
            </w:r>
          </w:p>
          <w:p w14:paraId="5369EA5F" w14:textId="77777777" w:rsidR="00DD3A62" w:rsidRDefault="00DD3A62" w:rsidP="00DD3A62">
            <w:pPr>
              <w:numPr>
                <w:ilvl w:val="0"/>
                <w:numId w:val="2"/>
              </w:numPr>
              <w:spacing w:after="0"/>
              <w:ind w:hanging="392"/>
            </w:pPr>
            <w:r>
              <w:rPr>
                <w:sz w:val="16"/>
              </w:rPr>
              <w:t xml:space="preserve">Transition coordinator/transition staff for intake and discharge activities </w:t>
            </w:r>
          </w:p>
          <w:p w14:paraId="21512C22" w14:textId="77777777" w:rsidR="00DD3A62" w:rsidRDefault="00DD3A62" w:rsidP="00DD3A62">
            <w:pPr>
              <w:numPr>
                <w:ilvl w:val="0"/>
                <w:numId w:val="2"/>
              </w:numPr>
              <w:spacing w:after="0"/>
              <w:ind w:hanging="392"/>
            </w:pPr>
            <w:r>
              <w:rPr>
                <w:sz w:val="16"/>
              </w:rPr>
              <w:t xml:space="preserve">Services to facilitate student transitions </w:t>
            </w:r>
          </w:p>
          <w:p w14:paraId="4ED3F48D" w14:textId="4216E43A" w:rsidR="00DD3A62" w:rsidRDefault="00DD3A62" w:rsidP="00DD3A62">
            <w:r>
              <w:rPr>
                <w:sz w:val="16"/>
              </w:rPr>
              <w:t>Career counseling</w:t>
            </w:r>
          </w:p>
        </w:tc>
        <w:tc>
          <w:tcPr>
            <w:tcW w:w="3528" w:type="dxa"/>
          </w:tcPr>
          <w:p w14:paraId="098C0CA9" w14:textId="77777777" w:rsidR="00DD3A62" w:rsidRDefault="00DD3A62" w:rsidP="00DD3A62">
            <w:pPr>
              <w:pStyle w:val="ListParagraph"/>
              <w:numPr>
                <w:ilvl w:val="0"/>
                <w:numId w:val="3"/>
              </w:numPr>
              <w:spacing w:after="82"/>
            </w:pPr>
            <w:r w:rsidRPr="00DD3A62">
              <w:rPr>
                <w:sz w:val="16"/>
              </w:rPr>
              <w:t xml:space="preserve">Professional Development </w:t>
            </w:r>
          </w:p>
          <w:p w14:paraId="5CCE5B4D" w14:textId="4226B325" w:rsidR="00DD3A62" w:rsidRDefault="00DD3A62" w:rsidP="00DD3A62">
            <w:pPr>
              <w:pStyle w:val="ListParagraph"/>
              <w:numPr>
                <w:ilvl w:val="0"/>
                <w:numId w:val="3"/>
              </w:numPr>
              <w:spacing w:after="78"/>
              <w:jc w:val="both"/>
            </w:pPr>
            <w:r w:rsidRPr="00DD3A62">
              <w:rPr>
                <w:sz w:val="16"/>
              </w:rPr>
              <w:t>C</w:t>
            </w:r>
            <w:r>
              <w:rPr>
                <w:sz w:val="16"/>
              </w:rPr>
              <w:t xml:space="preserve">onference fees, travel, hotel costs, meal reimbursements, and mileage reimbursements </w:t>
            </w:r>
          </w:p>
          <w:p w14:paraId="739183BE" w14:textId="77777777" w:rsidR="00DD3A62" w:rsidRDefault="00DD3A62" w:rsidP="00DD3A62">
            <w:pPr>
              <w:pStyle w:val="ListParagraph"/>
              <w:numPr>
                <w:ilvl w:val="0"/>
                <w:numId w:val="3"/>
              </w:numPr>
              <w:spacing w:after="78"/>
            </w:pPr>
            <w:r w:rsidRPr="00DD3A62">
              <w:rPr>
                <w:sz w:val="16"/>
              </w:rPr>
              <w:t xml:space="preserve">FTE Salaries (For N&amp;D-funded staff ONLY) </w:t>
            </w:r>
          </w:p>
          <w:p w14:paraId="30780A02" w14:textId="77777777" w:rsidR="00DD3A62" w:rsidRDefault="00DD3A62" w:rsidP="00DD3A62">
            <w:pPr>
              <w:pStyle w:val="ListParagraph"/>
              <w:numPr>
                <w:ilvl w:val="0"/>
                <w:numId w:val="3"/>
              </w:numPr>
              <w:spacing w:after="82"/>
            </w:pPr>
            <w:r w:rsidRPr="00DD3A62">
              <w:rPr>
                <w:sz w:val="16"/>
              </w:rPr>
              <w:t xml:space="preserve">Contractual services </w:t>
            </w:r>
          </w:p>
          <w:p w14:paraId="0824BD7B" w14:textId="77777777" w:rsidR="00DD3A62" w:rsidRDefault="00DD3A62" w:rsidP="00DD3A62">
            <w:pPr>
              <w:pStyle w:val="ListParagraph"/>
              <w:numPr>
                <w:ilvl w:val="0"/>
                <w:numId w:val="3"/>
              </w:numPr>
              <w:spacing w:after="82"/>
            </w:pPr>
            <w:r w:rsidRPr="00DD3A62">
              <w:rPr>
                <w:sz w:val="16"/>
              </w:rPr>
              <w:t xml:space="preserve">Consultant Fees </w:t>
            </w:r>
          </w:p>
          <w:p w14:paraId="0485C77E" w14:textId="77777777" w:rsidR="00DD3A62" w:rsidRDefault="00DD3A62" w:rsidP="00DD3A62">
            <w:pPr>
              <w:pStyle w:val="ListParagraph"/>
              <w:numPr>
                <w:ilvl w:val="0"/>
                <w:numId w:val="3"/>
              </w:numPr>
              <w:spacing w:after="82"/>
            </w:pPr>
            <w:r w:rsidRPr="00DD3A62">
              <w:rPr>
                <w:sz w:val="16"/>
              </w:rPr>
              <w:t xml:space="preserve">Software Licenses and Materials </w:t>
            </w:r>
          </w:p>
          <w:p w14:paraId="34599C37" w14:textId="1B42DBE8" w:rsidR="00DD3A62" w:rsidRDefault="00DD3A62" w:rsidP="00DD3A62">
            <w:pPr>
              <w:pStyle w:val="ListParagraph"/>
              <w:numPr>
                <w:ilvl w:val="0"/>
                <w:numId w:val="3"/>
              </w:numPr>
            </w:pPr>
            <w:r w:rsidRPr="00DD3A62">
              <w:rPr>
                <w:sz w:val="16"/>
              </w:rPr>
              <w:t>Supplies and Equipment</w:t>
            </w:r>
          </w:p>
        </w:tc>
      </w:tr>
    </w:tbl>
    <w:p w14:paraId="7E7B7069" w14:textId="2E265216" w:rsidR="00DD3A62" w:rsidRDefault="00DD3A62">
      <w:r>
        <w:t>Feb 2026</w:t>
      </w:r>
    </w:p>
    <w:sectPr w:rsidR="00DD3A62" w:rsidSect="00DD3A6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721D4"/>
    <w:multiLevelType w:val="hybridMultilevel"/>
    <w:tmpl w:val="E76EE77E"/>
    <w:lvl w:ilvl="0" w:tplc="6832D808">
      <w:start w:val="1"/>
      <w:numFmt w:val="decimal"/>
      <w:lvlText w:val="%1."/>
      <w:lvlJc w:val="left"/>
      <w:pPr>
        <w:ind w:left="474"/>
      </w:pPr>
      <w:rPr>
        <w:rFonts w:ascii="Calibri" w:eastAsia="Calibri" w:hAnsi="Calibri" w:cs="Calibri"/>
        <w:b w:val="0"/>
        <w:i w:val="0"/>
        <w:strike w:val="0"/>
        <w:dstrike w:val="0"/>
        <w:color w:val="15608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9C43E00">
      <w:start w:val="1"/>
      <w:numFmt w:val="lowerLetter"/>
      <w:lvlText w:val="%2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15608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428ABA2">
      <w:start w:val="1"/>
      <w:numFmt w:val="lowerRoman"/>
      <w:lvlText w:val="%3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15608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A2ED7CE">
      <w:start w:val="1"/>
      <w:numFmt w:val="decimal"/>
      <w:lvlText w:val="%4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15608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AAAA654">
      <w:start w:val="1"/>
      <w:numFmt w:val="lowerLetter"/>
      <w:lvlText w:val="%5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15608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280E97C">
      <w:start w:val="1"/>
      <w:numFmt w:val="lowerRoman"/>
      <w:lvlText w:val="%6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15608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C5EE3AA">
      <w:start w:val="1"/>
      <w:numFmt w:val="decimal"/>
      <w:lvlText w:val="%7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15608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878DEA0">
      <w:start w:val="1"/>
      <w:numFmt w:val="lowerLetter"/>
      <w:lvlText w:val="%8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15608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76C38B0">
      <w:start w:val="1"/>
      <w:numFmt w:val="lowerRoman"/>
      <w:lvlText w:val="%9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15608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0F2369"/>
    <w:multiLevelType w:val="hybridMultilevel"/>
    <w:tmpl w:val="694638D6"/>
    <w:lvl w:ilvl="0" w:tplc="81F05466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15608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A7175"/>
    <w:multiLevelType w:val="hybridMultilevel"/>
    <w:tmpl w:val="CD92D888"/>
    <w:lvl w:ilvl="0" w:tplc="81F05466">
      <w:start w:val="1"/>
      <w:numFmt w:val="bullet"/>
      <w:lvlText w:val=""/>
      <w:lvlJc w:val="left"/>
      <w:pPr>
        <w:ind w:left="503"/>
      </w:pPr>
      <w:rPr>
        <w:rFonts w:ascii="Wingdings" w:eastAsia="Wingdings" w:hAnsi="Wingdings" w:cs="Wingdings"/>
        <w:b w:val="0"/>
        <w:i w:val="0"/>
        <w:strike w:val="0"/>
        <w:dstrike w:val="0"/>
        <w:color w:val="15608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992D4B2">
      <w:start w:val="1"/>
      <w:numFmt w:val="bullet"/>
      <w:lvlText w:val="o"/>
      <w:lvlJc w:val="left"/>
      <w:pPr>
        <w:ind w:left="1191"/>
      </w:pPr>
      <w:rPr>
        <w:rFonts w:ascii="Wingdings" w:eastAsia="Wingdings" w:hAnsi="Wingdings" w:cs="Wingdings"/>
        <w:b w:val="0"/>
        <w:i w:val="0"/>
        <w:strike w:val="0"/>
        <w:dstrike w:val="0"/>
        <w:color w:val="15608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8D6C900">
      <w:start w:val="1"/>
      <w:numFmt w:val="bullet"/>
      <w:lvlText w:val="▪"/>
      <w:lvlJc w:val="left"/>
      <w:pPr>
        <w:ind w:left="1911"/>
      </w:pPr>
      <w:rPr>
        <w:rFonts w:ascii="Wingdings" w:eastAsia="Wingdings" w:hAnsi="Wingdings" w:cs="Wingdings"/>
        <w:b w:val="0"/>
        <w:i w:val="0"/>
        <w:strike w:val="0"/>
        <w:dstrike w:val="0"/>
        <w:color w:val="15608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65E63D6">
      <w:start w:val="1"/>
      <w:numFmt w:val="bullet"/>
      <w:lvlText w:val="•"/>
      <w:lvlJc w:val="left"/>
      <w:pPr>
        <w:ind w:left="2631"/>
      </w:pPr>
      <w:rPr>
        <w:rFonts w:ascii="Wingdings" w:eastAsia="Wingdings" w:hAnsi="Wingdings" w:cs="Wingdings"/>
        <w:b w:val="0"/>
        <w:i w:val="0"/>
        <w:strike w:val="0"/>
        <w:dstrike w:val="0"/>
        <w:color w:val="15608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EB2FC06">
      <w:start w:val="1"/>
      <w:numFmt w:val="bullet"/>
      <w:lvlText w:val="o"/>
      <w:lvlJc w:val="left"/>
      <w:pPr>
        <w:ind w:left="3351"/>
      </w:pPr>
      <w:rPr>
        <w:rFonts w:ascii="Wingdings" w:eastAsia="Wingdings" w:hAnsi="Wingdings" w:cs="Wingdings"/>
        <w:b w:val="0"/>
        <w:i w:val="0"/>
        <w:strike w:val="0"/>
        <w:dstrike w:val="0"/>
        <w:color w:val="15608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95053EC">
      <w:start w:val="1"/>
      <w:numFmt w:val="bullet"/>
      <w:lvlText w:val="▪"/>
      <w:lvlJc w:val="left"/>
      <w:pPr>
        <w:ind w:left="4071"/>
      </w:pPr>
      <w:rPr>
        <w:rFonts w:ascii="Wingdings" w:eastAsia="Wingdings" w:hAnsi="Wingdings" w:cs="Wingdings"/>
        <w:b w:val="0"/>
        <w:i w:val="0"/>
        <w:strike w:val="0"/>
        <w:dstrike w:val="0"/>
        <w:color w:val="15608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62EF7C2">
      <w:start w:val="1"/>
      <w:numFmt w:val="bullet"/>
      <w:lvlText w:val="•"/>
      <w:lvlJc w:val="left"/>
      <w:pPr>
        <w:ind w:left="4791"/>
      </w:pPr>
      <w:rPr>
        <w:rFonts w:ascii="Wingdings" w:eastAsia="Wingdings" w:hAnsi="Wingdings" w:cs="Wingdings"/>
        <w:b w:val="0"/>
        <w:i w:val="0"/>
        <w:strike w:val="0"/>
        <w:dstrike w:val="0"/>
        <w:color w:val="15608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7A8A360">
      <w:start w:val="1"/>
      <w:numFmt w:val="bullet"/>
      <w:lvlText w:val="o"/>
      <w:lvlJc w:val="left"/>
      <w:pPr>
        <w:ind w:left="5511"/>
      </w:pPr>
      <w:rPr>
        <w:rFonts w:ascii="Wingdings" w:eastAsia="Wingdings" w:hAnsi="Wingdings" w:cs="Wingdings"/>
        <w:b w:val="0"/>
        <w:i w:val="0"/>
        <w:strike w:val="0"/>
        <w:dstrike w:val="0"/>
        <w:color w:val="15608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BD07D48">
      <w:start w:val="1"/>
      <w:numFmt w:val="bullet"/>
      <w:lvlText w:val="▪"/>
      <w:lvlJc w:val="left"/>
      <w:pPr>
        <w:ind w:left="6231"/>
      </w:pPr>
      <w:rPr>
        <w:rFonts w:ascii="Wingdings" w:eastAsia="Wingdings" w:hAnsi="Wingdings" w:cs="Wingdings"/>
        <w:b w:val="0"/>
        <w:i w:val="0"/>
        <w:strike w:val="0"/>
        <w:dstrike w:val="0"/>
        <w:color w:val="15608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4489873">
    <w:abstractNumId w:val="0"/>
  </w:num>
  <w:num w:numId="2" w16cid:durableId="881407457">
    <w:abstractNumId w:val="2"/>
  </w:num>
  <w:num w:numId="3" w16cid:durableId="462114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62"/>
    <w:rsid w:val="00057FD8"/>
    <w:rsid w:val="0009345E"/>
    <w:rsid w:val="000A5756"/>
    <w:rsid w:val="000C14A2"/>
    <w:rsid w:val="000D36B7"/>
    <w:rsid w:val="000E7BC7"/>
    <w:rsid w:val="00167EDF"/>
    <w:rsid w:val="00171AD3"/>
    <w:rsid w:val="00187FD9"/>
    <w:rsid w:val="0022037B"/>
    <w:rsid w:val="00223DAF"/>
    <w:rsid w:val="00295954"/>
    <w:rsid w:val="002D37BB"/>
    <w:rsid w:val="00300E2F"/>
    <w:rsid w:val="00306E21"/>
    <w:rsid w:val="00307B43"/>
    <w:rsid w:val="003367CC"/>
    <w:rsid w:val="00346621"/>
    <w:rsid w:val="0038567A"/>
    <w:rsid w:val="003A5E26"/>
    <w:rsid w:val="003E5AD4"/>
    <w:rsid w:val="003F6983"/>
    <w:rsid w:val="004024D8"/>
    <w:rsid w:val="004159AA"/>
    <w:rsid w:val="00465BAE"/>
    <w:rsid w:val="004B38C1"/>
    <w:rsid w:val="005110C4"/>
    <w:rsid w:val="00532D27"/>
    <w:rsid w:val="00617A1A"/>
    <w:rsid w:val="00712E0C"/>
    <w:rsid w:val="00A00D35"/>
    <w:rsid w:val="00A1287D"/>
    <w:rsid w:val="00A750A1"/>
    <w:rsid w:val="00A95BF5"/>
    <w:rsid w:val="00AB351A"/>
    <w:rsid w:val="00AD1307"/>
    <w:rsid w:val="00B00F77"/>
    <w:rsid w:val="00B01343"/>
    <w:rsid w:val="00B04F92"/>
    <w:rsid w:val="00B3764B"/>
    <w:rsid w:val="00B556B7"/>
    <w:rsid w:val="00B56B6A"/>
    <w:rsid w:val="00B9012E"/>
    <w:rsid w:val="00C25BBC"/>
    <w:rsid w:val="00C26B6D"/>
    <w:rsid w:val="00CB1057"/>
    <w:rsid w:val="00CB56F4"/>
    <w:rsid w:val="00D429F2"/>
    <w:rsid w:val="00D93014"/>
    <w:rsid w:val="00DD212E"/>
    <w:rsid w:val="00DD3A62"/>
    <w:rsid w:val="00E13D62"/>
    <w:rsid w:val="00E70EDF"/>
    <w:rsid w:val="00E73AC0"/>
    <w:rsid w:val="00E90494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5A537"/>
  <w15:chartTrackingRefBased/>
  <w15:docId w15:val="{5165A6A5-F97F-41C6-BFF3-E14D7DC9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A62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A62"/>
    <w:pPr>
      <w:spacing w:after="59"/>
      <w:outlineLvl w:val="0"/>
    </w:pPr>
    <w:rPr>
      <w:b/>
      <w:color w:val="215E99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3A62"/>
    <w:pPr>
      <w:spacing w:after="0"/>
      <w:outlineLvl w:val="1"/>
    </w:pPr>
    <w:rPr>
      <w:b/>
      <w:color w:val="196B24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A62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A62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A62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A62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A62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A62"/>
    <w:rPr>
      <w:rFonts w:ascii="Calibri" w:eastAsia="Calibri" w:hAnsi="Calibri" w:cs="Calibri"/>
      <w:b/>
      <w:color w:val="215E99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3A62"/>
    <w:rPr>
      <w:rFonts w:ascii="Calibri" w:eastAsia="Calibri" w:hAnsi="Calibri" w:cs="Calibri"/>
      <w:b/>
      <w:color w:val="196B24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A62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A62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A62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A62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A62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A62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A62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A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A62"/>
    <w:pPr>
      <w:numPr>
        <w:ilvl w:val="1"/>
      </w:numPr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A62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A62"/>
    <w:pPr>
      <w:spacing w:before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A62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DD3A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A62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A62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A62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A62"/>
    <w:rPr>
      <w:b/>
      <w:bCs/>
      <w:smallCaps/>
      <w:color w:val="DA1F12" w:themeColor="accent1" w:themeShade="BF"/>
      <w:spacing w:val="5"/>
    </w:rPr>
  </w:style>
  <w:style w:type="table" w:styleId="TableGrid">
    <w:name w:val="Table Grid"/>
    <w:basedOn w:val="TableNormal"/>
    <w:uiPriority w:val="59"/>
    <w:rsid w:val="00DD3A6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1593790B3F94785C3573F9D73A655" ma:contentTypeVersion="6" ma:contentTypeDescription="Create a new document." ma:contentTypeScope="" ma:versionID="57a8e91d2cda501e6dd2dec800b8c410">
  <xsd:schema xmlns:xsd="http://www.w3.org/2001/XMLSchema" xmlns:xs="http://www.w3.org/2001/XMLSchema" xmlns:p="http://schemas.microsoft.com/office/2006/metadata/properties" xmlns:ns2="54031767-dd6d-417c-ab73-583408f47564" targetNamespace="http://schemas.microsoft.com/office/2006/metadata/properties" ma:root="true" ma:fieldsID="390980a7c507d052e384cb213e90db4b" ns2:_=""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FA9CAE-86CD-4410-8577-5B31BE896757}"/>
</file>

<file path=customXml/itemProps2.xml><?xml version="1.0" encoding="utf-8"?>
<ds:datastoreItem xmlns:ds="http://schemas.openxmlformats.org/officeDocument/2006/customXml" ds:itemID="{FBAC677B-C7DD-478B-809B-1C2A13B130AC}"/>
</file>

<file path=customXml/itemProps3.xml><?xml version="1.0" encoding="utf-8"?>
<ds:datastoreItem xmlns:ds="http://schemas.openxmlformats.org/officeDocument/2006/customXml" ds:itemID="{8D99DEE6-C817-4F51-9555-B2DF5599D13B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432</Words>
  <Characters>2684</Characters>
  <Application>Microsoft Office Word</Application>
  <DocSecurity>0</DocSecurity>
  <Lines>89</Lines>
  <Paragraphs>62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REMONDINO Laura * ODE</dc:creator>
  <cp:keywords/>
  <dc:description/>
  <cp:lastModifiedBy>REMONDINO Laura * ODE</cp:lastModifiedBy>
  <cp:revision>1</cp:revision>
  <dcterms:created xsi:type="dcterms:W3CDTF">2026-02-25T23:07:00Z</dcterms:created>
  <dcterms:modified xsi:type="dcterms:W3CDTF">2026-02-25T23:16:00Z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0x0101005B81593790B3F94785C3573F9D73A655</vt:lpwstr>
  </property>
</Properties>
</file>