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8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86.9999999999993"/>
        <w:gridCol w:w="1728.0000000000007"/>
        <w:gridCol w:w="285"/>
        <w:gridCol w:w="2130"/>
        <w:gridCol w:w="1245"/>
        <w:gridCol w:w="2610"/>
        <w:tblGridChange w:id="0">
          <w:tblGrid>
            <w:gridCol w:w="1886.9999999999993"/>
            <w:gridCol w:w="1728.0000000000007"/>
            <w:gridCol w:w="285"/>
            <w:gridCol w:w="2130"/>
            <w:gridCol w:w="1245"/>
            <w:gridCol w:w="26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2">
            <w:pPr>
              <w:bidi w:val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5">
            <w:pPr>
              <w:bidi w:val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ميلاد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الإقامة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التعريفي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bidi w:val="1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للمنطقة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ذوي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الإعاقة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مختصر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يقرر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الفردية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IEP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 504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احتياجات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لمساعدة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مراجعة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المطلوبة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احتياجات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ind w:left="72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العناصر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المكتوبة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غامق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مطلوبة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9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hanging="36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عاطفية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سلوكية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طبية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البلوغ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ميثاقية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متزامن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ميثاقية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افتراضية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يتجاوز</w:t>
      </w:r>
      <w:r w:rsidDel="00000000" w:rsidR="00000000" w:rsidRPr="00000000">
        <w:rPr>
          <w:rtl w:val="1"/>
        </w:rPr>
        <w:t xml:space="preserve"> 100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ind w:left="144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hanging="36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اشرح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خيار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يتيح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b w:val="1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تضمين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440" w:right="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أسبوعي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مشاركته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ind w:left="144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والتقدم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4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لمساعدة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4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توقع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دراسي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4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440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توصية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left="216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☐ </w:t>
      </w:r>
      <w:r w:rsidDel="00000000" w:rsidR="00000000" w:rsidRPr="00000000">
        <w:rPr>
          <w:b w:val="1"/>
          <w:rtl w:val="1"/>
        </w:rPr>
        <w:t xml:space="preserve">يوصي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أعلاه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160" w:righ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☐ </w:t>
      </w:r>
      <w:r w:rsidDel="00000000" w:rsidR="00000000" w:rsidRPr="00000000">
        <w:rPr>
          <w:b w:val="1"/>
          <w:rtl w:val="1"/>
        </w:rPr>
        <w:t xml:space="preserve">يوصي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الموضح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أعلاه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1"/>
        </w:rPr>
        <w:t xml:space="preserve">تنويه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ODE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كأداة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إلزامي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لاحتياجاتها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والفيدرالية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الأمريكيين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ADA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والمادة</w:t>
      </w:r>
      <w:r w:rsidDel="00000000" w:rsidR="00000000" w:rsidRPr="00000000">
        <w:rPr>
          <w:rtl w:val="1"/>
        </w:rPr>
        <w:t xml:space="preserve"> 504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التأهيل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IDEA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توصي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أوريغون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والتوثيق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توافقها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والفيدرالية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0"/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08" w:top="1008" w:left="1152" w:right="1152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1"/>
      </w:rPr>
      <w:t xml:space="preserve">الاستمارة</w:t>
    </w:r>
    <w:r w:rsidDel="00000000" w:rsidR="00000000" w:rsidRPr="00000000">
      <w:rPr>
        <w:rtl w:val="1"/>
      </w:rPr>
      <w:t xml:space="preserve"> #3 - </w:t>
    </w:r>
    <w:r w:rsidDel="00000000" w:rsidR="00000000" w:rsidRPr="00000000">
      <w:rPr>
        <w:rtl w:val="1"/>
      </w:rPr>
      <w:t xml:space="preserve">تمت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المراجعة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في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يونيو</w:t>
    </w:r>
    <w:r w:rsidDel="00000000" w:rsidR="00000000" w:rsidRPr="00000000">
      <w:rPr>
        <w:rtl w:val="1"/>
      </w:rPr>
      <w:t xml:space="preserve"> 2025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</w:t>
      <w:tab/>
    </w:r>
    <w:r w:rsidDel="00000000" w:rsidR="00000000" w:rsidRPr="00000000">
      <w:rPr>
        <w:rtl w:val="1"/>
      </w:rPr>
      <w:t xml:space="preserve">صفحة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1"/>
      </w:rPr>
      <w:t xml:space="preserve">من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1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936.0" w:type="dxa"/>
      <w:jc w:val="left"/>
      <w:tblBorders>
        <w:top w:color="000000" w:space="0" w:sz="0" w:val="nil"/>
        <w:left w:color="000000" w:space="0" w:sz="0" w:val="nil"/>
        <w:bottom w:color="1b75bc" w:space="0" w:sz="18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10"/>
      <w:gridCol w:w="7926"/>
      <w:tblGridChange w:id="0">
        <w:tblGrid>
          <w:gridCol w:w="2010"/>
          <w:gridCol w:w="792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12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322669" cy="518893"/>
                <wp:effectExtent b="0" l="0" r="0" t="0"/>
                <wp:docPr descr="ODE logo" id="3" name="image1.png"/>
                <a:graphic>
                  <a:graphicData uri="http://schemas.openxmlformats.org/drawingml/2006/picture">
                    <pic:pic>
                      <pic:nvPicPr>
                        <pic:cNvPr descr="ODE logo" id="0" name="image1.png"/>
                        <pic:cNvPicPr preferRelativeResize="0"/>
                      </pic:nvPicPr>
                      <pic:blipFill>
                        <a:blip r:embed="rId1"/>
                        <a:srcRect b="18526" l="8441" r="9257" t="165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1b75bc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المراجعة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المطلوبة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للمعلومات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لتحديد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ما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إذا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كان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من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المناسب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بدء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برنامج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يوم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دراسي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 </w:t>
          </w:r>
          <w:r w:rsidDel="00000000" w:rsidR="00000000" w:rsidRPr="00000000">
            <w:rPr>
              <w:b w:val="1"/>
              <w:color w:val="1b75bc"/>
              <w:sz w:val="32"/>
              <w:szCs w:val="32"/>
              <w:rtl w:val="1"/>
            </w:rPr>
            <w:t xml:space="preserve">مختصر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B2E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B2E2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B2E2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B2E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B2E2B"/>
    <w:rPr>
      <w:rFonts w:ascii="Segoe UI" w:cs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B07A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 w:val="1"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 w:val="1"/>
    <w:uiPriority w:val="99"/>
    <w:semiHidden w:val="1"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4C3EA0D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/YnhXR52a1ba2H8s1celRMGp7A==">CgMxLjA4AHIhMXRuQmU2SnRjbWdIaF9WRnFxTnlOc2JEVHB1VDdUeTMx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2025-08-20T16:28:04+00:00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9219947-F915-45DF-B5EB-EF72E55C8445}"/>
</file>

<file path=customXML/itemProps3.xml><?xml version="1.0" encoding="utf-8"?>
<ds:datastoreItem xmlns:ds="http://schemas.openxmlformats.org/officeDocument/2006/customXml" ds:itemID="{303019F9-8740-4271-A888-85AA20316102}"/>
</file>

<file path=customXML/itemProps4.xml><?xml version="1.0" encoding="utf-8"?>
<ds:datastoreItem xmlns:ds="http://schemas.openxmlformats.org/officeDocument/2006/customXml" ds:itemID="{A06D0462-4EDA-4993-9B90-EEB92019AE0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 Eric * ODE</dc:creator>
  <dcterms:created xsi:type="dcterms:W3CDTF">2025-06-02T17:24:00Z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