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-72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عزيزي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عزيزتي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بالتبني</w:t>
      </w:r>
      <w:r w:rsidDel="00000000" w:rsidR="00000000" w:rsidRPr="00000000">
        <w:rPr>
          <w:rtl w:val="1"/>
        </w:rPr>
        <w:t xml:space="preserve">]،</w:t>
        <w:br w:type="textWrapping"/>
        <w:br w:type="textWrapping"/>
      </w:r>
      <w:r w:rsidDel="00000000" w:rsidR="00000000" w:rsidRPr="00000000">
        <w:rPr>
          <w:rtl w:val="1"/>
        </w:rPr>
        <w:t xml:space="preserve">حان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بطالبكم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تتطلبه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نلتقي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نشارككم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التذكيرات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:</w:t>
        <w:br w:type="textWrapping"/>
        <w:br w:type="textWrapping"/>
        <w:t xml:space="preserve">-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سنناقش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لطالبكم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ينبغي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الحضور</w:t>
      </w:r>
      <w:r w:rsidDel="00000000" w:rsidR="00000000" w:rsidRPr="00000000">
        <w:rPr>
          <w:rtl w:val="1"/>
        </w:rPr>
        <w:t xml:space="preserve">.</w:t>
        <w:br w:type="textWrapping"/>
        <w:br w:type="textWrapping"/>
        <w:t xml:space="preserve">-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].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.</w:t>
        <w:br w:type="textWrapping"/>
        <w:br w:type="textWrapping"/>
        <w:t xml:space="preserve">-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العودة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.</w:t>
        <w:br w:type="textWrapping"/>
        <w:br w:type="textWrapping"/>
        <w:t xml:space="preserve">-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منتظم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تقويمي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بوتيرة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أقل</w:t>
      </w:r>
      <w:r w:rsidDel="00000000" w:rsidR="00000000" w:rsidRPr="00000000">
        <w:rPr>
          <w:rtl w:val="1"/>
        </w:rPr>
        <w:t xml:space="preserve">.</w:t>
        <w:br w:type="textWrapping"/>
        <w:br w:type="textWrapping"/>
        <w:t xml:space="preserve">-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14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تقويمي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حقوقكم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rtl w:val="1"/>
        </w:rPr>
        <w:t xml:space="preserve">].</w:t>
        <w:br w:type="textWrapping"/>
        <w:br w:type="textWrapping"/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،</w:t>
        <w:br w:type="textWrapping"/>
        <w:br w:type="textWrapping"/>
        <w:t xml:space="preserve">[</w:t>
      </w:r>
      <w:r w:rsidDel="00000000" w:rsidR="00000000" w:rsidRPr="00000000">
        <w:rPr>
          <w:rtl w:val="1"/>
        </w:rPr>
        <w:t xml:space="preserve">اسمك</w:t>
      </w:r>
      <w:r w:rsidDel="00000000" w:rsidR="00000000" w:rsidRPr="00000000">
        <w:rPr>
          <w:rtl w:val="1"/>
        </w:rPr>
        <w:t xml:space="preserve">]  </w:t>
        <w:br w:type="textWrapping"/>
        <w:t xml:space="preserve">[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2">
      <w:pPr>
        <w:ind w:left="72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1"/>
        </w:rPr>
        <w:t xml:space="preserve">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بالتبني</w:t>
      </w:r>
      <w:r w:rsidDel="00000000" w:rsidR="00000000" w:rsidRPr="00000000">
        <w:rPr>
          <w:rtl w:val="1"/>
        </w:rPr>
        <w:br w:type="textWrapping"/>
        <w:br w:type="textWrapping"/>
        <w:t xml:space="preserve">□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.</w:t>
        <w:br w:type="textWrapping"/>
        <w:br w:type="textWrapping"/>
        <w:t xml:space="preserve">□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أفهمها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</w:t>
      </w:r>
      <w:r w:rsidDel="00000000" w:rsidR="00000000" w:rsidRPr="00000000">
        <w:rPr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265922967"/>
        <w:tag w:val="goog_rdk_0"/>
      </w:sdtPr>
      <w:sdtContent>
        <w:tbl>
          <w:tblPr>
            <w:tblStyle w:val="Table1"/>
            <w:bidiVisual w:val="1"/>
            <w:tblW w:w="9926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685"/>
            <w:gridCol w:w="285"/>
            <w:gridCol w:w="3731"/>
            <w:gridCol w:w="239"/>
            <w:gridCol w:w="1986"/>
            <w:tblGridChange w:id="0">
              <w:tblGrid>
                <w:gridCol w:w="3685"/>
                <w:gridCol w:w="285"/>
                <w:gridCol w:w="3731"/>
                <w:gridCol w:w="239"/>
                <w:gridCol w:w="1986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3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4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5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6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4" w:val="single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7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8">
                <w:pPr>
                  <w:bidi w:val="1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التوقيع</w:t>
                </w:r>
              </w:p>
            </w:tc>
            <w:tc>
              <w:tcPr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9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A">
                <w:pPr>
                  <w:bidi w:val="1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الاسم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 : (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مطبوع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ً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ا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)</w:t>
                </w:r>
              </w:p>
            </w:tc>
            <w:tc>
              <w:tcPr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B">
                <w:pPr>
                  <w:bidi w:val="1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00C">
                <w:pPr>
                  <w:bidi w:val="1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التاريخ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1"/>
                  </w:rPr>
                  <w:t xml:space="preserve">:</w:t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72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تنويه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المستند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ولاية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أوريغون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ODE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كأداة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مرجعية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لمساعدة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متطلبات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إلزامي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للمناطق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تعديله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لاحتياجاتها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الامتثال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القوانين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والفيدرالية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الأمريكيين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ADA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والمادة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504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قانون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التأهيل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وقانون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الإعاقة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IDEA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توصي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ولاية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أوريغون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تسعى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استشارة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قانونية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التنفيذ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والتوثيق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ببرامج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توافقها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المتطلبات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القانونية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والفيدرالية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  <w:tab/>
      </w:r>
      <w:r w:rsidDel="00000000" w:rsidR="00000000" w:rsidRPr="00000000">
        <w:rPr>
          <w:rtl w:val="0"/>
        </w:rPr>
        <w:t xml:space="preserve">.</w:t>
        <w:br w:type="textWrapping"/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bidi w:val="1"/>
      <w:rPr/>
    </w:pPr>
    <w:r w:rsidDel="00000000" w:rsidR="00000000" w:rsidRPr="00000000">
      <w:rPr>
        <w:rtl w:val="1"/>
      </w:rPr>
      <w:t xml:space="preserve">تمت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المراجعة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في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مايو</w:t>
    </w:r>
    <w:r w:rsidDel="00000000" w:rsidR="00000000" w:rsidRPr="00000000">
      <w:rPr>
        <w:rtl w:val="1"/>
      </w:rPr>
      <w:t xml:space="preserve">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="276" w:lineRule="auto"/>
      <w:rPr>
        <w:rFonts w:ascii="Calibri" w:cs="Calibri" w:eastAsia="Calibri" w:hAnsi="Calibri"/>
        <w:strike w:val="1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936.0" w:type="dxa"/>
      <w:jc w:val="left"/>
      <w:tblBorders>
        <w:top w:color="000000" w:space="0" w:sz="0" w:val="nil"/>
        <w:left w:color="000000" w:space="0" w:sz="0" w:val="nil"/>
        <w:bottom w:color="1b75bc" w:space="0" w:sz="1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10"/>
      <w:gridCol w:w="7926"/>
      <w:tblGridChange w:id="0">
        <w:tblGrid>
          <w:gridCol w:w="2010"/>
          <w:gridCol w:w="792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0">
          <w:pPr>
            <w:tabs>
              <w:tab w:val="center" w:leader="none" w:pos="4680"/>
              <w:tab w:val="right" w:leader="none" w:pos="9360"/>
            </w:tabs>
            <w:spacing w:after="12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1322669" cy="518893"/>
                <wp:effectExtent b="0" l="0" r="0" t="0"/>
                <wp:docPr descr="ODE logo" id="1" name="image1.png"/>
                <a:graphic>
                  <a:graphicData uri="http://schemas.openxmlformats.org/drawingml/2006/picture">
                    <pic:pic>
                      <pic:nvPicPr>
                        <pic:cNvPr descr="ODE logo" id="0" name="image1.png"/>
                        <pic:cNvPicPr preferRelativeResize="0"/>
                      </pic:nvPicPr>
                      <pic:blipFill>
                        <a:blip r:embed="rId1"/>
                        <a:srcRect b="18526" l="8441" r="9257" t="165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1">
          <w:pPr>
            <w:bidi w:val="1"/>
            <w:jc w:val="center"/>
            <w:rPr>
              <w:rFonts w:ascii="Calibri" w:cs="Calibri" w:eastAsia="Calibri" w:hAnsi="Calibri"/>
              <w:b w:val="1"/>
              <w:color w:val="1b75bc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إقرار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ولي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الأمر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بحقوقه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قبل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مراجعة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إمكانية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إدراج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الطالب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يوم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دراسي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1b75bc"/>
              <w:sz w:val="28"/>
              <w:szCs w:val="28"/>
              <w:rtl w:val="1"/>
            </w:rPr>
            <w:t xml:space="preserve">مختصر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4CIGN7DHUwbzgvuqutxjftZePQ==">CgMxLjAaHwoBMBIaChgICVIUChJ0YWJsZS5ueWJhNHhmZGRqa2Q4AHIhMTBENm50bHZRRjV3TjlRd1VHZnZEYUJJWjM0ZTAyQXpv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2025-08-20T16:28:04+00:00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9DEB1C6-E866-4CB0-A491-47FA478AE66E}"/>
</file>

<file path=customXML/itemProps3.xml><?xml version="1.0" encoding="utf-8"?>
<ds:datastoreItem xmlns:ds="http://schemas.openxmlformats.org/officeDocument/2006/customXml" ds:itemID="{BC328191-5827-494D-AEE3-1D1D3AD7B717}"/>
</file>

<file path=customXML/itemProps4.xml><?xml version="1.0" encoding="utf-8"?>
<ds:datastoreItem xmlns:ds="http://schemas.openxmlformats.org/officeDocument/2006/customXml" ds:itemID="{FDAC88F6-1248-44BD-824E-4D65F192B86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2013-12-23T23:15:00Z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