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E3A4D2" w14:textId="77777777" w:rsidR="00544E72" w:rsidRPr="00544E72" w:rsidRDefault="00276291" w:rsidP="00DD2C26">
      <w:pPr>
        <w:pStyle w:val="CoverTitle"/>
      </w:pPr>
      <w:sdt>
        <w:sdtPr>
          <w:alias w:val="Title"/>
          <w:tag w:val=""/>
          <w:id w:val="-1812001609"/>
          <w:placeholder>
            <w:docPart w:val="D38F33F44E4342FFB6207C1EC7F896DC"/>
          </w:placeholder>
          <w:dataBinding w:prefixMappings="xmlns:ns0='http://purl.org/dc/elements/1.1/' xmlns:ns1='http://schemas.openxmlformats.org/package/2006/metadata/core-properties' " w:xpath="/ns1:coreProperties[1]/ns0:title[1]" w:storeItemID="{6C3C8BC8-F283-45AE-878A-BAB7291924A1}"/>
          <w:text/>
        </w:sdtPr>
        <w:sdtEndPr/>
        <w:sdtContent>
          <w:r w:rsidR="003D266D">
            <w:t>School Age: Individual Procedural Compliance Review (PCR)</w:t>
          </w:r>
        </w:sdtContent>
      </w:sdt>
    </w:p>
    <w:sdt>
      <w:sdtPr>
        <w:alias w:val="Subject"/>
        <w:tag w:val=""/>
        <w:id w:val="1687091260"/>
        <w:placeholder>
          <w:docPart w:val="08B5F569DC02480697245E0744F79C89"/>
        </w:placeholder>
        <w:dataBinding w:prefixMappings="xmlns:ns0='http://purl.org/dc/elements/1.1/' xmlns:ns1='http://schemas.openxmlformats.org/package/2006/metadata/core-properties' " w:xpath="/ns1:coreProperties[1]/ns0:subject[1]" w:storeItemID="{6C3C8BC8-F283-45AE-878A-BAB7291924A1}"/>
        <w:text/>
      </w:sdtPr>
      <w:sdtEndPr/>
      <w:sdtContent>
        <w:p w14:paraId="003700CF" w14:textId="7F61557A" w:rsidR="00544E72" w:rsidRPr="00DD2C26" w:rsidRDefault="0070175A" w:rsidP="00DD2C26">
          <w:pPr>
            <w:pStyle w:val="CoveSubheading"/>
          </w:pPr>
          <w:r>
            <w:t xml:space="preserve">SPR&amp;I </w:t>
          </w:r>
          <w:r w:rsidR="00461131">
            <w:t>2019-20</w:t>
          </w:r>
        </w:p>
      </w:sdtContent>
    </w:sdt>
    <w:p w14:paraId="5926A39E" w14:textId="751A0734" w:rsidR="00544E72" w:rsidRPr="00DD2C26" w:rsidRDefault="00912A59" w:rsidP="00DD2C26">
      <w:pPr>
        <w:pStyle w:val="Coverdate"/>
      </w:pPr>
      <w:r>
        <w:t xml:space="preserve">November </w:t>
      </w:r>
      <w:r w:rsidR="00461131">
        <w:t>2019</w:t>
      </w:r>
    </w:p>
    <w:p w14:paraId="3A5FDADD" w14:textId="77777777" w:rsidR="009A4B0A" w:rsidRDefault="00544E72" w:rsidP="009A4B0A">
      <w:r>
        <w:br w:type="page"/>
      </w:r>
    </w:p>
    <w:sdt>
      <w:sdtPr>
        <w:rPr>
          <w:rFonts w:asciiTheme="minorHAnsi" w:eastAsiaTheme="minorHAnsi" w:hAnsiTheme="minorHAnsi" w:cstheme="minorBidi"/>
          <w:color w:val="auto"/>
          <w:sz w:val="21"/>
          <w:szCs w:val="21"/>
        </w:rPr>
        <w:id w:val="-125236288"/>
        <w:docPartObj>
          <w:docPartGallery w:val="Table of Contents"/>
          <w:docPartUnique/>
        </w:docPartObj>
      </w:sdtPr>
      <w:sdtEndPr>
        <w:rPr>
          <w:b/>
          <w:bCs/>
          <w:noProof/>
        </w:rPr>
      </w:sdtEndPr>
      <w:sdtContent>
        <w:p w14:paraId="0A5C18D2" w14:textId="77777777" w:rsidR="006F75CE" w:rsidRDefault="006F75CE">
          <w:pPr>
            <w:pStyle w:val="TOCHeading"/>
          </w:pPr>
          <w:r>
            <w:t>Contents</w:t>
          </w:r>
        </w:p>
        <w:p w14:paraId="5C7A10C1" w14:textId="7E41B277" w:rsidR="00E67CE8" w:rsidRDefault="00092AA8">
          <w:pPr>
            <w:pStyle w:val="TOC1"/>
            <w:rPr>
              <w:rFonts w:eastAsiaTheme="minorEastAsia"/>
              <w:noProof/>
              <w:sz w:val="22"/>
              <w:szCs w:val="22"/>
            </w:rPr>
          </w:pPr>
          <w:r>
            <w:fldChar w:fldCharType="begin"/>
          </w:r>
          <w:r>
            <w:instrText xml:space="preserve"> TOC \o "1-2" \h \z \u </w:instrText>
          </w:r>
          <w:r>
            <w:fldChar w:fldCharType="separate"/>
          </w:r>
          <w:hyperlink w:anchor="_Toc23749866" w:history="1">
            <w:r w:rsidR="00E67CE8" w:rsidRPr="00475F3F">
              <w:rPr>
                <w:rStyle w:val="Hyperlink"/>
                <w:noProof/>
              </w:rPr>
              <w:t>Overview</w:t>
            </w:r>
            <w:r w:rsidR="00E67CE8">
              <w:rPr>
                <w:noProof/>
                <w:webHidden/>
              </w:rPr>
              <w:tab/>
            </w:r>
            <w:r w:rsidR="00E67CE8">
              <w:rPr>
                <w:noProof/>
                <w:webHidden/>
              </w:rPr>
              <w:fldChar w:fldCharType="begin"/>
            </w:r>
            <w:r w:rsidR="00E67CE8">
              <w:rPr>
                <w:noProof/>
                <w:webHidden/>
              </w:rPr>
              <w:instrText xml:space="preserve"> PAGEREF _Toc23749866 \h </w:instrText>
            </w:r>
            <w:r w:rsidR="00E67CE8">
              <w:rPr>
                <w:noProof/>
                <w:webHidden/>
              </w:rPr>
            </w:r>
            <w:r w:rsidR="00E67CE8">
              <w:rPr>
                <w:noProof/>
                <w:webHidden/>
              </w:rPr>
              <w:fldChar w:fldCharType="separate"/>
            </w:r>
            <w:r w:rsidR="00276291">
              <w:rPr>
                <w:noProof/>
                <w:webHidden/>
              </w:rPr>
              <w:t>2</w:t>
            </w:r>
            <w:r w:rsidR="00E67CE8">
              <w:rPr>
                <w:noProof/>
                <w:webHidden/>
              </w:rPr>
              <w:fldChar w:fldCharType="end"/>
            </w:r>
          </w:hyperlink>
        </w:p>
        <w:p w14:paraId="51E1AF21" w14:textId="1EA56D18" w:rsidR="00E67CE8" w:rsidRDefault="00276291">
          <w:pPr>
            <w:pStyle w:val="TOC1"/>
            <w:rPr>
              <w:rFonts w:eastAsiaTheme="minorEastAsia"/>
              <w:noProof/>
              <w:sz w:val="22"/>
              <w:szCs w:val="22"/>
            </w:rPr>
          </w:pPr>
          <w:hyperlink w:anchor="_Toc23749867" w:history="1">
            <w:r w:rsidR="00E67CE8" w:rsidRPr="00475F3F">
              <w:rPr>
                <w:rStyle w:val="Hyperlink"/>
                <w:noProof/>
              </w:rPr>
              <w:t>Reviewing and Recording PCR Data</w:t>
            </w:r>
            <w:r w:rsidR="00E67CE8">
              <w:rPr>
                <w:noProof/>
                <w:webHidden/>
              </w:rPr>
              <w:tab/>
            </w:r>
            <w:r w:rsidR="00E67CE8">
              <w:rPr>
                <w:noProof/>
                <w:webHidden/>
              </w:rPr>
              <w:fldChar w:fldCharType="begin"/>
            </w:r>
            <w:r w:rsidR="00E67CE8">
              <w:rPr>
                <w:noProof/>
                <w:webHidden/>
              </w:rPr>
              <w:instrText xml:space="preserve"> PAGEREF _Toc23749867 \h </w:instrText>
            </w:r>
            <w:r w:rsidR="00E67CE8">
              <w:rPr>
                <w:noProof/>
                <w:webHidden/>
              </w:rPr>
            </w:r>
            <w:r w:rsidR="00E67CE8">
              <w:rPr>
                <w:noProof/>
                <w:webHidden/>
              </w:rPr>
              <w:fldChar w:fldCharType="separate"/>
            </w:r>
            <w:r>
              <w:rPr>
                <w:noProof/>
                <w:webHidden/>
              </w:rPr>
              <w:t>2</w:t>
            </w:r>
            <w:r w:rsidR="00E67CE8">
              <w:rPr>
                <w:noProof/>
                <w:webHidden/>
              </w:rPr>
              <w:fldChar w:fldCharType="end"/>
            </w:r>
          </w:hyperlink>
        </w:p>
        <w:p w14:paraId="5A0857DC" w14:textId="61724C03" w:rsidR="00E67CE8" w:rsidRDefault="00276291">
          <w:pPr>
            <w:pStyle w:val="TOC1"/>
            <w:rPr>
              <w:rFonts w:eastAsiaTheme="minorEastAsia"/>
              <w:noProof/>
              <w:sz w:val="22"/>
              <w:szCs w:val="22"/>
            </w:rPr>
          </w:pPr>
          <w:hyperlink w:anchor="_Toc23749868" w:history="1">
            <w:r w:rsidR="00E67CE8" w:rsidRPr="00475F3F">
              <w:rPr>
                <w:rStyle w:val="Hyperlink"/>
                <w:noProof/>
              </w:rPr>
              <w:t>Corrective Action Guide (CAG)</w:t>
            </w:r>
            <w:r w:rsidR="00E67CE8">
              <w:rPr>
                <w:noProof/>
                <w:webHidden/>
              </w:rPr>
              <w:tab/>
            </w:r>
            <w:r w:rsidR="00E67CE8">
              <w:rPr>
                <w:noProof/>
                <w:webHidden/>
              </w:rPr>
              <w:fldChar w:fldCharType="begin"/>
            </w:r>
            <w:r w:rsidR="00E67CE8">
              <w:rPr>
                <w:noProof/>
                <w:webHidden/>
              </w:rPr>
              <w:instrText xml:space="preserve"> PAGEREF _Toc23749868 \h </w:instrText>
            </w:r>
            <w:r w:rsidR="00E67CE8">
              <w:rPr>
                <w:noProof/>
                <w:webHidden/>
              </w:rPr>
            </w:r>
            <w:r w:rsidR="00E67CE8">
              <w:rPr>
                <w:noProof/>
                <w:webHidden/>
              </w:rPr>
              <w:fldChar w:fldCharType="separate"/>
            </w:r>
            <w:r>
              <w:rPr>
                <w:noProof/>
                <w:webHidden/>
              </w:rPr>
              <w:t>2</w:t>
            </w:r>
            <w:r w:rsidR="00E67CE8">
              <w:rPr>
                <w:noProof/>
                <w:webHidden/>
              </w:rPr>
              <w:fldChar w:fldCharType="end"/>
            </w:r>
          </w:hyperlink>
        </w:p>
        <w:p w14:paraId="0D1F68B8" w14:textId="0523363A" w:rsidR="00E67CE8" w:rsidRDefault="00276291">
          <w:pPr>
            <w:pStyle w:val="TOC1"/>
            <w:rPr>
              <w:rFonts w:eastAsiaTheme="minorEastAsia"/>
              <w:noProof/>
              <w:sz w:val="22"/>
              <w:szCs w:val="22"/>
            </w:rPr>
          </w:pPr>
          <w:hyperlink w:anchor="_Toc23749869" w:history="1">
            <w:r w:rsidR="00E67CE8" w:rsidRPr="00475F3F">
              <w:rPr>
                <w:rStyle w:val="Hyperlink"/>
                <w:noProof/>
              </w:rPr>
              <w:t>Verification Prior to Reviewing File</w:t>
            </w:r>
            <w:r w:rsidR="00E67CE8">
              <w:rPr>
                <w:noProof/>
                <w:webHidden/>
              </w:rPr>
              <w:tab/>
            </w:r>
            <w:r w:rsidR="00E67CE8">
              <w:rPr>
                <w:noProof/>
                <w:webHidden/>
              </w:rPr>
              <w:fldChar w:fldCharType="begin"/>
            </w:r>
            <w:r w:rsidR="00E67CE8">
              <w:rPr>
                <w:noProof/>
                <w:webHidden/>
              </w:rPr>
              <w:instrText xml:space="preserve"> PAGEREF _Toc23749869 \h </w:instrText>
            </w:r>
            <w:r w:rsidR="00E67CE8">
              <w:rPr>
                <w:noProof/>
                <w:webHidden/>
              </w:rPr>
            </w:r>
            <w:r w:rsidR="00E67CE8">
              <w:rPr>
                <w:noProof/>
                <w:webHidden/>
              </w:rPr>
              <w:fldChar w:fldCharType="separate"/>
            </w:r>
            <w:r>
              <w:rPr>
                <w:noProof/>
                <w:webHidden/>
              </w:rPr>
              <w:t>3</w:t>
            </w:r>
            <w:r w:rsidR="00E67CE8">
              <w:rPr>
                <w:noProof/>
                <w:webHidden/>
              </w:rPr>
              <w:fldChar w:fldCharType="end"/>
            </w:r>
          </w:hyperlink>
        </w:p>
        <w:p w14:paraId="09010D80" w14:textId="6F6DD019" w:rsidR="00E67CE8" w:rsidRDefault="00276291">
          <w:pPr>
            <w:pStyle w:val="TOC2"/>
            <w:rPr>
              <w:rFonts w:eastAsiaTheme="minorEastAsia"/>
              <w:noProof/>
              <w:sz w:val="22"/>
              <w:szCs w:val="22"/>
            </w:rPr>
          </w:pPr>
          <w:hyperlink w:anchor="_Toc23749870" w:history="1">
            <w:r w:rsidR="00E67CE8" w:rsidRPr="00475F3F">
              <w:rPr>
                <w:rStyle w:val="Hyperlink"/>
                <w:noProof/>
              </w:rPr>
              <w:t>Lock-In Criteria</w:t>
            </w:r>
            <w:r w:rsidR="00E67CE8">
              <w:rPr>
                <w:noProof/>
                <w:webHidden/>
              </w:rPr>
              <w:tab/>
            </w:r>
            <w:r w:rsidR="00E67CE8">
              <w:rPr>
                <w:noProof/>
                <w:webHidden/>
              </w:rPr>
              <w:fldChar w:fldCharType="begin"/>
            </w:r>
            <w:r w:rsidR="00E67CE8">
              <w:rPr>
                <w:noProof/>
                <w:webHidden/>
              </w:rPr>
              <w:instrText xml:space="preserve"> PAGEREF _Toc23749870 \h </w:instrText>
            </w:r>
            <w:r w:rsidR="00E67CE8">
              <w:rPr>
                <w:noProof/>
                <w:webHidden/>
              </w:rPr>
            </w:r>
            <w:r w:rsidR="00E67CE8">
              <w:rPr>
                <w:noProof/>
                <w:webHidden/>
              </w:rPr>
              <w:fldChar w:fldCharType="separate"/>
            </w:r>
            <w:r>
              <w:rPr>
                <w:noProof/>
                <w:webHidden/>
              </w:rPr>
              <w:t>3</w:t>
            </w:r>
            <w:r w:rsidR="00E67CE8">
              <w:rPr>
                <w:noProof/>
                <w:webHidden/>
              </w:rPr>
              <w:fldChar w:fldCharType="end"/>
            </w:r>
          </w:hyperlink>
        </w:p>
        <w:p w14:paraId="086F92E3" w14:textId="2BF37968" w:rsidR="00E67CE8" w:rsidRDefault="00276291">
          <w:pPr>
            <w:pStyle w:val="TOC2"/>
            <w:rPr>
              <w:rFonts w:eastAsiaTheme="minorEastAsia"/>
              <w:noProof/>
              <w:sz w:val="22"/>
              <w:szCs w:val="22"/>
            </w:rPr>
          </w:pPr>
          <w:hyperlink w:anchor="_Toc23749871" w:history="1">
            <w:r w:rsidR="00E67CE8" w:rsidRPr="00475F3F">
              <w:rPr>
                <w:rStyle w:val="Hyperlink"/>
                <w:noProof/>
              </w:rPr>
              <w:t>Notes on lock-in items (A-L):</w:t>
            </w:r>
            <w:r w:rsidR="00E67CE8">
              <w:rPr>
                <w:noProof/>
                <w:webHidden/>
              </w:rPr>
              <w:tab/>
            </w:r>
            <w:r w:rsidR="00E67CE8">
              <w:rPr>
                <w:noProof/>
                <w:webHidden/>
              </w:rPr>
              <w:fldChar w:fldCharType="begin"/>
            </w:r>
            <w:r w:rsidR="00E67CE8">
              <w:rPr>
                <w:noProof/>
                <w:webHidden/>
              </w:rPr>
              <w:instrText xml:space="preserve"> PAGEREF _Toc23749871 \h </w:instrText>
            </w:r>
            <w:r w:rsidR="00E67CE8">
              <w:rPr>
                <w:noProof/>
                <w:webHidden/>
              </w:rPr>
            </w:r>
            <w:r w:rsidR="00E67CE8">
              <w:rPr>
                <w:noProof/>
                <w:webHidden/>
              </w:rPr>
              <w:fldChar w:fldCharType="separate"/>
            </w:r>
            <w:r>
              <w:rPr>
                <w:noProof/>
                <w:webHidden/>
              </w:rPr>
              <w:t>4</w:t>
            </w:r>
            <w:r w:rsidR="00E67CE8">
              <w:rPr>
                <w:noProof/>
                <w:webHidden/>
              </w:rPr>
              <w:fldChar w:fldCharType="end"/>
            </w:r>
          </w:hyperlink>
        </w:p>
        <w:p w14:paraId="3B62C876" w14:textId="3430336E" w:rsidR="00E67CE8" w:rsidRDefault="00276291">
          <w:pPr>
            <w:pStyle w:val="TOC2"/>
            <w:rPr>
              <w:rFonts w:eastAsiaTheme="minorEastAsia"/>
              <w:noProof/>
              <w:sz w:val="22"/>
              <w:szCs w:val="22"/>
            </w:rPr>
          </w:pPr>
          <w:hyperlink w:anchor="_Toc23749872" w:history="1">
            <w:r w:rsidR="00E67CE8" w:rsidRPr="00475F3F">
              <w:rPr>
                <w:rStyle w:val="Hyperlink"/>
                <w:noProof/>
              </w:rPr>
              <w:t>Eligibility and Census Verification</w:t>
            </w:r>
            <w:r w:rsidR="00E67CE8">
              <w:rPr>
                <w:noProof/>
                <w:webHidden/>
              </w:rPr>
              <w:tab/>
            </w:r>
            <w:r w:rsidR="00E67CE8">
              <w:rPr>
                <w:noProof/>
                <w:webHidden/>
              </w:rPr>
              <w:fldChar w:fldCharType="begin"/>
            </w:r>
            <w:r w:rsidR="00E67CE8">
              <w:rPr>
                <w:noProof/>
                <w:webHidden/>
              </w:rPr>
              <w:instrText xml:space="preserve"> PAGEREF _Toc23749872 \h </w:instrText>
            </w:r>
            <w:r w:rsidR="00E67CE8">
              <w:rPr>
                <w:noProof/>
                <w:webHidden/>
              </w:rPr>
            </w:r>
            <w:r w:rsidR="00E67CE8">
              <w:rPr>
                <w:noProof/>
                <w:webHidden/>
              </w:rPr>
              <w:fldChar w:fldCharType="separate"/>
            </w:r>
            <w:r>
              <w:rPr>
                <w:noProof/>
                <w:webHidden/>
              </w:rPr>
              <w:t>4</w:t>
            </w:r>
            <w:r w:rsidR="00E67CE8">
              <w:rPr>
                <w:noProof/>
                <w:webHidden/>
              </w:rPr>
              <w:fldChar w:fldCharType="end"/>
            </w:r>
          </w:hyperlink>
        </w:p>
        <w:p w14:paraId="57B120F8" w14:textId="698671F3" w:rsidR="00E67CE8" w:rsidRDefault="00276291">
          <w:pPr>
            <w:pStyle w:val="TOC1"/>
            <w:rPr>
              <w:rFonts w:eastAsiaTheme="minorEastAsia"/>
              <w:noProof/>
              <w:sz w:val="22"/>
              <w:szCs w:val="22"/>
            </w:rPr>
          </w:pPr>
          <w:hyperlink w:anchor="_Toc23749873" w:history="1">
            <w:r w:rsidR="00E67CE8" w:rsidRPr="00475F3F">
              <w:rPr>
                <w:rStyle w:val="Hyperlink"/>
                <w:noProof/>
              </w:rPr>
              <w:t>IEP Team Meeting Notice</w:t>
            </w:r>
            <w:r w:rsidR="00E67CE8">
              <w:rPr>
                <w:noProof/>
                <w:webHidden/>
              </w:rPr>
              <w:tab/>
            </w:r>
            <w:r w:rsidR="00E67CE8">
              <w:rPr>
                <w:noProof/>
                <w:webHidden/>
              </w:rPr>
              <w:fldChar w:fldCharType="begin"/>
            </w:r>
            <w:r w:rsidR="00E67CE8">
              <w:rPr>
                <w:noProof/>
                <w:webHidden/>
              </w:rPr>
              <w:instrText xml:space="preserve"> PAGEREF _Toc23749873 \h </w:instrText>
            </w:r>
            <w:r w:rsidR="00E67CE8">
              <w:rPr>
                <w:noProof/>
                <w:webHidden/>
              </w:rPr>
            </w:r>
            <w:r w:rsidR="00E67CE8">
              <w:rPr>
                <w:noProof/>
                <w:webHidden/>
              </w:rPr>
              <w:fldChar w:fldCharType="separate"/>
            </w:r>
            <w:r>
              <w:rPr>
                <w:noProof/>
                <w:webHidden/>
              </w:rPr>
              <w:t>5</w:t>
            </w:r>
            <w:r w:rsidR="00E67CE8">
              <w:rPr>
                <w:noProof/>
                <w:webHidden/>
              </w:rPr>
              <w:fldChar w:fldCharType="end"/>
            </w:r>
          </w:hyperlink>
        </w:p>
        <w:p w14:paraId="414ABC96" w14:textId="37865803" w:rsidR="00E67CE8" w:rsidRDefault="00276291">
          <w:pPr>
            <w:pStyle w:val="TOC2"/>
            <w:rPr>
              <w:rFonts w:eastAsiaTheme="minorEastAsia"/>
              <w:noProof/>
              <w:sz w:val="22"/>
              <w:szCs w:val="22"/>
            </w:rPr>
          </w:pPr>
          <w:hyperlink w:anchor="_Toc23749874" w:history="1">
            <w:r w:rsidR="00E67CE8" w:rsidRPr="00475F3F">
              <w:rPr>
                <w:rStyle w:val="Hyperlink"/>
                <w:noProof/>
              </w:rPr>
              <w:t>Standard 16: Transition Age Student Invited</w:t>
            </w:r>
            <w:r w:rsidR="00E67CE8">
              <w:rPr>
                <w:noProof/>
                <w:webHidden/>
              </w:rPr>
              <w:tab/>
            </w:r>
            <w:r w:rsidR="00E67CE8">
              <w:rPr>
                <w:noProof/>
                <w:webHidden/>
              </w:rPr>
              <w:fldChar w:fldCharType="begin"/>
            </w:r>
            <w:r w:rsidR="00E67CE8">
              <w:rPr>
                <w:noProof/>
                <w:webHidden/>
              </w:rPr>
              <w:instrText xml:space="preserve"> PAGEREF _Toc23749874 \h </w:instrText>
            </w:r>
            <w:r w:rsidR="00E67CE8">
              <w:rPr>
                <w:noProof/>
                <w:webHidden/>
              </w:rPr>
            </w:r>
            <w:r w:rsidR="00E67CE8">
              <w:rPr>
                <w:noProof/>
                <w:webHidden/>
              </w:rPr>
              <w:fldChar w:fldCharType="separate"/>
            </w:r>
            <w:r>
              <w:rPr>
                <w:noProof/>
                <w:webHidden/>
              </w:rPr>
              <w:t>5</w:t>
            </w:r>
            <w:r w:rsidR="00E67CE8">
              <w:rPr>
                <w:noProof/>
                <w:webHidden/>
              </w:rPr>
              <w:fldChar w:fldCharType="end"/>
            </w:r>
          </w:hyperlink>
        </w:p>
        <w:p w14:paraId="6B318EF2" w14:textId="541FB9E7" w:rsidR="00E67CE8" w:rsidRDefault="00276291">
          <w:pPr>
            <w:pStyle w:val="TOC1"/>
            <w:rPr>
              <w:rFonts w:eastAsiaTheme="minorEastAsia"/>
              <w:noProof/>
              <w:sz w:val="22"/>
              <w:szCs w:val="22"/>
            </w:rPr>
          </w:pPr>
          <w:hyperlink w:anchor="_Toc23749875" w:history="1">
            <w:r w:rsidR="00E67CE8" w:rsidRPr="00475F3F">
              <w:rPr>
                <w:rStyle w:val="Hyperlink"/>
                <w:noProof/>
              </w:rPr>
              <w:t>IEP Team Members</w:t>
            </w:r>
            <w:r w:rsidR="00E67CE8">
              <w:rPr>
                <w:noProof/>
                <w:webHidden/>
              </w:rPr>
              <w:tab/>
            </w:r>
            <w:r w:rsidR="00E67CE8">
              <w:rPr>
                <w:noProof/>
                <w:webHidden/>
              </w:rPr>
              <w:fldChar w:fldCharType="begin"/>
            </w:r>
            <w:r w:rsidR="00E67CE8">
              <w:rPr>
                <w:noProof/>
                <w:webHidden/>
              </w:rPr>
              <w:instrText xml:space="preserve"> PAGEREF _Toc23749875 \h </w:instrText>
            </w:r>
            <w:r w:rsidR="00E67CE8">
              <w:rPr>
                <w:noProof/>
                <w:webHidden/>
              </w:rPr>
            </w:r>
            <w:r w:rsidR="00E67CE8">
              <w:rPr>
                <w:noProof/>
                <w:webHidden/>
              </w:rPr>
              <w:fldChar w:fldCharType="separate"/>
            </w:r>
            <w:r>
              <w:rPr>
                <w:noProof/>
                <w:webHidden/>
              </w:rPr>
              <w:t>5</w:t>
            </w:r>
            <w:r w:rsidR="00E67CE8">
              <w:rPr>
                <w:noProof/>
                <w:webHidden/>
              </w:rPr>
              <w:fldChar w:fldCharType="end"/>
            </w:r>
          </w:hyperlink>
        </w:p>
        <w:p w14:paraId="6745CC8D" w14:textId="0A8052C2" w:rsidR="00E67CE8" w:rsidRDefault="00276291">
          <w:pPr>
            <w:pStyle w:val="TOC2"/>
            <w:rPr>
              <w:rFonts w:eastAsiaTheme="minorEastAsia"/>
              <w:noProof/>
              <w:sz w:val="22"/>
              <w:szCs w:val="22"/>
            </w:rPr>
          </w:pPr>
          <w:hyperlink w:anchor="_Toc23749876" w:history="1">
            <w:r w:rsidR="00E67CE8" w:rsidRPr="00475F3F">
              <w:rPr>
                <w:rStyle w:val="Hyperlink"/>
                <w:noProof/>
              </w:rPr>
              <w:t>Standard 22: Agency Participation</w:t>
            </w:r>
            <w:r w:rsidR="00E67CE8">
              <w:rPr>
                <w:noProof/>
                <w:webHidden/>
              </w:rPr>
              <w:tab/>
            </w:r>
            <w:r w:rsidR="00E67CE8">
              <w:rPr>
                <w:noProof/>
                <w:webHidden/>
              </w:rPr>
              <w:fldChar w:fldCharType="begin"/>
            </w:r>
            <w:r w:rsidR="00E67CE8">
              <w:rPr>
                <w:noProof/>
                <w:webHidden/>
              </w:rPr>
              <w:instrText xml:space="preserve"> PAGEREF _Toc23749876 \h </w:instrText>
            </w:r>
            <w:r w:rsidR="00E67CE8">
              <w:rPr>
                <w:noProof/>
                <w:webHidden/>
              </w:rPr>
            </w:r>
            <w:r w:rsidR="00E67CE8">
              <w:rPr>
                <w:noProof/>
                <w:webHidden/>
              </w:rPr>
              <w:fldChar w:fldCharType="separate"/>
            </w:r>
            <w:r>
              <w:rPr>
                <w:noProof/>
                <w:webHidden/>
              </w:rPr>
              <w:t>6</w:t>
            </w:r>
            <w:r w:rsidR="00E67CE8">
              <w:rPr>
                <w:noProof/>
                <w:webHidden/>
              </w:rPr>
              <w:fldChar w:fldCharType="end"/>
            </w:r>
          </w:hyperlink>
        </w:p>
        <w:p w14:paraId="7BC53A20" w14:textId="5787228F" w:rsidR="00E67CE8" w:rsidRDefault="00276291">
          <w:pPr>
            <w:pStyle w:val="TOC1"/>
            <w:rPr>
              <w:rFonts w:eastAsiaTheme="minorEastAsia"/>
              <w:noProof/>
              <w:sz w:val="22"/>
              <w:szCs w:val="22"/>
            </w:rPr>
          </w:pPr>
          <w:hyperlink w:anchor="_Toc23749877" w:history="1">
            <w:r w:rsidR="00E67CE8" w:rsidRPr="00475F3F">
              <w:rPr>
                <w:rStyle w:val="Hyperlink"/>
                <w:noProof/>
              </w:rPr>
              <w:t>IEP Content</w:t>
            </w:r>
            <w:r w:rsidR="00E67CE8">
              <w:rPr>
                <w:noProof/>
                <w:webHidden/>
              </w:rPr>
              <w:tab/>
            </w:r>
            <w:r w:rsidR="00E67CE8">
              <w:rPr>
                <w:noProof/>
                <w:webHidden/>
              </w:rPr>
              <w:fldChar w:fldCharType="begin"/>
            </w:r>
            <w:r w:rsidR="00E67CE8">
              <w:rPr>
                <w:noProof/>
                <w:webHidden/>
              </w:rPr>
              <w:instrText xml:space="preserve"> PAGEREF _Toc23749877 \h </w:instrText>
            </w:r>
            <w:r w:rsidR="00E67CE8">
              <w:rPr>
                <w:noProof/>
                <w:webHidden/>
              </w:rPr>
            </w:r>
            <w:r w:rsidR="00E67CE8">
              <w:rPr>
                <w:noProof/>
                <w:webHidden/>
              </w:rPr>
              <w:fldChar w:fldCharType="separate"/>
            </w:r>
            <w:r>
              <w:rPr>
                <w:noProof/>
                <w:webHidden/>
              </w:rPr>
              <w:t>6</w:t>
            </w:r>
            <w:r w:rsidR="00E67CE8">
              <w:rPr>
                <w:noProof/>
                <w:webHidden/>
              </w:rPr>
              <w:fldChar w:fldCharType="end"/>
            </w:r>
          </w:hyperlink>
        </w:p>
        <w:p w14:paraId="5853D5F5" w14:textId="6ABDF8A3" w:rsidR="00E67CE8" w:rsidRDefault="00276291">
          <w:pPr>
            <w:pStyle w:val="TOC2"/>
            <w:rPr>
              <w:rFonts w:eastAsiaTheme="minorEastAsia"/>
              <w:noProof/>
              <w:sz w:val="22"/>
              <w:szCs w:val="22"/>
            </w:rPr>
          </w:pPr>
          <w:hyperlink w:anchor="_Toc23749878" w:history="1">
            <w:r w:rsidR="00E67CE8" w:rsidRPr="00475F3F">
              <w:rPr>
                <w:rStyle w:val="Hyperlink"/>
                <w:noProof/>
              </w:rPr>
              <w:t>Standard 26: PLAAFP Contains Academic Performance and Functional Performance</w:t>
            </w:r>
            <w:r w:rsidR="00E67CE8">
              <w:rPr>
                <w:noProof/>
                <w:webHidden/>
              </w:rPr>
              <w:tab/>
            </w:r>
            <w:r w:rsidR="00E67CE8">
              <w:rPr>
                <w:noProof/>
                <w:webHidden/>
              </w:rPr>
              <w:fldChar w:fldCharType="begin"/>
            </w:r>
            <w:r w:rsidR="00E67CE8">
              <w:rPr>
                <w:noProof/>
                <w:webHidden/>
              </w:rPr>
              <w:instrText xml:space="preserve"> PAGEREF _Toc23749878 \h </w:instrText>
            </w:r>
            <w:r w:rsidR="00E67CE8">
              <w:rPr>
                <w:noProof/>
                <w:webHidden/>
              </w:rPr>
            </w:r>
            <w:r w:rsidR="00E67CE8">
              <w:rPr>
                <w:noProof/>
                <w:webHidden/>
              </w:rPr>
              <w:fldChar w:fldCharType="separate"/>
            </w:r>
            <w:r>
              <w:rPr>
                <w:noProof/>
                <w:webHidden/>
              </w:rPr>
              <w:t>6</w:t>
            </w:r>
            <w:r w:rsidR="00E67CE8">
              <w:rPr>
                <w:noProof/>
                <w:webHidden/>
              </w:rPr>
              <w:fldChar w:fldCharType="end"/>
            </w:r>
          </w:hyperlink>
        </w:p>
        <w:p w14:paraId="23440D6B" w14:textId="18A55F47" w:rsidR="00E67CE8" w:rsidRDefault="00276291">
          <w:pPr>
            <w:pStyle w:val="TOC2"/>
            <w:rPr>
              <w:rFonts w:eastAsiaTheme="minorEastAsia"/>
              <w:noProof/>
              <w:sz w:val="22"/>
              <w:szCs w:val="22"/>
            </w:rPr>
          </w:pPr>
          <w:hyperlink w:anchor="_Toc23749879" w:history="1">
            <w:r w:rsidR="00E67CE8" w:rsidRPr="00475F3F">
              <w:rPr>
                <w:rStyle w:val="Hyperlink"/>
                <w:noProof/>
              </w:rPr>
              <w:t>Standard 27: PLAAFP Contains AATA and PINS</w:t>
            </w:r>
            <w:r w:rsidR="00E67CE8">
              <w:rPr>
                <w:noProof/>
                <w:webHidden/>
              </w:rPr>
              <w:tab/>
            </w:r>
            <w:r w:rsidR="00E67CE8">
              <w:rPr>
                <w:noProof/>
                <w:webHidden/>
              </w:rPr>
              <w:fldChar w:fldCharType="begin"/>
            </w:r>
            <w:r w:rsidR="00E67CE8">
              <w:rPr>
                <w:noProof/>
                <w:webHidden/>
              </w:rPr>
              <w:instrText xml:space="preserve"> PAGEREF _Toc23749879 \h </w:instrText>
            </w:r>
            <w:r w:rsidR="00E67CE8">
              <w:rPr>
                <w:noProof/>
                <w:webHidden/>
              </w:rPr>
            </w:r>
            <w:r w:rsidR="00E67CE8">
              <w:rPr>
                <w:noProof/>
                <w:webHidden/>
              </w:rPr>
              <w:fldChar w:fldCharType="separate"/>
            </w:r>
            <w:r>
              <w:rPr>
                <w:noProof/>
                <w:webHidden/>
              </w:rPr>
              <w:t>7</w:t>
            </w:r>
            <w:r w:rsidR="00E67CE8">
              <w:rPr>
                <w:noProof/>
                <w:webHidden/>
              </w:rPr>
              <w:fldChar w:fldCharType="end"/>
            </w:r>
          </w:hyperlink>
        </w:p>
        <w:p w14:paraId="04C38D8D" w14:textId="3B371D96" w:rsidR="00E67CE8" w:rsidRDefault="00276291">
          <w:pPr>
            <w:pStyle w:val="TOC2"/>
            <w:rPr>
              <w:rFonts w:eastAsiaTheme="minorEastAsia"/>
              <w:noProof/>
              <w:sz w:val="22"/>
              <w:szCs w:val="22"/>
            </w:rPr>
          </w:pPr>
          <w:hyperlink w:anchor="_Toc23749880" w:history="1">
            <w:r w:rsidR="00E67CE8" w:rsidRPr="00475F3F">
              <w:rPr>
                <w:rStyle w:val="Hyperlink"/>
                <w:noProof/>
              </w:rPr>
              <w:t>Standard 31: Annual Goals</w:t>
            </w:r>
            <w:r w:rsidR="00E67CE8">
              <w:rPr>
                <w:noProof/>
                <w:webHidden/>
              </w:rPr>
              <w:tab/>
            </w:r>
            <w:r w:rsidR="00E67CE8">
              <w:rPr>
                <w:noProof/>
                <w:webHidden/>
              </w:rPr>
              <w:fldChar w:fldCharType="begin"/>
            </w:r>
            <w:r w:rsidR="00E67CE8">
              <w:rPr>
                <w:noProof/>
                <w:webHidden/>
              </w:rPr>
              <w:instrText xml:space="preserve"> PAGEREF _Toc23749880 \h </w:instrText>
            </w:r>
            <w:r w:rsidR="00E67CE8">
              <w:rPr>
                <w:noProof/>
                <w:webHidden/>
              </w:rPr>
            </w:r>
            <w:r w:rsidR="00E67CE8">
              <w:rPr>
                <w:noProof/>
                <w:webHidden/>
              </w:rPr>
              <w:fldChar w:fldCharType="separate"/>
            </w:r>
            <w:r>
              <w:rPr>
                <w:noProof/>
                <w:webHidden/>
              </w:rPr>
              <w:t>7</w:t>
            </w:r>
            <w:r w:rsidR="00E67CE8">
              <w:rPr>
                <w:noProof/>
                <w:webHidden/>
              </w:rPr>
              <w:fldChar w:fldCharType="end"/>
            </w:r>
          </w:hyperlink>
        </w:p>
        <w:p w14:paraId="5D1A1F3B" w14:textId="035B827E" w:rsidR="00E67CE8" w:rsidRDefault="00276291">
          <w:pPr>
            <w:pStyle w:val="TOC2"/>
            <w:rPr>
              <w:rFonts w:eastAsiaTheme="minorEastAsia"/>
              <w:noProof/>
              <w:sz w:val="22"/>
              <w:szCs w:val="22"/>
            </w:rPr>
          </w:pPr>
          <w:hyperlink w:anchor="_Toc23749881" w:history="1">
            <w:r w:rsidR="00E67CE8" w:rsidRPr="00475F3F">
              <w:rPr>
                <w:rStyle w:val="Hyperlink"/>
                <w:noProof/>
              </w:rPr>
              <w:t>Standard 33: Goals Align to Transition Services</w:t>
            </w:r>
            <w:r w:rsidR="00E67CE8">
              <w:rPr>
                <w:noProof/>
                <w:webHidden/>
              </w:rPr>
              <w:tab/>
            </w:r>
            <w:r w:rsidR="00E67CE8">
              <w:rPr>
                <w:noProof/>
                <w:webHidden/>
              </w:rPr>
              <w:fldChar w:fldCharType="begin"/>
            </w:r>
            <w:r w:rsidR="00E67CE8">
              <w:rPr>
                <w:noProof/>
                <w:webHidden/>
              </w:rPr>
              <w:instrText xml:space="preserve"> PAGEREF _Toc23749881 \h </w:instrText>
            </w:r>
            <w:r w:rsidR="00E67CE8">
              <w:rPr>
                <w:noProof/>
                <w:webHidden/>
              </w:rPr>
            </w:r>
            <w:r w:rsidR="00E67CE8">
              <w:rPr>
                <w:noProof/>
                <w:webHidden/>
              </w:rPr>
              <w:fldChar w:fldCharType="separate"/>
            </w:r>
            <w:r>
              <w:rPr>
                <w:noProof/>
                <w:webHidden/>
              </w:rPr>
              <w:t>8</w:t>
            </w:r>
            <w:r w:rsidR="00E67CE8">
              <w:rPr>
                <w:noProof/>
                <w:webHidden/>
              </w:rPr>
              <w:fldChar w:fldCharType="end"/>
            </w:r>
          </w:hyperlink>
        </w:p>
        <w:p w14:paraId="4E2CFF70" w14:textId="5380F2F1" w:rsidR="00E67CE8" w:rsidRDefault="00276291">
          <w:pPr>
            <w:pStyle w:val="TOC2"/>
            <w:rPr>
              <w:rFonts w:eastAsiaTheme="minorEastAsia"/>
              <w:noProof/>
              <w:sz w:val="22"/>
              <w:szCs w:val="22"/>
            </w:rPr>
          </w:pPr>
          <w:hyperlink w:anchor="_Toc23749882" w:history="1">
            <w:r w:rsidR="00E67CE8" w:rsidRPr="00475F3F">
              <w:rPr>
                <w:rStyle w:val="Hyperlink"/>
                <w:noProof/>
              </w:rPr>
              <w:t>Standard 34: Appropriate Post-Secondary Goals</w:t>
            </w:r>
            <w:r w:rsidR="00E67CE8">
              <w:rPr>
                <w:noProof/>
                <w:webHidden/>
              </w:rPr>
              <w:tab/>
            </w:r>
            <w:r w:rsidR="00E67CE8">
              <w:rPr>
                <w:noProof/>
                <w:webHidden/>
              </w:rPr>
              <w:fldChar w:fldCharType="begin"/>
            </w:r>
            <w:r w:rsidR="00E67CE8">
              <w:rPr>
                <w:noProof/>
                <w:webHidden/>
              </w:rPr>
              <w:instrText xml:space="preserve"> PAGEREF _Toc23749882 \h </w:instrText>
            </w:r>
            <w:r w:rsidR="00E67CE8">
              <w:rPr>
                <w:noProof/>
                <w:webHidden/>
              </w:rPr>
            </w:r>
            <w:r w:rsidR="00E67CE8">
              <w:rPr>
                <w:noProof/>
                <w:webHidden/>
              </w:rPr>
              <w:fldChar w:fldCharType="separate"/>
            </w:r>
            <w:r>
              <w:rPr>
                <w:noProof/>
                <w:webHidden/>
              </w:rPr>
              <w:t>8</w:t>
            </w:r>
            <w:r w:rsidR="00E67CE8">
              <w:rPr>
                <w:noProof/>
                <w:webHidden/>
              </w:rPr>
              <w:fldChar w:fldCharType="end"/>
            </w:r>
          </w:hyperlink>
        </w:p>
        <w:p w14:paraId="2F503FD5" w14:textId="121883C3" w:rsidR="00E67CE8" w:rsidRDefault="00276291">
          <w:pPr>
            <w:pStyle w:val="TOC2"/>
            <w:rPr>
              <w:rFonts w:eastAsiaTheme="minorEastAsia"/>
              <w:noProof/>
              <w:sz w:val="22"/>
              <w:szCs w:val="22"/>
            </w:rPr>
          </w:pPr>
          <w:hyperlink w:anchor="_Toc23749883" w:history="1">
            <w:r w:rsidR="00E67CE8" w:rsidRPr="00475F3F">
              <w:rPr>
                <w:rStyle w:val="Hyperlink"/>
                <w:noProof/>
              </w:rPr>
              <w:t>Standard 35: Post-Secondary Goals Updated Annually</w:t>
            </w:r>
            <w:r w:rsidR="00E67CE8">
              <w:rPr>
                <w:noProof/>
                <w:webHidden/>
              </w:rPr>
              <w:tab/>
            </w:r>
            <w:r w:rsidR="00E67CE8">
              <w:rPr>
                <w:noProof/>
                <w:webHidden/>
              </w:rPr>
              <w:fldChar w:fldCharType="begin"/>
            </w:r>
            <w:r w:rsidR="00E67CE8">
              <w:rPr>
                <w:noProof/>
                <w:webHidden/>
              </w:rPr>
              <w:instrText xml:space="preserve"> PAGEREF _Toc23749883 \h </w:instrText>
            </w:r>
            <w:r w:rsidR="00E67CE8">
              <w:rPr>
                <w:noProof/>
                <w:webHidden/>
              </w:rPr>
            </w:r>
            <w:r w:rsidR="00E67CE8">
              <w:rPr>
                <w:noProof/>
                <w:webHidden/>
              </w:rPr>
              <w:fldChar w:fldCharType="separate"/>
            </w:r>
            <w:r>
              <w:rPr>
                <w:noProof/>
                <w:webHidden/>
              </w:rPr>
              <w:t>9</w:t>
            </w:r>
            <w:r w:rsidR="00E67CE8">
              <w:rPr>
                <w:noProof/>
                <w:webHidden/>
              </w:rPr>
              <w:fldChar w:fldCharType="end"/>
            </w:r>
          </w:hyperlink>
        </w:p>
        <w:p w14:paraId="34ADA78B" w14:textId="3D294DE9" w:rsidR="00E67CE8" w:rsidRDefault="00276291">
          <w:pPr>
            <w:pStyle w:val="TOC2"/>
            <w:rPr>
              <w:rFonts w:eastAsiaTheme="minorEastAsia"/>
              <w:noProof/>
              <w:sz w:val="22"/>
              <w:szCs w:val="22"/>
            </w:rPr>
          </w:pPr>
          <w:hyperlink w:anchor="_Toc23749884" w:history="1">
            <w:r w:rsidR="00E67CE8" w:rsidRPr="00475F3F">
              <w:rPr>
                <w:rStyle w:val="Hyperlink"/>
                <w:noProof/>
              </w:rPr>
              <w:t>Standard 36: Transition Services Included</w:t>
            </w:r>
            <w:r w:rsidR="00E67CE8">
              <w:rPr>
                <w:noProof/>
                <w:webHidden/>
              </w:rPr>
              <w:tab/>
            </w:r>
            <w:r w:rsidR="00E67CE8">
              <w:rPr>
                <w:noProof/>
                <w:webHidden/>
              </w:rPr>
              <w:fldChar w:fldCharType="begin"/>
            </w:r>
            <w:r w:rsidR="00E67CE8">
              <w:rPr>
                <w:noProof/>
                <w:webHidden/>
              </w:rPr>
              <w:instrText xml:space="preserve"> PAGEREF _Toc23749884 \h </w:instrText>
            </w:r>
            <w:r w:rsidR="00E67CE8">
              <w:rPr>
                <w:noProof/>
                <w:webHidden/>
              </w:rPr>
            </w:r>
            <w:r w:rsidR="00E67CE8">
              <w:rPr>
                <w:noProof/>
                <w:webHidden/>
              </w:rPr>
              <w:fldChar w:fldCharType="separate"/>
            </w:r>
            <w:r>
              <w:rPr>
                <w:noProof/>
                <w:webHidden/>
              </w:rPr>
              <w:t>10</w:t>
            </w:r>
            <w:r w:rsidR="00E67CE8">
              <w:rPr>
                <w:noProof/>
                <w:webHidden/>
              </w:rPr>
              <w:fldChar w:fldCharType="end"/>
            </w:r>
          </w:hyperlink>
        </w:p>
        <w:p w14:paraId="05015F2F" w14:textId="05ECB159" w:rsidR="00E67CE8" w:rsidRDefault="00276291">
          <w:pPr>
            <w:pStyle w:val="TOC2"/>
            <w:rPr>
              <w:rFonts w:eastAsiaTheme="minorEastAsia"/>
              <w:noProof/>
              <w:sz w:val="22"/>
              <w:szCs w:val="22"/>
            </w:rPr>
          </w:pPr>
          <w:hyperlink w:anchor="_Toc23749885" w:history="1">
            <w:r w:rsidR="00E67CE8" w:rsidRPr="00475F3F">
              <w:rPr>
                <w:rStyle w:val="Hyperlink"/>
                <w:noProof/>
              </w:rPr>
              <w:t>Standard 37: Course of Study</w:t>
            </w:r>
            <w:r w:rsidR="00E67CE8">
              <w:rPr>
                <w:noProof/>
                <w:webHidden/>
              </w:rPr>
              <w:tab/>
            </w:r>
            <w:r w:rsidR="00E67CE8">
              <w:rPr>
                <w:noProof/>
                <w:webHidden/>
              </w:rPr>
              <w:fldChar w:fldCharType="begin"/>
            </w:r>
            <w:r w:rsidR="00E67CE8">
              <w:rPr>
                <w:noProof/>
                <w:webHidden/>
              </w:rPr>
              <w:instrText xml:space="preserve"> PAGEREF _Toc23749885 \h </w:instrText>
            </w:r>
            <w:r w:rsidR="00E67CE8">
              <w:rPr>
                <w:noProof/>
                <w:webHidden/>
              </w:rPr>
            </w:r>
            <w:r w:rsidR="00E67CE8">
              <w:rPr>
                <w:noProof/>
                <w:webHidden/>
              </w:rPr>
              <w:fldChar w:fldCharType="separate"/>
            </w:r>
            <w:r>
              <w:rPr>
                <w:noProof/>
                <w:webHidden/>
              </w:rPr>
              <w:t>10</w:t>
            </w:r>
            <w:r w:rsidR="00E67CE8">
              <w:rPr>
                <w:noProof/>
                <w:webHidden/>
              </w:rPr>
              <w:fldChar w:fldCharType="end"/>
            </w:r>
          </w:hyperlink>
        </w:p>
        <w:p w14:paraId="20AD3FD4" w14:textId="45081A0B" w:rsidR="00E67CE8" w:rsidRDefault="00276291">
          <w:pPr>
            <w:pStyle w:val="TOC1"/>
            <w:rPr>
              <w:rFonts w:eastAsiaTheme="minorEastAsia"/>
              <w:noProof/>
              <w:sz w:val="22"/>
              <w:szCs w:val="22"/>
            </w:rPr>
          </w:pPr>
          <w:hyperlink w:anchor="_Toc23749886" w:history="1">
            <w:r w:rsidR="00E67CE8" w:rsidRPr="00475F3F">
              <w:rPr>
                <w:rStyle w:val="Hyperlink"/>
                <w:noProof/>
              </w:rPr>
              <w:t>Appendix 1: Individual PCR Form</w:t>
            </w:r>
            <w:r w:rsidR="00E67CE8">
              <w:rPr>
                <w:noProof/>
                <w:webHidden/>
              </w:rPr>
              <w:tab/>
            </w:r>
            <w:r w:rsidR="00E67CE8">
              <w:rPr>
                <w:noProof/>
                <w:webHidden/>
              </w:rPr>
              <w:fldChar w:fldCharType="begin"/>
            </w:r>
            <w:r w:rsidR="00E67CE8">
              <w:rPr>
                <w:noProof/>
                <w:webHidden/>
              </w:rPr>
              <w:instrText xml:space="preserve"> PAGEREF _Toc23749886 \h </w:instrText>
            </w:r>
            <w:r w:rsidR="00E67CE8">
              <w:rPr>
                <w:noProof/>
                <w:webHidden/>
              </w:rPr>
            </w:r>
            <w:r w:rsidR="00E67CE8">
              <w:rPr>
                <w:noProof/>
                <w:webHidden/>
              </w:rPr>
              <w:fldChar w:fldCharType="separate"/>
            </w:r>
            <w:r>
              <w:rPr>
                <w:noProof/>
                <w:webHidden/>
              </w:rPr>
              <w:t>12</w:t>
            </w:r>
            <w:r w:rsidR="00E67CE8">
              <w:rPr>
                <w:noProof/>
                <w:webHidden/>
              </w:rPr>
              <w:fldChar w:fldCharType="end"/>
            </w:r>
          </w:hyperlink>
        </w:p>
        <w:p w14:paraId="58B28105" w14:textId="277F5F5C" w:rsidR="006F75CE" w:rsidRDefault="00092AA8">
          <w:r>
            <w:rPr>
              <w:sz w:val="24"/>
              <w:szCs w:val="24"/>
            </w:rPr>
            <w:fldChar w:fldCharType="end"/>
          </w:r>
        </w:p>
      </w:sdtContent>
    </w:sdt>
    <w:p w14:paraId="530C8D48" w14:textId="77777777" w:rsidR="00DB37E8" w:rsidRDefault="00DB37E8">
      <w:pPr>
        <w:rPr>
          <w:rFonts w:asciiTheme="majorHAnsi" w:eastAsiaTheme="majorEastAsia" w:hAnsiTheme="majorHAnsi" w:cstheme="majorBidi"/>
          <w:b/>
          <w:color w:val="1B75BC" w:themeColor="accent1"/>
          <w:sz w:val="44"/>
          <w:szCs w:val="44"/>
        </w:rPr>
      </w:pPr>
      <w:r>
        <w:br w:type="page"/>
      </w:r>
    </w:p>
    <w:p w14:paraId="2394F5A6" w14:textId="77777777" w:rsidR="009A4B0A" w:rsidRDefault="00461131" w:rsidP="00461131">
      <w:pPr>
        <w:pStyle w:val="Heading1"/>
      </w:pPr>
      <w:bookmarkStart w:id="1" w:name="_Toc23749866"/>
      <w:r>
        <w:lastRenderedPageBreak/>
        <w:t>Overview</w:t>
      </w:r>
      <w:bookmarkEnd w:id="1"/>
    </w:p>
    <w:p w14:paraId="24A0A9C3" w14:textId="77777777" w:rsidR="00461131" w:rsidRDefault="00AC3DED" w:rsidP="00461131">
      <w:r w:rsidRPr="00AC3DED">
        <w:t>Districts and programs must conduct special education programs and provide special education services according to applicable federal and state laws and regulations, primarily the Individuals with Disabilities Education Act (IDEA), Part B (34 CFR Part 300), Oregon Revised Statutes (ORS) Chapter 343, and Oregon Administrative Rules (OAR) Chapter 581, Division 15.</w:t>
      </w:r>
    </w:p>
    <w:p w14:paraId="429D6A1E" w14:textId="77777777" w:rsidR="00461131" w:rsidRDefault="00AC3DED" w:rsidP="00CA16C1">
      <w:pPr>
        <w:pStyle w:val="ListParagraph"/>
        <w:numPr>
          <w:ilvl w:val="0"/>
          <w:numId w:val="34"/>
        </w:numPr>
      </w:pPr>
      <w:r w:rsidRPr="00AC3DED">
        <w:t>This form is used to review student file information for compliance with these requirements as one component of the state’s general supervision responsibilities.</w:t>
      </w:r>
      <w:r w:rsidR="00461131" w:rsidRPr="00461131">
        <w:t xml:space="preserve"> </w:t>
      </w:r>
    </w:p>
    <w:p w14:paraId="2BFCD74B" w14:textId="77777777" w:rsidR="00461131" w:rsidRDefault="00AC3DED" w:rsidP="00CA16C1">
      <w:pPr>
        <w:pStyle w:val="ListParagraph"/>
        <w:numPr>
          <w:ilvl w:val="0"/>
          <w:numId w:val="34"/>
        </w:numPr>
      </w:pPr>
      <w:r w:rsidRPr="00AC3DED">
        <w:t>This document contains selected IDEA and OAR requirements, referred to as “compliance standards” or “standards” and file review guidance to help ensure consistent understanding and application of federal and state law, as well. The document also indicates the required corrective action for each standard marked out of compliance.</w:t>
      </w:r>
    </w:p>
    <w:p w14:paraId="1DDC1C49" w14:textId="77777777" w:rsidR="00461131" w:rsidRDefault="00461131" w:rsidP="00CA16C1">
      <w:pPr>
        <w:pStyle w:val="ListParagraph"/>
        <w:numPr>
          <w:ilvl w:val="0"/>
          <w:numId w:val="34"/>
        </w:numPr>
      </w:pPr>
      <w:r w:rsidRPr="00461131">
        <w:t>This form contains standards in each of the following categories:</w:t>
      </w:r>
    </w:p>
    <w:p w14:paraId="6E2B3C47" w14:textId="77777777" w:rsidR="00461131" w:rsidRDefault="00461131" w:rsidP="00CA16C1">
      <w:pPr>
        <w:pStyle w:val="ListParagraph"/>
        <w:numPr>
          <w:ilvl w:val="0"/>
          <w:numId w:val="35"/>
        </w:numPr>
      </w:pPr>
      <w:r>
        <w:t>IEP Meeting Notice</w:t>
      </w:r>
    </w:p>
    <w:p w14:paraId="0BB46D9A" w14:textId="3B071BF5" w:rsidR="00461131" w:rsidRDefault="00AC3DED" w:rsidP="00CA16C1">
      <w:pPr>
        <w:pStyle w:val="ListParagraph"/>
        <w:numPr>
          <w:ilvl w:val="0"/>
          <w:numId w:val="35"/>
        </w:numPr>
      </w:pPr>
      <w:r>
        <w:t>IEP Team</w:t>
      </w:r>
      <w:r w:rsidR="00C34D65">
        <w:t xml:space="preserve"> Members</w:t>
      </w:r>
    </w:p>
    <w:p w14:paraId="23DD7674" w14:textId="77777777" w:rsidR="00461131" w:rsidRDefault="00461131" w:rsidP="00CA16C1">
      <w:pPr>
        <w:pStyle w:val="ListParagraph"/>
        <w:numPr>
          <w:ilvl w:val="0"/>
          <w:numId w:val="35"/>
        </w:numPr>
      </w:pPr>
      <w:r>
        <w:t>IEP Content</w:t>
      </w:r>
    </w:p>
    <w:p w14:paraId="4268D7C8" w14:textId="77777777" w:rsidR="009A4B0A" w:rsidRDefault="00461131" w:rsidP="00234F23">
      <w:pPr>
        <w:pStyle w:val="Heading1"/>
      </w:pPr>
      <w:bookmarkStart w:id="2" w:name="_Toc23749867"/>
      <w:r>
        <w:t>Reviewing and Recording PCR Data</w:t>
      </w:r>
      <w:bookmarkEnd w:id="2"/>
    </w:p>
    <w:p w14:paraId="4B2ADCB6" w14:textId="5F1EEE43" w:rsidR="00461131" w:rsidRDefault="00461131" w:rsidP="00CA16C1">
      <w:pPr>
        <w:pStyle w:val="ListParagraph"/>
        <w:numPr>
          <w:ilvl w:val="0"/>
          <w:numId w:val="3"/>
        </w:numPr>
      </w:pPr>
      <w:r w:rsidRPr="00461131">
        <w:t xml:space="preserve">Lock in students through SPR&amp;I. Only lock in </w:t>
      </w:r>
      <w:r w:rsidR="00AC3DED">
        <w:t xml:space="preserve">and review </w:t>
      </w:r>
      <w:r w:rsidRPr="00461131">
        <w:t xml:space="preserve">students that are </w:t>
      </w:r>
      <w:r w:rsidRPr="00A826F9">
        <w:rPr>
          <w:b/>
          <w:u w:val="single"/>
        </w:rPr>
        <w:t xml:space="preserve">currently IDEA eligible </w:t>
      </w:r>
      <w:r w:rsidR="003019E2" w:rsidRPr="00A826F9">
        <w:rPr>
          <w:b/>
          <w:u w:val="single"/>
        </w:rPr>
        <w:t xml:space="preserve">and </w:t>
      </w:r>
      <w:r w:rsidR="003019E2">
        <w:rPr>
          <w:b/>
          <w:u w:val="single"/>
        </w:rPr>
        <w:t>are</w:t>
      </w:r>
      <w:r w:rsidR="000B5B3B">
        <w:rPr>
          <w:b/>
          <w:u w:val="single"/>
        </w:rPr>
        <w:t xml:space="preserve"> </w:t>
      </w:r>
      <w:r w:rsidRPr="00A826F9">
        <w:rPr>
          <w:b/>
          <w:u w:val="single"/>
        </w:rPr>
        <w:t>currently being served by the district/program</w:t>
      </w:r>
      <w:r w:rsidRPr="00461131">
        <w:t xml:space="preserve">. </w:t>
      </w:r>
    </w:p>
    <w:p w14:paraId="46620FC7" w14:textId="77777777" w:rsidR="00461131" w:rsidRDefault="00AC3DED" w:rsidP="00CA16C1">
      <w:pPr>
        <w:pStyle w:val="ListParagraph"/>
        <w:numPr>
          <w:ilvl w:val="0"/>
          <w:numId w:val="3"/>
        </w:numPr>
      </w:pPr>
      <w:r w:rsidRPr="00AC3DED">
        <w:t>Once a student is locked in, print a file review form for that student using the “Print Blank Form” function. This blank form will have the student’s name and SSID number, and will contain only those standards that apply to the student based on the information prov</w:t>
      </w:r>
      <w:r>
        <w:t>ided during the lock in process</w:t>
      </w:r>
      <w:r w:rsidR="00461131" w:rsidRPr="00461131">
        <w:t xml:space="preserve">. </w:t>
      </w:r>
    </w:p>
    <w:p w14:paraId="3B042115" w14:textId="77777777" w:rsidR="00461131" w:rsidRDefault="00461131" w:rsidP="00CA16C1">
      <w:pPr>
        <w:pStyle w:val="ListParagraph"/>
        <w:numPr>
          <w:ilvl w:val="0"/>
          <w:numId w:val="3"/>
        </w:numPr>
      </w:pPr>
      <w:r w:rsidRPr="00461131">
        <w:t xml:space="preserve">For each standard on the file review form: </w:t>
      </w:r>
    </w:p>
    <w:p w14:paraId="2875E9AA" w14:textId="77777777" w:rsidR="00461131" w:rsidRDefault="00461131" w:rsidP="00CA16C1">
      <w:pPr>
        <w:pStyle w:val="ListParagraph"/>
        <w:numPr>
          <w:ilvl w:val="0"/>
          <w:numId w:val="33"/>
        </w:numPr>
      </w:pPr>
      <w:r w:rsidRPr="00461131">
        <w:t xml:space="preserve">Read the standard. </w:t>
      </w:r>
    </w:p>
    <w:p w14:paraId="4E91D9BA" w14:textId="77777777" w:rsidR="00461131" w:rsidRDefault="00461131" w:rsidP="00CA16C1">
      <w:pPr>
        <w:pStyle w:val="ListParagraph"/>
        <w:numPr>
          <w:ilvl w:val="0"/>
          <w:numId w:val="33"/>
        </w:numPr>
      </w:pPr>
      <w:r w:rsidRPr="00461131">
        <w:t xml:space="preserve">Review guidance included below the standard. </w:t>
      </w:r>
    </w:p>
    <w:p w14:paraId="4C5A8C89" w14:textId="77777777" w:rsidR="00461131" w:rsidRDefault="00461131" w:rsidP="00CA16C1">
      <w:pPr>
        <w:pStyle w:val="ListParagraph"/>
        <w:numPr>
          <w:ilvl w:val="0"/>
          <w:numId w:val="33"/>
        </w:numPr>
      </w:pPr>
      <w:r w:rsidRPr="00461131">
        <w:t xml:space="preserve">Locate required information in the student file and review according to guidance. Some standards require reviewing the </w:t>
      </w:r>
      <w:r w:rsidRPr="00461131">
        <w:rPr>
          <w:b/>
        </w:rPr>
        <w:t>INITIAL</w:t>
      </w:r>
      <w:r w:rsidRPr="00461131">
        <w:t xml:space="preserve"> while some require the </w:t>
      </w:r>
      <w:r w:rsidRPr="00461131">
        <w:rPr>
          <w:b/>
        </w:rPr>
        <w:t>MOST RECENT</w:t>
      </w:r>
      <w:r w:rsidRPr="00461131">
        <w:t xml:space="preserve"> document. </w:t>
      </w:r>
    </w:p>
    <w:p w14:paraId="48CE470D" w14:textId="77777777" w:rsidR="00461131" w:rsidRDefault="00461131" w:rsidP="00CA16C1">
      <w:pPr>
        <w:pStyle w:val="ListParagraph"/>
        <w:numPr>
          <w:ilvl w:val="0"/>
          <w:numId w:val="33"/>
        </w:numPr>
      </w:pPr>
      <w:r w:rsidRPr="00461131">
        <w:t>Rate each standard by marking the appropriate response:</w:t>
      </w:r>
    </w:p>
    <w:p w14:paraId="2C888B0D" w14:textId="77777777" w:rsidR="00461131" w:rsidRDefault="00461131" w:rsidP="00CA16C1">
      <w:pPr>
        <w:pStyle w:val="ListParagraph"/>
        <w:numPr>
          <w:ilvl w:val="1"/>
          <w:numId w:val="33"/>
        </w:numPr>
      </w:pPr>
      <w:r>
        <w:t>Yes (Meets Requirement)</w:t>
      </w:r>
    </w:p>
    <w:p w14:paraId="0D4B3696" w14:textId="77777777" w:rsidR="00461131" w:rsidRDefault="00461131" w:rsidP="00CA16C1">
      <w:pPr>
        <w:pStyle w:val="ListParagraph"/>
        <w:numPr>
          <w:ilvl w:val="1"/>
          <w:numId w:val="33"/>
        </w:numPr>
      </w:pPr>
      <w:r>
        <w:t>No (Does Not Meet Requirement)</w:t>
      </w:r>
    </w:p>
    <w:p w14:paraId="1979C933" w14:textId="77777777" w:rsidR="00461131" w:rsidRDefault="00461131" w:rsidP="00CA16C1">
      <w:pPr>
        <w:pStyle w:val="ListParagraph"/>
        <w:numPr>
          <w:ilvl w:val="1"/>
          <w:numId w:val="33"/>
        </w:numPr>
      </w:pPr>
      <w:r>
        <w:t>N/A (Not Applicable)</w:t>
      </w:r>
    </w:p>
    <w:p w14:paraId="70285F8C" w14:textId="77777777" w:rsidR="00461131" w:rsidRDefault="00461131" w:rsidP="00CA16C1">
      <w:pPr>
        <w:pStyle w:val="ListParagraph"/>
        <w:numPr>
          <w:ilvl w:val="0"/>
          <w:numId w:val="33"/>
        </w:numPr>
        <w:rPr>
          <w:b/>
          <w:sz w:val="24"/>
          <w:szCs w:val="24"/>
        </w:rPr>
      </w:pPr>
      <w:r w:rsidRPr="00461131">
        <w:t>Include an explanatory comment for every standard</w:t>
      </w:r>
      <w:r>
        <w:t xml:space="preserve"> identified as No or N/A.</w:t>
      </w:r>
      <w:r w:rsidRPr="009A4B0A">
        <w:rPr>
          <w:b/>
          <w:sz w:val="24"/>
          <w:szCs w:val="24"/>
        </w:rPr>
        <w:t xml:space="preserve"> </w:t>
      </w:r>
    </w:p>
    <w:p w14:paraId="57E67CA3" w14:textId="77777777" w:rsidR="00461131" w:rsidRDefault="00461131" w:rsidP="00461131">
      <w:pPr>
        <w:pStyle w:val="Heading1"/>
      </w:pPr>
      <w:bookmarkStart w:id="3" w:name="_Toc23749868"/>
      <w:r>
        <w:t>Corrective Action Guide (CAG)</w:t>
      </w:r>
      <w:bookmarkEnd w:id="3"/>
    </w:p>
    <w:p w14:paraId="40485FF1" w14:textId="77777777" w:rsidR="00461131" w:rsidRDefault="00461131" w:rsidP="00CA16C1">
      <w:pPr>
        <w:pStyle w:val="ListParagraph"/>
        <w:numPr>
          <w:ilvl w:val="0"/>
          <w:numId w:val="4"/>
        </w:numPr>
      </w:pPr>
      <w:r w:rsidRPr="00461131">
        <w:t xml:space="preserve">Noncompliance </w:t>
      </w:r>
      <w:r w:rsidRPr="00AC3DED">
        <w:rPr>
          <w:b/>
          <w:u w:val="single"/>
        </w:rPr>
        <w:t>must always</w:t>
      </w:r>
      <w:r w:rsidRPr="00461131">
        <w:t xml:space="preserve"> be corrected </w:t>
      </w:r>
      <w:r w:rsidRPr="00AC3DED">
        <w:rPr>
          <w:b/>
          <w:u w:val="single"/>
        </w:rPr>
        <w:t>as soon as possible</w:t>
      </w:r>
      <w:r w:rsidRPr="00461131">
        <w:t xml:space="preserve">. </w:t>
      </w:r>
    </w:p>
    <w:p w14:paraId="33957B84" w14:textId="77777777" w:rsidR="00461131" w:rsidRDefault="00AC3DED" w:rsidP="00CA16C1">
      <w:pPr>
        <w:pStyle w:val="ListParagraph"/>
        <w:numPr>
          <w:ilvl w:val="0"/>
          <w:numId w:val="4"/>
        </w:numPr>
      </w:pPr>
      <w:r w:rsidRPr="00AC3DED">
        <w:t>Whenever possible, noncompliance must be corrected at the individual student file level. In addition, ODE requires evidence of current compliance through additional file reviews.</w:t>
      </w:r>
      <w:r w:rsidR="00461131" w:rsidRPr="00461131">
        <w:t xml:space="preserve"> </w:t>
      </w:r>
    </w:p>
    <w:p w14:paraId="08B03E10" w14:textId="77777777" w:rsidR="00461131" w:rsidRDefault="00AC3DED" w:rsidP="00CA16C1">
      <w:pPr>
        <w:pStyle w:val="ListParagraph"/>
        <w:numPr>
          <w:ilvl w:val="0"/>
          <w:numId w:val="4"/>
        </w:numPr>
      </w:pPr>
      <w:r w:rsidRPr="00AC3DED">
        <w:lastRenderedPageBreak/>
        <w:t>Some noncompliance cannot be corrected (e.g., missed timelines, student no longer eligible, student moved out of district, student graduated with a regular diploma). In those cases, additional files need to be reviewed to establish evidence of current compliance.</w:t>
      </w:r>
    </w:p>
    <w:p w14:paraId="6C49ADBF" w14:textId="77777777" w:rsidR="00461131" w:rsidRDefault="00AC3DED" w:rsidP="00CA16C1">
      <w:pPr>
        <w:pStyle w:val="ListParagraph"/>
        <w:numPr>
          <w:ilvl w:val="0"/>
          <w:numId w:val="4"/>
        </w:numPr>
      </w:pPr>
      <w:r w:rsidRPr="00AC3DED">
        <w:t xml:space="preserve">To establish correction and current compliance, the additional files reviewed must include files where the evidence of compliance occurs </w:t>
      </w:r>
      <w:r w:rsidRPr="00AC3DED">
        <w:rPr>
          <w:b/>
        </w:rPr>
        <w:t>after</w:t>
      </w:r>
      <w:r w:rsidRPr="00AC3DED">
        <w:t xml:space="preserve"> the noncompliance reported in the initial student file review.</w:t>
      </w:r>
      <w:r w:rsidR="00461131" w:rsidRPr="00461131">
        <w:t xml:space="preserve"> </w:t>
      </w:r>
    </w:p>
    <w:p w14:paraId="619B7298" w14:textId="77777777" w:rsidR="00461131" w:rsidRDefault="00AC3DED" w:rsidP="00CA16C1">
      <w:pPr>
        <w:pStyle w:val="ListParagraph"/>
        <w:numPr>
          <w:ilvl w:val="0"/>
          <w:numId w:val="4"/>
        </w:numPr>
      </w:pPr>
      <w:r w:rsidRPr="00AC3DED">
        <w:t>In cases where noncompliance occurred in a previous district, the current district has a responsibility to ensure the current file is complete and compliant at the time of student transfer. If the file is not compliant at the time of student transfer, the current district must take appropriate action to make the file complaint as soon as possible.</w:t>
      </w:r>
      <w:r w:rsidR="00461131" w:rsidRPr="00461131">
        <w:t xml:space="preserve"> </w:t>
      </w:r>
    </w:p>
    <w:p w14:paraId="238814F3" w14:textId="77777777" w:rsidR="00461131" w:rsidRDefault="00AC3DED" w:rsidP="00CA16C1">
      <w:pPr>
        <w:pStyle w:val="ListParagraph"/>
        <w:numPr>
          <w:ilvl w:val="0"/>
          <w:numId w:val="4"/>
        </w:numPr>
      </w:pPr>
      <w:r w:rsidRPr="00AC3DED">
        <w:t>If further noncompliance is identified during the additional file review process, the noncompliance is considered systemic and additional follow-up is required.</w:t>
      </w:r>
      <w:r w:rsidR="00461131" w:rsidRPr="00461131">
        <w:t xml:space="preserve"> </w:t>
      </w:r>
    </w:p>
    <w:p w14:paraId="36987F0D" w14:textId="77777777" w:rsidR="00461131" w:rsidRPr="007B39F8" w:rsidRDefault="00461131" w:rsidP="00461131">
      <w:r w:rsidRPr="00461131">
        <w:t xml:space="preserve">In the case of </w:t>
      </w:r>
      <w:r w:rsidRPr="007B39F8">
        <w:rPr>
          <w:b/>
        </w:rPr>
        <w:t>systemic noncompliance</w:t>
      </w:r>
      <w:r w:rsidRPr="00461131">
        <w:t xml:space="preserve"> (&gt;33% of files out on any single standard </w:t>
      </w:r>
      <w:r w:rsidRPr="00BF2163">
        <w:rPr>
          <w:b/>
          <w:i/>
        </w:rPr>
        <w:t>or</w:t>
      </w:r>
      <w:r w:rsidRPr="00461131">
        <w:t xml:space="preserve"> additional noncompliance found </w:t>
      </w:r>
      <w:r w:rsidRPr="007B39F8">
        <w:t xml:space="preserve">through additional file review), ODE requires LEAs to: </w:t>
      </w:r>
    </w:p>
    <w:p w14:paraId="134EE839" w14:textId="77777777" w:rsidR="00461131" w:rsidRPr="007B39F8" w:rsidRDefault="00BF2163" w:rsidP="00CA16C1">
      <w:pPr>
        <w:pStyle w:val="ListParagraph"/>
        <w:numPr>
          <w:ilvl w:val="0"/>
          <w:numId w:val="5"/>
        </w:numPr>
      </w:pPr>
      <w:r w:rsidRPr="00BF2163">
        <w:t>Report required corrective action and date corrected in SPR&amp;I for standards that can be corrected at the individual student file level</w:t>
      </w:r>
      <w:r w:rsidR="00461131" w:rsidRPr="007B39F8">
        <w:t xml:space="preserve">; </w:t>
      </w:r>
    </w:p>
    <w:p w14:paraId="552F85A8" w14:textId="77777777" w:rsidR="00461131" w:rsidRPr="007B39F8" w:rsidRDefault="00BF2163" w:rsidP="00CA16C1">
      <w:pPr>
        <w:pStyle w:val="ListParagraph"/>
        <w:numPr>
          <w:ilvl w:val="0"/>
          <w:numId w:val="5"/>
        </w:numPr>
      </w:pPr>
      <w:r w:rsidRPr="00BF2163">
        <w:t>Conduct an analysis of the cause(s) for the noncompliance and choose appropriate intervention</w:t>
      </w:r>
      <w:r w:rsidR="00461131" w:rsidRPr="007B39F8">
        <w:t xml:space="preserve">; </w:t>
      </w:r>
    </w:p>
    <w:p w14:paraId="1B276BA7" w14:textId="77777777" w:rsidR="00461131" w:rsidRPr="007B39F8" w:rsidRDefault="00BF2163" w:rsidP="00CA16C1">
      <w:pPr>
        <w:pStyle w:val="ListParagraph"/>
        <w:numPr>
          <w:ilvl w:val="0"/>
          <w:numId w:val="5"/>
        </w:numPr>
      </w:pPr>
      <w:r w:rsidRPr="00BF2163">
        <w:t>Document the projected and actual dates of completion of the intervention in SPR&amp;I</w:t>
      </w:r>
      <w:r w:rsidR="00461131" w:rsidRPr="007B39F8">
        <w:t xml:space="preserve">; </w:t>
      </w:r>
    </w:p>
    <w:p w14:paraId="5259B58A" w14:textId="77777777" w:rsidR="00461131" w:rsidRPr="007B39F8" w:rsidRDefault="00BF2163" w:rsidP="00CA16C1">
      <w:pPr>
        <w:pStyle w:val="ListParagraph"/>
        <w:numPr>
          <w:ilvl w:val="0"/>
          <w:numId w:val="5"/>
        </w:numPr>
      </w:pPr>
      <w:r w:rsidRPr="00BF2163">
        <w:t>Conduct a second review of files on the same standard where the evidence of compliance occurs after intervention; and</w:t>
      </w:r>
      <w:r>
        <w:t>,</w:t>
      </w:r>
      <w:r w:rsidR="00461131" w:rsidRPr="007B39F8">
        <w:t xml:space="preserve"> </w:t>
      </w:r>
    </w:p>
    <w:p w14:paraId="56966119" w14:textId="77777777" w:rsidR="00461131" w:rsidRPr="007B39F8" w:rsidRDefault="00BF2163" w:rsidP="00CA16C1">
      <w:pPr>
        <w:pStyle w:val="ListParagraph"/>
        <w:numPr>
          <w:ilvl w:val="0"/>
          <w:numId w:val="5"/>
        </w:numPr>
      </w:pPr>
      <w:r w:rsidRPr="00BF2163">
        <w:t>Report number of compliant files in SPR&amp;I - must be 100% of files reviewed after intervention for ODE to verify correction.</w:t>
      </w:r>
      <w:r w:rsidR="00461131" w:rsidRPr="007B39F8">
        <w:t xml:space="preserve"> </w:t>
      </w:r>
    </w:p>
    <w:p w14:paraId="6217E07C" w14:textId="77777777" w:rsidR="007B39F8" w:rsidRPr="007B39F8" w:rsidRDefault="007B39F8" w:rsidP="007B39F8">
      <w:r w:rsidRPr="007B39F8">
        <w:t xml:space="preserve">In the case of </w:t>
      </w:r>
      <w:r w:rsidRPr="007B39F8">
        <w:rPr>
          <w:b/>
        </w:rPr>
        <w:t>non-systemic noncompliance</w:t>
      </w:r>
      <w:r w:rsidRPr="007B39F8">
        <w:t xml:space="preserve"> (&lt;33% of files show noncompliance for any single standard)</w:t>
      </w:r>
      <w:r>
        <w:t>,</w:t>
      </w:r>
      <w:r w:rsidRPr="007B39F8">
        <w:t xml:space="preserve"> ODE requires LEAs to:</w:t>
      </w:r>
    </w:p>
    <w:p w14:paraId="490BDE2C" w14:textId="77777777" w:rsidR="007B39F8" w:rsidRPr="007B39F8" w:rsidRDefault="00BF2163" w:rsidP="00CA16C1">
      <w:pPr>
        <w:pStyle w:val="ListParagraph"/>
        <w:numPr>
          <w:ilvl w:val="0"/>
          <w:numId w:val="5"/>
        </w:numPr>
      </w:pPr>
      <w:r w:rsidRPr="00BF2163">
        <w:t>Report the required corrective action and the date it was corrected in SPR&amp;I for standards that can be corrected at the individual file level; and,</w:t>
      </w:r>
    </w:p>
    <w:p w14:paraId="675711C1" w14:textId="77777777" w:rsidR="00461131" w:rsidRPr="005A29B1" w:rsidRDefault="007B39F8" w:rsidP="00CA16C1">
      <w:pPr>
        <w:pStyle w:val="ListParagraph"/>
        <w:numPr>
          <w:ilvl w:val="0"/>
          <w:numId w:val="5"/>
        </w:numPr>
        <w:rPr>
          <w:b/>
        </w:rPr>
      </w:pPr>
      <w:r w:rsidRPr="007B39F8">
        <w:t>For all standards with noncompliance, including those that cannot be corrected at the individual</w:t>
      </w:r>
      <w:r w:rsidR="00BF2163">
        <w:t xml:space="preserve"> student</w:t>
      </w:r>
      <w:r w:rsidRPr="007B39F8">
        <w:t xml:space="preserve"> file level,</w:t>
      </w:r>
      <w:r>
        <w:t xml:space="preserve"> conduct an analysis for the ca</w:t>
      </w:r>
      <w:r w:rsidRPr="007B39F8">
        <w:t>u</w:t>
      </w:r>
      <w:r>
        <w:t>s</w:t>
      </w:r>
      <w:r w:rsidRPr="007B39F8">
        <w:t>e(s) of</w:t>
      </w:r>
      <w:r>
        <w:t xml:space="preserve"> </w:t>
      </w:r>
      <w:r w:rsidRPr="007B39F8">
        <w:t>noncompliance and review additional files</w:t>
      </w:r>
      <w:r>
        <w:rPr>
          <w:rStyle w:val="FootnoteReference"/>
        </w:rPr>
        <w:footnoteReference w:id="1"/>
      </w:r>
      <w:r w:rsidRPr="007B39F8">
        <w:t xml:space="preserve">. Report the SSID and compliance status for each additional file reviewed </w:t>
      </w:r>
      <w:r>
        <w:t>i</w:t>
      </w:r>
      <w:r w:rsidRPr="007B39F8">
        <w:t>n the SPR&amp;I database.</w:t>
      </w:r>
    </w:p>
    <w:p w14:paraId="1250F5CD" w14:textId="77777777" w:rsidR="00BF2163" w:rsidRDefault="00BF2163" w:rsidP="005A29B1">
      <w:pPr>
        <w:pStyle w:val="Heading1"/>
      </w:pPr>
      <w:bookmarkStart w:id="4" w:name="_Toc23749869"/>
      <w:r>
        <w:t>Verification Prior to Reviewing File</w:t>
      </w:r>
      <w:bookmarkEnd w:id="4"/>
    </w:p>
    <w:p w14:paraId="46F28766" w14:textId="77777777" w:rsidR="00BF2163" w:rsidRPr="00BF2163" w:rsidRDefault="00BF2163" w:rsidP="00BF2163">
      <w:pPr>
        <w:rPr>
          <w:i/>
        </w:rPr>
      </w:pPr>
      <w:r w:rsidRPr="00BF2163">
        <w:rPr>
          <w:i/>
        </w:rPr>
        <w:t>OAR 581-015-2010 (Census and Data Reporting); OAR 581-015-2120 (Determination of Eligibility); OAR 581-015-2200 (Content of IEP); OAR 581-015-2220 (When IEPs Must be in Effect)</w:t>
      </w:r>
    </w:p>
    <w:p w14:paraId="61412A4C" w14:textId="77777777" w:rsidR="00BF2163" w:rsidRDefault="00BF2163" w:rsidP="00BF2163">
      <w:pPr>
        <w:pStyle w:val="Heading2"/>
      </w:pPr>
      <w:bookmarkStart w:id="5" w:name="_Toc23749870"/>
      <w:r>
        <w:t>Lock-In Criteria</w:t>
      </w:r>
      <w:bookmarkEnd w:id="5"/>
    </w:p>
    <w:p w14:paraId="1C008213" w14:textId="77777777" w:rsidR="00BF2163" w:rsidRDefault="00BF2163" w:rsidP="00CA16C1">
      <w:pPr>
        <w:pStyle w:val="ListParagraph"/>
        <w:numPr>
          <w:ilvl w:val="0"/>
          <w:numId w:val="7"/>
        </w:numPr>
      </w:pPr>
      <w:r>
        <w:t>List the Student’s SSID and disability code: _________________/________</w:t>
      </w:r>
    </w:p>
    <w:p w14:paraId="5A8ACBEC" w14:textId="77777777" w:rsidR="00BF2163" w:rsidRDefault="00BF2163" w:rsidP="00CA16C1">
      <w:pPr>
        <w:pStyle w:val="ListParagraph"/>
        <w:numPr>
          <w:ilvl w:val="0"/>
          <w:numId w:val="7"/>
        </w:numPr>
      </w:pPr>
      <w:r>
        <w:lastRenderedPageBreak/>
        <w:t>List the student’s date of birth: ____________</w:t>
      </w:r>
    </w:p>
    <w:p w14:paraId="19BDFF58" w14:textId="77777777" w:rsidR="00BF2163" w:rsidRDefault="00BF2163" w:rsidP="00CA16C1">
      <w:pPr>
        <w:pStyle w:val="ListParagraph"/>
        <w:numPr>
          <w:ilvl w:val="0"/>
          <w:numId w:val="7"/>
        </w:numPr>
      </w:pPr>
      <w:r>
        <w:t xml:space="preserve">List the date range of the current IEP in effect and used for the review: </w:t>
      </w:r>
      <w:r>
        <w:br/>
        <w:t>Start date: ______/______ End date: ________/____</w:t>
      </w:r>
    </w:p>
    <w:p w14:paraId="28F987F2" w14:textId="77777777" w:rsidR="00BF2163" w:rsidRDefault="00BF2163" w:rsidP="00CA16C1">
      <w:pPr>
        <w:pStyle w:val="ListParagraph"/>
        <w:numPr>
          <w:ilvl w:val="0"/>
          <w:numId w:val="7"/>
        </w:numPr>
      </w:pPr>
      <w:r>
        <w:t>List the student’s current grade (for the IEP in effect at the time of review, not census year grade): ____________</w:t>
      </w:r>
    </w:p>
    <w:p w14:paraId="07E11281" w14:textId="77777777" w:rsidR="00BF2163" w:rsidRDefault="00BF2163" w:rsidP="00CA16C1">
      <w:pPr>
        <w:pStyle w:val="ListParagraph"/>
        <w:numPr>
          <w:ilvl w:val="0"/>
          <w:numId w:val="7"/>
        </w:numPr>
      </w:pPr>
      <w:r>
        <w:t>Has the student been reevaluated (3 year reevaluation) since initial eligibility? O Yes O No</w:t>
      </w:r>
    </w:p>
    <w:p w14:paraId="608F8C31" w14:textId="77777777" w:rsidR="00BF2163" w:rsidRDefault="00BF2163" w:rsidP="00CA16C1">
      <w:pPr>
        <w:pStyle w:val="ListParagraph"/>
        <w:numPr>
          <w:ilvl w:val="0"/>
          <w:numId w:val="7"/>
        </w:numPr>
      </w:pPr>
      <w:r>
        <w:t>Did the district establish current eligibility? O Yes O No</w:t>
      </w:r>
    </w:p>
    <w:p w14:paraId="7E022FE1" w14:textId="77777777" w:rsidR="00BF2163" w:rsidRDefault="00BF2163" w:rsidP="00CA16C1">
      <w:pPr>
        <w:pStyle w:val="ListParagraph"/>
        <w:numPr>
          <w:ilvl w:val="0"/>
          <w:numId w:val="7"/>
        </w:numPr>
      </w:pPr>
      <w:r>
        <w:t>Did the student transfer into district from another Oregon district with eligibility? O Yes O No</w:t>
      </w:r>
    </w:p>
    <w:p w14:paraId="34F3C326" w14:textId="77777777" w:rsidR="00BF2163" w:rsidRDefault="00BF2163" w:rsidP="00CA16C1">
      <w:pPr>
        <w:pStyle w:val="ListParagraph"/>
        <w:numPr>
          <w:ilvl w:val="0"/>
          <w:numId w:val="7"/>
        </w:numPr>
      </w:pPr>
      <w:r>
        <w:t>Did the student transfer from out of state with eligibility? If yes, district must have established Oregon eligibility since the transfer. O Yes O No</w:t>
      </w:r>
    </w:p>
    <w:p w14:paraId="06925EC0" w14:textId="77777777" w:rsidR="00BF2163" w:rsidRDefault="00BF2163" w:rsidP="00CA16C1">
      <w:pPr>
        <w:pStyle w:val="ListParagraph"/>
        <w:numPr>
          <w:ilvl w:val="0"/>
          <w:numId w:val="7"/>
        </w:numPr>
      </w:pPr>
      <w:r>
        <w:t>Will the student be taking all general assessments? O Yes O No</w:t>
      </w:r>
    </w:p>
    <w:p w14:paraId="3849AC57" w14:textId="77777777" w:rsidR="00BF2163" w:rsidRDefault="00BF2163" w:rsidP="00CA16C1">
      <w:pPr>
        <w:pStyle w:val="ListParagraph"/>
        <w:numPr>
          <w:ilvl w:val="0"/>
          <w:numId w:val="7"/>
        </w:numPr>
      </w:pPr>
      <w:r>
        <w:t>Will the student be taking all alternate assessments? O Yes O No</w:t>
      </w:r>
    </w:p>
    <w:p w14:paraId="7D654F1B" w14:textId="77777777" w:rsidR="00BF2163" w:rsidRDefault="00BF2163" w:rsidP="00CA16C1">
      <w:pPr>
        <w:pStyle w:val="ListParagraph"/>
        <w:numPr>
          <w:ilvl w:val="0"/>
          <w:numId w:val="7"/>
        </w:numPr>
      </w:pPr>
      <w:r>
        <w:t>Will the student be taking a mix of general and alternate assessments? O Yes O No</w:t>
      </w:r>
    </w:p>
    <w:p w14:paraId="3298C648" w14:textId="77777777" w:rsidR="00BF2163" w:rsidRDefault="00BF2163" w:rsidP="00CA16C1">
      <w:pPr>
        <w:pStyle w:val="ListParagraph"/>
        <w:numPr>
          <w:ilvl w:val="0"/>
          <w:numId w:val="7"/>
        </w:numPr>
      </w:pPr>
      <w:r>
        <w:t>For the IEP in effect at the time of review, is this an initial IEP (1st year IEP)? O Yes O No</w:t>
      </w:r>
    </w:p>
    <w:p w14:paraId="29FB7B38" w14:textId="77777777" w:rsidR="00BF2163" w:rsidRDefault="00BF2163" w:rsidP="00BF2163">
      <w:pPr>
        <w:pStyle w:val="Heading2"/>
      </w:pPr>
      <w:bookmarkStart w:id="6" w:name="_Toc23749871"/>
      <w:r>
        <w:t>Notes on lock-in items (A-</w:t>
      </w:r>
      <w:r w:rsidR="005B1268">
        <w:t>L</w:t>
      </w:r>
      <w:r>
        <w:t>):</w:t>
      </w:r>
      <w:bookmarkEnd w:id="6"/>
    </w:p>
    <w:p w14:paraId="2FB2DCA0" w14:textId="77777777" w:rsidR="00BF2163" w:rsidRDefault="00BF2163" w:rsidP="00CA16C1">
      <w:pPr>
        <w:pStyle w:val="ListParagraph"/>
        <w:numPr>
          <w:ilvl w:val="0"/>
          <w:numId w:val="8"/>
        </w:numPr>
      </w:pPr>
      <w:r>
        <w:t>Items A and B will be populated in SPR&amp;I by the system since this information comes directly from the SECC.</w:t>
      </w:r>
    </w:p>
    <w:p w14:paraId="7BC6B253" w14:textId="77777777" w:rsidR="00BF2163" w:rsidRDefault="00BF2163" w:rsidP="00CA16C1">
      <w:pPr>
        <w:pStyle w:val="ListParagraph"/>
        <w:numPr>
          <w:ilvl w:val="0"/>
          <w:numId w:val="8"/>
        </w:numPr>
      </w:pPr>
      <w:r>
        <w:t>Item C is used with Item B to determine if transition standards apply to the student (e.g., if the student will turn 16 while the current IEP is in effect).</w:t>
      </w:r>
    </w:p>
    <w:p w14:paraId="10B40FF1" w14:textId="77777777" w:rsidR="00BF2163" w:rsidRDefault="00BF2163" w:rsidP="00CA16C1">
      <w:pPr>
        <w:pStyle w:val="ListParagraph"/>
        <w:numPr>
          <w:ilvl w:val="0"/>
          <w:numId w:val="8"/>
        </w:numPr>
      </w:pPr>
      <w:r>
        <w:t>Item D is used to determine if assessment standards apply for the current IEP in effect. Assessment grades include 3-8 and 11.</w:t>
      </w:r>
    </w:p>
    <w:p w14:paraId="66D458B4" w14:textId="77777777" w:rsidR="00BF2163" w:rsidRDefault="00BF2163" w:rsidP="00CA16C1">
      <w:pPr>
        <w:pStyle w:val="ListParagraph"/>
        <w:numPr>
          <w:ilvl w:val="0"/>
          <w:numId w:val="8"/>
        </w:numPr>
      </w:pPr>
      <w:r>
        <w:t>Item E is used to determine if the standard for the three year reevaluation applies.</w:t>
      </w:r>
    </w:p>
    <w:p w14:paraId="7B5BEE84" w14:textId="77777777" w:rsidR="00BF2163" w:rsidRDefault="00BF2163" w:rsidP="00CA16C1">
      <w:pPr>
        <w:pStyle w:val="ListParagraph"/>
        <w:numPr>
          <w:ilvl w:val="0"/>
          <w:numId w:val="8"/>
        </w:numPr>
      </w:pPr>
      <w:r>
        <w:t>Items F, G and H are used to determine if the current district is responsible for noncompliance during the initial evaluation-eligibility process, or if it occurred in a previous district.</w:t>
      </w:r>
    </w:p>
    <w:p w14:paraId="10DA4B32" w14:textId="77777777" w:rsidR="00BF2163" w:rsidRPr="00BF2163" w:rsidRDefault="00BF2163" w:rsidP="00CA16C1">
      <w:pPr>
        <w:pStyle w:val="ListParagraph"/>
        <w:numPr>
          <w:ilvl w:val="0"/>
          <w:numId w:val="8"/>
        </w:numPr>
        <w:rPr>
          <w:b/>
        </w:rPr>
      </w:pPr>
      <w:r w:rsidRPr="00BF2163">
        <w:rPr>
          <w:b/>
        </w:rPr>
        <w:t>In cases where noncompliance occurred in a previous district, the current district has a responsibility to ensure the file is complete and compliant at the time of transfer. If not, the district must take appropriate action to make it compliant.</w:t>
      </w:r>
    </w:p>
    <w:p w14:paraId="21837FC7" w14:textId="77777777" w:rsidR="00BF2163" w:rsidRDefault="00BF2163" w:rsidP="00CA16C1">
      <w:pPr>
        <w:pStyle w:val="ListParagraph"/>
        <w:numPr>
          <w:ilvl w:val="0"/>
          <w:numId w:val="8"/>
        </w:numPr>
      </w:pPr>
      <w:r>
        <w:t>Items I, J, and K are used to determine which assessment standards apply to the student.</w:t>
      </w:r>
    </w:p>
    <w:p w14:paraId="4CC9BB20" w14:textId="77777777" w:rsidR="00BF2163" w:rsidRDefault="00BF2163" w:rsidP="00BF2163">
      <w:pPr>
        <w:pStyle w:val="Heading2"/>
      </w:pPr>
      <w:bookmarkStart w:id="7" w:name="_Toc23749872"/>
      <w:r>
        <w:t>Eligibility and Census Verification</w:t>
      </w:r>
      <w:bookmarkEnd w:id="7"/>
    </w:p>
    <w:p w14:paraId="721C9F8D" w14:textId="77777777" w:rsidR="00326501" w:rsidRDefault="00326501" w:rsidP="00326501">
      <w:r>
        <w:t>The student file being reviewed includes each of the following:</w:t>
      </w:r>
    </w:p>
    <w:p w14:paraId="4F21D7C3" w14:textId="77777777" w:rsidR="00326501" w:rsidRDefault="00326501" w:rsidP="00CA16C1">
      <w:pPr>
        <w:pStyle w:val="ListParagraph"/>
        <w:numPr>
          <w:ilvl w:val="0"/>
          <w:numId w:val="9"/>
        </w:numPr>
      </w:pPr>
      <w:r>
        <w:t>Documentation that the student was enrolled in the district on December 1st of the census review year;</w:t>
      </w:r>
    </w:p>
    <w:p w14:paraId="605F3146" w14:textId="77777777" w:rsidR="00326501" w:rsidRDefault="00326501" w:rsidP="00CA16C1">
      <w:pPr>
        <w:pStyle w:val="ListParagraph"/>
        <w:numPr>
          <w:ilvl w:val="0"/>
          <w:numId w:val="9"/>
        </w:numPr>
      </w:pPr>
      <w:r>
        <w:t>A statement of Oregon eligibility, signed by an Eligibility Team, that was in effect on December 1st of the census review year;</w:t>
      </w:r>
    </w:p>
    <w:p w14:paraId="3EF237AD" w14:textId="77777777" w:rsidR="00326501" w:rsidRDefault="00326501" w:rsidP="00CA16C1">
      <w:pPr>
        <w:pStyle w:val="ListParagraph"/>
        <w:numPr>
          <w:ilvl w:val="0"/>
          <w:numId w:val="9"/>
        </w:numPr>
      </w:pPr>
      <w:r>
        <w:t>An Oregon Individualized Education Program (IEP) that was in effect on December 1st of the census review year;</w:t>
      </w:r>
    </w:p>
    <w:p w14:paraId="6D4EBB3E" w14:textId="77777777" w:rsidR="00326501" w:rsidRDefault="00326501" w:rsidP="00CA16C1">
      <w:pPr>
        <w:pStyle w:val="ListParagraph"/>
        <w:numPr>
          <w:ilvl w:val="0"/>
          <w:numId w:val="9"/>
        </w:numPr>
      </w:pPr>
      <w:r>
        <w:t>The IEP in effect on December 1st of the census review year contained specially designed instruction; and,</w:t>
      </w:r>
    </w:p>
    <w:p w14:paraId="007219BC" w14:textId="77777777" w:rsidR="00326501" w:rsidRDefault="00326501" w:rsidP="00CA16C1">
      <w:pPr>
        <w:pStyle w:val="ListParagraph"/>
        <w:numPr>
          <w:ilvl w:val="0"/>
          <w:numId w:val="9"/>
        </w:numPr>
      </w:pPr>
      <w:r>
        <w:t xml:space="preserve">The student is </w:t>
      </w:r>
      <w:r w:rsidRPr="00326501">
        <w:rPr>
          <w:b/>
        </w:rPr>
        <w:t>still enrolled</w:t>
      </w:r>
      <w:r>
        <w:t xml:space="preserve"> in the district and </w:t>
      </w:r>
      <w:r w:rsidRPr="00326501">
        <w:rPr>
          <w:b/>
        </w:rPr>
        <w:t>eligible</w:t>
      </w:r>
      <w:r>
        <w:t xml:space="preserve"> for special education at the time of review.</w:t>
      </w:r>
    </w:p>
    <w:p w14:paraId="3451FD77" w14:textId="77777777" w:rsidR="00326501" w:rsidRPr="00326501" w:rsidRDefault="00326501" w:rsidP="00CA16C1">
      <w:pPr>
        <w:pStyle w:val="ListParagraph"/>
        <w:numPr>
          <w:ilvl w:val="0"/>
          <w:numId w:val="9"/>
        </w:numPr>
        <w:rPr>
          <w:b/>
        </w:rPr>
      </w:pPr>
      <w:r w:rsidRPr="00326501">
        <w:rPr>
          <w:b/>
        </w:rPr>
        <w:lastRenderedPageBreak/>
        <w:t>If the answer is "No" to any one of these, the file should not be reviewed and an alternate file must be selected for review, except for LTCT, YCEP, and JDEP programs. Because these programs specialize in the temporary placement of students, the student files must still be reviewed. Mark "yes" for LTCT, YCEP, and JDEP student files and enter the student information in order to complete the lock-in process even when the student was not enrolled in the district on December 1st of the census review year.</w:t>
      </w:r>
    </w:p>
    <w:p w14:paraId="4875929A" w14:textId="77777777" w:rsidR="00326501" w:rsidRDefault="00326501" w:rsidP="00CA16C1">
      <w:pPr>
        <w:pStyle w:val="ListParagraph"/>
        <w:numPr>
          <w:ilvl w:val="0"/>
          <w:numId w:val="9"/>
        </w:numPr>
      </w:pPr>
      <w:r>
        <w:t xml:space="preserve">NOTE: For compliance purposes, the </w:t>
      </w:r>
      <w:r w:rsidRPr="00326501">
        <w:rPr>
          <w:b/>
        </w:rPr>
        <w:t>CURRENT</w:t>
      </w:r>
      <w:r>
        <w:t xml:space="preserve"> IEP in effect must be used for the PCR review, not the IEP in effect during the December 1st SECC census.</w:t>
      </w:r>
    </w:p>
    <w:p w14:paraId="6185F127" w14:textId="77777777" w:rsidR="00326501" w:rsidRDefault="00326501" w:rsidP="00326501">
      <w:pPr>
        <w:pStyle w:val="Heading3"/>
      </w:pPr>
      <w:r>
        <w:t>Guidance</w:t>
      </w:r>
    </w:p>
    <w:p w14:paraId="6A81472C" w14:textId="77777777" w:rsidR="00326501" w:rsidRDefault="00326501" w:rsidP="00326501">
      <w:r w:rsidRPr="00326501">
        <w:t>Documentation for students enrolled in the district but receiving services outside of the district may include: Inter-district Agreements, contact logs showing that tutoring was being provided, and attendance reports from service providers (e.g., state or regional programs).</w:t>
      </w:r>
    </w:p>
    <w:p w14:paraId="7C94534C" w14:textId="77777777" w:rsidR="00326501" w:rsidRDefault="00326501" w:rsidP="00326501">
      <w:pPr>
        <w:pStyle w:val="Heading3"/>
      </w:pPr>
      <w:r>
        <w:t>To Replace Student:</w:t>
      </w:r>
    </w:p>
    <w:p w14:paraId="614C9586" w14:textId="77777777" w:rsidR="00326501" w:rsidRDefault="00326501" w:rsidP="00CA16C1">
      <w:pPr>
        <w:pStyle w:val="ListParagraph"/>
        <w:numPr>
          <w:ilvl w:val="0"/>
          <w:numId w:val="10"/>
        </w:numPr>
      </w:pPr>
      <w:r>
        <w:t>Use “replace” function in the SPR&amp;I system</w:t>
      </w:r>
    </w:p>
    <w:p w14:paraId="52112CE4" w14:textId="77777777" w:rsidR="00326501" w:rsidRDefault="00326501" w:rsidP="00CA16C1">
      <w:pPr>
        <w:pStyle w:val="ListParagraph"/>
        <w:numPr>
          <w:ilvl w:val="0"/>
          <w:numId w:val="10"/>
        </w:numPr>
      </w:pPr>
      <w:r>
        <w:t>Select reason for replacement using the drop-down options</w:t>
      </w:r>
    </w:p>
    <w:p w14:paraId="77F4004A" w14:textId="77777777" w:rsidR="00326501" w:rsidRPr="00326501" w:rsidRDefault="00326501" w:rsidP="00CA16C1">
      <w:pPr>
        <w:pStyle w:val="ListParagraph"/>
        <w:numPr>
          <w:ilvl w:val="0"/>
          <w:numId w:val="10"/>
        </w:numPr>
      </w:pPr>
      <w:r>
        <w:t>Contact ODE county contact if you have questions.</w:t>
      </w:r>
    </w:p>
    <w:p w14:paraId="66BC1270" w14:textId="69A21F93" w:rsidR="00931857" w:rsidRDefault="00931857" w:rsidP="009024AF">
      <w:pPr>
        <w:pStyle w:val="Heading1"/>
      </w:pPr>
      <w:bookmarkStart w:id="8" w:name="_Toc23749873"/>
      <w:r>
        <w:t>IEP Team Meeting Notice</w:t>
      </w:r>
      <w:bookmarkEnd w:id="8"/>
    </w:p>
    <w:p w14:paraId="581C40C2" w14:textId="77777777" w:rsidR="004D402B" w:rsidRPr="00741A4C" w:rsidRDefault="004D402B" w:rsidP="004D402B">
      <w:pPr>
        <w:rPr>
          <w:i/>
        </w:rPr>
      </w:pPr>
      <w:r w:rsidRPr="00741A4C">
        <w:rPr>
          <w:i/>
        </w:rPr>
        <w:t>OAR 581-015-2190 (Parent Participation – General); OAR 581-015-2195 (Additional Pa</w:t>
      </w:r>
      <w:r w:rsidR="00741A4C" w:rsidRPr="00741A4C">
        <w:rPr>
          <w:i/>
        </w:rPr>
        <w:t xml:space="preserve">rent Participation Requirements </w:t>
      </w:r>
      <w:r w:rsidRPr="00741A4C">
        <w:rPr>
          <w:i/>
        </w:rPr>
        <w:t>for IEP and Placement Meetings)</w:t>
      </w:r>
    </w:p>
    <w:p w14:paraId="4EED25CC" w14:textId="77777777" w:rsidR="00931857" w:rsidRDefault="00931857" w:rsidP="00931857">
      <w:pPr>
        <w:pStyle w:val="Heading2"/>
      </w:pPr>
      <w:bookmarkStart w:id="9" w:name="_Toc23749874"/>
      <w:r>
        <w:t>Standard 16</w:t>
      </w:r>
      <w:r w:rsidR="00D913F5">
        <w:t>: Transition Age Student Invited</w:t>
      </w:r>
      <w:bookmarkEnd w:id="9"/>
    </w:p>
    <w:p w14:paraId="7ACFDC59" w14:textId="77777777" w:rsidR="004D402B" w:rsidRDefault="004D402B" w:rsidP="004D402B">
      <w:r>
        <w:t xml:space="preserve">Beginning with the first IEP in effect when the student turns </w:t>
      </w:r>
      <w:r w:rsidRPr="00D913F5">
        <w:rPr>
          <w:b/>
        </w:rPr>
        <w:t>16</w:t>
      </w:r>
      <w:r>
        <w:t>, the IEP Team Notice:</w:t>
      </w:r>
    </w:p>
    <w:p w14:paraId="134528FD" w14:textId="77777777" w:rsidR="004D402B" w:rsidRPr="004D402B" w:rsidRDefault="004D402B" w:rsidP="00CA16C1">
      <w:pPr>
        <w:pStyle w:val="ListParagraph"/>
        <w:numPr>
          <w:ilvl w:val="0"/>
          <w:numId w:val="11"/>
        </w:numPr>
      </w:pPr>
      <w:r>
        <w:t>Invited the student; 34 CFR § 300.322</w:t>
      </w:r>
    </w:p>
    <w:p w14:paraId="0D538EEB" w14:textId="77777777" w:rsidR="00931857" w:rsidRDefault="001B1295" w:rsidP="00931857">
      <w:pPr>
        <w:pStyle w:val="Heading3"/>
      </w:pPr>
      <w:r>
        <w:t>Guidance for Standard</w:t>
      </w:r>
    </w:p>
    <w:p w14:paraId="599E7F1F" w14:textId="77777777" w:rsidR="004D402B" w:rsidRDefault="004D402B" w:rsidP="00CA16C1">
      <w:pPr>
        <w:pStyle w:val="ListParagraph"/>
        <w:numPr>
          <w:ilvl w:val="0"/>
          <w:numId w:val="11"/>
        </w:numPr>
      </w:pPr>
      <w:r>
        <w:t xml:space="preserve">Check </w:t>
      </w:r>
      <w:r w:rsidRPr="00D913F5">
        <w:rPr>
          <w:b/>
        </w:rPr>
        <w:t>most recent</w:t>
      </w:r>
      <w:r>
        <w:t xml:space="preserve"> Team Meeting Notice to ensure the student was invited.</w:t>
      </w:r>
    </w:p>
    <w:p w14:paraId="24C34D2C" w14:textId="3A1468F0" w:rsidR="002A5BA2" w:rsidRPr="001D3112" w:rsidRDefault="004D402B" w:rsidP="00F5228D">
      <w:pPr>
        <w:pStyle w:val="ListParagraph"/>
        <w:numPr>
          <w:ilvl w:val="0"/>
          <w:numId w:val="6"/>
        </w:numPr>
      </w:pPr>
      <w:r>
        <w:t>For a student who is 15 and turns 16 while the IEP is in effect, the student must be invited. 34 CFR 300.322(b)(2)</w:t>
      </w:r>
      <w:r w:rsidR="001B1295" w:rsidRPr="001B1295">
        <w:t xml:space="preserve"> </w:t>
      </w:r>
    </w:p>
    <w:p w14:paraId="6706970D" w14:textId="77777777" w:rsidR="00931857" w:rsidRDefault="003D266D" w:rsidP="00931857">
      <w:pPr>
        <w:pStyle w:val="Heading3"/>
      </w:pPr>
      <w:r>
        <w:t>Corrective Action Required for Standard in the Event of Non-Compliance</w:t>
      </w:r>
    </w:p>
    <w:p w14:paraId="02DDA9E3" w14:textId="77777777" w:rsidR="004D402B" w:rsidRPr="004D402B" w:rsidRDefault="004D402B" w:rsidP="00CA16C1">
      <w:pPr>
        <w:pStyle w:val="ListParagraph"/>
        <w:numPr>
          <w:ilvl w:val="0"/>
          <w:numId w:val="12"/>
        </w:numPr>
      </w:pPr>
      <w:r w:rsidRPr="004D402B">
        <w:t>Review additional files where this event occurred after incidence of noncompliance and list in SPR&amp;I compliance status for each.</w:t>
      </w:r>
    </w:p>
    <w:p w14:paraId="0CCB2CFB" w14:textId="6FC575BB" w:rsidR="00931857" w:rsidRDefault="00931857" w:rsidP="00931857">
      <w:pPr>
        <w:pStyle w:val="Heading1"/>
      </w:pPr>
      <w:bookmarkStart w:id="10" w:name="_Toc23749875"/>
      <w:r>
        <w:t>IEP Team Members</w:t>
      </w:r>
      <w:bookmarkEnd w:id="10"/>
    </w:p>
    <w:p w14:paraId="69893F8C" w14:textId="77777777" w:rsidR="00931857" w:rsidRPr="00741A4C" w:rsidRDefault="004D402B" w:rsidP="00931857">
      <w:pPr>
        <w:rPr>
          <w:i/>
        </w:rPr>
      </w:pPr>
      <w:r w:rsidRPr="00741A4C">
        <w:rPr>
          <w:i/>
        </w:rPr>
        <w:t>OAR 581-015-2195 (Additional Parent Participation Requirements for IEP and Placement Meetings); OAR 581-015-2210 (IEP Team)</w:t>
      </w:r>
    </w:p>
    <w:p w14:paraId="5157CEB1" w14:textId="77777777" w:rsidR="00931857" w:rsidRDefault="00931857" w:rsidP="00931857">
      <w:pPr>
        <w:pStyle w:val="Heading2"/>
      </w:pPr>
      <w:bookmarkStart w:id="11" w:name="_Toc23749876"/>
      <w:r>
        <w:lastRenderedPageBreak/>
        <w:t>Standard 22</w:t>
      </w:r>
      <w:r w:rsidR="0065010A">
        <w:t>: Agency Participation</w:t>
      </w:r>
      <w:bookmarkEnd w:id="11"/>
    </w:p>
    <w:p w14:paraId="30A13BFC" w14:textId="77777777" w:rsidR="004D402B" w:rsidRPr="004D402B" w:rsidRDefault="004D402B" w:rsidP="004D402B">
      <w:r w:rsidRPr="004D402B">
        <w:t xml:space="preserve">For transition age students, the </w:t>
      </w:r>
      <w:r w:rsidRPr="0065010A">
        <w:rPr>
          <w:b/>
        </w:rPr>
        <w:t>most recent</w:t>
      </w:r>
      <w:r w:rsidRPr="004D402B">
        <w:t xml:space="preserve"> IEP meeting also included, to the extent appropriate, and with the consent of the parent or adult student, a representative of any participating agency that was likely to be responsible for providing or paying for transition services. 34 CFR § 300.321</w:t>
      </w:r>
    </w:p>
    <w:p w14:paraId="0C8BDA1F" w14:textId="77777777" w:rsidR="00931857" w:rsidRDefault="001B1295" w:rsidP="00931857">
      <w:pPr>
        <w:pStyle w:val="Heading3"/>
      </w:pPr>
      <w:r>
        <w:t>Guidance for Standard</w:t>
      </w:r>
    </w:p>
    <w:p w14:paraId="6C3B9CDE" w14:textId="77777777" w:rsidR="004D402B" w:rsidRDefault="004D402B" w:rsidP="00CA16C1">
      <w:pPr>
        <w:pStyle w:val="ListParagraph"/>
        <w:numPr>
          <w:ilvl w:val="0"/>
          <w:numId w:val="26"/>
        </w:numPr>
      </w:pPr>
      <w:r>
        <w:t xml:space="preserve">Agency participation </w:t>
      </w:r>
      <w:r w:rsidRPr="0065010A">
        <w:rPr>
          <w:b/>
        </w:rPr>
        <w:t>requires the consent</w:t>
      </w:r>
      <w:r>
        <w:t xml:space="preserve"> of the parent (or adult student) </w:t>
      </w:r>
      <w:r w:rsidRPr="0065010A">
        <w:rPr>
          <w:b/>
        </w:rPr>
        <w:t>before</w:t>
      </w:r>
      <w:r>
        <w:t xml:space="preserve"> inviting these representatives. OAR 581-015-2210(2)(b)</w:t>
      </w:r>
    </w:p>
    <w:p w14:paraId="45FDE709" w14:textId="77777777" w:rsidR="004D402B" w:rsidRDefault="004D402B" w:rsidP="00CA16C1">
      <w:pPr>
        <w:pStyle w:val="ListParagraph"/>
        <w:numPr>
          <w:ilvl w:val="0"/>
          <w:numId w:val="13"/>
        </w:numPr>
      </w:pPr>
      <w:r>
        <w:t>This standard does not apply to representatives the parent have invited.</w:t>
      </w:r>
    </w:p>
    <w:p w14:paraId="38951DCF" w14:textId="77777777" w:rsidR="004D402B" w:rsidRDefault="004D402B" w:rsidP="00CA16C1">
      <w:pPr>
        <w:pStyle w:val="ListParagraph"/>
        <w:numPr>
          <w:ilvl w:val="0"/>
          <w:numId w:val="13"/>
        </w:numPr>
      </w:pPr>
      <w:r>
        <w:t>This standard does not apply to YTP transition specialists who are employees of the district or ESD.</w:t>
      </w:r>
    </w:p>
    <w:p w14:paraId="4BA56A5C" w14:textId="77777777" w:rsidR="004D402B" w:rsidRDefault="004D402B" w:rsidP="00CA16C1">
      <w:pPr>
        <w:pStyle w:val="ListParagraph"/>
        <w:numPr>
          <w:ilvl w:val="0"/>
          <w:numId w:val="13"/>
        </w:numPr>
      </w:pPr>
      <w:r>
        <w:t>Check the IEP notice or other correspondence for evidence that an agency representative was invited.</w:t>
      </w:r>
    </w:p>
    <w:p w14:paraId="23EE354C" w14:textId="77777777" w:rsidR="004D402B" w:rsidRDefault="004D402B" w:rsidP="00CA16C1">
      <w:pPr>
        <w:pStyle w:val="ListParagraph"/>
        <w:numPr>
          <w:ilvl w:val="0"/>
          <w:numId w:val="13"/>
        </w:numPr>
      </w:pPr>
      <w:r>
        <w:t>If invited, check student records for written evidence that the parent or adult student consented to the inclusion of the agency representative.</w:t>
      </w:r>
    </w:p>
    <w:p w14:paraId="047F7157" w14:textId="77777777" w:rsidR="004D402B" w:rsidRDefault="004D402B" w:rsidP="00CA16C1">
      <w:pPr>
        <w:pStyle w:val="ListParagraph"/>
        <w:numPr>
          <w:ilvl w:val="0"/>
          <w:numId w:val="13"/>
        </w:numPr>
      </w:pPr>
      <w:r>
        <w:t>Check IEP for evidence that an agency representative attended.</w:t>
      </w:r>
    </w:p>
    <w:p w14:paraId="282BCA15" w14:textId="77777777" w:rsidR="004D402B" w:rsidRPr="0065010A" w:rsidRDefault="004D402B" w:rsidP="00CA16C1">
      <w:pPr>
        <w:pStyle w:val="ListParagraph"/>
        <w:numPr>
          <w:ilvl w:val="0"/>
          <w:numId w:val="13"/>
        </w:numPr>
        <w:rPr>
          <w:b/>
        </w:rPr>
      </w:pPr>
      <w:r w:rsidRPr="0065010A">
        <w:rPr>
          <w:b/>
        </w:rPr>
        <w:t>Mark the standard Yes if the IEP team decided an agency representative was not appropriate.</w:t>
      </w:r>
    </w:p>
    <w:p w14:paraId="32F4594D" w14:textId="77777777" w:rsidR="001B1295" w:rsidRDefault="004D402B" w:rsidP="00CA16C1">
      <w:pPr>
        <w:pStyle w:val="ListParagraph"/>
        <w:numPr>
          <w:ilvl w:val="0"/>
          <w:numId w:val="6"/>
        </w:numPr>
      </w:pPr>
      <w:r w:rsidRPr="0065010A">
        <w:rPr>
          <w:b/>
        </w:rPr>
        <w:t>Mark the standard Yes if the invited agency representative was invited, but failed to attend the meeting</w:t>
      </w:r>
      <w:r>
        <w:t xml:space="preserve"> (district cannot compel their attendance).</w:t>
      </w:r>
      <w:r w:rsidR="001B1295" w:rsidRPr="001B1295">
        <w:t xml:space="preserve"> </w:t>
      </w:r>
    </w:p>
    <w:p w14:paraId="65937672" w14:textId="77777777" w:rsidR="00931857" w:rsidRDefault="003D266D" w:rsidP="00CE1051">
      <w:pPr>
        <w:pStyle w:val="Heading3"/>
      </w:pPr>
      <w:r>
        <w:t>Corrective Action Required for Standard in the Event of Non-Compliance</w:t>
      </w:r>
    </w:p>
    <w:p w14:paraId="6533D44B" w14:textId="77777777" w:rsidR="004D402B" w:rsidRDefault="004D402B" w:rsidP="00CA16C1">
      <w:pPr>
        <w:pStyle w:val="ListParagraph"/>
        <w:numPr>
          <w:ilvl w:val="0"/>
          <w:numId w:val="14"/>
        </w:numPr>
      </w:pPr>
      <w:r>
        <w:t>Reconvene team with required members or gather required documentation. Document in SPR&amp;I the date the team met or documentation gathered.</w:t>
      </w:r>
    </w:p>
    <w:p w14:paraId="10643C22" w14:textId="77777777" w:rsidR="004D402B" w:rsidRPr="004D402B" w:rsidRDefault="004D402B" w:rsidP="00CA16C1">
      <w:pPr>
        <w:pStyle w:val="ListParagraph"/>
        <w:numPr>
          <w:ilvl w:val="0"/>
          <w:numId w:val="14"/>
        </w:numPr>
      </w:pPr>
      <w:r>
        <w:t>Review additional files where this event occurred after incidence of noncompliance and list in SPR&amp;I compliance status for each.</w:t>
      </w:r>
    </w:p>
    <w:p w14:paraId="706393A1" w14:textId="7562924A" w:rsidR="00931857" w:rsidRDefault="00931857" w:rsidP="00931857">
      <w:pPr>
        <w:pStyle w:val="Heading1"/>
      </w:pPr>
      <w:bookmarkStart w:id="12" w:name="_Toc23749877"/>
      <w:r>
        <w:t>IEP Content</w:t>
      </w:r>
      <w:bookmarkEnd w:id="12"/>
    </w:p>
    <w:p w14:paraId="798B9730" w14:textId="0C442669" w:rsidR="00A63F14" w:rsidRPr="00870D7D" w:rsidRDefault="004D402B" w:rsidP="00870D7D">
      <w:pPr>
        <w:rPr>
          <w:i/>
        </w:rPr>
      </w:pPr>
      <w:r w:rsidRPr="00741A4C">
        <w:rPr>
          <w:i/>
        </w:rPr>
        <w:t>OAR 581-015-2200 (Content of IEP); OAR 581-015-2205 (IEP Team Considerations and Special Factors); OAR 581-015-2215 (Oregon Standard IEP); OAR 581-015-2235 (School District and Participating Agency Responsibilities for Transition Services)</w:t>
      </w:r>
    </w:p>
    <w:p w14:paraId="315C8F31" w14:textId="125AE988" w:rsidR="00A63F14" w:rsidRDefault="00A63F14" w:rsidP="00870D7D">
      <w:pPr>
        <w:pStyle w:val="Heading2"/>
      </w:pPr>
      <w:bookmarkStart w:id="13" w:name="_Toc23749878"/>
      <w:r>
        <w:t>Standard 26: PLAAFP Contains Academic Performance and Functional</w:t>
      </w:r>
      <w:r w:rsidR="00E12A0A">
        <w:t xml:space="preserve"> </w:t>
      </w:r>
      <w:r>
        <w:t>Performance</w:t>
      </w:r>
      <w:bookmarkEnd w:id="13"/>
    </w:p>
    <w:p w14:paraId="302C3D20" w14:textId="77777777" w:rsidR="0023564A" w:rsidRPr="00145D51" w:rsidRDefault="0023564A" w:rsidP="00145D51">
      <w:r w:rsidRPr="00145D51">
        <w:t xml:space="preserve">The </w:t>
      </w:r>
      <w:r w:rsidRPr="00145D51">
        <w:rPr>
          <w:b/>
        </w:rPr>
        <w:t>most recent</w:t>
      </w:r>
      <w:r w:rsidRPr="00145D51">
        <w:t xml:space="preserve"> IEP includes a statement of Present Levels of Academic Achievement and Functional Performance including all of the following: </w:t>
      </w:r>
    </w:p>
    <w:p w14:paraId="74E8D095" w14:textId="77777777" w:rsidR="00133EC1" w:rsidRPr="004A584E" w:rsidRDefault="0023564A" w:rsidP="00CA16C1">
      <w:pPr>
        <w:pStyle w:val="ListParagraph"/>
        <w:numPr>
          <w:ilvl w:val="0"/>
          <w:numId w:val="6"/>
        </w:numPr>
      </w:pPr>
      <w:r w:rsidRPr="004A584E">
        <w:t>Input from parent(s) in the areas of academic achievement and functional performance, including concerns for enhancing the education of their child;</w:t>
      </w:r>
    </w:p>
    <w:p w14:paraId="67FEB6C7" w14:textId="77777777" w:rsidR="00D53F25" w:rsidRPr="004A584E" w:rsidRDefault="0023564A" w:rsidP="00CA16C1">
      <w:pPr>
        <w:pStyle w:val="ListParagraph"/>
        <w:numPr>
          <w:ilvl w:val="0"/>
          <w:numId w:val="6"/>
        </w:numPr>
      </w:pPr>
      <w:r w:rsidRPr="004A584E">
        <w:t>Present level of academic performance, including strengths, needs, and how the student’s disability affects involvement and progress in the general education curriculum, and including the student’s most recent performance on State or d</w:t>
      </w:r>
      <w:r w:rsidR="00D53F25" w:rsidRPr="004A584E">
        <w:t>istrict-wide assessments; and</w:t>
      </w:r>
    </w:p>
    <w:p w14:paraId="5BFBF0C3" w14:textId="2A5708F0" w:rsidR="0023564A" w:rsidRPr="004A584E" w:rsidRDefault="0023564A" w:rsidP="00CA16C1">
      <w:pPr>
        <w:pStyle w:val="ListParagraph"/>
        <w:numPr>
          <w:ilvl w:val="0"/>
          <w:numId w:val="6"/>
        </w:numPr>
      </w:pPr>
      <w:r w:rsidRPr="004A584E">
        <w:lastRenderedPageBreak/>
        <w:t>Present level of functional performance, including strengths, needs, and how the student’s disability affects involvement and progress in the general education curriculum, and including the results of the initial or most recen</w:t>
      </w:r>
      <w:r w:rsidR="00D53F25" w:rsidRPr="004A584E">
        <w:t xml:space="preserve">t evaluation. </w:t>
      </w:r>
      <w:r w:rsidR="00D53F25" w:rsidRPr="004A584E">
        <w:rPr>
          <w:rFonts w:cs="Arial"/>
        </w:rPr>
        <w:t>34 CFR §300.320 §300.324</w:t>
      </w:r>
    </w:p>
    <w:p w14:paraId="008B5215" w14:textId="4E557970" w:rsidR="0023564A" w:rsidRPr="00145D51" w:rsidRDefault="00133EC1" w:rsidP="00870D7D">
      <w:pPr>
        <w:pStyle w:val="Heading3"/>
      </w:pPr>
      <w:r w:rsidRPr="00145D51">
        <w:t>Guidance for Standard</w:t>
      </w:r>
    </w:p>
    <w:p w14:paraId="10B7220E" w14:textId="77777777" w:rsidR="008D2E06" w:rsidRDefault="000040BB" w:rsidP="00CA16C1">
      <w:pPr>
        <w:pStyle w:val="ListParagraph"/>
        <w:numPr>
          <w:ilvl w:val="0"/>
          <w:numId w:val="30"/>
        </w:numPr>
      </w:pPr>
      <w:r w:rsidRPr="00145D51">
        <w:t xml:space="preserve">Check the Present Levels of Academic Achievement and Functional Performance to be sure </w:t>
      </w:r>
      <w:r w:rsidRPr="008D2E06">
        <w:rPr>
          <w:b/>
        </w:rPr>
        <w:t>each</w:t>
      </w:r>
      <w:r w:rsidRPr="00145D51">
        <w:t xml:space="preserve"> bullet point above has been included. </w:t>
      </w:r>
    </w:p>
    <w:p w14:paraId="6E7C0B61" w14:textId="5A47D4AF" w:rsidR="000040BB" w:rsidRPr="00145D51" w:rsidRDefault="000040BB" w:rsidP="00CA16C1">
      <w:pPr>
        <w:pStyle w:val="ListParagraph"/>
        <w:numPr>
          <w:ilvl w:val="0"/>
          <w:numId w:val="30"/>
        </w:numPr>
      </w:pPr>
      <w:r w:rsidRPr="00145D51">
        <w:t>If the parent expressed no concerns, a statement of this should be noted in the Present Levels.</w:t>
      </w:r>
    </w:p>
    <w:p w14:paraId="27CD8AD7" w14:textId="77777777" w:rsidR="000040BB" w:rsidRPr="00145D51" w:rsidRDefault="000040BB" w:rsidP="00CA16C1">
      <w:pPr>
        <w:pStyle w:val="ListParagraph"/>
        <w:numPr>
          <w:ilvl w:val="0"/>
          <w:numId w:val="30"/>
        </w:numPr>
      </w:pPr>
      <w:r w:rsidRPr="00145D51">
        <w:t xml:space="preserve">As it relates to “parent input”, mark </w:t>
      </w:r>
      <w:r w:rsidRPr="008D2E06">
        <w:rPr>
          <w:b/>
          <w:bCs/>
        </w:rPr>
        <w:t>Yes</w:t>
      </w:r>
      <w:r w:rsidRPr="00145D51">
        <w:t>, if multiple attempts were made to obtain parent input in the development of the IEP document; attempts should occur in a variety of ways, such as telephone calls and copies of correspondence sent to parent; documentation of the attempts and results of those attempt.</w:t>
      </w:r>
    </w:p>
    <w:p w14:paraId="159D3D63" w14:textId="77777777" w:rsidR="000040BB" w:rsidRDefault="000040BB" w:rsidP="000040BB">
      <w:pPr>
        <w:pStyle w:val="Heading3"/>
      </w:pPr>
      <w:r>
        <w:t>Corrective Action Required for Standard in the Event of Non-Compliance</w:t>
      </w:r>
    </w:p>
    <w:p w14:paraId="2CB8EC8A" w14:textId="77777777" w:rsidR="000040BB" w:rsidRPr="00870D7D" w:rsidRDefault="000040BB" w:rsidP="00CA16C1">
      <w:pPr>
        <w:pStyle w:val="ListParagraph"/>
        <w:numPr>
          <w:ilvl w:val="0"/>
          <w:numId w:val="29"/>
        </w:numPr>
      </w:pPr>
      <w:r w:rsidRPr="00870D7D">
        <w:t>Reconvene IEP team to review and revise IEP, or enter into written agreement with parent to amend IEP without a meeting and revise it.  Document in SPR&amp;I the date IEP was revised (and if written agreement was used, the date parent signed agreement)</w:t>
      </w:r>
    </w:p>
    <w:p w14:paraId="40209641" w14:textId="04BEF490" w:rsidR="000040BB" w:rsidRPr="00870D7D" w:rsidRDefault="000040BB" w:rsidP="00CA16C1">
      <w:pPr>
        <w:pStyle w:val="ListParagraph"/>
        <w:numPr>
          <w:ilvl w:val="0"/>
          <w:numId w:val="29"/>
        </w:numPr>
      </w:pPr>
      <w:r w:rsidRPr="00870D7D">
        <w:t>Review additional files where this event occurred after the incidence of noncompliance and list in SPR&amp;I compliance status for each.</w:t>
      </w:r>
    </w:p>
    <w:p w14:paraId="66E31C99" w14:textId="77777777" w:rsidR="00931857" w:rsidRDefault="00931857" w:rsidP="00931857">
      <w:pPr>
        <w:pStyle w:val="Heading2"/>
      </w:pPr>
      <w:bookmarkStart w:id="14" w:name="_Toc23749879"/>
      <w:r>
        <w:t>Standard 27</w:t>
      </w:r>
      <w:r w:rsidR="0010141C">
        <w:t>: PLAAFP Contains AATA and PINS</w:t>
      </w:r>
      <w:bookmarkEnd w:id="14"/>
    </w:p>
    <w:p w14:paraId="31CD0721" w14:textId="77777777" w:rsidR="004D402B" w:rsidRDefault="004D402B" w:rsidP="004D402B">
      <w:r>
        <w:t xml:space="preserve">For students who turn </w:t>
      </w:r>
      <w:r w:rsidRPr="0010141C">
        <w:rPr>
          <w:b/>
        </w:rPr>
        <w:t>16</w:t>
      </w:r>
      <w:r>
        <w:t xml:space="preserve"> when the </w:t>
      </w:r>
      <w:r w:rsidRPr="0010141C">
        <w:rPr>
          <w:b/>
        </w:rPr>
        <w:t>most recent</w:t>
      </w:r>
      <w:r>
        <w:t xml:space="preserve"> IEP is in effect or who are older than 16, the IEP contains Present Levels of Academic Achievement and Functional Performance including all of the following:</w:t>
      </w:r>
    </w:p>
    <w:p w14:paraId="219745E5" w14:textId="77777777" w:rsidR="004D402B" w:rsidRDefault="004D402B" w:rsidP="00CA16C1">
      <w:pPr>
        <w:pStyle w:val="ListParagraph"/>
        <w:numPr>
          <w:ilvl w:val="0"/>
          <w:numId w:val="15"/>
        </w:numPr>
      </w:pPr>
      <w:r>
        <w:t>results of age-appropriate transition assessments. 34 CFR § 300.320(b)(1)</w:t>
      </w:r>
    </w:p>
    <w:p w14:paraId="436131EA" w14:textId="77777777" w:rsidR="004D402B" w:rsidRPr="004D402B" w:rsidRDefault="004D402B" w:rsidP="00CA16C1">
      <w:pPr>
        <w:pStyle w:val="ListParagraph"/>
        <w:numPr>
          <w:ilvl w:val="0"/>
          <w:numId w:val="15"/>
        </w:numPr>
      </w:pPr>
      <w:r>
        <w:t>student’s preferences, needs, interests, and strengths 34 CFR § 300.43(a)(2)</w:t>
      </w:r>
    </w:p>
    <w:p w14:paraId="3B535C63" w14:textId="77777777" w:rsidR="00931857" w:rsidRDefault="001B1295" w:rsidP="00931857">
      <w:pPr>
        <w:pStyle w:val="Heading3"/>
      </w:pPr>
      <w:r>
        <w:t>Guidance for Standard</w:t>
      </w:r>
    </w:p>
    <w:p w14:paraId="080C0D6C" w14:textId="77777777" w:rsidR="001B1295" w:rsidRDefault="004D402B" w:rsidP="00CA16C1">
      <w:pPr>
        <w:pStyle w:val="ListParagraph"/>
        <w:numPr>
          <w:ilvl w:val="0"/>
          <w:numId w:val="6"/>
        </w:numPr>
      </w:pPr>
      <w:r w:rsidRPr="004D402B">
        <w:t>Review results of age-appropriate transition assessments (e.g. results of interest inventories, interviews, surveys) and review the IEP, meeting minutes or notes, to verify that the student’s preferences and interests are considered.</w:t>
      </w:r>
      <w:r w:rsidR="001B1295" w:rsidRPr="001B1295">
        <w:t xml:space="preserve"> </w:t>
      </w:r>
    </w:p>
    <w:p w14:paraId="49855D08" w14:textId="77777777" w:rsidR="00931857" w:rsidRDefault="003D266D" w:rsidP="00931857">
      <w:pPr>
        <w:pStyle w:val="Heading3"/>
      </w:pPr>
      <w:r>
        <w:t>Corrective Action Required for Standard in the Event of Non-Compliance</w:t>
      </w:r>
    </w:p>
    <w:p w14:paraId="1C4ECCAE" w14:textId="77777777" w:rsidR="004D402B" w:rsidRDefault="004D402B" w:rsidP="00CA16C1">
      <w:pPr>
        <w:pStyle w:val="ListParagraph"/>
        <w:numPr>
          <w:ilvl w:val="0"/>
          <w:numId w:val="16"/>
        </w:numPr>
      </w:pPr>
      <w:r w:rsidRPr="004D402B">
        <w:t xml:space="preserve">Reconvene IEP team to review and revise IEP, or enter into written agreement with parent to amend IEP </w:t>
      </w:r>
      <w:r>
        <w:t>without a meeting and revise IEP. Document in SPR&amp;I the date the IEP was revised (and if written agreement was used, date parent signed agreement)</w:t>
      </w:r>
    </w:p>
    <w:p w14:paraId="160F01B6" w14:textId="5ABCDCFB" w:rsidR="004D402B" w:rsidRDefault="004D402B" w:rsidP="00CA16C1">
      <w:pPr>
        <w:pStyle w:val="ListParagraph"/>
        <w:numPr>
          <w:ilvl w:val="0"/>
          <w:numId w:val="16"/>
        </w:numPr>
      </w:pPr>
      <w:r>
        <w:t>Review additional files where this event occurred after the incidence of noncompliance and list in SPR&amp;I compliance status for each.</w:t>
      </w:r>
    </w:p>
    <w:p w14:paraId="08B40D78" w14:textId="295DD8C3" w:rsidR="007A735D" w:rsidRDefault="007A735D" w:rsidP="007A735D">
      <w:pPr>
        <w:pStyle w:val="Heading2"/>
        <w:rPr>
          <w:highlight w:val="yellow"/>
        </w:rPr>
      </w:pPr>
      <w:bookmarkStart w:id="15" w:name="_Toc23749880"/>
      <w:r>
        <w:t xml:space="preserve">Standard 31: </w:t>
      </w:r>
      <w:r w:rsidR="004C3F36">
        <w:t>Annual Goals</w:t>
      </w:r>
      <w:bookmarkEnd w:id="15"/>
    </w:p>
    <w:p w14:paraId="1A766D71" w14:textId="28DC8AC6" w:rsidR="007A735D" w:rsidRPr="00E70058" w:rsidRDefault="007A735D" w:rsidP="007A735D">
      <w:r w:rsidRPr="00E70058">
        <w:rPr>
          <w:b/>
        </w:rPr>
        <w:t>The most recent</w:t>
      </w:r>
      <w:r w:rsidRPr="00E70058">
        <w:t xml:space="preserve"> IEP contains a statement of measurable Annual Goals including academic &amp; functional goals. </w:t>
      </w:r>
      <w:r w:rsidR="00E70058" w:rsidRPr="00D45709">
        <w:rPr>
          <w:rFonts w:cs="Arial"/>
        </w:rPr>
        <w:t>34 CFR</w:t>
      </w:r>
      <w:r w:rsidR="00E70058" w:rsidRPr="00D45709">
        <w:rPr>
          <w:rFonts w:cs="Arial"/>
          <w:bCs/>
        </w:rPr>
        <w:t xml:space="preserve"> </w:t>
      </w:r>
      <w:r w:rsidR="00E70058" w:rsidRPr="00D45709">
        <w:rPr>
          <w:rFonts w:cs="Arial"/>
        </w:rPr>
        <w:t>§300.320</w:t>
      </w:r>
    </w:p>
    <w:p w14:paraId="675A4A15" w14:textId="08E73F94" w:rsidR="007A735D" w:rsidRPr="007A735D" w:rsidRDefault="007A735D" w:rsidP="007A735D">
      <w:pPr>
        <w:pStyle w:val="Heading3"/>
      </w:pPr>
      <w:r w:rsidRPr="007A735D">
        <w:lastRenderedPageBreak/>
        <w:t>Guidance for Standard</w:t>
      </w:r>
    </w:p>
    <w:p w14:paraId="0DD8ED3C" w14:textId="77777777" w:rsidR="007A735D" w:rsidRPr="007A735D" w:rsidRDefault="007A735D" w:rsidP="007A735D">
      <w:r w:rsidRPr="007A735D">
        <w:t>Check the IEP for annual goals, written in measurable terms that describe what the student can reasonable accomplish in a 12-month period.</w:t>
      </w:r>
    </w:p>
    <w:p w14:paraId="5611D5F6" w14:textId="77777777" w:rsidR="007A735D" w:rsidRPr="007A735D" w:rsidRDefault="007A735D" w:rsidP="00CA16C1">
      <w:pPr>
        <w:pStyle w:val="ListParagraph"/>
        <w:keepLines/>
        <w:numPr>
          <w:ilvl w:val="0"/>
          <w:numId w:val="31"/>
        </w:numPr>
        <w:spacing w:after="0" w:line="240" w:lineRule="auto"/>
        <w:rPr>
          <w:rFonts w:cs="Arial"/>
          <w:bCs/>
          <w:sz w:val="18"/>
          <w:szCs w:val="18"/>
        </w:rPr>
      </w:pPr>
      <w:r w:rsidRPr="007A735D">
        <w:rPr>
          <w:rFonts w:cs="Arial"/>
          <w:bCs/>
          <w:sz w:val="18"/>
          <w:szCs w:val="18"/>
        </w:rPr>
        <w:t xml:space="preserve">Check the IEP for evidence of a direct link between goal(s) and the student’s present levels of academic achievement and functional performance.  </w:t>
      </w:r>
    </w:p>
    <w:p w14:paraId="054A1CEE" w14:textId="77777777" w:rsidR="007A735D" w:rsidRPr="007A735D" w:rsidRDefault="007A735D" w:rsidP="00CA16C1">
      <w:pPr>
        <w:pStyle w:val="ListParagraph"/>
        <w:keepLines/>
        <w:numPr>
          <w:ilvl w:val="0"/>
          <w:numId w:val="31"/>
        </w:numPr>
        <w:spacing w:after="0" w:line="240" w:lineRule="auto"/>
        <w:rPr>
          <w:rFonts w:cs="Arial"/>
          <w:sz w:val="18"/>
          <w:szCs w:val="18"/>
        </w:rPr>
      </w:pPr>
      <w:r w:rsidRPr="007A735D">
        <w:rPr>
          <w:rFonts w:cs="Arial"/>
          <w:sz w:val="18"/>
          <w:szCs w:val="18"/>
        </w:rPr>
        <w:t>The annual goals must relate to meeting student’s needs that result from the disability, meeting the student’s needs to enable involvement in and progress with the general education curriculum, and meet other education needs that result from the disability.</w:t>
      </w:r>
    </w:p>
    <w:p w14:paraId="074492C8" w14:textId="77777777" w:rsidR="007A735D" w:rsidRPr="007A735D" w:rsidRDefault="007A735D" w:rsidP="00CA16C1">
      <w:pPr>
        <w:pStyle w:val="ListParagraph"/>
        <w:keepLines/>
        <w:numPr>
          <w:ilvl w:val="0"/>
          <w:numId w:val="31"/>
        </w:numPr>
        <w:spacing w:after="0" w:line="240" w:lineRule="auto"/>
        <w:rPr>
          <w:rFonts w:cs="Arial"/>
          <w:sz w:val="18"/>
          <w:szCs w:val="18"/>
        </w:rPr>
      </w:pPr>
      <w:r w:rsidRPr="007A735D">
        <w:rPr>
          <w:rFonts w:cs="Arial"/>
          <w:sz w:val="18"/>
          <w:szCs w:val="18"/>
        </w:rPr>
        <w:t>Measurable short-term objectives for students working towards regular achievement standards may be included on the IEP, but are not required.</w:t>
      </w:r>
    </w:p>
    <w:p w14:paraId="1A139132" w14:textId="17024A8A" w:rsidR="003E057E" w:rsidRPr="006F75CE" w:rsidRDefault="003E057E" w:rsidP="003E057E">
      <w:pPr>
        <w:pStyle w:val="Heading3"/>
      </w:pPr>
      <w:r>
        <w:t>Corrective Action Required for Standard in the Event of Non-Compliance</w:t>
      </w:r>
    </w:p>
    <w:p w14:paraId="35629425" w14:textId="77777777" w:rsidR="003E057E" w:rsidRPr="004C3F36" w:rsidRDefault="003E057E" w:rsidP="00CA16C1">
      <w:pPr>
        <w:pStyle w:val="ListParagraph"/>
        <w:numPr>
          <w:ilvl w:val="0"/>
          <w:numId w:val="32"/>
        </w:numPr>
        <w:spacing w:after="0" w:line="240" w:lineRule="auto"/>
        <w:rPr>
          <w:rFonts w:cs="Arial"/>
          <w:sz w:val="18"/>
          <w:szCs w:val="18"/>
        </w:rPr>
      </w:pPr>
      <w:r w:rsidRPr="004C3F36">
        <w:rPr>
          <w:rFonts w:cs="Arial"/>
          <w:sz w:val="18"/>
          <w:szCs w:val="18"/>
        </w:rPr>
        <w:t>Reconvene IEP team to review and revise IEP, or enter into written agreement with parent to amend IEP without a meeting and revise IEP.  Document in SPR&amp;I date the IEP was revised (and if written agreement was used, the date parent signed agreement)</w:t>
      </w:r>
    </w:p>
    <w:p w14:paraId="4C84DB46" w14:textId="21DA2BC1" w:rsidR="007A735D" w:rsidRPr="004C3F36" w:rsidRDefault="003E057E" w:rsidP="00CA16C1">
      <w:pPr>
        <w:pStyle w:val="ListParagraph"/>
        <w:numPr>
          <w:ilvl w:val="0"/>
          <w:numId w:val="32"/>
        </w:numPr>
      </w:pPr>
      <w:r w:rsidRPr="004C3F36">
        <w:rPr>
          <w:rFonts w:cs="Arial"/>
          <w:sz w:val="18"/>
          <w:szCs w:val="18"/>
        </w:rPr>
        <w:t>Review additional files where this event occurred after incidence of noncompliance and list in SPR&amp;I compliance status for each.</w:t>
      </w:r>
    </w:p>
    <w:p w14:paraId="58C15611" w14:textId="77777777" w:rsidR="00931857" w:rsidRDefault="00931857" w:rsidP="00931857">
      <w:pPr>
        <w:pStyle w:val="Heading2"/>
      </w:pPr>
      <w:bookmarkStart w:id="16" w:name="_Toc23749881"/>
      <w:r>
        <w:t>Standard 33</w:t>
      </w:r>
      <w:r w:rsidR="00260445">
        <w:t>: Goals Align to Transition Services</w:t>
      </w:r>
      <w:bookmarkEnd w:id="16"/>
    </w:p>
    <w:p w14:paraId="0C0FB7CD" w14:textId="77777777" w:rsidR="0018170D" w:rsidRPr="0018170D" w:rsidRDefault="0018170D" w:rsidP="0018170D">
      <w:r w:rsidRPr="0018170D">
        <w:t xml:space="preserve">For students who turn </w:t>
      </w:r>
      <w:r w:rsidRPr="00260445">
        <w:rPr>
          <w:b/>
        </w:rPr>
        <w:t>16</w:t>
      </w:r>
      <w:r w:rsidRPr="0018170D">
        <w:t xml:space="preserve"> when the </w:t>
      </w:r>
      <w:r w:rsidRPr="00260445">
        <w:rPr>
          <w:b/>
        </w:rPr>
        <w:t>most recent</w:t>
      </w:r>
      <w:r w:rsidRPr="0018170D">
        <w:t xml:space="preserve"> IEP is in effect or who are older than 16, the annual IEP goals are related to the student’s transition services. 34 CFR § 300.320</w:t>
      </w:r>
    </w:p>
    <w:p w14:paraId="109D4536" w14:textId="77777777" w:rsidR="00931857" w:rsidRDefault="001B1295" w:rsidP="00931857">
      <w:pPr>
        <w:pStyle w:val="Heading3"/>
      </w:pPr>
      <w:r>
        <w:t>Guidance for Standard</w:t>
      </w:r>
    </w:p>
    <w:p w14:paraId="7C74EB60" w14:textId="77777777" w:rsidR="0018170D" w:rsidRDefault="0018170D" w:rsidP="00CA16C1">
      <w:pPr>
        <w:pStyle w:val="ListParagraph"/>
        <w:numPr>
          <w:ilvl w:val="0"/>
          <w:numId w:val="27"/>
        </w:numPr>
      </w:pPr>
      <w:r>
        <w:t>Check annual IEP goals for alignment to transition services.</w:t>
      </w:r>
    </w:p>
    <w:p w14:paraId="2C76BC02" w14:textId="77777777" w:rsidR="0018170D" w:rsidRDefault="0018170D" w:rsidP="00CA16C1">
      <w:pPr>
        <w:pStyle w:val="ListParagraph"/>
        <w:numPr>
          <w:ilvl w:val="0"/>
          <w:numId w:val="17"/>
        </w:numPr>
      </w:pPr>
      <w:r>
        <w:t>Check the IEP for annual goals, written in measurable terms that describe what student can reasonably accomplish in a 12-month period.</w:t>
      </w:r>
    </w:p>
    <w:p w14:paraId="62177590" w14:textId="77777777" w:rsidR="0018170D" w:rsidRDefault="0018170D" w:rsidP="00CA16C1">
      <w:pPr>
        <w:pStyle w:val="ListParagraph"/>
        <w:numPr>
          <w:ilvl w:val="0"/>
          <w:numId w:val="17"/>
        </w:numPr>
      </w:pPr>
      <w:r>
        <w:t>Check the IEP for evidence of a direct link between goal(s) and student’s present levels of academic achievement and functional performance.</w:t>
      </w:r>
    </w:p>
    <w:p w14:paraId="3905F12D" w14:textId="77777777" w:rsidR="0018170D" w:rsidRDefault="0018170D" w:rsidP="00CA16C1">
      <w:pPr>
        <w:pStyle w:val="ListParagraph"/>
        <w:numPr>
          <w:ilvl w:val="0"/>
          <w:numId w:val="17"/>
        </w:numPr>
      </w:pPr>
      <w:r>
        <w:t>The annual goals must relate to meeting student’s needs that result from the disability, meeting the student’s needs to enable involvement in and progress with the general education curriculum, and meeting other educational needs that result from the disability.</w:t>
      </w:r>
    </w:p>
    <w:p w14:paraId="34021959" w14:textId="77777777" w:rsidR="001B1295" w:rsidRDefault="0018170D" w:rsidP="00CA16C1">
      <w:pPr>
        <w:pStyle w:val="ListParagraph"/>
        <w:numPr>
          <w:ilvl w:val="0"/>
          <w:numId w:val="6"/>
        </w:numPr>
      </w:pPr>
      <w:r>
        <w:t>Measurable short-term objectives for students working toward regular achievement standards may be included on the IEP, but are not required.</w:t>
      </w:r>
      <w:r w:rsidR="001B1295" w:rsidRPr="001B1295">
        <w:t xml:space="preserve"> </w:t>
      </w:r>
    </w:p>
    <w:p w14:paraId="19C60E96" w14:textId="77777777" w:rsidR="00931857" w:rsidRDefault="003D266D" w:rsidP="00931857">
      <w:pPr>
        <w:pStyle w:val="Heading3"/>
      </w:pPr>
      <w:r>
        <w:t>Corrective Action Required for Standard in the Event of Non-Compliance</w:t>
      </w:r>
    </w:p>
    <w:p w14:paraId="5E2A5739" w14:textId="77777777" w:rsidR="0018170D" w:rsidRDefault="0018170D" w:rsidP="00CA16C1">
      <w:pPr>
        <w:pStyle w:val="ListParagraph"/>
        <w:numPr>
          <w:ilvl w:val="0"/>
          <w:numId w:val="18"/>
        </w:numPr>
      </w:pPr>
      <w:r>
        <w:t>Reconvene IEP team to review and revise IEP, or enter into written agreement with parent to amend IEP without a meeting and revise IEP. Document in SPR&amp;I date IEP was revised (and if written agreement was used, date parent signed agreement)</w:t>
      </w:r>
    </w:p>
    <w:p w14:paraId="19611188" w14:textId="77777777" w:rsidR="0018170D" w:rsidRPr="0018170D" w:rsidRDefault="0018170D" w:rsidP="00CA16C1">
      <w:pPr>
        <w:pStyle w:val="ListParagraph"/>
        <w:numPr>
          <w:ilvl w:val="0"/>
          <w:numId w:val="18"/>
        </w:numPr>
      </w:pPr>
      <w:r>
        <w:t xml:space="preserve">Review additional files where this event occurred after incidence of </w:t>
      </w:r>
      <w:r w:rsidRPr="0018170D">
        <w:t>noncompliance and list in SPR&amp;I compliance status for each.</w:t>
      </w:r>
    </w:p>
    <w:p w14:paraId="3BEA507E" w14:textId="77777777" w:rsidR="0018170D" w:rsidRDefault="00931857" w:rsidP="0018170D">
      <w:pPr>
        <w:pStyle w:val="Heading2"/>
      </w:pPr>
      <w:bookmarkStart w:id="17" w:name="_Toc23749882"/>
      <w:r>
        <w:t>Standard 34</w:t>
      </w:r>
      <w:r w:rsidR="00260445">
        <w:t>: Appropriate Post-Secondary Goals</w:t>
      </w:r>
      <w:bookmarkEnd w:id="17"/>
    </w:p>
    <w:p w14:paraId="271ED38F" w14:textId="77777777" w:rsidR="0018170D" w:rsidRPr="0018170D" w:rsidRDefault="0018170D" w:rsidP="0018170D">
      <w:r w:rsidRPr="0018170D">
        <w:t xml:space="preserve">For students who turn </w:t>
      </w:r>
      <w:r w:rsidRPr="00260445">
        <w:rPr>
          <w:b/>
        </w:rPr>
        <w:t>16</w:t>
      </w:r>
      <w:r w:rsidRPr="0018170D">
        <w:t xml:space="preserve"> when the </w:t>
      </w:r>
      <w:r w:rsidRPr="00260445">
        <w:rPr>
          <w:b/>
        </w:rPr>
        <w:t>most recent</w:t>
      </w:r>
      <w:r w:rsidRPr="0018170D">
        <w:t xml:space="preserve"> IEP is in effect or who are older than 16, the IEP includes appropriate </w:t>
      </w:r>
      <w:r w:rsidRPr="00260445">
        <w:rPr>
          <w:b/>
        </w:rPr>
        <w:t>measurable post-secondary transition goals</w:t>
      </w:r>
      <w:r w:rsidRPr="0018170D">
        <w:t xml:space="preserve"> related to training, education, employment, and, </w:t>
      </w:r>
      <w:r w:rsidRPr="0018170D">
        <w:lastRenderedPageBreak/>
        <w:t>where appropriate, independent living skills, based upon age-appropriate transition assessments. 34 CFR § 300.320</w:t>
      </w:r>
    </w:p>
    <w:p w14:paraId="34DA1329" w14:textId="77777777" w:rsidR="00931857" w:rsidRDefault="001B1295" w:rsidP="00931857">
      <w:pPr>
        <w:pStyle w:val="Heading3"/>
      </w:pPr>
      <w:r>
        <w:t>Guidance for Standard</w:t>
      </w:r>
    </w:p>
    <w:p w14:paraId="2D1DE223" w14:textId="77777777" w:rsidR="0018170D" w:rsidRDefault="0018170D" w:rsidP="0018170D">
      <w:r>
        <w:t xml:space="preserve">Postsecondary goals refer to goals that a student hopes to achieve </w:t>
      </w:r>
      <w:r w:rsidR="00260445">
        <w:t xml:space="preserve">after leaving secondary school. </w:t>
      </w:r>
      <w:r>
        <w:t>Check to verify that the IEP includes all of the following:</w:t>
      </w:r>
    </w:p>
    <w:p w14:paraId="6E79352D" w14:textId="77777777" w:rsidR="0018170D" w:rsidRDefault="0018170D" w:rsidP="00CA16C1">
      <w:pPr>
        <w:pStyle w:val="ListParagraph"/>
        <w:numPr>
          <w:ilvl w:val="0"/>
          <w:numId w:val="19"/>
        </w:numPr>
      </w:pPr>
      <w:r>
        <w:t>Postsecondary goals were developed based on the student’s preferences and interested, and age-appropriate transition assessment(s).</w:t>
      </w:r>
    </w:p>
    <w:p w14:paraId="3AF9DEBB" w14:textId="77777777" w:rsidR="0018170D" w:rsidRDefault="0018170D" w:rsidP="00CA16C1">
      <w:pPr>
        <w:pStyle w:val="ListParagraph"/>
        <w:numPr>
          <w:ilvl w:val="0"/>
          <w:numId w:val="19"/>
        </w:numPr>
      </w:pPr>
      <w:r>
        <w:t>Postsecondary goals were considered and developed in the areas of education, training, employment and independent living skills (e.g. financial management, transportation, housing, interpersonal relationships, recreation/leisure activities, and personal care) as determined by the IEP team.</w:t>
      </w:r>
    </w:p>
    <w:p w14:paraId="1EE28E9E" w14:textId="77777777" w:rsidR="0018170D" w:rsidRDefault="0018170D" w:rsidP="00CA16C1">
      <w:pPr>
        <w:pStyle w:val="ListParagraph"/>
        <w:numPr>
          <w:ilvl w:val="0"/>
          <w:numId w:val="19"/>
        </w:numPr>
      </w:pPr>
      <w:r>
        <w:t xml:space="preserve">There </w:t>
      </w:r>
      <w:r w:rsidRPr="00260445">
        <w:rPr>
          <w:b/>
        </w:rPr>
        <w:t>MUST</w:t>
      </w:r>
      <w:r>
        <w:t xml:space="preserve"> be a goal in the areas of employment, education and/or training, and independent living skills, where appropriate.</w:t>
      </w:r>
    </w:p>
    <w:p w14:paraId="7485FF57" w14:textId="77777777" w:rsidR="0018170D" w:rsidRDefault="0018170D" w:rsidP="00CA16C1">
      <w:pPr>
        <w:pStyle w:val="ListParagraph"/>
        <w:numPr>
          <w:ilvl w:val="0"/>
          <w:numId w:val="19"/>
        </w:numPr>
      </w:pPr>
      <w:r>
        <w:t>Post-secondary goals are measurable and can be observed.</w:t>
      </w:r>
    </w:p>
    <w:p w14:paraId="53A1926F" w14:textId="77777777" w:rsidR="0018170D" w:rsidRDefault="0018170D" w:rsidP="00CA16C1">
      <w:pPr>
        <w:pStyle w:val="ListParagraph"/>
        <w:numPr>
          <w:ilvl w:val="0"/>
          <w:numId w:val="19"/>
        </w:numPr>
      </w:pPr>
      <w:r>
        <w:t>Post-secondary goals support post-graduation activities.</w:t>
      </w:r>
    </w:p>
    <w:p w14:paraId="787B8077" w14:textId="77777777" w:rsidR="001B1295" w:rsidRDefault="0018170D" w:rsidP="00CA16C1">
      <w:pPr>
        <w:pStyle w:val="ListParagraph"/>
        <w:numPr>
          <w:ilvl w:val="0"/>
          <w:numId w:val="6"/>
        </w:numPr>
      </w:pPr>
      <w:r>
        <w:t>Post-secondary goals identify outcomes after graduation, exiting, or aging out of school.</w:t>
      </w:r>
      <w:r w:rsidR="001B1295" w:rsidRPr="001B1295">
        <w:t xml:space="preserve"> </w:t>
      </w:r>
    </w:p>
    <w:p w14:paraId="5F34A0B9" w14:textId="77777777" w:rsidR="00931857" w:rsidRDefault="003D266D" w:rsidP="00931857">
      <w:pPr>
        <w:pStyle w:val="Heading3"/>
      </w:pPr>
      <w:r>
        <w:t>Corrective Action Required for Standard in the Event of Non-Compliance</w:t>
      </w:r>
    </w:p>
    <w:p w14:paraId="0106C568" w14:textId="77777777" w:rsidR="0018170D" w:rsidRDefault="0018170D" w:rsidP="00CA16C1">
      <w:pPr>
        <w:pStyle w:val="ListParagraph"/>
        <w:numPr>
          <w:ilvl w:val="0"/>
          <w:numId w:val="20"/>
        </w:numPr>
      </w:pPr>
      <w:r>
        <w:t>Reconvene IEP team to review and revise IEP, or enter into written agreement with parent to amend IEP without a meeting and revise it. Document in SPR&amp;I the date IEP was revised (and if written agreement was used, the date parent signed agreement)</w:t>
      </w:r>
    </w:p>
    <w:p w14:paraId="7BCFE558" w14:textId="77777777" w:rsidR="0018170D" w:rsidRPr="0018170D" w:rsidRDefault="0018170D" w:rsidP="00CA16C1">
      <w:pPr>
        <w:pStyle w:val="ListParagraph"/>
        <w:numPr>
          <w:ilvl w:val="0"/>
          <w:numId w:val="20"/>
        </w:numPr>
      </w:pPr>
      <w:r>
        <w:t>Review additional files where this event occurred after incidence of noncompliance and list in SPR&amp;I compliance status for each.</w:t>
      </w:r>
    </w:p>
    <w:p w14:paraId="719E5482" w14:textId="77777777" w:rsidR="00931857" w:rsidRDefault="00931857" w:rsidP="00931857">
      <w:pPr>
        <w:pStyle w:val="Heading2"/>
      </w:pPr>
      <w:bookmarkStart w:id="18" w:name="_Toc23749883"/>
      <w:r>
        <w:t>Standard 35</w:t>
      </w:r>
      <w:r w:rsidR="00260445">
        <w:t>: Post-Secondary Goals Updated Annually</w:t>
      </w:r>
      <w:bookmarkEnd w:id="18"/>
    </w:p>
    <w:p w14:paraId="621CE80D" w14:textId="77777777" w:rsidR="0018170D" w:rsidRPr="0018170D" w:rsidRDefault="0018170D" w:rsidP="0018170D">
      <w:r w:rsidRPr="0018170D">
        <w:t xml:space="preserve">For students who turn </w:t>
      </w:r>
      <w:r w:rsidRPr="00260445">
        <w:rPr>
          <w:b/>
        </w:rPr>
        <w:t>16</w:t>
      </w:r>
      <w:r w:rsidRPr="0018170D">
        <w:t xml:space="preserve"> when the </w:t>
      </w:r>
      <w:r w:rsidRPr="00260445">
        <w:rPr>
          <w:b/>
        </w:rPr>
        <w:t>most recent</w:t>
      </w:r>
      <w:r w:rsidRPr="0018170D">
        <w:t xml:space="preserve"> IEP is in effect or who are older than 16, the </w:t>
      </w:r>
      <w:r w:rsidRPr="00260445">
        <w:rPr>
          <w:b/>
        </w:rPr>
        <w:t>post-secondary transition goals</w:t>
      </w:r>
      <w:r w:rsidRPr="0018170D">
        <w:t xml:space="preserve"> related to training, education, employment, and where appropriate, independent living skills </w:t>
      </w:r>
      <w:r w:rsidRPr="00260445">
        <w:rPr>
          <w:b/>
        </w:rPr>
        <w:t>were updated annually</w:t>
      </w:r>
      <w:r w:rsidRPr="0018170D">
        <w:t>. 34 CFR § 300.320(b)</w:t>
      </w:r>
    </w:p>
    <w:p w14:paraId="013AD361" w14:textId="77777777" w:rsidR="00931857" w:rsidRDefault="001B1295" w:rsidP="00931857">
      <w:pPr>
        <w:pStyle w:val="Heading3"/>
      </w:pPr>
      <w:r>
        <w:t>Guidance for Standard</w:t>
      </w:r>
    </w:p>
    <w:p w14:paraId="48CBEE94" w14:textId="77777777" w:rsidR="0018170D" w:rsidRDefault="0018170D" w:rsidP="00CA16C1">
      <w:pPr>
        <w:pStyle w:val="ListParagraph"/>
        <w:numPr>
          <w:ilvl w:val="0"/>
          <w:numId w:val="28"/>
        </w:numPr>
      </w:pPr>
      <w:r>
        <w:t>Check current IEP date and compare to previous year’s IEP to verify that IEP was reviewed and revised within 365 days. There are NO allowable exceptions to the 365-day requirement.</w:t>
      </w:r>
    </w:p>
    <w:p w14:paraId="528C8267" w14:textId="77777777" w:rsidR="001B1295" w:rsidRDefault="0018170D" w:rsidP="00CA16C1">
      <w:pPr>
        <w:pStyle w:val="ListParagraph"/>
        <w:numPr>
          <w:ilvl w:val="0"/>
          <w:numId w:val="6"/>
        </w:numPr>
      </w:pPr>
      <w:r>
        <w:t>Check IEP present levels, transition planning and/or meeting notes for evidence that post-secondary goals were reviewed and updated annually.</w:t>
      </w:r>
      <w:r w:rsidR="001B1295" w:rsidRPr="001B1295">
        <w:t xml:space="preserve"> </w:t>
      </w:r>
    </w:p>
    <w:p w14:paraId="3547BD9F" w14:textId="77777777" w:rsidR="00931857" w:rsidRDefault="003D266D" w:rsidP="00931857">
      <w:pPr>
        <w:pStyle w:val="Heading3"/>
      </w:pPr>
      <w:r>
        <w:t>Corrective Action Required for Standard in the Event of Non-Compliance</w:t>
      </w:r>
    </w:p>
    <w:p w14:paraId="1C4256C1" w14:textId="77777777" w:rsidR="0018170D" w:rsidRDefault="0018170D" w:rsidP="00CA16C1">
      <w:pPr>
        <w:pStyle w:val="ListParagraph"/>
        <w:numPr>
          <w:ilvl w:val="0"/>
          <w:numId w:val="22"/>
        </w:numPr>
      </w:pPr>
      <w:r>
        <w:t>Reconvene IEP team to review and revise IEP, or enter into written agreement with parent to amend IEP without a meeting and revise it. Document in SPR&amp;I the date IEP was revised (and if written agreement was used, the date parent signed agreement)</w:t>
      </w:r>
    </w:p>
    <w:p w14:paraId="3806E35C" w14:textId="77777777" w:rsidR="0018170D" w:rsidRPr="0018170D" w:rsidRDefault="0018170D" w:rsidP="00CA16C1">
      <w:pPr>
        <w:pStyle w:val="ListParagraph"/>
        <w:numPr>
          <w:ilvl w:val="0"/>
          <w:numId w:val="22"/>
        </w:numPr>
      </w:pPr>
      <w:r>
        <w:t>Review additional files where this event occurred after the incidence of noncompliance and list in SPR&amp;I the compliance status for each.</w:t>
      </w:r>
    </w:p>
    <w:p w14:paraId="7B4D1191" w14:textId="77777777" w:rsidR="00931857" w:rsidRDefault="00931857" w:rsidP="00931857">
      <w:pPr>
        <w:pStyle w:val="Heading2"/>
      </w:pPr>
      <w:bookmarkStart w:id="19" w:name="_Toc23749884"/>
      <w:r>
        <w:lastRenderedPageBreak/>
        <w:t>Standard 36</w:t>
      </w:r>
      <w:r w:rsidR="00260445">
        <w:t>: Transition Services Included</w:t>
      </w:r>
      <w:bookmarkEnd w:id="19"/>
    </w:p>
    <w:p w14:paraId="56A7DD03" w14:textId="77777777" w:rsidR="0018170D" w:rsidRPr="0018170D" w:rsidRDefault="0018170D" w:rsidP="0018170D">
      <w:r w:rsidRPr="0018170D">
        <w:t xml:space="preserve">For students who turn </w:t>
      </w:r>
      <w:r w:rsidRPr="00260445">
        <w:rPr>
          <w:b/>
        </w:rPr>
        <w:t>16</w:t>
      </w:r>
      <w:r w:rsidRPr="0018170D">
        <w:t xml:space="preserve"> when the </w:t>
      </w:r>
      <w:r w:rsidRPr="00260445">
        <w:rPr>
          <w:b/>
        </w:rPr>
        <w:t>most recent</w:t>
      </w:r>
      <w:r w:rsidRPr="0018170D">
        <w:t xml:space="preserve"> IEP is in effect or who are older than 16, the IEP includes transition services needed to assist the student in reaching the post-secondary goals. 34 CFR § 300.320; 34 CFR § 300.43</w:t>
      </w:r>
    </w:p>
    <w:p w14:paraId="5D62F160" w14:textId="77777777" w:rsidR="00931857" w:rsidRDefault="001B1295" w:rsidP="00931857">
      <w:pPr>
        <w:pStyle w:val="Heading3"/>
      </w:pPr>
      <w:r>
        <w:t>Guidance for Standard</w:t>
      </w:r>
    </w:p>
    <w:p w14:paraId="37D2D3C1" w14:textId="77777777" w:rsidR="0018170D" w:rsidRDefault="0018170D" w:rsidP="0018170D">
      <w:r>
        <w:t>Transition services are defined as a “coordinated set of activities for a child with a disability…to facilitate movement from school to post-school activities” including independent living and community participation.</w:t>
      </w:r>
    </w:p>
    <w:p w14:paraId="2E1271D3" w14:textId="77777777" w:rsidR="0018170D" w:rsidRDefault="0018170D" w:rsidP="00CA16C1">
      <w:pPr>
        <w:pStyle w:val="ListParagraph"/>
        <w:numPr>
          <w:ilvl w:val="0"/>
          <w:numId w:val="21"/>
        </w:numPr>
      </w:pPr>
      <w:r>
        <w:t>Check the IEP to verify that transition services assist the student in meeting postsecondary goals.</w:t>
      </w:r>
    </w:p>
    <w:p w14:paraId="14A575E9" w14:textId="77777777" w:rsidR="0018170D" w:rsidRDefault="0018170D" w:rsidP="00CA16C1">
      <w:pPr>
        <w:pStyle w:val="ListParagraph"/>
        <w:numPr>
          <w:ilvl w:val="0"/>
          <w:numId w:val="21"/>
        </w:numPr>
      </w:pPr>
      <w:r>
        <w:t>Evidence may be found in various parts of the IEP, including: present levels, service summary, transition planning.</w:t>
      </w:r>
    </w:p>
    <w:p w14:paraId="2AA91F59" w14:textId="77777777" w:rsidR="0018170D" w:rsidRDefault="0018170D" w:rsidP="00CA16C1">
      <w:pPr>
        <w:pStyle w:val="ListParagraph"/>
        <w:numPr>
          <w:ilvl w:val="0"/>
          <w:numId w:val="21"/>
        </w:numPr>
      </w:pPr>
      <w:r>
        <w:t xml:space="preserve">Transition services should be based on the </w:t>
      </w:r>
      <w:r w:rsidRPr="00260445">
        <w:rPr>
          <w:b/>
        </w:rPr>
        <w:t>individual</w:t>
      </w:r>
      <w:r>
        <w:t xml:space="preserve"> child’s needs, taking into account the child’s strengths, preferences, and interests; and </w:t>
      </w:r>
      <w:r w:rsidRPr="00260445">
        <w:rPr>
          <w:b/>
        </w:rPr>
        <w:t>may</w:t>
      </w:r>
      <w:r>
        <w:t xml:space="preserve"> include:</w:t>
      </w:r>
    </w:p>
    <w:p w14:paraId="3524598C" w14:textId="77777777" w:rsidR="0018170D" w:rsidRDefault="0018170D" w:rsidP="00CA16C1">
      <w:pPr>
        <w:pStyle w:val="ListParagraph"/>
        <w:numPr>
          <w:ilvl w:val="1"/>
          <w:numId w:val="21"/>
        </w:numPr>
      </w:pPr>
      <w:r>
        <w:t>Instruction;</w:t>
      </w:r>
    </w:p>
    <w:p w14:paraId="4E8C1CE3" w14:textId="77777777" w:rsidR="0018170D" w:rsidRDefault="0018170D" w:rsidP="00CA16C1">
      <w:pPr>
        <w:pStyle w:val="ListParagraph"/>
        <w:numPr>
          <w:ilvl w:val="1"/>
          <w:numId w:val="21"/>
        </w:numPr>
      </w:pPr>
      <w:r>
        <w:t>Related services;</w:t>
      </w:r>
    </w:p>
    <w:p w14:paraId="703CFFD0" w14:textId="77777777" w:rsidR="0018170D" w:rsidRDefault="0018170D" w:rsidP="00CA16C1">
      <w:pPr>
        <w:pStyle w:val="ListParagraph"/>
        <w:numPr>
          <w:ilvl w:val="1"/>
          <w:numId w:val="21"/>
        </w:numPr>
      </w:pPr>
      <w:r>
        <w:t>Community experiences’</w:t>
      </w:r>
    </w:p>
    <w:p w14:paraId="6F2EB61C" w14:textId="77777777" w:rsidR="0018170D" w:rsidRDefault="0018170D" w:rsidP="00CA16C1">
      <w:pPr>
        <w:pStyle w:val="ListParagraph"/>
        <w:numPr>
          <w:ilvl w:val="1"/>
          <w:numId w:val="21"/>
        </w:numPr>
      </w:pPr>
      <w:r>
        <w:t>The development of employment and other post-school adult living objectives;</w:t>
      </w:r>
    </w:p>
    <w:p w14:paraId="6E0D5192" w14:textId="77777777" w:rsidR="0018170D" w:rsidRDefault="0018170D" w:rsidP="00CA16C1">
      <w:pPr>
        <w:pStyle w:val="ListParagraph"/>
        <w:numPr>
          <w:ilvl w:val="1"/>
          <w:numId w:val="21"/>
        </w:numPr>
      </w:pPr>
      <w:r>
        <w:t>If appropriate, acquisition of daily living skills and provision of a functional vocational evaluation.</w:t>
      </w:r>
    </w:p>
    <w:p w14:paraId="0FFF428E" w14:textId="77777777" w:rsidR="001B1295" w:rsidRDefault="0018170D" w:rsidP="00CA16C1">
      <w:pPr>
        <w:pStyle w:val="ListParagraph"/>
        <w:numPr>
          <w:ilvl w:val="0"/>
          <w:numId w:val="6"/>
        </w:numPr>
      </w:pPr>
      <w:r w:rsidRPr="0018170D">
        <w:t>Transition services for children with disabilities may be special education, if provided as specially designed instruction, or a related service, if required to assist a child with a disability to benefit from special education.</w:t>
      </w:r>
      <w:r w:rsidR="001B1295" w:rsidRPr="001B1295">
        <w:t xml:space="preserve"> </w:t>
      </w:r>
    </w:p>
    <w:p w14:paraId="184733F5" w14:textId="77777777" w:rsidR="00931857" w:rsidRDefault="003D266D" w:rsidP="00931857">
      <w:pPr>
        <w:pStyle w:val="Heading3"/>
      </w:pPr>
      <w:r>
        <w:t>Corrective Action Required for Standard in the Event of Non-Compliance</w:t>
      </w:r>
    </w:p>
    <w:p w14:paraId="7EA0FE5D" w14:textId="77777777" w:rsidR="0018170D" w:rsidRDefault="0018170D" w:rsidP="00CA16C1">
      <w:pPr>
        <w:pStyle w:val="ListParagraph"/>
        <w:numPr>
          <w:ilvl w:val="0"/>
          <w:numId w:val="23"/>
        </w:numPr>
      </w:pPr>
      <w:r>
        <w:t>Reconvene IEP team to review and revise the IEP, or enter into written agreement with parent to amend IEP without a meeting and revise IEP. Document in SPR&amp;I date IEP was revised (and if written agreement was used, the date parent signed agreement).</w:t>
      </w:r>
    </w:p>
    <w:p w14:paraId="014B371E" w14:textId="77777777" w:rsidR="0018170D" w:rsidRPr="0018170D" w:rsidRDefault="0018170D" w:rsidP="00CA16C1">
      <w:pPr>
        <w:pStyle w:val="ListParagraph"/>
        <w:numPr>
          <w:ilvl w:val="0"/>
          <w:numId w:val="23"/>
        </w:numPr>
      </w:pPr>
      <w:r>
        <w:t>Review additional files where this event occurred after the incidence of noncompliance and list in SPR&amp;I the compliance status for each.</w:t>
      </w:r>
    </w:p>
    <w:p w14:paraId="3D8E1ACB" w14:textId="77777777" w:rsidR="00931857" w:rsidRDefault="00931857" w:rsidP="00931857">
      <w:pPr>
        <w:pStyle w:val="Heading2"/>
      </w:pPr>
      <w:bookmarkStart w:id="20" w:name="_Toc23749885"/>
      <w:r>
        <w:t>Standard 37</w:t>
      </w:r>
      <w:r w:rsidR="00260445">
        <w:t>: Course of Study</w:t>
      </w:r>
      <w:bookmarkEnd w:id="20"/>
    </w:p>
    <w:p w14:paraId="0FA6ADA0" w14:textId="77777777" w:rsidR="0018170D" w:rsidRPr="0018170D" w:rsidRDefault="0018170D" w:rsidP="0018170D">
      <w:r w:rsidRPr="0018170D">
        <w:t xml:space="preserve">For students who turn </w:t>
      </w:r>
      <w:r w:rsidRPr="00260445">
        <w:rPr>
          <w:b/>
        </w:rPr>
        <w:t>16</w:t>
      </w:r>
      <w:r w:rsidRPr="0018170D">
        <w:t xml:space="preserve"> when the </w:t>
      </w:r>
      <w:r w:rsidRPr="00260445">
        <w:rPr>
          <w:b/>
        </w:rPr>
        <w:t>most recent</w:t>
      </w:r>
      <w:r w:rsidRPr="0018170D">
        <w:t xml:space="preserve"> IEP is in effect or who are older than 16 the IEP includes </w:t>
      </w:r>
      <w:r w:rsidRPr="00260445">
        <w:rPr>
          <w:b/>
        </w:rPr>
        <w:t>courses of study</w:t>
      </w:r>
      <w:r w:rsidRPr="0018170D">
        <w:t xml:space="preserve"> needed to assist the student in reaching the postsecondary goals. 34 CFR § 300.320(b)(2)</w:t>
      </w:r>
    </w:p>
    <w:p w14:paraId="6DED9FD5" w14:textId="77777777" w:rsidR="00931857" w:rsidRDefault="001B1295" w:rsidP="00931857">
      <w:pPr>
        <w:pStyle w:val="Heading3"/>
      </w:pPr>
      <w:r>
        <w:t>Guidance for Standard</w:t>
      </w:r>
    </w:p>
    <w:p w14:paraId="5019951B" w14:textId="77777777" w:rsidR="0018170D" w:rsidRDefault="0018170D" w:rsidP="0018170D">
      <w:r>
        <w:t>Check to verify that the IEP includes the following:</w:t>
      </w:r>
    </w:p>
    <w:p w14:paraId="007A07DA" w14:textId="77777777" w:rsidR="0018170D" w:rsidRDefault="0018170D" w:rsidP="00CA16C1">
      <w:pPr>
        <w:pStyle w:val="ListParagraph"/>
        <w:numPr>
          <w:ilvl w:val="0"/>
          <w:numId w:val="24"/>
        </w:numPr>
      </w:pPr>
      <w:r>
        <w:t xml:space="preserve">A </w:t>
      </w:r>
      <w:r w:rsidRPr="00260445">
        <w:rPr>
          <w:u w:val="single"/>
        </w:rPr>
        <w:t>multi-year</w:t>
      </w:r>
      <w:r>
        <w:t xml:space="preserve"> description of coursework to achievement student’s desired post-secondary goals, from student’s current year to anticipated exit year</w:t>
      </w:r>
    </w:p>
    <w:p w14:paraId="648BDDE8" w14:textId="77777777" w:rsidR="0018170D" w:rsidRDefault="0018170D" w:rsidP="00CA16C1">
      <w:pPr>
        <w:pStyle w:val="ListParagraph"/>
        <w:numPr>
          <w:ilvl w:val="0"/>
          <w:numId w:val="24"/>
        </w:numPr>
      </w:pPr>
      <w:r>
        <w:t>A course of study</w:t>
      </w:r>
    </w:p>
    <w:p w14:paraId="64CCF176" w14:textId="77777777" w:rsidR="001B1295" w:rsidRDefault="0018170D" w:rsidP="001B1295">
      <w:r>
        <w:lastRenderedPageBreak/>
        <w:t xml:space="preserve">The course of study is a list or a description of the type of courses students </w:t>
      </w:r>
      <w:r w:rsidRPr="001B1295">
        <w:rPr>
          <w:b/>
        </w:rPr>
        <w:t>will</w:t>
      </w:r>
      <w:r>
        <w:t xml:space="preserve"> take from the date of the current IEP to their anticipated exit year. It is not simply the coursework required to attain a specific high school diploma or a listing of courses the students have already taken. Courses of study must be correlated to the post-secondary goals.</w:t>
      </w:r>
      <w:r w:rsidR="001B1295" w:rsidRPr="001B1295">
        <w:t xml:space="preserve"> </w:t>
      </w:r>
    </w:p>
    <w:p w14:paraId="434A7FF4" w14:textId="77777777" w:rsidR="00931857" w:rsidRDefault="003D266D" w:rsidP="00931857">
      <w:pPr>
        <w:pStyle w:val="Heading3"/>
      </w:pPr>
      <w:r>
        <w:t>Corrective Action Required for Standard in the Event of Non-Compliance</w:t>
      </w:r>
    </w:p>
    <w:p w14:paraId="1C1B7940" w14:textId="77777777" w:rsidR="0018170D" w:rsidRDefault="0018170D" w:rsidP="00CA16C1">
      <w:pPr>
        <w:pStyle w:val="ListParagraph"/>
        <w:numPr>
          <w:ilvl w:val="0"/>
          <w:numId w:val="25"/>
        </w:numPr>
      </w:pPr>
      <w:r>
        <w:t>Reconvene IEP team to review and revise the IEP, or enter into written agreement with parent to amend IEP without a meeting and revise IEP. Document in SPR&amp;I date IEP was revised (and if written agreement was used, the date parent signed agreement).</w:t>
      </w:r>
    </w:p>
    <w:p w14:paraId="65075C45" w14:textId="77777777" w:rsidR="0018170D" w:rsidRPr="0018170D" w:rsidRDefault="0018170D" w:rsidP="00CA16C1">
      <w:pPr>
        <w:pStyle w:val="ListParagraph"/>
        <w:numPr>
          <w:ilvl w:val="0"/>
          <w:numId w:val="25"/>
        </w:numPr>
      </w:pPr>
      <w:r>
        <w:t>Review additional files where this event occurred after incidence of noncompliance and list in SPR&amp;I compliance status for each.</w:t>
      </w:r>
    </w:p>
    <w:p w14:paraId="666BC2F8" w14:textId="77777777" w:rsidR="00717CD2" w:rsidRDefault="00717CD2">
      <w:pPr>
        <w:rPr>
          <w:rFonts w:asciiTheme="majorHAnsi" w:eastAsiaTheme="majorEastAsia" w:hAnsiTheme="majorHAnsi" w:cstheme="majorBidi"/>
          <w:b/>
          <w:color w:val="1B75BC" w:themeColor="accent1"/>
          <w:sz w:val="44"/>
          <w:szCs w:val="44"/>
        </w:rPr>
      </w:pPr>
      <w:r>
        <w:br w:type="page"/>
      </w:r>
    </w:p>
    <w:p w14:paraId="4F238041" w14:textId="77777777" w:rsidR="003D266D" w:rsidRDefault="003D266D" w:rsidP="000A2CCD">
      <w:pPr>
        <w:pStyle w:val="Heading1"/>
      </w:pPr>
      <w:bookmarkStart w:id="21" w:name="_Toc23749886"/>
      <w:r>
        <w:lastRenderedPageBreak/>
        <w:t>Appendix 1: Individual PCR Form</w:t>
      </w:r>
      <w:bookmarkEnd w:id="21"/>
    </w:p>
    <w:tbl>
      <w:tblPr>
        <w:tblStyle w:val="TableGrid"/>
        <w:tblW w:w="9355" w:type="dxa"/>
        <w:tblLayout w:type="fixed"/>
        <w:tblLook w:val="04A0" w:firstRow="1" w:lastRow="0" w:firstColumn="1" w:lastColumn="0" w:noHBand="0" w:noVBand="1"/>
        <w:tblCaption w:val="Individual PCR Form"/>
      </w:tblPr>
      <w:tblGrid>
        <w:gridCol w:w="445"/>
        <w:gridCol w:w="1980"/>
        <w:gridCol w:w="4950"/>
        <w:gridCol w:w="630"/>
        <w:gridCol w:w="686"/>
        <w:gridCol w:w="34"/>
        <w:gridCol w:w="630"/>
      </w:tblGrid>
      <w:tr w:rsidR="009816F3" w14:paraId="2783B323" w14:textId="77777777" w:rsidTr="009828E9">
        <w:trPr>
          <w:trHeight w:val="170"/>
          <w:tblHeader/>
        </w:trPr>
        <w:tc>
          <w:tcPr>
            <w:tcW w:w="9355" w:type="dxa"/>
            <w:gridSpan w:val="7"/>
            <w:shd w:val="clear" w:color="auto" w:fill="BFBFBF" w:themeFill="background1" w:themeFillShade="BF"/>
          </w:tcPr>
          <w:p w14:paraId="1FFC277D" w14:textId="77777777" w:rsidR="009816F3" w:rsidRDefault="009816F3" w:rsidP="00A12BB2">
            <w:pPr>
              <w:pStyle w:val="NoSpacing"/>
              <w:jc w:val="center"/>
            </w:pPr>
            <w:r>
              <w:t>Student Information</w:t>
            </w:r>
          </w:p>
        </w:tc>
      </w:tr>
      <w:tr w:rsidR="009816F3" w14:paraId="3D87295E" w14:textId="77777777" w:rsidTr="008D4660">
        <w:tc>
          <w:tcPr>
            <w:tcW w:w="2425" w:type="dxa"/>
            <w:gridSpan w:val="2"/>
          </w:tcPr>
          <w:p w14:paraId="027C1F8F" w14:textId="77777777" w:rsidR="009816F3" w:rsidRDefault="009816F3" w:rsidP="00A12BB2">
            <w:pPr>
              <w:pStyle w:val="NoSpacing"/>
            </w:pPr>
            <w:r>
              <w:t>Student Name:</w:t>
            </w:r>
          </w:p>
        </w:tc>
        <w:tc>
          <w:tcPr>
            <w:tcW w:w="6930" w:type="dxa"/>
            <w:gridSpan w:val="5"/>
          </w:tcPr>
          <w:p w14:paraId="6ED35C41" w14:textId="77777777" w:rsidR="009816F3" w:rsidRDefault="009816F3" w:rsidP="008D4660">
            <w:pPr>
              <w:pStyle w:val="NoSpacing"/>
            </w:pPr>
          </w:p>
        </w:tc>
      </w:tr>
      <w:tr w:rsidR="009816F3" w14:paraId="10666FE7" w14:textId="77777777" w:rsidTr="008D4660">
        <w:tc>
          <w:tcPr>
            <w:tcW w:w="2425" w:type="dxa"/>
            <w:gridSpan w:val="2"/>
          </w:tcPr>
          <w:p w14:paraId="054AE061" w14:textId="77777777" w:rsidR="009816F3" w:rsidRDefault="009816F3" w:rsidP="00A12BB2">
            <w:r>
              <w:t>Student SSID:</w:t>
            </w:r>
          </w:p>
        </w:tc>
        <w:tc>
          <w:tcPr>
            <w:tcW w:w="6930" w:type="dxa"/>
            <w:gridSpan w:val="5"/>
          </w:tcPr>
          <w:p w14:paraId="248EABED" w14:textId="77777777" w:rsidR="009816F3" w:rsidRDefault="009816F3" w:rsidP="008D4660">
            <w:pPr>
              <w:pStyle w:val="NoSpacing"/>
            </w:pPr>
          </w:p>
        </w:tc>
      </w:tr>
      <w:tr w:rsidR="009816F3" w14:paraId="35BAA902" w14:textId="77777777" w:rsidTr="008D4660">
        <w:tc>
          <w:tcPr>
            <w:tcW w:w="2425" w:type="dxa"/>
            <w:gridSpan w:val="2"/>
          </w:tcPr>
          <w:p w14:paraId="44DFAB5D" w14:textId="77777777" w:rsidR="009816F3" w:rsidRDefault="009816F3" w:rsidP="00A12BB2">
            <w:r>
              <w:t>Student DOB:</w:t>
            </w:r>
          </w:p>
        </w:tc>
        <w:tc>
          <w:tcPr>
            <w:tcW w:w="6930" w:type="dxa"/>
            <w:gridSpan w:val="5"/>
          </w:tcPr>
          <w:p w14:paraId="53BDDC56" w14:textId="77777777" w:rsidR="009816F3" w:rsidRDefault="009816F3" w:rsidP="008D4660">
            <w:pPr>
              <w:pStyle w:val="NoSpacing"/>
            </w:pPr>
          </w:p>
        </w:tc>
      </w:tr>
      <w:tr w:rsidR="009816F3" w14:paraId="0BEDA0D0" w14:textId="77777777" w:rsidTr="008D4660">
        <w:tc>
          <w:tcPr>
            <w:tcW w:w="2425" w:type="dxa"/>
            <w:gridSpan w:val="2"/>
          </w:tcPr>
          <w:p w14:paraId="54F27C6E" w14:textId="77777777" w:rsidR="009816F3" w:rsidRDefault="009816F3" w:rsidP="00A12BB2">
            <w:r>
              <w:t>Student Disability Code:</w:t>
            </w:r>
          </w:p>
        </w:tc>
        <w:tc>
          <w:tcPr>
            <w:tcW w:w="6930" w:type="dxa"/>
            <w:gridSpan w:val="5"/>
          </w:tcPr>
          <w:p w14:paraId="759C6578" w14:textId="77777777" w:rsidR="009816F3" w:rsidRDefault="009816F3" w:rsidP="008D4660">
            <w:pPr>
              <w:pStyle w:val="NoSpacing"/>
            </w:pPr>
          </w:p>
        </w:tc>
      </w:tr>
      <w:tr w:rsidR="009816F3" w14:paraId="1B894509" w14:textId="77777777" w:rsidTr="008D4660">
        <w:tc>
          <w:tcPr>
            <w:tcW w:w="2425" w:type="dxa"/>
            <w:gridSpan w:val="2"/>
          </w:tcPr>
          <w:p w14:paraId="363EF48D" w14:textId="77777777" w:rsidR="009816F3" w:rsidRDefault="009816F3" w:rsidP="00A12BB2">
            <w:r>
              <w:t>Grade:</w:t>
            </w:r>
          </w:p>
        </w:tc>
        <w:tc>
          <w:tcPr>
            <w:tcW w:w="6930" w:type="dxa"/>
            <w:gridSpan w:val="5"/>
          </w:tcPr>
          <w:p w14:paraId="28388669" w14:textId="77777777" w:rsidR="009816F3" w:rsidRDefault="009816F3" w:rsidP="008D4660">
            <w:pPr>
              <w:pStyle w:val="NoSpacing"/>
            </w:pPr>
          </w:p>
        </w:tc>
      </w:tr>
      <w:tr w:rsidR="009816F3" w14:paraId="23D8D270" w14:textId="77777777" w:rsidTr="008D4660">
        <w:tc>
          <w:tcPr>
            <w:tcW w:w="2425" w:type="dxa"/>
            <w:gridSpan w:val="2"/>
          </w:tcPr>
          <w:p w14:paraId="7C2A2A68" w14:textId="77777777" w:rsidR="009816F3" w:rsidRDefault="009816F3" w:rsidP="00A12BB2">
            <w:r>
              <w:t>IEP Start Date:</w:t>
            </w:r>
          </w:p>
        </w:tc>
        <w:tc>
          <w:tcPr>
            <w:tcW w:w="6930" w:type="dxa"/>
            <w:gridSpan w:val="5"/>
          </w:tcPr>
          <w:p w14:paraId="78A9C433" w14:textId="77777777" w:rsidR="009816F3" w:rsidRDefault="009816F3" w:rsidP="008D4660">
            <w:pPr>
              <w:pStyle w:val="NoSpacing"/>
            </w:pPr>
          </w:p>
        </w:tc>
      </w:tr>
      <w:tr w:rsidR="009816F3" w14:paraId="3218A81D" w14:textId="77777777" w:rsidTr="008D4660">
        <w:tc>
          <w:tcPr>
            <w:tcW w:w="2425" w:type="dxa"/>
            <w:gridSpan w:val="2"/>
          </w:tcPr>
          <w:p w14:paraId="500DDA8B" w14:textId="77777777" w:rsidR="009816F3" w:rsidRDefault="009816F3" w:rsidP="00A12BB2">
            <w:r>
              <w:t>IEP End Date:</w:t>
            </w:r>
          </w:p>
        </w:tc>
        <w:tc>
          <w:tcPr>
            <w:tcW w:w="6930" w:type="dxa"/>
            <w:gridSpan w:val="5"/>
          </w:tcPr>
          <w:p w14:paraId="3E85E7C1" w14:textId="77777777" w:rsidR="009816F3" w:rsidRDefault="009816F3" w:rsidP="008D4660">
            <w:pPr>
              <w:pStyle w:val="NoSpacing"/>
            </w:pPr>
          </w:p>
        </w:tc>
      </w:tr>
      <w:tr w:rsidR="009816F3" w14:paraId="5B72D15A" w14:textId="77777777" w:rsidTr="008D4660">
        <w:tc>
          <w:tcPr>
            <w:tcW w:w="9355" w:type="dxa"/>
            <w:gridSpan w:val="7"/>
            <w:shd w:val="clear" w:color="auto" w:fill="BFBFBF" w:themeFill="background1" w:themeFillShade="BF"/>
          </w:tcPr>
          <w:p w14:paraId="76F62192" w14:textId="77777777" w:rsidR="009816F3" w:rsidRDefault="009816F3" w:rsidP="00A12BB2">
            <w:pPr>
              <w:pStyle w:val="NoSpacing"/>
              <w:jc w:val="center"/>
            </w:pPr>
            <w:r>
              <w:t>Lock-In Criteria Questions</w:t>
            </w:r>
          </w:p>
        </w:tc>
      </w:tr>
      <w:tr w:rsidR="008D4660" w14:paraId="0FF91FDE" w14:textId="77777777" w:rsidTr="008D4660">
        <w:tc>
          <w:tcPr>
            <w:tcW w:w="445" w:type="dxa"/>
          </w:tcPr>
          <w:p w14:paraId="5ED65883" w14:textId="77777777" w:rsidR="008D4660" w:rsidRDefault="008D4660" w:rsidP="00A12BB2">
            <w:pPr>
              <w:pStyle w:val="NoSpacing"/>
            </w:pPr>
            <w:r>
              <w:t>E</w:t>
            </w:r>
          </w:p>
        </w:tc>
        <w:tc>
          <w:tcPr>
            <w:tcW w:w="7560" w:type="dxa"/>
            <w:gridSpan w:val="3"/>
          </w:tcPr>
          <w:p w14:paraId="600E8C3A" w14:textId="77777777" w:rsidR="008D4660" w:rsidRDefault="008D4660" w:rsidP="00A12BB2">
            <w:pPr>
              <w:pStyle w:val="NoSpacing"/>
            </w:pPr>
            <w:r>
              <w:t>Has the student been reevaluated (3 year reevaluation) since initial eligibility?</w:t>
            </w:r>
          </w:p>
        </w:tc>
        <w:tc>
          <w:tcPr>
            <w:tcW w:w="720" w:type="dxa"/>
            <w:gridSpan w:val="2"/>
          </w:tcPr>
          <w:p w14:paraId="292689D4" w14:textId="77777777" w:rsidR="008D4660" w:rsidRDefault="008D4660" w:rsidP="00A12BB2">
            <w:pPr>
              <w:pStyle w:val="NoSpacing"/>
              <w:jc w:val="center"/>
            </w:pPr>
            <w:r>
              <w:t>Y</w:t>
            </w:r>
          </w:p>
        </w:tc>
        <w:tc>
          <w:tcPr>
            <w:tcW w:w="630" w:type="dxa"/>
          </w:tcPr>
          <w:p w14:paraId="46824E0D" w14:textId="77777777" w:rsidR="008D4660" w:rsidRDefault="008D4660" w:rsidP="00A12BB2">
            <w:pPr>
              <w:pStyle w:val="NoSpacing"/>
              <w:jc w:val="center"/>
            </w:pPr>
            <w:r>
              <w:t>N</w:t>
            </w:r>
          </w:p>
        </w:tc>
      </w:tr>
      <w:tr w:rsidR="008D4660" w14:paraId="7BE14BAF" w14:textId="77777777" w:rsidTr="008D4660">
        <w:tc>
          <w:tcPr>
            <w:tcW w:w="445" w:type="dxa"/>
          </w:tcPr>
          <w:p w14:paraId="634844A3" w14:textId="77777777" w:rsidR="008D4660" w:rsidRDefault="008D4660" w:rsidP="00A12BB2">
            <w:pPr>
              <w:pStyle w:val="NoSpacing"/>
            </w:pPr>
            <w:r>
              <w:t>F</w:t>
            </w:r>
          </w:p>
        </w:tc>
        <w:tc>
          <w:tcPr>
            <w:tcW w:w="7560" w:type="dxa"/>
            <w:gridSpan w:val="3"/>
          </w:tcPr>
          <w:p w14:paraId="667E1BDF" w14:textId="77777777" w:rsidR="008D4660" w:rsidRDefault="008D4660" w:rsidP="00A12BB2">
            <w:pPr>
              <w:pStyle w:val="NoSpacing"/>
            </w:pPr>
            <w:r>
              <w:t>Did the district establish current eligibility?</w:t>
            </w:r>
          </w:p>
        </w:tc>
        <w:tc>
          <w:tcPr>
            <w:tcW w:w="720" w:type="dxa"/>
            <w:gridSpan w:val="2"/>
          </w:tcPr>
          <w:p w14:paraId="0F00211E" w14:textId="77777777" w:rsidR="008D4660" w:rsidRDefault="008D4660" w:rsidP="00A12BB2">
            <w:pPr>
              <w:pStyle w:val="NoSpacing"/>
              <w:jc w:val="center"/>
            </w:pPr>
            <w:r>
              <w:t>Y</w:t>
            </w:r>
          </w:p>
        </w:tc>
        <w:tc>
          <w:tcPr>
            <w:tcW w:w="630" w:type="dxa"/>
          </w:tcPr>
          <w:p w14:paraId="13032CFB" w14:textId="77777777" w:rsidR="008D4660" w:rsidRDefault="008D4660" w:rsidP="00A12BB2">
            <w:pPr>
              <w:pStyle w:val="NoSpacing"/>
              <w:jc w:val="center"/>
            </w:pPr>
            <w:r>
              <w:t>N</w:t>
            </w:r>
          </w:p>
        </w:tc>
      </w:tr>
      <w:tr w:rsidR="008D4660" w14:paraId="5B34F3E1" w14:textId="77777777" w:rsidTr="008D4660">
        <w:tc>
          <w:tcPr>
            <w:tcW w:w="445" w:type="dxa"/>
          </w:tcPr>
          <w:p w14:paraId="0D2162C0" w14:textId="77777777" w:rsidR="008D4660" w:rsidRDefault="008D4660" w:rsidP="00A12BB2">
            <w:pPr>
              <w:pStyle w:val="NoSpacing"/>
            </w:pPr>
            <w:r>
              <w:t>G</w:t>
            </w:r>
          </w:p>
        </w:tc>
        <w:tc>
          <w:tcPr>
            <w:tcW w:w="7560" w:type="dxa"/>
            <w:gridSpan w:val="3"/>
          </w:tcPr>
          <w:p w14:paraId="54D62210" w14:textId="77777777" w:rsidR="008D4660" w:rsidRDefault="008D4660" w:rsidP="00A12BB2">
            <w:pPr>
              <w:pStyle w:val="NoSpacing"/>
            </w:pPr>
            <w:r>
              <w:t>Did the student transfer into district from another Oregon district with eligibility?</w:t>
            </w:r>
          </w:p>
        </w:tc>
        <w:tc>
          <w:tcPr>
            <w:tcW w:w="720" w:type="dxa"/>
            <w:gridSpan w:val="2"/>
          </w:tcPr>
          <w:p w14:paraId="35E59023" w14:textId="77777777" w:rsidR="008D4660" w:rsidRDefault="008D4660" w:rsidP="00A12BB2">
            <w:pPr>
              <w:pStyle w:val="NoSpacing"/>
              <w:jc w:val="center"/>
            </w:pPr>
            <w:r>
              <w:t>Y</w:t>
            </w:r>
          </w:p>
        </w:tc>
        <w:tc>
          <w:tcPr>
            <w:tcW w:w="630" w:type="dxa"/>
          </w:tcPr>
          <w:p w14:paraId="42D75DC4" w14:textId="77777777" w:rsidR="008D4660" w:rsidRDefault="008D4660" w:rsidP="00A12BB2">
            <w:pPr>
              <w:pStyle w:val="NoSpacing"/>
              <w:jc w:val="center"/>
            </w:pPr>
            <w:r>
              <w:t>N</w:t>
            </w:r>
          </w:p>
        </w:tc>
      </w:tr>
      <w:tr w:rsidR="008D4660" w14:paraId="75E987DE" w14:textId="77777777" w:rsidTr="008D4660">
        <w:tc>
          <w:tcPr>
            <w:tcW w:w="445" w:type="dxa"/>
          </w:tcPr>
          <w:p w14:paraId="197CEA1D" w14:textId="77777777" w:rsidR="008D4660" w:rsidRDefault="008D4660" w:rsidP="00A12BB2">
            <w:pPr>
              <w:pStyle w:val="NoSpacing"/>
            </w:pPr>
            <w:r>
              <w:t>H</w:t>
            </w:r>
          </w:p>
        </w:tc>
        <w:tc>
          <w:tcPr>
            <w:tcW w:w="7560" w:type="dxa"/>
            <w:gridSpan w:val="3"/>
          </w:tcPr>
          <w:p w14:paraId="682E192C" w14:textId="77777777" w:rsidR="008D4660" w:rsidRDefault="008D4660" w:rsidP="00A12BB2">
            <w:pPr>
              <w:pStyle w:val="NoSpacing"/>
            </w:pPr>
            <w:r>
              <w:t>Did the student transfer from out of state with eligibility? If yes, district must have established Oregon eligibility since the transfer.</w:t>
            </w:r>
          </w:p>
        </w:tc>
        <w:tc>
          <w:tcPr>
            <w:tcW w:w="720" w:type="dxa"/>
            <w:gridSpan w:val="2"/>
          </w:tcPr>
          <w:p w14:paraId="4B88A77E" w14:textId="77777777" w:rsidR="008D4660" w:rsidRDefault="008D4660" w:rsidP="00A12BB2">
            <w:pPr>
              <w:pStyle w:val="NoSpacing"/>
              <w:jc w:val="center"/>
            </w:pPr>
            <w:r>
              <w:t>Y</w:t>
            </w:r>
          </w:p>
        </w:tc>
        <w:tc>
          <w:tcPr>
            <w:tcW w:w="630" w:type="dxa"/>
          </w:tcPr>
          <w:p w14:paraId="548E65F0" w14:textId="77777777" w:rsidR="008D4660" w:rsidRDefault="008D4660" w:rsidP="00A12BB2">
            <w:pPr>
              <w:pStyle w:val="NoSpacing"/>
              <w:jc w:val="center"/>
            </w:pPr>
            <w:r>
              <w:t>N</w:t>
            </w:r>
          </w:p>
        </w:tc>
      </w:tr>
      <w:tr w:rsidR="008D4660" w14:paraId="38F0DC30" w14:textId="77777777" w:rsidTr="008D4660">
        <w:tc>
          <w:tcPr>
            <w:tcW w:w="445" w:type="dxa"/>
          </w:tcPr>
          <w:p w14:paraId="1B0E4E21" w14:textId="77777777" w:rsidR="008D4660" w:rsidRDefault="008D4660" w:rsidP="00A12BB2">
            <w:pPr>
              <w:pStyle w:val="NoSpacing"/>
            </w:pPr>
            <w:r>
              <w:t>I</w:t>
            </w:r>
          </w:p>
        </w:tc>
        <w:tc>
          <w:tcPr>
            <w:tcW w:w="7560" w:type="dxa"/>
            <w:gridSpan w:val="3"/>
          </w:tcPr>
          <w:p w14:paraId="0ED812D8" w14:textId="77777777" w:rsidR="008D4660" w:rsidRDefault="008D4660" w:rsidP="00A12BB2">
            <w:pPr>
              <w:pStyle w:val="NoSpacing"/>
            </w:pPr>
            <w:r>
              <w:t>Will the student be taking all general assessments?</w:t>
            </w:r>
          </w:p>
        </w:tc>
        <w:tc>
          <w:tcPr>
            <w:tcW w:w="720" w:type="dxa"/>
            <w:gridSpan w:val="2"/>
          </w:tcPr>
          <w:p w14:paraId="1257AD8E" w14:textId="77777777" w:rsidR="008D4660" w:rsidRDefault="008D4660" w:rsidP="00A12BB2">
            <w:pPr>
              <w:pStyle w:val="NoSpacing"/>
              <w:jc w:val="center"/>
            </w:pPr>
            <w:r>
              <w:t>Y</w:t>
            </w:r>
          </w:p>
        </w:tc>
        <w:tc>
          <w:tcPr>
            <w:tcW w:w="630" w:type="dxa"/>
          </w:tcPr>
          <w:p w14:paraId="48A9E632" w14:textId="77777777" w:rsidR="008D4660" w:rsidRDefault="008D4660" w:rsidP="00A12BB2">
            <w:pPr>
              <w:pStyle w:val="NoSpacing"/>
              <w:jc w:val="center"/>
            </w:pPr>
            <w:r>
              <w:t>N</w:t>
            </w:r>
          </w:p>
        </w:tc>
      </w:tr>
      <w:tr w:rsidR="008D4660" w14:paraId="06A36331" w14:textId="77777777" w:rsidTr="008D4660">
        <w:tc>
          <w:tcPr>
            <w:tcW w:w="445" w:type="dxa"/>
          </w:tcPr>
          <w:p w14:paraId="0B3BF6FB" w14:textId="77777777" w:rsidR="008D4660" w:rsidRDefault="008D4660" w:rsidP="00A12BB2">
            <w:pPr>
              <w:pStyle w:val="NoSpacing"/>
            </w:pPr>
            <w:r>
              <w:t>J</w:t>
            </w:r>
          </w:p>
        </w:tc>
        <w:tc>
          <w:tcPr>
            <w:tcW w:w="7560" w:type="dxa"/>
            <w:gridSpan w:val="3"/>
          </w:tcPr>
          <w:p w14:paraId="167EB0FC" w14:textId="77777777" w:rsidR="008D4660" w:rsidRDefault="008D4660" w:rsidP="00A12BB2">
            <w:pPr>
              <w:pStyle w:val="NoSpacing"/>
            </w:pPr>
            <w:r>
              <w:t>Will the student be taking all alternate assessments?</w:t>
            </w:r>
          </w:p>
        </w:tc>
        <w:tc>
          <w:tcPr>
            <w:tcW w:w="720" w:type="dxa"/>
            <w:gridSpan w:val="2"/>
          </w:tcPr>
          <w:p w14:paraId="1558770F" w14:textId="77777777" w:rsidR="008D4660" w:rsidRDefault="008D4660" w:rsidP="00A12BB2">
            <w:pPr>
              <w:pStyle w:val="NoSpacing"/>
              <w:jc w:val="center"/>
            </w:pPr>
            <w:r>
              <w:t>Y</w:t>
            </w:r>
          </w:p>
        </w:tc>
        <w:tc>
          <w:tcPr>
            <w:tcW w:w="630" w:type="dxa"/>
          </w:tcPr>
          <w:p w14:paraId="7DDC472C" w14:textId="77777777" w:rsidR="008D4660" w:rsidRDefault="008D4660" w:rsidP="00A12BB2">
            <w:pPr>
              <w:pStyle w:val="NoSpacing"/>
              <w:jc w:val="center"/>
            </w:pPr>
            <w:r>
              <w:t>N</w:t>
            </w:r>
          </w:p>
        </w:tc>
      </w:tr>
      <w:tr w:rsidR="008D4660" w14:paraId="20B6DFD0" w14:textId="77777777" w:rsidTr="008D4660">
        <w:tc>
          <w:tcPr>
            <w:tcW w:w="445" w:type="dxa"/>
          </w:tcPr>
          <w:p w14:paraId="4520FA2F" w14:textId="77777777" w:rsidR="008D4660" w:rsidRDefault="008D4660" w:rsidP="00A12BB2">
            <w:pPr>
              <w:pStyle w:val="NoSpacing"/>
            </w:pPr>
            <w:r>
              <w:t>K</w:t>
            </w:r>
          </w:p>
        </w:tc>
        <w:tc>
          <w:tcPr>
            <w:tcW w:w="7560" w:type="dxa"/>
            <w:gridSpan w:val="3"/>
          </w:tcPr>
          <w:p w14:paraId="1D2ABD6F" w14:textId="77777777" w:rsidR="008D4660" w:rsidRDefault="008D4660" w:rsidP="00A12BB2">
            <w:pPr>
              <w:pStyle w:val="NoSpacing"/>
            </w:pPr>
            <w:r>
              <w:t>Will the student be taking a mix of general and alternate assessments?</w:t>
            </w:r>
          </w:p>
        </w:tc>
        <w:tc>
          <w:tcPr>
            <w:tcW w:w="720" w:type="dxa"/>
            <w:gridSpan w:val="2"/>
          </w:tcPr>
          <w:p w14:paraId="0BB2156F" w14:textId="77777777" w:rsidR="008D4660" w:rsidRDefault="008D4660" w:rsidP="00A12BB2">
            <w:pPr>
              <w:pStyle w:val="NoSpacing"/>
              <w:jc w:val="center"/>
            </w:pPr>
            <w:r>
              <w:t>Y</w:t>
            </w:r>
          </w:p>
        </w:tc>
        <w:tc>
          <w:tcPr>
            <w:tcW w:w="630" w:type="dxa"/>
          </w:tcPr>
          <w:p w14:paraId="49ECE916" w14:textId="77777777" w:rsidR="008D4660" w:rsidRDefault="008D4660" w:rsidP="00A12BB2">
            <w:pPr>
              <w:pStyle w:val="NoSpacing"/>
              <w:jc w:val="center"/>
            </w:pPr>
            <w:r>
              <w:t>N</w:t>
            </w:r>
          </w:p>
        </w:tc>
      </w:tr>
      <w:tr w:rsidR="008D4660" w14:paraId="05295601" w14:textId="77777777" w:rsidTr="008D4660">
        <w:tc>
          <w:tcPr>
            <w:tcW w:w="445" w:type="dxa"/>
          </w:tcPr>
          <w:p w14:paraId="22B4FAD7" w14:textId="77777777" w:rsidR="008D4660" w:rsidRDefault="008D4660" w:rsidP="00A12BB2">
            <w:pPr>
              <w:pStyle w:val="NoSpacing"/>
            </w:pPr>
            <w:r>
              <w:t>L</w:t>
            </w:r>
          </w:p>
        </w:tc>
        <w:tc>
          <w:tcPr>
            <w:tcW w:w="7560" w:type="dxa"/>
            <w:gridSpan w:val="3"/>
          </w:tcPr>
          <w:p w14:paraId="1407E080" w14:textId="77777777" w:rsidR="008D4660" w:rsidRDefault="008D4660" w:rsidP="00A12BB2">
            <w:pPr>
              <w:pStyle w:val="NoSpacing"/>
            </w:pPr>
            <w:r>
              <w:t>For the IEP in effect at the time of review, is this an initial IEP (1st year IEP)?</w:t>
            </w:r>
          </w:p>
        </w:tc>
        <w:tc>
          <w:tcPr>
            <w:tcW w:w="720" w:type="dxa"/>
            <w:gridSpan w:val="2"/>
          </w:tcPr>
          <w:p w14:paraId="0D3C528A" w14:textId="77777777" w:rsidR="008D4660" w:rsidRDefault="008D4660" w:rsidP="00A12BB2">
            <w:pPr>
              <w:pStyle w:val="NoSpacing"/>
              <w:jc w:val="center"/>
            </w:pPr>
            <w:r>
              <w:t>Y</w:t>
            </w:r>
          </w:p>
        </w:tc>
        <w:tc>
          <w:tcPr>
            <w:tcW w:w="630" w:type="dxa"/>
          </w:tcPr>
          <w:p w14:paraId="5E3728E9" w14:textId="77777777" w:rsidR="008D4660" w:rsidRDefault="008D4660" w:rsidP="00A12BB2">
            <w:pPr>
              <w:pStyle w:val="NoSpacing"/>
              <w:jc w:val="center"/>
            </w:pPr>
            <w:r>
              <w:t>N</w:t>
            </w:r>
          </w:p>
        </w:tc>
      </w:tr>
      <w:tr w:rsidR="009816F3" w14:paraId="122BAE5A" w14:textId="77777777" w:rsidTr="008D4660">
        <w:tc>
          <w:tcPr>
            <w:tcW w:w="9355" w:type="dxa"/>
            <w:gridSpan w:val="7"/>
            <w:tcBorders>
              <w:top w:val="single" w:sz="4" w:space="0" w:color="auto"/>
            </w:tcBorders>
            <w:shd w:val="clear" w:color="auto" w:fill="BFBFBF" w:themeFill="background1" w:themeFillShade="BF"/>
          </w:tcPr>
          <w:p w14:paraId="1DD5124C" w14:textId="3847AD3F" w:rsidR="009816F3" w:rsidRDefault="009816F3" w:rsidP="00A12BB2">
            <w:pPr>
              <w:pStyle w:val="NoSpacing"/>
              <w:jc w:val="center"/>
            </w:pPr>
            <w:r>
              <w:t xml:space="preserve"> IEP Team Meeting Notice</w:t>
            </w:r>
          </w:p>
        </w:tc>
      </w:tr>
      <w:tr w:rsidR="009816F3" w14:paraId="36BE7EBC" w14:textId="77777777" w:rsidTr="002B53BF">
        <w:tc>
          <w:tcPr>
            <w:tcW w:w="445" w:type="dxa"/>
            <w:shd w:val="clear" w:color="auto" w:fill="auto"/>
          </w:tcPr>
          <w:p w14:paraId="30CC63C6" w14:textId="77777777" w:rsidR="009816F3" w:rsidRDefault="009816F3" w:rsidP="00A12BB2">
            <w:pPr>
              <w:pStyle w:val="NoSpacing"/>
            </w:pPr>
            <w:r>
              <w:t>16</w:t>
            </w:r>
          </w:p>
        </w:tc>
        <w:tc>
          <w:tcPr>
            <w:tcW w:w="6930" w:type="dxa"/>
            <w:gridSpan w:val="2"/>
            <w:shd w:val="clear" w:color="auto" w:fill="auto"/>
          </w:tcPr>
          <w:p w14:paraId="2C1C7BCC" w14:textId="77777777" w:rsidR="009816F3" w:rsidRDefault="009816F3" w:rsidP="00A12BB2">
            <w:pPr>
              <w:pStyle w:val="NoSpacing"/>
            </w:pPr>
            <w:r>
              <w:t>Transition Age Student Invited</w:t>
            </w:r>
          </w:p>
        </w:tc>
        <w:tc>
          <w:tcPr>
            <w:tcW w:w="630" w:type="dxa"/>
            <w:shd w:val="clear" w:color="auto" w:fill="auto"/>
          </w:tcPr>
          <w:p w14:paraId="5BC604EB" w14:textId="77777777" w:rsidR="009816F3" w:rsidRDefault="009816F3" w:rsidP="00A12BB2">
            <w:pPr>
              <w:pStyle w:val="NoSpacing"/>
              <w:jc w:val="center"/>
            </w:pPr>
            <w:r>
              <w:t>Y</w:t>
            </w:r>
          </w:p>
        </w:tc>
        <w:tc>
          <w:tcPr>
            <w:tcW w:w="686" w:type="dxa"/>
            <w:shd w:val="clear" w:color="auto" w:fill="auto"/>
          </w:tcPr>
          <w:p w14:paraId="56B793F8" w14:textId="77777777" w:rsidR="009816F3" w:rsidRDefault="009816F3" w:rsidP="00A12BB2">
            <w:pPr>
              <w:pStyle w:val="NoSpacing"/>
              <w:jc w:val="center"/>
            </w:pPr>
            <w:r>
              <w:t>N</w:t>
            </w:r>
          </w:p>
        </w:tc>
        <w:tc>
          <w:tcPr>
            <w:tcW w:w="664" w:type="dxa"/>
            <w:gridSpan w:val="2"/>
            <w:shd w:val="clear" w:color="auto" w:fill="auto"/>
          </w:tcPr>
          <w:p w14:paraId="5BB480CF" w14:textId="77777777" w:rsidR="009816F3" w:rsidRDefault="009816F3" w:rsidP="00A12BB2">
            <w:pPr>
              <w:pStyle w:val="NoSpacing"/>
              <w:jc w:val="center"/>
            </w:pPr>
            <w:r>
              <w:t>N/A</w:t>
            </w:r>
          </w:p>
        </w:tc>
      </w:tr>
      <w:tr w:rsidR="009816F3" w14:paraId="2E46857A" w14:textId="77777777" w:rsidTr="008D4660">
        <w:tc>
          <w:tcPr>
            <w:tcW w:w="9355" w:type="dxa"/>
            <w:gridSpan w:val="7"/>
            <w:shd w:val="clear" w:color="auto" w:fill="BFBFBF" w:themeFill="background1" w:themeFillShade="BF"/>
          </w:tcPr>
          <w:p w14:paraId="4510BD9A" w14:textId="7DB711E1" w:rsidR="009816F3" w:rsidRDefault="009816F3" w:rsidP="00A12BB2">
            <w:pPr>
              <w:pStyle w:val="NoSpacing"/>
              <w:jc w:val="center"/>
            </w:pPr>
            <w:r>
              <w:t>IEP Team Members</w:t>
            </w:r>
          </w:p>
        </w:tc>
      </w:tr>
      <w:tr w:rsidR="009816F3" w14:paraId="7DEEAE31" w14:textId="77777777" w:rsidTr="002B53BF">
        <w:tc>
          <w:tcPr>
            <w:tcW w:w="445" w:type="dxa"/>
            <w:shd w:val="clear" w:color="auto" w:fill="auto"/>
          </w:tcPr>
          <w:p w14:paraId="627B6C90" w14:textId="77777777" w:rsidR="009816F3" w:rsidRDefault="009816F3" w:rsidP="00A12BB2">
            <w:pPr>
              <w:pStyle w:val="NoSpacing"/>
            </w:pPr>
            <w:r>
              <w:t>22</w:t>
            </w:r>
          </w:p>
        </w:tc>
        <w:tc>
          <w:tcPr>
            <w:tcW w:w="6930" w:type="dxa"/>
            <w:gridSpan w:val="2"/>
            <w:shd w:val="clear" w:color="auto" w:fill="auto"/>
          </w:tcPr>
          <w:p w14:paraId="3400C8F3" w14:textId="77777777" w:rsidR="009816F3" w:rsidRDefault="009816F3" w:rsidP="00A12BB2">
            <w:pPr>
              <w:pStyle w:val="NoSpacing"/>
            </w:pPr>
            <w:r>
              <w:t>Agency Participation</w:t>
            </w:r>
          </w:p>
        </w:tc>
        <w:tc>
          <w:tcPr>
            <w:tcW w:w="630" w:type="dxa"/>
            <w:shd w:val="clear" w:color="auto" w:fill="auto"/>
          </w:tcPr>
          <w:p w14:paraId="1D29D6B0" w14:textId="77777777" w:rsidR="009816F3" w:rsidRDefault="009816F3" w:rsidP="00A12BB2">
            <w:pPr>
              <w:pStyle w:val="NoSpacing"/>
              <w:jc w:val="center"/>
            </w:pPr>
            <w:r>
              <w:t>Y</w:t>
            </w:r>
          </w:p>
        </w:tc>
        <w:tc>
          <w:tcPr>
            <w:tcW w:w="686" w:type="dxa"/>
            <w:shd w:val="clear" w:color="auto" w:fill="auto"/>
          </w:tcPr>
          <w:p w14:paraId="691DF18E" w14:textId="77777777" w:rsidR="009816F3" w:rsidRDefault="009816F3" w:rsidP="00A12BB2">
            <w:pPr>
              <w:pStyle w:val="NoSpacing"/>
              <w:jc w:val="center"/>
            </w:pPr>
            <w:r>
              <w:t>N</w:t>
            </w:r>
          </w:p>
        </w:tc>
        <w:tc>
          <w:tcPr>
            <w:tcW w:w="664" w:type="dxa"/>
            <w:gridSpan w:val="2"/>
            <w:shd w:val="clear" w:color="auto" w:fill="auto"/>
          </w:tcPr>
          <w:p w14:paraId="3CC8C9B3" w14:textId="77777777" w:rsidR="009816F3" w:rsidRDefault="009816F3" w:rsidP="00A12BB2">
            <w:pPr>
              <w:pStyle w:val="NoSpacing"/>
              <w:jc w:val="center"/>
            </w:pPr>
            <w:r>
              <w:t>N/A</w:t>
            </w:r>
          </w:p>
        </w:tc>
      </w:tr>
      <w:tr w:rsidR="009816F3" w14:paraId="5EB6D59C" w14:textId="77777777" w:rsidTr="008D4660">
        <w:tc>
          <w:tcPr>
            <w:tcW w:w="9355" w:type="dxa"/>
            <w:gridSpan w:val="7"/>
            <w:shd w:val="clear" w:color="auto" w:fill="BFBFBF" w:themeFill="background1" w:themeFillShade="BF"/>
          </w:tcPr>
          <w:p w14:paraId="489D89A8" w14:textId="77777777" w:rsidR="009816F3" w:rsidRDefault="009816F3" w:rsidP="00A12BB2">
            <w:pPr>
              <w:pStyle w:val="NoSpacing"/>
              <w:jc w:val="center"/>
            </w:pPr>
            <w:r>
              <w:t>Section VI – IEP Content</w:t>
            </w:r>
          </w:p>
        </w:tc>
      </w:tr>
      <w:tr w:rsidR="00870D7D" w14:paraId="157A49EA" w14:textId="77777777" w:rsidTr="002B53BF">
        <w:tc>
          <w:tcPr>
            <w:tcW w:w="445" w:type="dxa"/>
            <w:shd w:val="clear" w:color="auto" w:fill="auto"/>
          </w:tcPr>
          <w:p w14:paraId="1C429FA4" w14:textId="42356330" w:rsidR="00870D7D" w:rsidRDefault="00870D7D" w:rsidP="00870D7D">
            <w:pPr>
              <w:pStyle w:val="NoSpacing"/>
            </w:pPr>
            <w:r>
              <w:t>26</w:t>
            </w:r>
          </w:p>
        </w:tc>
        <w:tc>
          <w:tcPr>
            <w:tcW w:w="6930" w:type="dxa"/>
            <w:gridSpan w:val="2"/>
            <w:shd w:val="clear" w:color="auto" w:fill="auto"/>
          </w:tcPr>
          <w:p w14:paraId="42F313F2" w14:textId="23E62032" w:rsidR="00870D7D" w:rsidRDefault="00870D7D" w:rsidP="00870D7D">
            <w:pPr>
              <w:pStyle w:val="NoSpacing"/>
            </w:pPr>
            <w:r>
              <w:t>PLAAFP Contains Academic Performance and Functional Performance</w:t>
            </w:r>
          </w:p>
        </w:tc>
        <w:tc>
          <w:tcPr>
            <w:tcW w:w="630" w:type="dxa"/>
            <w:shd w:val="clear" w:color="auto" w:fill="auto"/>
          </w:tcPr>
          <w:p w14:paraId="0250FBB1" w14:textId="5E015F9F" w:rsidR="00870D7D" w:rsidRDefault="00870D7D" w:rsidP="00870D7D">
            <w:pPr>
              <w:pStyle w:val="NoSpacing"/>
              <w:jc w:val="center"/>
            </w:pPr>
            <w:r>
              <w:t>Y</w:t>
            </w:r>
          </w:p>
        </w:tc>
        <w:tc>
          <w:tcPr>
            <w:tcW w:w="686" w:type="dxa"/>
            <w:shd w:val="clear" w:color="auto" w:fill="auto"/>
          </w:tcPr>
          <w:p w14:paraId="77D4616E" w14:textId="75BE3F5C" w:rsidR="00870D7D" w:rsidRDefault="00870D7D" w:rsidP="00870D7D">
            <w:pPr>
              <w:pStyle w:val="NoSpacing"/>
              <w:jc w:val="center"/>
            </w:pPr>
            <w:r>
              <w:t>N</w:t>
            </w:r>
          </w:p>
        </w:tc>
        <w:tc>
          <w:tcPr>
            <w:tcW w:w="664" w:type="dxa"/>
            <w:gridSpan w:val="2"/>
            <w:shd w:val="clear" w:color="auto" w:fill="auto"/>
          </w:tcPr>
          <w:p w14:paraId="29AAB8A5" w14:textId="1E919C24" w:rsidR="00870D7D" w:rsidRDefault="00870D7D" w:rsidP="00870D7D">
            <w:pPr>
              <w:pStyle w:val="NoSpacing"/>
              <w:jc w:val="center"/>
            </w:pPr>
            <w:r>
              <w:t>N/A</w:t>
            </w:r>
          </w:p>
        </w:tc>
      </w:tr>
      <w:tr w:rsidR="00870D7D" w14:paraId="10B6B51B" w14:textId="77777777" w:rsidTr="002B53BF">
        <w:tc>
          <w:tcPr>
            <w:tcW w:w="445" w:type="dxa"/>
            <w:shd w:val="clear" w:color="auto" w:fill="auto"/>
          </w:tcPr>
          <w:p w14:paraId="272DAADF" w14:textId="77777777" w:rsidR="00870D7D" w:rsidRDefault="00870D7D" w:rsidP="00870D7D">
            <w:pPr>
              <w:pStyle w:val="NoSpacing"/>
            </w:pPr>
            <w:r>
              <w:t>27</w:t>
            </w:r>
          </w:p>
        </w:tc>
        <w:tc>
          <w:tcPr>
            <w:tcW w:w="6930" w:type="dxa"/>
            <w:gridSpan w:val="2"/>
            <w:shd w:val="clear" w:color="auto" w:fill="auto"/>
          </w:tcPr>
          <w:p w14:paraId="1E0107C1" w14:textId="77777777" w:rsidR="00870D7D" w:rsidRDefault="00870D7D" w:rsidP="00870D7D">
            <w:pPr>
              <w:pStyle w:val="NoSpacing"/>
            </w:pPr>
            <w:r>
              <w:t>PLAAFP Contains AATA and PINS</w:t>
            </w:r>
          </w:p>
        </w:tc>
        <w:tc>
          <w:tcPr>
            <w:tcW w:w="630" w:type="dxa"/>
            <w:shd w:val="clear" w:color="auto" w:fill="auto"/>
          </w:tcPr>
          <w:p w14:paraId="28932951" w14:textId="77777777" w:rsidR="00870D7D" w:rsidRDefault="00870D7D" w:rsidP="00870D7D">
            <w:pPr>
              <w:pStyle w:val="NoSpacing"/>
              <w:jc w:val="center"/>
            </w:pPr>
            <w:r>
              <w:t>Y</w:t>
            </w:r>
          </w:p>
        </w:tc>
        <w:tc>
          <w:tcPr>
            <w:tcW w:w="686" w:type="dxa"/>
            <w:shd w:val="clear" w:color="auto" w:fill="auto"/>
          </w:tcPr>
          <w:p w14:paraId="30A4D6BA" w14:textId="77777777" w:rsidR="00870D7D" w:rsidRDefault="00870D7D" w:rsidP="00870D7D">
            <w:pPr>
              <w:pStyle w:val="NoSpacing"/>
              <w:jc w:val="center"/>
            </w:pPr>
            <w:r>
              <w:t>N</w:t>
            </w:r>
          </w:p>
        </w:tc>
        <w:tc>
          <w:tcPr>
            <w:tcW w:w="664" w:type="dxa"/>
            <w:gridSpan w:val="2"/>
            <w:shd w:val="clear" w:color="auto" w:fill="auto"/>
          </w:tcPr>
          <w:p w14:paraId="3ECE704B" w14:textId="77777777" w:rsidR="00870D7D" w:rsidRDefault="00870D7D" w:rsidP="00870D7D">
            <w:pPr>
              <w:pStyle w:val="NoSpacing"/>
              <w:jc w:val="center"/>
            </w:pPr>
            <w:r>
              <w:t>N/A</w:t>
            </w:r>
          </w:p>
        </w:tc>
      </w:tr>
      <w:tr w:rsidR="00870D7D" w14:paraId="25A31DA2" w14:textId="77777777" w:rsidTr="002B53BF">
        <w:tc>
          <w:tcPr>
            <w:tcW w:w="445" w:type="dxa"/>
            <w:shd w:val="clear" w:color="auto" w:fill="auto"/>
          </w:tcPr>
          <w:p w14:paraId="4E26FB25" w14:textId="116631CB" w:rsidR="00870D7D" w:rsidRDefault="00870D7D" w:rsidP="00870D7D">
            <w:pPr>
              <w:pStyle w:val="NoSpacing"/>
            </w:pPr>
            <w:r>
              <w:t>31</w:t>
            </w:r>
          </w:p>
        </w:tc>
        <w:tc>
          <w:tcPr>
            <w:tcW w:w="6930" w:type="dxa"/>
            <w:gridSpan w:val="2"/>
            <w:shd w:val="clear" w:color="auto" w:fill="auto"/>
          </w:tcPr>
          <w:p w14:paraId="487DA836" w14:textId="73EAC231" w:rsidR="00870D7D" w:rsidRDefault="000E49A9" w:rsidP="00870D7D">
            <w:pPr>
              <w:pStyle w:val="NoSpacing"/>
            </w:pPr>
            <w:r>
              <w:t>Annual Goals</w:t>
            </w:r>
          </w:p>
        </w:tc>
        <w:tc>
          <w:tcPr>
            <w:tcW w:w="630" w:type="dxa"/>
            <w:shd w:val="clear" w:color="auto" w:fill="auto"/>
          </w:tcPr>
          <w:p w14:paraId="17AAFD6E" w14:textId="1E2C6791" w:rsidR="00870D7D" w:rsidRDefault="00870D7D" w:rsidP="00870D7D">
            <w:pPr>
              <w:pStyle w:val="NoSpacing"/>
              <w:jc w:val="center"/>
            </w:pPr>
            <w:r>
              <w:t>Y</w:t>
            </w:r>
          </w:p>
        </w:tc>
        <w:tc>
          <w:tcPr>
            <w:tcW w:w="686" w:type="dxa"/>
            <w:shd w:val="clear" w:color="auto" w:fill="auto"/>
          </w:tcPr>
          <w:p w14:paraId="15C92853" w14:textId="288DE6B7" w:rsidR="00870D7D" w:rsidRDefault="00870D7D" w:rsidP="00870D7D">
            <w:pPr>
              <w:pStyle w:val="NoSpacing"/>
              <w:jc w:val="center"/>
            </w:pPr>
            <w:r>
              <w:t>N</w:t>
            </w:r>
          </w:p>
        </w:tc>
        <w:tc>
          <w:tcPr>
            <w:tcW w:w="664" w:type="dxa"/>
            <w:gridSpan w:val="2"/>
            <w:shd w:val="clear" w:color="auto" w:fill="auto"/>
          </w:tcPr>
          <w:p w14:paraId="611CB6F1" w14:textId="66D8C76E" w:rsidR="00870D7D" w:rsidRDefault="00870D7D" w:rsidP="00870D7D">
            <w:pPr>
              <w:pStyle w:val="NoSpacing"/>
              <w:jc w:val="center"/>
            </w:pPr>
            <w:r>
              <w:t>N/A</w:t>
            </w:r>
          </w:p>
        </w:tc>
      </w:tr>
      <w:tr w:rsidR="00870D7D" w14:paraId="626B1431" w14:textId="77777777" w:rsidTr="002B53BF">
        <w:tc>
          <w:tcPr>
            <w:tcW w:w="445" w:type="dxa"/>
            <w:shd w:val="clear" w:color="auto" w:fill="auto"/>
          </w:tcPr>
          <w:p w14:paraId="4C4E87B4" w14:textId="77777777" w:rsidR="00870D7D" w:rsidRDefault="00870D7D" w:rsidP="00870D7D">
            <w:pPr>
              <w:pStyle w:val="NoSpacing"/>
            </w:pPr>
            <w:r>
              <w:t>33</w:t>
            </w:r>
          </w:p>
        </w:tc>
        <w:tc>
          <w:tcPr>
            <w:tcW w:w="6930" w:type="dxa"/>
            <w:gridSpan w:val="2"/>
            <w:shd w:val="clear" w:color="auto" w:fill="auto"/>
          </w:tcPr>
          <w:p w14:paraId="7BB8D563" w14:textId="77777777" w:rsidR="00870D7D" w:rsidRDefault="00870D7D" w:rsidP="00870D7D">
            <w:pPr>
              <w:pStyle w:val="NoSpacing"/>
            </w:pPr>
            <w:r>
              <w:t>Goals Align to Transition Services</w:t>
            </w:r>
          </w:p>
        </w:tc>
        <w:tc>
          <w:tcPr>
            <w:tcW w:w="630" w:type="dxa"/>
            <w:shd w:val="clear" w:color="auto" w:fill="auto"/>
          </w:tcPr>
          <w:p w14:paraId="7CDF1E5D" w14:textId="77777777" w:rsidR="00870D7D" w:rsidRDefault="00870D7D" w:rsidP="00870D7D">
            <w:pPr>
              <w:pStyle w:val="NoSpacing"/>
              <w:jc w:val="center"/>
            </w:pPr>
            <w:r>
              <w:t>Y</w:t>
            </w:r>
          </w:p>
        </w:tc>
        <w:tc>
          <w:tcPr>
            <w:tcW w:w="686" w:type="dxa"/>
            <w:shd w:val="clear" w:color="auto" w:fill="auto"/>
          </w:tcPr>
          <w:p w14:paraId="169CC91A" w14:textId="77777777" w:rsidR="00870D7D" w:rsidRDefault="00870D7D" w:rsidP="00870D7D">
            <w:pPr>
              <w:pStyle w:val="NoSpacing"/>
              <w:jc w:val="center"/>
            </w:pPr>
            <w:r>
              <w:t>N</w:t>
            </w:r>
          </w:p>
        </w:tc>
        <w:tc>
          <w:tcPr>
            <w:tcW w:w="664" w:type="dxa"/>
            <w:gridSpan w:val="2"/>
            <w:shd w:val="clear" w:color="auto" w:fill="auto"/>
          </w:tcPr>
          <w:p w14:paraId="17DBB2E7" w14:textId="77777777" w:rsidR="00870D7D" w:rsidRDefault="00870D7D" w:rsidP="00870D7D">
            <w:pPr>
              <w:pStyle w:val="NoSpacing"/>
              <w:jc w:val="center"/>
            </w:pPr>
            <w:r>
              <w:t>N/A</w:t>
            </w:r>
          </w:p>
        </w:tc>
      </w:tr>
      <w:tr w:rsidR="00870D7D" w14:paraId="6FD5183B" w14:textId="77777777" w:rsidTr="002B53BF">
        <w:tc>
          <w:tcPr>
            <w:tcW w:w="445" w:type="dxa"/>
            <w:shd w:val="clear" w:color="auto" w:fill="auto"/>
          </w:tcPr>
          <w:p w14:paraId="40F2988F" w14:textId="77777777" w:rsidR="00870D7D" w:rsidRDefault="00870D7D" w:rsidP="00870D7D">
            <w:pPr>
              <w:pStyle w:val="NoSpacing"/>
            </w:pPr>
            <w:r>
              <w:t>34</w:t>
            </w:r>
          </w:p>
        </w:tc>
        <w:tc>
          <w:tcPr>
            <w:tcW w:w="6930" w:type="dxa"/>
            <w:gridSpan w:val="2"/>
            <w:shd w:val="clear" w:color="auto" w:fill="auto"/>
          </w:tcPr>
          <w:p w14:paraId="35D369FC" w14:textId="77777777" w:rsidR="00870D7D" w:rsidRDefault="00870D7D" w:rsidP="00870D7D">
            <w:pPr>
              <w:pStyle w:val="NoSpacing"/>
            </w:pPr>
            <w:r>
              <w:t>Appropriate Post-Secondary Goals</w:t>
            </w:r>
          </w:p>
        </w:tc>
        <w:tc>
          <w:tcPr>
            <w:tcW w:w="630" w:type="dxa"/>
            <w:shd w:val="clear" w:color="auto" w:fill="auto"/>
          </w:tcPr>
          <w:p w14:paraId="0A95BFB1" w14:textId="77777777" w:rsidR="00870D7D" w:rsidRDefault="00870D7D" w:rsidP="00870D7D">
            <w:pPr>
              <w:pStyle w:val="NoSpacing"/>
              <w:jc w:val="center"/>
            </w:pPr>
            <w:r>
              <w:t>Y</w:t>
            </w:r>
          </w:p>
        </w:tc>
        <w:tc>
          <w:tcPr>
            <w:tcW w:w="686" w:type="dxa"/>
            <w:shd w:val="clear" w:color="auto" w:fill="auto"/>
          </w:tcPr>
          <w:p w14:paraId="2DE7A64B" w14:textId="77777777" w:rsidR="00870D7D" w:rsidRDefault="00870D7D" w:rsidP="00870D7D">
            <w:pPr>
              <w:pStyle w:val="NoSpacing"/>
              <w:jc w:val="center"/>
            </w:pPr>
            <w:r>
              <w:t>N</w:t>
            </w:r>
          </w:p>
        </w:tc>
        <w:tc>
          <w:tcPr>
            <w:tcW w:w="664" w:type="dxa"/>
            <w:gridSpan w:val="2"/>
            <w:shd w:val="clear" w:color="auto" w:fill="auto"/>
          </w:tcPr>
          <w:p w14:paraId="2AE35F8B" w14:textId="77777777" w:rsidR="00870D7D" w:rsidRDefault="00870D7D" w:rsidP="00870D7D">
            <w:pPr>
              <w:pStyle w:val="NoSpacing"/>
              <w:jc w:val="center"/>
            </w:pPr>
            <w:r>
              <w:t>N/A</w:t>
            </w:r>
          </w:p>
        </w:tc>
      </w:tr>
      <w:tr w:rsidR="00870D7D" w14:paraId="6FE4FD23" w14:textId="77777777" w:rsidTr="002B53BF">
        <w:tc>
          <w:tcPr>
            <w:tcW w:w="445" w:type="dxa"/>
            <w:shd w:val="clear" w:color="auto" w:fill="auto"/>
          </w:tcPr>
          <w:p w14:paraId="5D0F8D3D" w14:textId="77777777" w:rsidR="00870D7D" w:rsidRDefault="00870D7D" w:rsidP="00870D7D">
            <w:pPr>
              <w:pStyle w:val="NoSpacing"/>
            </w:pPr>
            <w:r>
              <w:t>35</w:t>
            </w:r>
          </w:p>
        </w:tc>
        <w:tc>
          <w:tcPr>
            <w:tcW w:w="6930" w:type="dxa"/>
            <w:gridSpan w:val="2"/>
            <w:shd w:val="clear" w:color="auto" w:fill="auto"/>
          </w:tcPr>
          <w:p w14:paraId="38AA361A" w14:textId="77777777" w:rsidR="00870D7D" w:rsidRDefault="00870D7D" w:rsidP="00870D7D">
            <w:pPr>
              <w:pStyle w:val="NoSpacing"/>
            </w:pPr>
            <w:r>
              <w:t>Post-Secondary Goals Updated Annually</w:t>
            </w:r>
          </w:p>
        </w:tc>
        <w:tc>
          <w:tcPr>
            <w:tcW w:w="630" w:type="dxa"/>
            <w:shd w:val="clear" w:color="auto" w:fill="auto"/>
          </w:tcPr>
          <w:p w14:paraId="74EA4E39" w14:textId="77777777" w:rsidR="00870D7D" w:rsidRDefault="00870D7D" w:rsidP="00870D7D">
            <w:pPr>
              <w:pStyle w:val="NoSpacing"/>
              <w:jc w:val="center"/>
            </w:pPr>
            <w:r>
              <w:t>Y</w:t>
            </w:r>
          </w:p>
        </w:tc>
        <w:tc>
          <w:tcPr>
            <w:tcW w:w="686" w:type="dxa"/>
            <w:shd w:val="clear" w:color="auto" w:fill="auto"/>
          </w:tcPr>
          <w:p w14:paraId="5BC7C52F" w14:textId="77777777" w:rsidR="00870D7D" w:rsidRDefault="00870D7D" w:rsidP="00870D7D">
            <w:pPr>
              <w:pStyle w:val="NoSpacing"/>
              <w:jc w:val="center"/>
            </w:pPr>
            <w:r>
              <w:t>N</w:t>
            </w:r>
          </w:p>
        </w:tc>
        <w:tc>
          <w:tcPr>
            <w:tcW w:w="664" w:type="dxa"/>
            <w:gridSpan w:val="2"/>
            <w:shd w:val="clear" w:color="auto" w:fill="auto"/>
          </w:tcPr>
          <w:p w14:paraId="19E48C3F" w14:textId="77777777" w:rsidR="00870D7D" w:rsidRDefault="00870D7D" w:rsidP="00870D7D">
            <w:pPr>
              <w:pStyle w:val="NoSpacing"/>
              <w:jc w:val="center"/>
            </w:pPr>
            <w:r>
              <w:t>N/A</w:t>
            </w:r>
          </w:p>
        </w:tc>
      </w:tr>
      <w:tr w:rsidR="00870D7D" w14:paraId="4FF1320E" w14:textId="77777777" w:rsidTr="002B53BF">
        <w:tc>
          <w:tcPr>
            <w:tcW w:w="445" w:type="dxa"/>
            <w:shd w:val="clear" w:color="auto" w:fill="auto"/>
          </w:tcPr>
          <w:p w14:paraId="3ED02705" w14:textId="77777777" w:rsidR="00870D7D" w:rsidRDefault="00870D7D" w:rsidP="00870D7D">
            <w:pPr>
              <w:pStyle w:val="NoSpacing"/>
            </w:pPr>
            <w:r>
              <w:t>36</w:t>
            </w:r>
          </w:p>
        </w:tc>
        <w:tc>
          <w:tcPr>
            <w:tcW w:w="6930" w:type="dxa"/>
            <w:gridSpan w:val="2"/>
            <w:shd w:val="clear" w:color="auto" w:fill="auto"/>
          </w:tcPr>
          <w:p w14:paraId="5275B5AB" w14:textId="77777777" w:rsidR="00870D7D" w:rsidRDefault="00870D7D" w:rsidP="00870D7D">
            <w:pPr>
              <w:pStyle w:val="NoSpacing"/>
            </w:pPr>
            <w:r>
              <w:t>Transition Services Included</w:t>
            </w:r>
          </w:p>
        </w:tc>
        <w:tc>
          <w:tcPr>
            <w:tcW w:w="630" w:type="dxa"/>
            <w:shd w:val="clear" w:color="auto" w:fill="auto"/>
          </w:tcPr>
          <w:p w14:paraId="08C74C92" w14:textId="77777777" w:rsidR="00870D7D" w:rsidRDefault="00870D7D" w:rsidP="00870D7D">
            <w:pPr>
              <w:pStyle w:val="NoSpacing"/>
              <w:jc w:val="center"/>
            </w:pPr>
            <w:r>
              <w:t>Y</w:t>
            </w:r>
          </w:p>
        </w:tc>
        <w:tc>
          <w:tcPr>
            <w:tcW w:w="686" w:type="dxa"/>
            <w:shd w:val="clear" w:color="auto" w:fill="auto"/>
          </w:tcPr>
          <w:p w14:paraId="60D142A5" w14:textId="77777777" w:rsidR="00870D7D" w:rsidRDefault="00870D7D" w:rsidP="00870D7D">
            <w:pPr>
              <w:pStyle w:val="NoSpacing"/>
              <w:jc w:val="center"/>
            </w:pPr>
            <w:r>
              <w:t>N</w:t>
            </w:r>
          </w:p>
        </w:tc>
        <w:tc>
          <w:tcPr>
            <w:tcW w:w="664" w:type="dxa"/>
            <w:gridSpan w:val="2"/>
            <w:shd w:val="clear" w:color="auto" w:fill="auto"/>
          </w:tcPr>
          <w:p w14:paraId="56F6AA54" w14:textId="77777777" w:rsidR="00870D7D" w:rsidRDefault="00870D7D" w:rsidP="00870D7D">
            <w:pPr>
              <w:pStyle w:val="NoSpacing"/>
              <w:jc w:val="center"/>
            </w:pPr>
            <w:r>
              <w:t>N/A</w:t>
            </w:r>
          </w:p>
        </w:tc>
      </w:tr>
      <w:tr w:rsidR="00870D7D" w14:paraId="378B32B8" w14:textId="77777777" w:rsidTr="002B53BF">
        <w:tc>
          <w:tcPr>
            <w:tcW w:w="445" w:type="dxa"/>
            <w:shd w:val="clear" w:color="auto" w:fill="auto"/>
          </w:tcPr>
          <w:p w14:paraId="731A1F3F" w14:textId="77777777" w:rsidR="00870D7D" w:rsidRDefault="00870D7D" w:rsidP="00870D7D">
            <w:pPr>
              <w:pStyle w:val="NoSpacing"/>
            </w:pPr>
            <w:r>
              <w:t>37</w:t>
            </w:r>
          </w:p>
        </w:tc>
        <w:tc>
          <w:tcPr>
            <w:tcW w:w="6930" w:type="dxa"/>
            <w:gridSpan w:val="2"/>
            <w:shd w:val="clear" w:color="auto" w:fill="auto"/>
          </w:tcPr>
          <w:p w14:paraId="4C2D9DC3" w14:textId="77777777" w:rsidR="00870D7D" w:rsidRDefault="00870D7D" w:rsidP="00870D7D">
            <w:pPr>
              <w:pStyle w:val="NoSpacing"/>
            </w:pPr>
            <w:r>
              <w:t>Course of Study</w:t>
            </w:r>
          </w:p>
        </w:tc>
        <w:tc>
          <w:tcPr>
            <w:tcW w:w="630" w:type="dxa"/>
            <w:shd w:val="clear" w:color="auto" w:fill="auto"/>
          </w:tcPr>
          <w:p w14:paraId="0D0A0EA5" w14:textId="77777777" w:rsidR="00870D7D" w:rsidRDefault="00870D7D" w:rsidP="00870D7D">
            <w:pPr>
              <w:pStyle w:val="NoSpacing"/>
              <w:jc w:val="center"/>
            </w:pPr>
            <w:r>
              <w:t>Y</w:t>
            </w:r>
          </w:p>
        </w:tc>
        <w:tc>
          <w:tcPr>
            <w:tcW w:w="686" w:type="dxa"/>
            <w:shd w:val="clear" w:color="auto" w:fill="auto"/>
          </w:tcPr>
          <w:p w14:paraId="55E08A62" w14:textId="77777777" w:rsidR="00870D7D" w:rsidRDefault="00870D7D" w:rsidP="00870D7D">
            <w:pPr>
              <w:pStyle w:val="NoSpacing"/>
              <w:jc w:val="center"/>
            </w:pPr>
            <w:r>
              <w:t>N</w:t>
            </w:r>
          </w:p>
        </w:tc>
        <w:tc>
          <w:tcPr>
            <w:tcW w:w="664" w:type="dxa"/>
            <w:gridSpan w:val="2"/>
            <w:shd w:val="clear" w:color="auto" w:fill="auto"/>
          </w:tcPr>
          <w:p w14:paraId="2229C585" w14:textId="77777777" w:rsidR="00870D7D" w:rsidRDefault="00870D7D" w:rsidP="00870D7D">
            <w:pPr>
              <w:pStyle w:val="NoSpacing"/>
              <w:jc w:val="center"/>
            </w:pPr>
            <w:r>
              <w:t>N/A</w:t>
            </w:r>
          </w:p>
        </w:tc>
      </w:tr>
      <w:tr w:rsidR="00870D7D" w14:paraId="24CDE35F" w14:textId="77777777" w:rsidTr="008D4660">
        <w:tc>
          <w:tcPr>
            <w:tcW w:w="9355" w:type="dxa"/>
            <w:gridSpan w:val="7"/>
            <w:shd w:val="clear" w:color="auto" w:fill="BFBFBF" w:themeFill="background1" w:themeFillShade="BF"/>
          </w:tcPr>
          <w:p w14:paraId="7225878B" w14:textId="77777777" w:rsidR="00870D7D" w:rsidRDefault="00870D7D" w:rsidP="00870D7D">
            <w:pPr>
              <w:pStyle w:val="NoSpacing"/>
              <w:jc w:val="center"/>
            </w:pPr>
            <w:r>
              <w:t>Comments</w:t>
            </w:r>
          </w:p>
        </w:tc>
      </w:tr>
      <w:tr w:rsidR="00870D7D" w14:paraId="74A7184B" w14:textId="77777777" w:rsidTr="000A2CCD">
        <w:trPr>
          <w:trHeight w:val="845"/>
        </w:trPr>
        <w:tc>
          <w:tcPr>
            <w:tcW w:w="9355" w:type="dxa"/>
            <w:gridSpan w:val="7"/>
          </w:tcPr>
          <w:p w14:paraId="0998815E" w14:textId="77777777" w:rsidR="00870D7D" w:rsidRDefault="00870D7D" w:rsidP="00870D7D">
            <w:pPr>
              <w:pStyle w:val="NoSpacing"/>
            </w:pPr>
          </w:p>
          <w:p w14:paraId="73F17F79" w14:textId="5FB10FF4" w:rsidR="00CE1051" w:rsidRDefault="00CE1051" w:rsidP="00870D7D">
            <w:pPr>
              <w:pStyle w:val="NoSpacing"/>
            </w:pPr>
          </w:p>
          <w:p w14:paraId="26BDE0A1" w14:textId="47D0CF85" w:rsidR="00CE1051" w:rsidRDefault="00CE1051" w:rsidP="00870D7D">
            <w:pPr>
              <w:pStyle w:val="NoSpacing"/>
            </w:pPr>
          </w:p>
          <w:p w14:paraId="7A785022" w14:textId="77777777" w:rsidR="00870D7D" w:rsidRDefault="00870D7D" w:rsidP="00870D7D">
            <w:pPr>
              <w:pStyle w:val="NoSpacing"/>
            </w:pPr>
          </w:p>
        </w:tc>
      </w:tr>
    </w:tbl>
    <w:p w14:paraId="495BDD79" w14:textId="77777777" w:rsidR="003D266D" w:rsidRPr="000A2CCD" w:rsidRDefault="003D266D">
      <w:pPr>
        <w:rPr>
          <w:sz w:val="2"/>
        </w:rPr>
      </w:pPr>
    </w:p>
    <w:sectPr w:rsidR="003D266D" w:rsidRPr="000A2CCD" w:rsidSect="008B6A52">
      <w:headerReference w:type="default" r:id="rId8"/>
      <w:footerReference w:type="default" r:id="rId9"/>
      <w:headerReference w:type="first" r:id="rId10"/>
      <w:footerReference w:type="first" r:id="rId11"/>
      <w:pgSz w:w="12240" w:h="15840"/>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78E6" w14:textId="77777777" w:rsidR="0097559F" w:rsidRDefault="0097559F" w:rsidP="00CE459D">
      <w:pPr>
        <w:spacing w:after="0" w:line="240" w:lineRule="auto"/>
      </w:pPr>
      <w:r>
        <w:separator/>
      </w:r>
    </w:p>
  </w:endnote>
  <w:endnote w:type="continuationSeparator" w:id="0">
    <w:p w14:paraId="268BB349" w14:textId="77777777" w:rsidR="0097559F" w:rsidRDefault="0097559F"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03389"/>
      <w:docPartObj>
        <w:docPartGallery w:val="Page Numbers (Bottom of Page)"/>
        <w:docPartUnique/>
      </w:docPartObj>
    </w:sdtPr>
    <w:sdtEndPr>
      <w:rPr>
        <w:noProof/>
      </w:rPr>
    </w:sdtEndPr>
    <w:sdtContent>
      <w:p w14:paraId="6CED7061" w14:textId="69C03B8E" w:rsidR="00F77E24" w:rsidRDefault="00F77E24">
        <w:pPr>
          <w:pStyle w:val="Footer"/>
          <w:jc w:val="center"/>
        </w:pPr>
        <w:r>
          <w:fldChar w:fldCharType="begin"/>
        </w:r>
        <w:r>
          <w:instrText xml:space="preserve"> PAGE   \* MERGEFORMAT </w:instrText>
        </w:r>
        <w:r>
          <w:fldChar w:fldCharType="separate"/>
        </w:r>
        <w:r w:rsidR="00276291">
          <w:rPr>
            <w:noProof/>
          </w:rPr>
          <w:t>12</w:t>
        </w:r>
        <w:r>
          <w:rPr>
            <w:noProof/>
          </w:rPr>
          <w:fldChar w:fldCharType="end"/>
        </w:r>
      </w:p>
    </w:sdtContent>
  </w:sdt>
  <w:p w14:paraId="6BFD27FB" w14:textId="77777777" w:rsidR="00F77E24" w:rsidRDefault="00F77E24" w:rsidP="00B321D1">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B046" w14:textId="77777777" w:rsidR="00F77E24" w:rsidRDefault="00F77E24">
    <w:pPr>
      <w:pStyle w:val="Footer"/>
    </w:pPr>
    <w:r>
      <w:rPr>
        <w:noProof/>
      </w:rPr>
      <w:drawing>
        <wp:anchor distT="0" distB="0" distL="114300" distR="114300" simplePos="0" relativeHeight="251664384" behindDoc="1" locked="0" layoutInCell="1" allowOverlap="1" wp14:anchorId="513B9657" wp14:editId="2DAEDBDC">
          <wp:simplePos x="0" y="0"/>
          <wp:positionH relativeFrom="column">
            <wp:posOffset>3781425</wp:posOffset>
          </wp:positionH>
          <wp:positionV relativeFrom="page">
            <wp:posOffset>8220075</wp:posOffset>
          </wp:positionV>
          <wp:extent cx="2627814" cy="1306830"/>
          <wp:effectExtent l="0" t="0" r="0" b="0"/>
          <wp:wrapNone/>
          <wp:docPr id="5" name="Picture 5"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170823_ODE_HLogo TAG_2016-FINAL-CMYK.png"/>
                  <pic:cNvPicPr/>
                </pic:nvPicPr>
                <pic:blipFill>
                  <a:blip r:embed="rId1">
                    <a:extLst>
                      <a:ext uri="{28A0092B-C50C-407E-A947-70E740481C1C}">
                        <a14:useLocalDpi xmlns:a14="http://schemas.microsoft.com/office/drawing/2010/main" val="0"/>
                      </a:ext>
                    </a:extLst>
                  </a:blip>
                  <a:stretch>
                    <a:fillRect/>
                  </a:stretch>
                </pic:blipFill>
                <pic:spPr>
                  <a:xfrm>
                    <a:off x="0" y="0"/>
                    <a:ext cx="2627814" cy="13068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C844FA6" wp14:editId="7AF0941A">
          <wp:simplePos x="0" y="0"/>
          <wp:positionH relativeFrom="column">
            <wp:posOffset>-209550</wp:posOffset>
          </wp:positionH>
          <wp:positionV relativeFrom="page">
            <wp:posOffset>8248650</wp:posOffset>
          </wp:positionV>
          <wp:extent cx="914400" cy="914400"/>
          <wp:effectExtent l="0" t="0" r="0" b="0"/>
          <wp:wrapNone/>
          <wp:docPr id="6" name="Picture 6" descr="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_StSeal_white.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C75C7" w14:textId="77777777" w:rsidR="0097559F" w:rsidRDefault="0097559F" w:rsidP="00CE459D">
      <w:pPr>
        <w:spacing w:after="0" w:line="240" w:lineRule="auto"/>
      </w:pPr>
      <w:r>
        <w:separator/>
      </w:r>
    </w:p>
  </w:footnote>
  <w:footnote w:type="continuationSeparator" w:id="0">
    <w:p w14:paraId="7A29D443" w14:textId="77777777" w:rsidR="0097559F" w:rsidRDefault="0097559F" w:rsidP="00CE459D">
      <w:pPr>
        <w:spacing w:after="0" w:line="240" w:lineRule="auto"/>
      </w:pPr>
      <w:r>
        <w:continuationSeparator/>
      </w:r>
    </w:p>
  </w:footnote>
  <w:footnote w:id="1">
    <w:p w14:paraId="7A6EB2EF" w14:textId="77777777" w:rsidR="00F77E24" w:rsidRDefault="00F77E24" w:rsidP="007B39F8">
      <w:pPr>
        <w:pStyle w:val="FootnoteText"/>
      </w:pPr>
      <w:r>
        <w:rPr>
          <w:rStyle w:val="FootnoteReference"/>
        </w:rPr>
        <w:footnoteRef/>
      </w:r>
      <w:r>
        <w:t xml:space="preserve"> </w:t>
      </w:r>
      <w:r w:rsidRPr="00BF2163">
        <w:t>If the standard involved a particular age linked requirement (e.g., ECSE, school age, transition), disability type, or files from a unique program, the additional files to be reviewed need to target that age, disability type or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90179237"/>
      <w:dataBinding w:prefixMappings="xmlns:ns0='http://purl.org/dc/elements/1.1/' xmlns:ns1='http://schemas.openxmlformats.org/package/2006/metadata/core-properties' " w:xpath="/ns1:coreProperties[1]/ns0:title[1]" w:storeItemID="{6C3C8BC8-F283-45AE-878A-BAB7291924A1}"/>
      <w:text/>
    </w:sdtPr>
    <w:sdtEndPr/>
    <w:sdtContent>
      <w:p w14:paraId="175E466C" w14:textId="77777777" w:rsidR="00F77E24" w:rsidRDefault="00F77E24" w:rsidP="00B75657">
        <w:pPr>
          <w:pStyle w:val="Header"/>
        </w:pPr>
        <w:r>
          <w:t>School Age: Individual Procedural Compliance Review (PCR)</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2E3" w14:textId="77777777" w:rsidR="00F77E24" w:rsidRDefault="00F77E24">
    <w:pPr>
      <w:pStyle w:val="Header"/>
    </w:pPr>
    <w:r>
      <w:rPr>
        <w:noProof/>
      </w:rPr>
      <w:drawing>
        <wp:anchor distT="0" distB="0" distL="114300" distR="114300" simplePos="0" relativeHeight="251660286" behindDoc="1" locked="0" layoutInCell="1" allowOverlap="1" wp14:anchorId="193B22CF" wp14:editId="44568602">
          <wp:simplePos x="0" y="0"/>
          <wp:positionH relativeFrom="column">
            <wp:posOffset>-451485</wp:posOffset>
          </wp:positionH>
          <wp:positionV relativeFrom="page">
            <wp:posOffset>466725</wp:posOffset>
          </wp:positionV>
          <wp:extent cx="1463040" cy="9144000"/>
          <wp:effectExtent l="0" t="0" r="3810" b="0"/>
          <wp:wrapNone/>
          <wp:docPr id="4" name="Picture 4" descr="Vertical blue background" title="Decoritiv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695_ODE_Report Cover-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91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8D8FE72"/>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FFFFFF89"/>
    <w:multiLevelType w:val="singleLevel"/>
    <w:tmpl w:val="A3FA29CA"/>
    <w:lvl w:ilvl="0">
      <w:start w:val="1"/>
      <w:numFmt w:val="bullet"/>
      <w:pStyle w:val="ListBullet"/>
      <w:lvlText w:val=""/>
      <w:lvlJc w:val="left"/>
      <w:pPr>
        <w:ind w:left="360" w:hanging="360"/>
      </w:pPr>
      <w:rPr>
        <w:rFonts w:ascii="Wingdings" w:hAnsi="Wingdings" w:hint="default"/>
        <w:color w:val="1B75BC" w:themeColor="accent1"/>
      </w:rPr>
    </w:lvl>
  </w:abstractNum>
  <w:abstractNum w:abstractNumId="2" w15:restartNumberingAfterBreak="0">
    <w:nsid w:val="040B3DF5"/>
    <w:multiLevelType w:val="hybridMultilevel"/>
    <w:tmpl w:val="579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14722"/>
    <w:multiLevelType w:val="hybridMultilevel"/>
    <w:tmpl w:val="64A69F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F01E7"/>
    <w:multiLevelType w:val="hybridMultilevel"/>
    <w:tmpl w:val="2E36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A1A70"/>
    <w:multiLevelType w:val="hybridMultilevel"/>
    <w:tmpl w:val="EB8E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471F2"/>
    <w:multiLevelType w:val="hybridMultilevel"/>
    <w:tmpl w:val="5258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78F"/>
    <w:multiLevelType w:val="hybridMultilevel"/>
    <w:tmpl w:val="3F9A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D4F54"/>
    <w:multiLevelType w:val="hybridMultilevel"/>
    <w:tmpl w:val="15E697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235C86"/>
    <w:multiLevelType w:val="hybridMultilevel"/>
    <w:tmpl w:val="A5F66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90414"/>
    <w:multiLevelType w:val="hybridMultilevel"/>
    <w:tmpl w:val="6944BB6C"/>
    <w:lvl w:ilvl="0" w:tplc="68EE14A4">
      <w:start w:val="1"/>
      <w:numFmt w:val="decimal"/>
      <w:lvlText w:val="%1."/>
      <w:lvlJc w:val="left"/>
      <w:pPr>
        <w:ind w:left="720" w:hanging="360"/>
      </w:pPr>
      <w:rPr>
        <w:rFonts w:hint="default"/>
      </w:rPr>
    </w:lvl>
    <w:lvl w:ilvl="1" w:tplc="9A7E7A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D01EA"/>
    <w:multiLevelType w:val="hybridMultilevel"/>
    <w:tmpl w:val="B92C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737E8"/>
    <w:multiLevelType w:val="hybridMultilevel"/>
    <w:tmpl w:val="11B4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3518A"/>
    <w:multiLevelType w:val="hybridMultilevel"/>
    <w:tmpl w:val="CA0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946DE"/>
    <w:multiLevelType w:val="hybridMultilevel"/>
    <w:tmpl w:val="C7383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6108C"/>
    <w:multiLevelType w:val="hybridMultilevel"/>
    <w:tmpl w:val="07D038C6"/>
    <w:lvl w:ilvl="0" w:tplc="0409000F">
      <w:start w:val="1"/>
      <w:numFmt w:val="decimal"/>
      <w:lvlText w:val="%1."/>
      <w:lvlJc w:val="left"/>
      <w:pPr>
        <w:ind w:left="720" w:hanging="360"/>
      </w:pPr>
      <w:rPr>
        <w:rFonts w:hint="default"/>
      </w:rPr>
    </w:lvl>
    <w:lvl w:ilvl="1" w:tplc="888E4B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534E2"/>
    <w:multiLevelType w:val="hybridMultilevel"/>
    <w:tmpl w:val="0B5C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07087"/>
    <w:multiLevelType w:val="hybridMultilevel"/>
    <w:tmpl w:val="5ED21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82E79"/>
    <w:multiLevelType w:val="hybridMultilevel"/>
    <w:tmpl w:val="0816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7541B"/>
    <w:multiLevelType w:val="hybridMultilevel"/>
    <w:tmpl w:val="015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3152D"/>
    <w:multiLevelType w:val="hybridMultilevel"/>
    <w:tmpl w:val="E64E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A436E"/>
    <w:multiLevelType w:val="hybridMultilevel"/>
    <w:tmpl w:val="0B92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B6829"/>
    <w:multiLevelType w:val="hybridMultilevel"/>
    <w:tmpl w:val="D5C8E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E1D59"/>
    <w:multiLevelType w:val="hybridMultilevel"/>
    <w:tmpl w:val="3EEC5566"/>
    <w:lvl w:ilvl="0" w:tplc="4F12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212DD"/>
    <w:multiLevelType w:val="hybridMultilevel"/>
    <w:tmpl w:val="DD7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04785"/>
    <w:multiLevelType w:val="hybridMultilevel"/>
    <w:tmpl w:val="E5CEAD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535D8"/>
    <w:multiLevelType w:val="hybridMultilevel"/>
    <w:tmpl w:val="A79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91FE2"/>
    <w:multiLevelType w:val="hybridMultilevel"/>
    <w:tmpl w:val="937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9208D"/>
    <w:multiLevelType w:val="hybridMultilevel"/>
    <w:tmpl w:val="DDD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90960"/>
    <w:multiLevelType w:val="hybridMultilevel"/>
    <w:tmpl w:val="442A8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E6142"/>
    <w:multiLevelType w:val="hybridMultilevel"/>
    <w:tmpl w:val="DE7C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479A4"/>
    <w:multiLevelType w:val="hybridMultilevel"/>
    <w:tmpl w:val="D148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67D24"/>
    <w:multiLevelType w:val="hybridMultilevel"/>
    <w:tmpl w:val="6656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D3B63"/>
    <w:multiLevelType w:val="hybridMultilevel"/>
    <w:tmpl w:val="9AA07D26"/>
    <w:lvl w:ilvl="0" w:tplc="605ABF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80197"/>
    <w:multiLevelType w:val="hybridMultilevel"/>
    <w:tmpl w:val="5BC0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5"/>
  </w:num>
  <w:num w:numId="5">
    <w:abstractNumId w:val="33"/>
  </w:num>
  <w:num w:numId="6">
    <w:abstractNumId w:val="11"/>
  </w:num>
  <w:num w:numId="7">
    <w:abstractNumId w:val="25"/>
  </w:num>
  <w:num w:numId="8">
    <w:abstractNumId w:val="16"/>
  </w:num>
  <w:num w:numId="9">
    <w:abstractNumId w:val="31"/>
  </w:num>
  <w:num w:numId="10">
    <w:abstractNumId w:val="24"/>
  </w:num>
  <w:num w:numId="11">
    <w:abstractNumId w:val="19"/>
  </w:num>
  <w:num w:numId="12">
    <w:abstractNumId w:val="17"/>
  </w:num>
  <w:num w:numId="13">
    <w:abstractNumId w:val="21"/>
  </w:num>
  <w:num w:numId="14">
    <w:abstractNumId w:val="14"/>
  </w:num>
  <w:num w:numId="15">
    <w:abstractNumId w:val="28"/>
  </w:num>
  <w:num w:numId="16">
    <w:abstractNumId w:val="9"/>
  </w:num>
  <w:num w:numId="17">
    <w:abstractNumId w:val="6"/>
  </w:num>
  <w:num w:numId="18">
    <w:abstractNumId w:val="4"/>
  </w:num>
  <w:num w:numId="19">
    <w:abstractNumId w:val="26"/>
  </w:num>
  <w:num w:numId="20">
    <w:abstractNumId w:val="32"/>
  </w:num>
  <w:num w:numId="21">
    <w:abstractNumId w:val="20"/>
  </w:num>
  <w:num w:numId="22">
    <w:abstractNumId w:val="18"/>
  </w:num>
  <w:num w:numId="23">
    <w:abstractNumId w:val="23"/>
  </w:num>
  <w:num w:numId="24">
    <w:abstractNumId w:val="34"/>
  </w:num>
  <w:num w:numId="25">
    <w:abstractNumId w:val="12"/>
  </w:num>
  <w:num w:numId="26">
    <w:abstractNumId w:val="7"/>
  </w:num>
  <w:num w:numId="27">
    <w:abstractNumId w:val="13"/>
  </w:num>
  <w:num w:numId="28">
    <w:abstractNumId w:val="27"/>
  </w:num>
  <w:num w:numId="29">
    <w:abstractNumId w:val="29"/>
  </w:num>
  <w:num w:numId="30">
    <w:abstractNumId w:val="2"/>
  </w:num>
  <w:num w:numId="31">
    <w:abstractNumId w:val="5"/>
  </w:num>
  <w:num w:numId="32">
    <w:abstractNumId w:val="30"/>
  </w:num>
  <w:num w:numId="33">
    <w:abstractNumId w:val="8"/>
  </w:num>
  <w:num w:numId="34">
    <w:abstractNumId w:val="22"/>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31"/>
    <w:rsid w:val="000040BB"/>
    <w:rsid w:val="0001717D"/>
    <w:rsid w:val="00020A87"/>
    <w:rsid w:val="0003361B"/>
    <w:rsid w:val="00060CD0"/>
    <w:rsid w:val="00061255"/>
    <w:rsid w:val="00061FCD"/>
    <w:rsid w:val="00067362"/>
    <w:rsid w:val="00092AA8"/>
    <w:rsid w:val="000A2CCD"/>
    <w:rsid w:val="000B5B3B"/>
    <w:rsid w:val="000C18DA"/>
    <w:rsid w:val="000C5F65"/>
    <w:rsid w:val="000D3C77"/>
    <w:rsid w:val="000E1ACF"/>
    <w:rsid w:val="000E49A9"/>
    <w:rsid w:val="0010141C"/>
    <w:rsid w:val="00133EC1"/>
    <w:rsid w:val="00145D51"/>
    <w:rsid w:val="0015521D"/>
    <w:rsid w:val="001614ED"/>
    <w:rsid w:val="0018170D"/>
    <w:rsid w:val="001A7356"/>
    <w:rsid w:val="001B1295"/>
    <w:rsid w:val="001B1498"/>
    <w:rsid w:val="001B33A3"/>
    <w:rsid w:val="001C638A"/>
    <w:rsid w:val="0020401A"/>
    <w:rsid w:val="00217D80"/>
    <w:rsid w:val="00220F69"/>
    <w:rsid w:val="002334A4"/>
    <w:rsid w:val="00234F23"/>
    <w:rsid w:val="0023564A"/>
    <w:rsid w:val="00246BF6"/>
    <w:rsid w:val="00253766"/>
    <w:rsid w:val="00260445"/>
    <w:rsid w:val="0026344F"/>
    <w:rsid w:val="00276291"/>
    <w:rsid w:val="00284ABE"/>
    <w:rsid w:val="00293061"/>
    <w:rsid w:val="0029732B"/>
    <w:rsid w:val="002A5698"/>
    <w:rsid w:val="002A5BA2"/>
    <w:rsid w:val="002B53BF"/>
    <w:rsid w:val="0030171A"/>
    <w:rsid w:val="003019E2"/>
    <w:rsid w:val="00326501"/>
    <w:rsid w:val="00327642"/>
    <w:rsid w:val="00355780"/>
    <w:rsid w:val="00367412"/>
    <w:rsid w:val="00377DF1"/>
    <w:rsid w:val="003D266D"/>
    <w:rsid w:val="003E057E"/>
    <w:rsid w:val="00422BDE"/>
    <w:rsid w:val="00432BDB"/>
    <w:rsid w:val="00461131"/>
    <w:rsid w:val="00464A26"/>
    <w:rsid w:val="004A584E"/>
    <w:rsid w:val="004B5214"/>
    <w:rsid w:val="004C3F36"/>
    <w:rsid w:val="004D402B"/>
    <w:rsid w:val="0050001C"/>
    <w:rsid w:val="00524CA3"/>
    <w:rsid w:val="00532EC4"/>
    <w:rsid w:val="00544E72"/>
    <w:rsid w:val="005A29B1"/>
    <w:rsid w:val="005A4BC5"/>
    <w:rsid w:val="005B1268"/>
    <w:rsid w:val="005B6663"/>
    <w:rsid w:val="005B6F2B"/>
    <w:rsid w:val="005D50BA"/>
    <w:rsid w:val="005F2534"/>
    <w:rsid w:val="005F69D7"/>
    <w:rsid w:val="006313CF"/>
    <w:rsid w:val="0065010A"/>
    <w:rsid w:val="00655A8A"/>
    <w:rsid w:val="00695BA2"/>
    <w:rsid w:val="006C3671"/>
    <w:rsid w:val="006D7D05"/>
    <w:rsid w:val="006F5EA5"/>
    <w:rsid w:val="006F75CE"/>
    <w:rsid w:val="007000C3"/>
    <w:rsid w:val="0070175A"/>
    <w:rsid w:val="00714883"/>
    <w:rsid w:val="00717CD2"/>
    <w:rsid w:val="00727212"/>
    <w:rsid w:val="007309D1"/>
    <w:rsid w:val="00741A4C"/>
    <w:rsid w:val="0075010D"/>
    <w:rsid w:val="007536E6"/>
    <w:rsid w:val="0075734C"/>
    <w:rsid w:val="00785814"/>
    <w:rsid w:val="007A735D"/>
    <w:rsid w:val="007B13F8"/>
    <w:rsid w:val="007B39F8"/>
    <w:rsid w:val="007D738F"/>
    <w:rsid w:val="008073EA"/>
    <w:rsid w:val="00856427"/>
    <w:rsid w:val="00870D7D"/>
    <w:rsid w:val="008908F8"/>
    <w:rsid w:val="00892844"/>
    <w:rsid w:val="00895E33"/>
    <w:rsid w:val="008B6A52"/>
    <w:rsid w:val="008D2E06"/>
    <w:rsid w:val="008D4660"/>
    <w:rsid w:val="009024AF"/>
    <w:rsid w:val="009113C1"/>
    <w:rsid w:val="00912A59"/>
    <w:rsid w:val="009143E1"/>
    <w:rsid w:val="00920036"/>
    <w:rsid w:val="00931857"/>
    <w:rsid w:val="00946C47"/>
    <w:rsid w:val="0097559F"/>
    <w:rsid w:val="009816F3"/>
    <w:rsid w:val="009828E9"/>
    <w:rsid w:val="009A4B0A"/>
    <w:rsid w:val="009A747A"/>
    <w:rsid w:val="00A01F20"/>
    <w:rsid w:val="00A12BB2"/>
    <w:rsid w:val="00A37975"/>
    <w:rsid w:val="00A63F14"/>
    <w:rsid w:val="00A72128"/>
    <w:rsid w:val="00A826F9"/>
    <w:rsid w:val="00AA3417"/>
    <w:rsid w:val="00AC3DED"/>
    <w:rsid w:val="00AD74FA"/>
    <w:rsid w:val="00B00C83"/>
    <w:rsid w:val="00B25F74"/>
    <w:rsid w:val="00B321D1"/>
    <w:rsid w:val="00B330F5"/>
    <w:rsid w:val="00B34DEF"/>
    <w:rsid w:val="00B52BFA"/>
    <w:rsid w:val="00B75657"/>
    <w:rsid w:val="00BC0B25"/>
    <w:rsid w:val="00BD3744"/>
    <w:rsid w:val="00BE7ED4"/>
    <w:rsid w:val="00BF2163"/>
    <w:rsid w:val="00BF2205"/>
    <w:rsid w:val="00C34D65"/>
    <w:rsid w:val="00C4690C"/>
    <w:rsid w:val="00C648FB"/>
    <w:rsid w:val="00C72A9E"/>
    <w:rsid w:val="00C81272"/>
    <w:rsid w:val="00CA16C1"/>
    <w:rsid w:val="00CA2B57"/>
    <w:rsid w:val="00CA5DB1"/>
    <w:rsid w:val="00CB5672"/>
    <w:rsid w:val="00CC42E0"/>
    <w:rsid w:val="00CC47F7"/>
    <w:rsid w:val="00CD732C"/>
    <w:rsid w:val="00CE05EB"/>
    <w:rsid w:val="00CE1051"/>
    <w:rsid w:val="00CE459D"/>
    <w:rsid w:val="00D0174E"/>
    <w:rsid w:val="00D156B0"/>
    <w:rsid w:val="00D35BD5"/>
    <w:rsid w:val="00D45709"/>
    <w:rsid w:val="00D47D57"/>
    <w:rsid w:val="00D53F25"/>
    <w:rsid w:val="00D55417"/>
    <w:rsid w:val="00D913F5"/>
    <w:rsid w:val="00DA52CE"/>
    <w:rsid w:val="00DB37E8"/>
    <w:rsid w:val="00DC7D58"/>
    <w:rsid w:val="00DD2AE1"/>
    <w:rsid w:val="00DD2C26"/>
    <w:rsid w:val="00DF61AC"/>
    <w:rsid w:val="00E12A0A"/>
    <w:rsid w:val="00E137DC"/>
    <w:rsid w:val="00E23E48"/>
    <w:rsid w:val="00E56ADE"/>
    <w:rsid w:val="00E67CE8"/>
    <w:rsid w:val="00E70058"/>
    <w:rsid w:val="00E77E47"/>
    <w:rsid w:val="00EA1437"/>
    <w:rsid w:val="00F0048D"/>
    <w:rsid w:val="00F01A54"/>
    <w:rsid w:val="00F46FDB"/>
    <w:rsid w:val="00F5228D"/>
    <w:rsid w:val="00F77E24"/>
    <w:rsid w:val="00FC1574"/>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F25EBF"/>
  <w15:chartTrackingRefBased/>
  <w15:docId w15:val="{54B4947E-D7C4-4085-9CD9-59D13F7D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8D"/>
  </w:style>
  <w:style w:type="paragraph" w:styleId="Heading1">
    <w:name w:val="heading 1"/>
    <w:basedOn w:val="Normal"/>
    <w:next w:val="Normal"/>
    <w:link w:val="Heading1Char"/>
    <w:uiPriority w:val="9"/>
    <w:qFormat/>
    <w:rsid w:val="0020401A"/>
    <w:pPr>
      <w:keepNext/>
      <w:keepLines/>
      <w:spacing w:before="240" w:after="240" w:line="440" w:lineRule="exact"/>
      <w:contextualSpacing/>
      <w:outlineLvl w:val="0"/>
    </w:pPr>
    <w:rPr>
      <w:rFonts w:asciiTheme="majorHAnsi" w:eastAsiaTheme="majorEastAsia" w:hAnsiTheme="majorHAnsi" w:cstheme="majorBidi"/>
      <w:b/>
      <w:color w:val="1B75BC" w:themeColor="accent1"/>
      <w:sz w:val="44"/>
      <w:szCs w:val="44"/>
    </w:rPr>
  </w:style>
  <w:style w:type="paragraph" w:styleId="Heading2">
    <w:name w:val="heading 2"/>
    <w:basedOn w:val="Normal"/>
    <w:next w:val="Normal"/>
    <w:link w:val="Heading2Char"/>
    <w:uiPriority w:val="9"/>
    <w:unhideWhenUsed/>
    <w:qFormat/>
    <w:rsid w:val="00234F23"/>
    <w:pPr>
      <w:keepNext/>
      <w:keepLines/>
      <w:spacing w:before="40" w:after="0"/>
      <w:outlineLvl w:val="1"/>
    </w:pPr>
    <w:rPr>
      <w:rFonts w:eastAsiaTheme="majorEastAsia" w:cstheme="minorHAnsi"/>
      <w:b/>
      <w:color w:val="1B75BC" w:themeColor="accent1"/>
      <w:sz w:val="28"/>
      <w:szCs w:val="28"/>
    </w:rPr>
  </w:style>
  <w:style w:type="paragraph" w:styleId="Heading3">
    <w:name w:val="heading 3"/>
    <w:basedOn w:val="Normal"/>
    <w:next w:val="Normal"/>
    <w:link w:val="Heading3Char"/>
    <w:uiPriority w:val="9"/>
    <w:unhideWhenUsed/>
    <w:qFormat/>
    <w:rsid w:val="00234F23"/>
    <w:pPr>
      <w:keepNext/>
      <w:keepLines/>
      <w:spacing w:before="40" w:after="0"/>
      <w:outlineLvl w:val="2"/>
    </w:pPr>
    <w:rPr>
      <w:rFonts w:eastAsiaTheme="majorEastAsia" w:cstheme="minorHAnsi"/>
      <w:b/>
      <w:color w:val="000000" w:themeColor="text1"/>
      <w:sz w:val="26"/>
      <w:szCs w:val="26"/>
    </w:rPr>
  </w:style>
  <w:style w:type="paragraph" w:styleId="Heading4">
    <w:name w:val="heading 4"/>
    <w:basedOn w:val="Normal"/>
    <w:next w:val="Normal"/>
    <w:link w:val="Heading4Char"/>
    <w:uiPriority w:val="9"/>
    <w:unhideWhenUsed/>
    <w:qFormat/>
    <w:rsid w:val="00856427"/>
    <w:pPr>
      <w:keepNext/>
      <w:keepLines/>
      <w:spacing w:before="40" w:after="0"/>
      <w:outlineLvl w:val="3"/>
    </w:pPr>
    <w:rPr>
      <w:rFonts w:eastAsiaTheme="majorEastAsia" w:cstheme="minorHAnsi"/>
      <w:b/>
      <w:iCs/>
      <w:color w:val="000000" w:themeColor="text1"/>
    </w:rPr>
  </w:style>
  <w:style w:type="paragraph" w:styleId="Heading5">
    <w:name w:val="heading 5"/>
    <w:basedOn w:val="Normal"/>
    <w:next w:val="Normal"/>
    <w:link w:val="Heading5Char"/>
    <w:uiPriority w:val="9"/>
    <w:unhideWhenUsed/>
    <w:qFormat/>
    <w:rsid w:val="00856427"/>
    <w:pPr>
      <w:keepNext/>
      <w:keepLines/>
      <w:spacing w:before="40" w:after="0"/>
      <w:outlineLvl w:val="4"/>
    </w:pPr>
    <w:rPr>
      <w:rFonts w:asciiTheme="majorHAnsi" w:eastAsiaTheme="majorEastAsia" w:hAnsiTheme="majorHAnsi" w:cstheme="majorBidi"/>
      <w:color w:val="1457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01A"/>
    <w:rPr>
      <w:rFonts w:asciiTheme="majorHAnsi" w:eastAsiaTheme="majorEastAsia" w:hAnsiTheme="majorHAnsi" w:cstheme="majorBidi"/>
      <w:b/>
      <w:color w:val="1B75BC" w:themeColor="accent1"/>
      <w:sz w:val="44"/>
      <w:szCs w:val="44"/>
    </w:rPr>
  </w:style>
  <w:style w:type="character" w:customStyle="1" w:styleId="Heading2Char">
    <w:name w:val="Heading 2 Char"/>
    <w:basedOn w:val="DefaultParagraphFont"/>
    <w:link w:val="Heading2"/>
    <w:uiPriority w:val="9"/>
    <w:rsid w:val="00234F23"/>
    <w:rPr>
      <w:rFonts w:eastAsiaTheme="majorEastAsia" w:cstheme="minorHAnsi"/>
      <w:b/>
      <w:color w:val="1B75BC" w:themeColor="accent1"/>
      <w:sz w:val="28"/>
      <w:szCs w:val="28"/>
    </w:rPr>
  </w:style>
  <w:style w:type="character" w:customStyle="1" w:styleId="Heading3Char">
    <w:name w:val="Heading 3 Char"/>
    <w:basedOn w:val="DefaultParagraphFont"/>
    <w:link w:val="Heading3"/>
    <w:uiPriority w:val="9"/>
    <w:rsid w:val="00234F23"/>
    <w:rPr>
      <w:rFonts w:eastAsiaTheme="majorEastAsia" w:cstheme="minorHAnsi"/>
      <w:b/>
      <w:color w:val="000000" w:themeColor="text1"/>
      <w:sz w:val="26"/>
      <w:szCs w:val="26"/>
    </w:rPr>
  </w:style>
  <w:style w:type="character" w:customStyle="1" w:styleId="Heading4Char">
    <w:name w:val="Heading 4 Char"/>
    <w:basedOn w:val="DefaultParagraphFont"/>
    <w:link w:val="Heading4"/>
    <w:uiPriority w:val="9"/>
    <w:rsid w:val="00856427"/>
    <w:rPr>
      <w:rFonts w:eastAsiaTheme="majorEastAsia" w:cstheme="minorHAnsi"/>
      <w:b/>
      <w:iCs/>
      <w:color w:val="000000" w:themeColor="text1"/>
    </w:rPr>
  </w:style>
  <w:style w:type="character" w:customStyle="1" w:styleId="Heading5Char">
    <w:name w:val="Heading 5 Char"/>
    <w:basedOn w:val="DefaultParagraphFont"/>
    <w:link w:val="Heading5"/>
    <w:uiPriority w:val="9"/>
    <w:rsid w:val="00856427"/>
    <w:rPr>
      <w:rFonts w:asciiTheme="majorHAnsi" w:eastAsiaTheme="majorEastAsia" w:hAnsiTheme="majorHAnsi" w:cstheme="majorBidi"/>
      <w:color w:val="14578C" w:themeColor="accent1" w:themeShade="BF"/>
    </w:rPr>
  </w:style>
  <w:style w:type="paragraph" w:styleId="Title">
    <w:name w:val="Title"/>
    <w:basedOn w:val="Normal"/>
    <w:next w:val="Normal"/>
    <w:link w:val="TitleChar"/>
    <w:autoRedefine/>
    <w:uiPriority w:val="99"/>
    <w:qFormat/>
    <w:rsid w:val="00464A26"/>
    <w:pPr>
      <w:spacing w:after="0" w:line="700" w:lineRule="exact"/>
      <w:contextualSpacing/>
    </w:pPr>
    <w:rPr>
      <w:rFonts w:eastAsiaTheme="majorEastAsia" w:cstheme="minorHAnsi"/>
      <w:color w:val="000000" w:themeColor="text1"/>
      <w:sz w:val="70"/>
      <w:szCs w:val="70"/>
    </w:rPr>
  </w:style>
  <w:style w:type="character" w:customStyle="1" w:styleId="TitleChar">
    <w:name w:val="Title Char"/>
    <w:basedOn w:val="DefaultParagraphFont"/>
    <w:link w:val="Title"/>
    <w:uiPriority w:val="99"/>
    <w:rsid w:val="00464A26"/>
    <w:rPr>
      <w:rFonts w:eastAsiaTheme="majorEastAsia" w:cstheme="minorHAnsi"/>
      <w:color w:val="000000" w:themeColor="text1"/>
      <w:sz w:val="70"/>
      <w:szCs w:val="70"/>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234F23"/>
    <w:pPr>
      <w:numPr>
        <w:numId w:val="1"/>
      </w:numPr>
      <w:contextualSpacing/>
    </w:pPr>
  </w:style>
  <w:style w:type="paragraph" w:styleId="ListBullet2">
    <w:name w:val="List Bullet 2"/>
    <w:basedOn w:val="Normal"/>
    <w:uiPriority w:val="99"/>
    <w:unhideWhenUsed/>
    <w:qFormat/>
    <w:rsid w:val="00856427"/>
    <w:pPr>
      <w:numPr>
        <w:numId w:val="2"/>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AD74FA"/>
    <w:rPr>
      <w:b/>
      <w:bCs/>
    </w:rPr>
  </w:style>
  <w:style w:type="paragraph" w:styleId="BalloonText">
    <w:name w:val="Balloon Text"/>
    <w:basedOn w:val="Normal"/>
    <w:link w:val="BalloonTextChar"/>
    <w:uiPriority w:val="99"/>
    <w:semiHidden/>
    <w:unhideWhenUsed/>
    <w:rsid w:val="00CA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B1"/>
    <w:rPr>
      <w:rFonts w:ascii="Segoe UI" w:hAnsi="Segoe UI" w:cs="Segoe UI"/>
      <w:sz w:val="18"/>
      <w:szCs w:val="18"/>
    </w:rPr>
  </w:style>
  <w:style w:type="character" w:styleId="Emphasis">
    <w:name w:val="Emphasis"/>
    <w:basedOn w:val="DefaultParagraphFont"/>
    <w:uiPriority w:val="20"/>
    <w:qFormat/>
    <w:rsid w:val="00D35BD5"/>
    <w:rPr>
      <w:i/>
      <w:iCs/>
    </w:rPr>
  </w:style>
  <w:style w:type="character" w:styleId="SubtleEmphasis">
    <w:name w:val="Subtle Emphasis"/>
    <w:basedOn w:val="DefaultParagraphFont"/>
    <w:uiPriority w:val="19"/>
    <w:qFormat/>
    <w:rsid w:val="00D35BD5"/>
    <w:rPr>
      <w:i/>
      <w:iCs/>
      <w:color w:val="404040" w:themeColor="text1" w:themeTint="BF"/>
    </w:rPr>
  </w:style>
  <w:style w:type="paragraph" w:styleId="IntenseQuote">
    <w:name w:val="Intense Quote"/>
    <w:basedOn w:val="Normal"/>
    <w:next w:val="Normal"/>
    <w:link w:val="IntenseQuoteChar"/>
    <w:uiPriority w:val="30"/>
    <w:qFormat/>
    <w:rsid w:val="00D35BD5"/>
    <w:pPr>
      <w:pBdr>
        <w:top w:val="single" w:sz="4" w:space="10" w:color="1B75BC" w:themeColor="accent1"/>
        <w:bottom w:val="single" w:sz="4" w:space="10" w:color="1B75BC" w:themeColor="accent1"/>
      </w:pBdr>
      <w:spacing w:before="360" w:after="360"/>
      <w:ind w:left="864" w:right="864"/>
      <w:jc w:val="center"/>
    </w:pPr>
    <w:rPr>
      <w:i/>
      <w:iCs/>
      <w:color w:val="1B75BC" w:themeColor="accent1"/>
    </w:rPr>
  </w:style>
  <w:style w:type="character" w:customStyle="1" w:styleId="IntenseQuoteChar">
    <w:name w:val="Intense Quote Char"/>
    <w:basedOn w:val="DefaultParagraphFont"/>
    <w:link w:val="IntenseQuote"/>
    <w:uiPriority w:val="30"/>
    <w:rsid w:val="00D35BD5"/>
    <w:rPr>
      <w:i/>
      <w:iCs/>
      <w:color w:val="1B75BC" w:themeColor="accent1"/>
    </w:rPr>
  </w:style>
  <w:style w:type="paragraph" w:styleId="Quote">
    <w:name w:val="Quote"/>
    <w:basedOn w:val="Normal"/>
    <w:next w:val="Normal"/>
    <w:link w:val="QuoteChar"/>
    <w:uiPriority w:val="29"/>
    <w:qFormat/>
    <w:rsid w:val="00D35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5BD5"/>
    <w:rPr>
      <w:i/>
      <w:iCs/>
      <w:color w:val="404040" w:themeColor="text1" w:themeTint="BF"/>
    </w:rPr>
  </w:style>
  <w:style w:type="character" w:styleId="IntenseReference">
    <w:name w:val="Intense Reference"/>
    <w:basedOn w:val="DefaultParagraphFont"/>
    <w:uiPriority w:val="32"/>
    <w:qFormat/>
    <w:rsid w:val="00D35BD5"/>
    <w:rPr>
      <w:b/>
      <w:bCs/>
      <w:smallCaps/>
      <w:color w:val="1B75BC" w:themeColor="accent1"/>
      <w:spacing w:val="5"/>
    </w:rPr>
  </w:style>
  <w:style w:type="character" w:styleId="SubtleReference">
    <w:name w:val="Subtle Reference"/>
    <w:basedOn w:val="DefaultParagraphFont"/>
    <w:uiPriority w:val="31"/>
    <w:qFormat/>
    <w:rsid w:val="00D35BD5"/>
    <w:rPr>
      <w:smallCaps/>
      <w:color w:val="5A5A5A" w:themeColor="text1" w:themeTint="A5"/>
    </w:rPr>
  </w:style>
  <w:style w:type="character" w:styleId="BookTitle">
    <w:name w:val="Book Title"/>
    <w:basedOn w:val="DefaultParagraphFont"/>
    <w:uiPriority w:val="33"/>
    <w:qFormat/>
    <w:rsid w:val="00D35BD5"/>
    <w:rPr>
      <w:b/>
      <w:bCs/>
      <w:i/>
      <w:iCs/>
      <w:spacing w:val="5"/>
    </w:rPr>
  </w:style>
  <w:style w:type="paragraph" w:styleId="Subtitle">
    <w:name w:val="Subtitle"/>
    <w:basedOn w:val="Normal"/>
    <w:next w:val="Normal"/>
    <w:link w:val="SubtitleChar"/>
    <w:uiPriority w:val="11"/>
    <w:qFormat/>
    <w:rsid w:val="00D35BD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35BD5"/>
    <w:rPr>
      <w:rFonts w:eastAsiaTheme="minorEastAsia"/>
      <w:color w:val="5A5A5A" w:themeColor="text1" w:themeTint="A5"/>
      <w:spacing w:val="15"/>
      <w:sz w:val="22"/>
      <w:szCs w:val="22"/>
    </w:rPr>
  </w:style>
  <w:style w:type="paragraph" w:customStyle="1" w:styleId="CoverTitle">
    <w:name w:val="Cover Title"/>
    <w:basedOn w:val="Normal"/>
    <w:qFormat/>
    <w:rsid w:val="00DD2C26"/>
    <w:pPr>
      <w:spacing w:before="400" w:after="280" w:line="700" w:lineRule="exact"/>
      <w:ind w:left="2246"/>
    </w:pPr>
    <w:rPr>
      <w:rFonts w:cstheme="minorHAnsi"/>
      <w:b/>
      <w:sz w:val="70"/>
      <w:szCs w:val="70"/>
    </w:rPr>
  </w:style>
  <w:style w:type="paragraph" w:customStyle="1" w:styleId="CoveSubheading">
    <w:name w:val="Cove Subheading"/>
    <w:basedOn w:val="Normal"/>
    <w:qFormat/>
    <w:rsid w:val="00DD2C26"/>
    <w:pPr>
      <w:spacing w:after="280" w:line="480" w:lineRule="exact"/>
      <w:ind w:left="2246"/>
    </w:pPr>
    <w:rPr>
      <w:color w:val="1B75BC" w:themeColor="accent1"/>
      <w:sz w:val="48"/>
      <w:szCs w:val="48"/>
    </w:rPr>
  </w:style>
  <w:style w:type="character" w:styleId="PlaceholderText">
    <w:name w:val="Placeholder Text"/>
    <w:basedOn w:val="DefaultParagraphFont"/>
    <w:uiPriority w:val="99"/>
    <w:semiHidden/>
    <w:rsid w:val="00DD2C26"/>
    <w:rPr>
      <w:color w:val="808080"/>
    </w:rPr>
  </w:style>
  <w:style w:type="paragraph" w:customStyle="1" w:styleId="Coverdate">
    <w:name w:val="Cover date"/>
    <w:basedOn w:val="Normal"/>
    <w:qFormat/>
    <w:rsid w:val="00DD2C26"/>
    <w:pPr>
      <w:ind w:left="2250"/>
    </w:pPr>
    <w:rPr>
      <w:b/>
      <w:sz w:val="36"/>
      <w:szCs w:val="36"/>
    </w:rPr>
  </w:style>
  <w:style w:type="character" w:styleId="Hyperlink">
    <w:name w:val="Hyperlink"/>
    <w:basedOn w:val="DefaultParagraphFont"/>
    <w:uiPriority w:val="99"/>
    <w:unhideWhenUsed/>
    <w:rsid w:val="00785814"/>
    <w:rPr>
      <w:color w:val="1B75BC" w:themeColor="hyperlink"/>
      <w:u w:val="single"/>
    </w:rPr>
  </w:style>
  <w:style w:type="paragraph" w:styleId="TOC1">
    <w:name w:val="toc 1"/>
    <w:basedOn w:val="Normal"/>
    <w:next w:val="Normal"/>
    <w:autoRedefine/>
    <w:uiPriority w:val="39"/>
    <w:unhideWhenUsed/>
    <w:rsid w:val="00327642"/>
    <w:pPr>
      <w:tabs>
        <w:tab w:val="right" w:leader="dot" w:pos="9350"/>
      </w:tabs>
      <w:spacing w:after="100"/>
    </w:pPr>
    <w:rPr>
      <w:sz w:val="24"/>
      <w:szCs w:val="24"/>
    </w:rPr>
  </w:style>
  <w:style w:type="paragraph" w:styleId="TOC2">
    <w:name w:val="toc 2"/>
    <w:basedOn w:val="Normal"/>
    <w:next w:val="Normal"/>
    <w:autoRedefine/>
    <w:uiPriority w:val="39"/>
    <w:unhideWhenUsed/>
    <w:rsid w:val="00895E33"/>
    <w:pPr>
      <w:tabs>
        <w:tab w:val="right" w:leader="dot" w:pos="9350"/>
      </w:tabs>
      <w:spacing w:after="100"/>
      <w:ind w:left="210"/>
    </w:pPr>
  </w:style>
  <w:style w:type="paragraph" w:styleId="TOC3">
    <w:name w:val="toc 3"/>
    <w:basedOn w:val="Normal"/>
    <w:next w:val="Normal"/>
    <w:autoRedefine/>
    <w:uiPriority w:val="39"/>
    <w:unhideWhenUsed/>
    <w:rsid w:val="009A4B0A"/>
    <w:pPr>
      <w:spacing w:after="100"/>
      <w:ind w:left="420"/>
    </w:pPr>
  </w:style>
  <w:style w:type="paragraph" w:styleId="FootnoteText">
    <w:name w:val="footnote text"/>
    <w:basedOn w:val="Normal"/>
    <w:link w:val="FootnoteTextChar"/>
    <w:uiPriority w:val="99"/>
    <w:semiHidden/>
    <w:unhideWhenUsed/>
    <w:rsid w:val="007B3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9F8"/>
    <w:rPr>
      <w:sz w:val="20"/>
      <w:szCs w:val="20"/>
    </w:rPr>
  </w:style>
  <w:style w:type="character" w:styleId="FootnoteReference">
    <w:name w:val="footnote reference"/>
    <w:basedOn w:val="DefaultParagraphFont"/>
    <w:uiPriority w:val="99"/>
    <w:semiHidden/>
    <w:unhideWhenUsed/>
    <w:rsid w:val="007B39F8"/>
    <w:rPr>
      <w:vertAlign w:val="superscript"/>
    </w:rPr>
  </w:style>
  <w:style w:type="paragraph" w:styleId="TOCHeading">
    <w:name w:val="TOC Heading"/>
    <w:basedOn w:val="Heading1"/>
    <w:next w:val="Normal"/>
    <w:uiPriority w:val="39"/>
    <w:unhideWhenUsed/>
    <w:qFormat/>
    <w:rsid w:val="006F75CE"/>
    <w:pPr>
      <w:spacing w:after="0" w:line="259" w:lineRule="auto"/>
      <w:contextualSpacing w:val="0"/>
      <w:outlineLvl w:val="9"/>
    </w:pPr>
    <w:rPr>
      <w:b w:val="0"/>
      <w:color w:val="14578C" w:themeColor="accent1" w:themeShade="BF"/>
      <w:sz w:val="32"/>
      <w:szCs w:val="32"/>
    </w:rPr>
  </w:style>
  <w:style w:type="character" w:styleId="CommentReference">
    <w:name w:val="annotation reference"/>
    <w:basedOn w:val="DefaultParagraphFont"/>
    <w:semiHidden/>
    <w:unhideWhenUsed/>
    <w:rsid w:val="00BF2163"/>
    <w:rPr>
      <w:sz w:val="16"/>
      <w:szCs w:val="16"/>
    </w:rPr>
  </w:style>
  <w:style w:type="paragraph" w:styleId="CommentText">
    <w:name w:val="annotation text"/>
    <w:basedOn w:val="Normal"/>
    <w:link w:val="CommentTextChar"/>
    <w:semiHidden/>
    <w:unhideWhenUsed/>
    <w:rsid w:val="00BF2163"/>
    <w:pPr>
      <w:spacing w:line="240" w:lineRule="auto"/>
    </w:pPr>
    <w:rPr>
      <w:sz w:val="20"/>
      <w:szCs w:val="20"/>
    </w:rPr>
  </w:style>
  <w:style w:type="character" w:customStyle="1" w:styleId="CommentTextChar">
    <w:name w:val="Comment Text Char"/>
    <w:basedOn w:val="DefaultParagraphFont"/>
    <w:link w:val="CommentText"/>
    <w:uiPriority w:val="99"/>
    <w:semiHidden/>
    <w:rsid w:val="00BF2163"/>
    <w:rPr>
      <w:sz w:val="20"/>
      <w:szCs w:val="20"/>
    </w:rPr>
  </w:style>
  <w:style w:type="paragraph" w:styleId="CommentSubject">
    <w:name w:val="annotation subject"/>
    <w:basedOn w:val="CommentText"/>
    <w:next w:val="CommentText"/>
    <w:link w:val="CommentSubjectChar"/>
    <w:uiPriority w:val="99"/>
    <w:semiHidden/>
    <w:unhideWhenUsed/>
    <w:rsid w:val="00BF2163"/>
    <w:rPr>
      <w:b/>
      <w:bCs/>
    </w:rPr>
  </w:style>
  <w:style w:type="character" w:customStyle="1" w:styleId="CommentSubjectChar">
    <w:name w:val="Comment Subject Char"/>
    <w:basedOn w:val="CommentTextChar"/>
    <w:link w:val="CommentSubject"/>
    <w:uiPriority w:val="99"/>
    <w:semiHidden/>
    <w:rsid w:val="00BF2163"/>
    <w:rPr>
      <w:b/>
      <w:bCs/>
      <w:sz w:val="20"/>
      <w:szCs w:val="20"/>
    </w:rPr>
  </w:style>
  <w:style w:type="paragraph" w:styleId="NoSpacing">
    <w:name w:val="No Spacing"/>
    <w:uiPriority w:val="1"/>
    <w:qFormat/>
    <w:rsid w:val="009816F3"/>
    <w:pPr>
      <w:spacing w:after="0" w:line="240" w:lineRule="auto"/>
    </w:pPr>
    <w:rPr>
      <w:sz w:val="22"/>
      <w:szCs w:val="22"/>
    </w:rPr>
  </w:style>
  <w:style w:type="table" w:styleId="TableGrid">
    <w:name w:val="Table Grid"/>
    <w:basedOn w:val="TableNormal"/>
    <w:uiPriority w:val="39"/>
    <w:rsid w:val="009816F3"/>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5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8F33F44E4342FFB6207C1EC7F896DC"/>
        <w:category>
          <w:name w:val="General"/>
          <w:gallery w:val="placeholder"/>
        </w:category>
        <w:types>
          <w:type w:val="bbPlcHdr"/>
        </w:types>
        <w:behaviors>
          <w:behavior w:val="content"/>
        </w:behaviors>
        <w:guid w:val="{892BE7A5-6E62-4D60-A861-BE8A2E0A0022}"/>
      </w:docPartPr>
      <w:docPartBody>
        <w:p w:rsidR="00C2244A" w:rsidRDefault="00C2244A">
          <w:pPr>
            <w:pStyle w:val="D38F33F44E4342FFB6207C1EC7F896DC"/>
          </w:pPr>
          <w:r w:rsidRPr="00EE2F97">
            <w:rPr>
              <w:rStyle w:val="PlaceholderText"/>
            </w:rPr>
            <w:t>[Title]</w:t>
          </w:r>
        </w:p>
      </w:docPartBody>
    </w:docPart>
    <w:docPart>
      <w:docPartPr>
        <w:name w:val="08B5F569DC02480697245E0744F79C89"/>
        <w:category>
          <w:name w:val="General"/>
          <w:gallery w:val="placeholder"/>
        </w:category>
        <w:types>
          <w:type w:val="bbPlcHdr"/>
        </w:types>
        <w:behaviors>
          <w:behavior w:val="content"/>
        </w:behaviors>
        <w:guid w:val="{8BA1275F-3327-4508-9CF7-0126B6DC5881}"/>
      </w:docPartPr>
      <w:docPartBody>
        <w:p w:rsidR="00C2244A" w:rsidRDefault="00C2244A">
          <w:pPr>
            <w:pStyle w:val="08B5F569DC02480697245E0744F79C89"/>
          </w:pPr>
          <w:r w:rsidRPr="00EE2F9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4A"/>
    <w:rsid w:val="00045D19"/>
    <w:rsid w:val="0005062A"/>
    <w:rsid w:val="0006128E"/>
    <w:rsid w:val="0029588C"/>
    <w:rsid w:val="0032530F"/>
    <w:rsid w:val="00370597"/>
    <w:rsid w:val="004B24AD"/>
    <w:rsid w:val="00752304"/>
    <w:rsid w:val="00776698"/>
    <w:rsid w:val="00811AF9"/>
    <w:rsid w:val="00C2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8F33F44E4342FFB6207C1EC7F896DC">
    <w:name w:val="D38F33F44E4342FFB6207C1EC7F896DC"/>
  </w:style>
  <w:style w:type="paragraph" w:customStyle="1" w:styleId="08B5F569DC02480697245E0744F79C89">
    <w:name w:val="08B5F569DC02480697245E0744F79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1B75BC"/>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7ea3d41d-af18-4822-b26c-0aa00407c72b" xsi:nil="true"/>
    <Priority xmlns="7ea3d41d-af18-4822-b26c-0aa00407c72b">New</Priority>
    <Remediation_x0020_Date xmlns="7ea3d41d-af18-4822-b26c-0aa00407c72b">2019-11-05T08:00:00+00:00</Remediation_x0020_Date>
  </documentManagement>
</p:properties>
</file>

<file path=customXml/itemProps1.xml><?xml version="1.0" encoding="utf-8"?>
<ds:datastoreItem xmlns:ds="http://schemas.openxmlformats.org/officeDocument/2006/customXml" ds:itemID="{2A84BD78-CEEB-4A5C-9FA8-ABD8697A5DCB}"/>
</file>

<file path=customXml/itemProps2.xml><?xml version="1.0" encoding="utf-8"?>
<ds:datastoreItem xmlns:ds="http://schemas.openxmlformats.org/officeDocument/2006/customXml" ds:itemID="{8D7EC644-563C-4BEF-99F5-2516672803A4}"/>
</file>

<file path=customXml/itemProps3.xml><?xml version="1.0" encoding="utf-8"?>
<ds:datastoreItem xmlns:ds="http://schemas.openxmlformats.org/officeDocument/2006/customXml" ds:itemID="{E6EAFB2C-7DDB-40F6-B197-D30E81DDCA76}"/>
</file>

<file path=customXml/itemProps4.xml><?xml version="1.0" encoding="utf-8"?>
<ds:datastoreItem xmlns:ds="http://schemas.openxmlformats.org/officeDocument/2006/customXml" ds:itemID="{B15566CB-024B-4783-AD0C-06DE3900BCB9}"/>
</file>

<file path=docProps/app.xml><?xml version="1.0" encoding="utf-8"?>
<Properties xmlns="http://schemas.openxmlformats.org/officeDocument/2006/extended-properties" xmlns:vt="http://schemas.openxmlformats.org/officeDocument/2006/docPropsVTypes">
  <Template>Normal</Template>
  <TotalTime>1</TotalTime>
  <Pages>13</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School Age: Individual Procedural Compliance Review (PCR)</vt:lpstr>
    </vt:vector>
  </TitlesOfParts>
  <Company>State of Oregon, DAS</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Age: Individual Procedural Compliance Review (PCR)</dc:title>
  <dc:subject>SPR&amp;I 2019-20</dc:subject>
  <dc:creator>ODE</dc:creator>
  <cp:keywords/>
  <dc:description/>
  <cp:lastModifiedBy>TURNBULL Mariana - ODE</cp:lastModifiedBy>
  <cp:revision>2</cp:revision>
  <cp:lastPrinted>2019-11-05T18:55:00Z</cp:lastPrinted>
  <dcterms:created xsi:type="dcterms:W3CDTF">2019-11-05T19:00:00Z</dcterms:created>
  <dcterms:modified xsi:type="dcterms:W3CDTF">2019-11-05T19:00:00Z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0x0101008D6F5C415EB4AB4BBB46CB31A6A8ABF3</vt:lpwstr>
  </property>
</Properties>
</file>