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CD39" w14:textId="77777777" w:rsidR="00A824F5" w:rsidRDefault="008F5B47" w:rsidP="008F5B4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Oregon Department of Education</w:t>
      </w:r>
    </w:p>
    <w:p w14:paraId="45C8C9C4" w14:textId="77777777" w:rsidR="008F5B47" w:rsidRDefault="008F5B47" w:rsidP="008F5B4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Universal Screening Tools for Risk Factors of Dyslexia</w:t>
      </w:r>
    </w:p>
    <w:p w14:paraId="42F137AC" w14:textId="77777777" w:rsidR="008F5B47" w:rsidRDefault="008F5B47" w:rsidP="008F5B47">
      <w:pPr>
        <w:jc w:val="center"/>
        <w:rPr>
          <w:rFonts w:asciiTheme="majorHAnsi" w:hAnsiTheme="majorHAnsi"/>
          <w:sz w:val="22"/>
          <w:szCs w:val="22"/>
        </w:rPr>
      </w:pPr>
    </w:p>
    <w:p w14:paraId="63E039CD" w14:textId="3B6E47F7" w:rsidR="008F5B47" w:rsidRDefault="008F5B47" w:rsidP="00177B98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Accessibility </w:t>
      </w:r>
      <w:r w:rsidR="00177B98">
        <w:rPr>
          <w:rFonts w:asciiTheme="majorHAnsi" w:hAnsiTheme="majorHAnsi"/>
          <w:sz w:val="22"/>
          <w:szCs w:val="22"/>
        </w:rPr>
        <w:t>Information from Test Publishers</w:t>
      </w:r>
    </w:p>
    <w:p w14:paraId="4A4E5DB8" w14:textId="77777777" w:rsidR="00177B98" w:rsidRDefault="00177B98" w:rsidP="00177B98">
      <w:pPr>
        <w:jc w:val="center"/>
        <w:rPr>
          <w:rFonts w:asciiTheme="majorHAnsi" w:hAnsiTheme="majorHAnsi"/>
          <w:sz w:val="22"/>
          <w:szCs w:val="22"/>
        </w:rPr>
      </w:pPr>
    </w:p>
    <w:p w14:paraId="11508D6B" w14:textId="34901024" w:rsidR="00971213" w:rsidRDefault="00801213" w:rsidP="00177B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OAR 581-022-2445</w:t>
      </w:r>
      <w:r w:rsidR="00177B98">
        <w:rPr>
          <w:rFonts w:asciiTheme="majorHAnsi" w:hAnsiTheme="majorHAnsi"/>
          <w:sz w:val="22"/>
          <w:szCs w:val="22"/>
        </w:rPr>
        <w:t xml:space="preserve"> requires that districts universally screen for risk factors of dyslexia in kindergarten (and any first grade student newly enrolled in an Oregon public school</w:t>
      </w:r>
      <w:r w:rsidR="00022865">
        <w:rPr>
          <w:rFonts w:asciiTheme="majorHAnsi" w:hAnsiTheme="majorHAnsi"/>
          <w:sz w:val="22"/>
          <w:szCs w:val="22"/>
        </w:rPr>
        <w:t xml:space="preserve"> in first grade</w:t>
      </w:r>
      <w:r w:rsidR="00177B98">
        <w:rPr>
          <w:rFonts w:asciiTheme="majorHAnsi" w:hAnsiTheme="majorHAnsi"/>
          <w:sz w:val="22"/>
          <w:szCs w:val="22"/>
        </w:rPr>
        <w:t>) using a tool identified by the Department.</w:t>
      </w:r>
      <w:r w:rsidR="004B3953">
        <w:rPr>
          <w:rFonts w:asciiTheme="majorHAnsi" w:hAnsiTheme="majorHAnsi"/>
          <w:sz w:val="22"/>
          <w:szCs w:val="22"/>
        </w:rPr>
        <w:t xml:space="preserve"> When implementing the </w:t>
      </w:r>
      <w:proofErr w:type="gramStart"/>
      <w:r w:rsidR="00971213">
        <w:rPr>
          <w:rFonts w:asciiTheme="majorHAnsi" w:hAnsiTheme="majorHAnsi"/>
          <w:sz w:val="22"/>
          <w:szCs w:val="22"/>
        </w:rPr>
        <w:t xml:space="preserve">dyslexia </w:t>
      </w:r>
      <w:r w:rsidR="004B3953">
        <w:rPr>
          <w:rFonts w:asciiTheme="majorHAnsi" w:hAnsiTheme="majorHAnsi"/>
          <w:sz w:val="22"/>
          <w:szCs w:val="22"/>
        </w:rPr>
        <w:t>screening</w:t>
      </w:r>
      <w:proofErr w:type="gramEnd"/>
      <w:r w:rsidR="004B3953">
        <w:rPr>
          <w:rFonts w:asciiTheme="majorHAnsi" w:hAnsiTheme="majorHAnsi"/>
          <w:sz w:val="22"/>
          <w:szCs w:val="22"/>
        </w:rPr>
        <w:t xml:space="preserve"> </w:t>
      </w:r>
      <w:r w:rsidR="001A1554">
        <w:rPr>
          <w:rFonts w:asciiTheme="majorHAnsi" w:hAnsiTheme="majorHAnsi"/>
          <w:sz w:val="22"/>
          <w:szCs w:val="22"/>
        </w:rPr>
        <w:t>requirement, districts need</w:t>
      </w:r>
      <w:r w:rsidR="004B3953">
        <w:rPr>
          <w:rFonts w:asciiTheme="majorHAnsi" w:hAnsiTheme="majorHAnsi"/>
          <w:sz w:val="22"/>
          <w:szCs w:val="22"/>
        </w:rPr>
        <w:t xml:space="preserve"> to ensure equitable access for students with diverse accessibility needs and preferences</w:t>
      </w:r>
      <w:r w:rsidR="00F02744">
        <w:rPr>
          <w:rFonts w:asciiTheme="majorHAnsi" w:hAnsiTheme="majorHAnsi"/>
          <w:sz w:val="22"/>
          <w:szCs w:val="22"/>
        </w:rPr>
        <w:t>.</w:t>
      </w:r>
      <w:r w:rsidR="00022865">
        <w:rPr>
          <w:rFonts w:asciiTheme="majorHAnsi" w:hAnsiTheme="majorHAnsi"/>
          <w:sz w:val="22"/>
          <w:szCs w:val="22"/>
        </w:rPr>
        <w:t xml:space="preserve"> </w:t>
      </w:r>
      <w:r w:rsidR="00177B98">
        <w:rPr>
          <w:rFonts w:asciiTheme="majorHAnsi" w:hAnsiTheme="majorHAnsi"/>
          <w:sz w:val="22"/>
          <w:szCs w:val="22"/>
        </w:rPr>
        <w:t xml:space="preserve">Accessibility supports </w:t>
      </w:r>
      <w:r w:rsidR="004B3953">
        <w:rPr>
          <w:rFonts w:asciiTheme="majorHAnsi" w:hAnsiTheme="majorHAnsi"/>
          <w:sz w:val="22"/>
          <w:szCs w:val="22"/>
        </w:rPr>
        <w:t xml:space="preserve">can </w:t>
      </w:r>
      <w:r w:rsidR="00177B98">
        <w:rPr>
          <w:rFonts w:asciiTheme="majorHAnsi" w:hAnsiTheme="majorHAnsi"/>
          <w:sz w:val="22"/>
          <w:szCs w:val="22"/>
        </w:rPr>
        <w:t xml:space="preserve">reduce or even eliminate the effects of a </w:t>
      </w:r>
      <w:proofErr w:type="gramStart"/>
      <w:r w:rsidR="00177B98">
        <w:rPr>
          <w:rFonts w:asciiTheme="majorHAnsi" w:hAnsiTheme="majorHAnsi"/>
          <w:sz w:val="22"/>
          <w:szCs w:val="22"/>
        </w:rPr>
        <w:t>student’s</w:t>
      </w:r>
      <w:proofErr w:type="gramEnd"/>
      <w:r w:rsidR="00177B98">
        <w:rPr>
          <w:rFonts w:asciiTheme="majorHAnsi" w:hAnsiTheme="majorHAnsi"/>
          <w:sz w:val="22"/>
          <w:szCs w:val="22"/>
        </w:rPr>
        <w:t xml:space="preserve"> learning challenges during instruction and on results of assessments. </w:t>
      </w:r>
      <w:r w:rsidR="004200E1">
        <w:rPr>
          <w:rFonts w:asciiTheme="majorHAnsi" w:hAnsiTheme="majorHAnsi"/>
          <w:sz w:val="22"/>
          <w:szCs w:val="22"/>
        </w:rPr>
        <w:t xml:space="preserve">They allow students to participate meaningfully and </w:t>
      </w:r>
      <w:r w:rsidR="00971213">
        <w:rPr>
          <w:rFonts w:asciiTheme="majorHAnsi" w:hAnsiTheme="majorHAnsi"/>
          <w:sz w:val="22"/>
          <w:szCs w:val="22"/>
        </w:rPr>
        <w:t>d</w:t>
      </w:r>
      <w:r w:rsidR="004200E1">
        <w:rPr>
          <w:rFonts w:asciiTheme="majorHAnsi" w:hAnsiTheme="majorHAnsi"/>
          <w:sz w:val="22"/>
          <w:szCs w:val="22"/>
        </w:rPr>
        <w:t xml:space="preserve">emonstrate what they know and can do without compromising what the assessment is measuring. </w:t>
      </w:r>
    </w:p>
    <w:p w14:paraId="7B8DCBB7" w14:textId="77777777" w:rsidR="00971213" w:rsidRDefault="00971213" w:rsidP="00177B98">
      <w:pPr>
        <w:rPr>
          <w:rFonts w:asciiTheme="majorHAnsi" w:hAnsiTheme="majorHAnsi"/>
          <w:sz w:val="22"/>
          <w:szCs w:val="22"/>
        </w:rPr>
      </w:pPr>
    </w:p>
    <w:p w14:paraId="10CBACB2" w14:textId="07814C91" w:rsidR="00177B98" w:rsidRDefault="00022865" w:rsidP="00177B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When </w:t>
      </w:r>
      <w:r w:rsidR="00511642">
        <w:rPr>
          <w:rFonts w:asciiTheme="majorHAnsi" w:hAnsiTheme="majorHAnsi"/>
          <w:sz w:val="22"/>
          <w:szCs w:val="22"/>
        </w:rPr>
        <w:t xml:space="preserve">completing the </w:t>
      </w:r>
      <w:r>
        <w:rPr>
          <w:rFonts w:asciiTheme="majorHAnsi" w:hAnsiTheme="majorHAnsi"/>
          <w:sz w:val="22"/>
          <w:szCs w:val="22"/>
        </w:rPr>
        <w:t>screening for risk factors of dyslexia, a</w:t>
      </w:r>
      <w:r w:rsidR="00075911">
        <w:rPr>
          <w:rFonts w:asciiTheme="majorHAnsi" w:hAnsiTheme="majorHAnsi"/>
          <w:sz w:val="22"/>
          <w:szCs w:val="22"/>
        </w:rPr>
        <w:t xml:space="preserve"> student should receive accessibility supports that mirror the supports currently </w:t>
      </w:r>
      <w:proofErr w:type="gramStart"/>
      <w:r w:rsidR="00075911">
        <w:rPr>
          <w:rFonts w:asciiTheme="majorHAnsi" w:hAnsiTheme="majorHAnsi"/>
          <w:sz w:val="22"/>
          <w:szCs w:val="22"/>
        </w:rPr>
        <w:t>being provided</w:t>
      </w:r>
      <w:proofErr w:type="gramEnd"/>
      <w:r w:rsidR="00075911">
        <w:rPr>
          <w:rFonts w:asciiTheme="majorHAnsi" w:hAnsiTheme="majorHAnsi"/>
          <w:sz w:val="22"/>
          <w:szCs w:val="22"/>
        </w:rPr>
        <w:t xml:space="preserve"> to that student in their classroom instruction and assessment. The Department has reached out to test publishers of approved universal screening tools to request information regarding test accessibility. Specifically, test publishers </w:t>
      </w:r>
      <w:proofErr w:type="gramStart"/>
      <w:r w:rsidR="00075911">
        <w:rPr>
          <w:rFonts w:asciiTheme="majorHAnsi" w:hAnsiTheme="majorHAnsi"/>
          <w:sz w:val="22"/>
          <w:szCs w:val="22"/>
        </w:rPr>
        <w:t>were asked</w:t>
      </w:r>
      <w:proofErr w:type="gramEnd"/>
      <w:r w:rsidR="00075911">
        <w:rPr>
          <w:rFonts w:asciiTheme="majorHAnsi" w:hAnsiTheme="majorHAnsi"/>
          <w:sz w:val="22"/>
          <w:szCs w:val="22"/>
        </w:rPr>
        <w:t xml:space="preserve"> to provide a list of approved accommodations, a description of each, and recommendations for use (including appropriate measures</w:t>
      </w:r>
      <w:r>
        <w:rPr>
          <w:rFonts w:asciiTheme="majorHAnsi" w:hAnsiTheme="majorHAnsi"/>
          <w:sz w:val="22"/>
          <w:szCs w:val="22"/>
        </w:rPr>
        <w:t>)</w:t>
      </w:r>
      <w:r w:rsidR="00075911">
        <w:rPr>
          <w:rFonts w:asciiTheme="majorHAnsi" w:hAnsiTheme="majorHAnsi"/>
          <w:sz w:val="22"/>
          <w:szCs w:val="22"/>
        </w:rPr>
        <w:t>.</w:t>
      </w:r>
      <w:r w:rsidR="00E34265">
        <w:rPr>
          <w:rFonts w:asciiTheme="majorHAnsi" w:hAnsiTheme="majorHAnsi"/>
          <w:sz w:val="22"/>
          <w:szCs w:val="22"/>
        </w:rPr>
        <w:t xml:space="preserve"> The table below provides a list of the </w:t>
      </w:r>
      <w:r w:rsidR="00971213">
        <w:rPr>
          <w:rFonts w:asciiTheme="majorHAnsi" w:hAnsiTheme="majorHAnsi"/>
          <w:sz w:val="22"/>
          <w:szCs w:val="22"/>
        </w:rPr>
        <w:t xml:space="preserve">dyslexia </w:t>
      </w:r>
      <w:r w:rsidR="00E34265">
        <w:rPr>
          <w:rFonts w:asciiTheme="majorHAnsi" w:hAnsiTheme="majorHAnsi"/>
          <w:sz w:val="22"/>
          <w:szCs w:val="22"/>
        </w:rPr>
        <w:t xml:space="preserve">screening tools that </w:t>
      </w:r>
      <w:proofErr w:type="gramStart"/>
      <w:r w:rsidR="00E34265">
        <w:rPr>
          <w:rFonts w:asciiTheme="majorHAnsi" w:hAnsiTheme="majorHAnsi"/>
          <w:sz w:val="22"/>
          <w:szCs w:val="22"/>
        </w:rPr>
        <w:t>have been approved</w:t>
      </w:r>
      <w:proofErr w:type="gramEnd"/>
      <w:r w:rsidR="00E34265">
        <w:rPr>
          <w:rFonts w:asciiTheme="majorHAnsi" w:hAnsiTheme="majorHAnsi"/>
          <w:sz w:val="22"/>
          <w:szCs w:val="22"/>
        </w:rPr>
        <w:t xml:space="preserve"> in Oregon along with a link to the allowable accommodations for each </w:t>
      </w:r>
      <w:r>
        <w:rPr>
          <w:rFonts w:asciiTheme="majorHAnsi" w:hAnsiTheme="majorHAnsi"/>
          <w:sz w:val="22"/>
          <w:szCs w:val="22"/>
        </w:rPr>
        <w:t xml:space="preserve">tool </w:t>
      </w:r>
      <w:r w:rsidR="00E34265">
        <w:rPr>
          <w:rFonts w:asciiTheme="majorHAnsi" w:hAnsiTheme="majorHAnsi"/>
          <w:sz w:val="22"/>
          <w:szCs w:val="22"/>
        </w:rPr>
        <w:t>provided by the test publishers.</w:t>
      </w:r>
      <w:r w:rsidR="00971213">
        <w:rPr>
          <w:rFonts w:asciiTheme="majorHAnsi" w:hAnsiTheme="majorHAnsi"/>
          <w:sz w:val="22"/>
          <w:szCs w:val="22"/>
        </w:rPr>
        <w:t xml:space="preserve"> Districts can make decisions regarding accommodations for individual students based on </w:t>
      </w:r>
      <w:r w:rsidR="00511642">
        <w:rPr>
          <w:rFonts w:asciiTheme="majorHAnsi" w:hAnsiTheme="majorHAnsi"/>
          <w:sz w:val="22"/>
          <w:szCs w:val="22"/>
        </w:rPr>
        <w:t>the</w:t>
      </w:r>
      <w:r w:rsidR="003B4385">
        <w:rPr>
          <w:rFonts w:asciiTheme="majorHAnsi" w:hAnsiTheme="majorHAnsi"/>
          <w:sz w:val="22"/>
          <w:szCs w:val="22"/>
        </w:rPr>
        <w:t>se</w:t>
      </w:r>
      <w:r w:rsidR="00511642">
        <w:rPr>
          <w:rFonts w:asciiTheme="majorHAnsi" w:hAnsiTheme="majorHAnsi"/>
          <w:sz w:val="22"/>
          <w:szCs w:val="22"/>
        </w:rPr>
        <w:t xml:space="preserve"> allowable accommodations submitted by the publishers.</w:t>
      </w:r>
    </w:p>
    <w:p w14:paraId="72B6E050" w14:textId="3E2339A6" w:rsidR="008F5B47" w:rsidRDefault="008F5B47" w:rsidP="008F5B4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Provides links to accommodations and accessibility supports provided by test publishers for screening tools. "/>
      </w:tblPr>
      <w:tblGrid>
        <w:gridCol w:w="2816"/>
        <w:gridCol w:w="2932"/>
        <w:gridCol w:w="3602"/>
      </w:tblGrid>
      <w:tr w:rsidR="008F5B47" w14:paraId="52600E4A" w14:textId="77777777" w:rsidTr="00567C14">
        <w:trPr>
          <w:tblHeader/>
        </w:trPr>
        <w:tc>
          <w:tcPr>
            <w:tcW w:w="2898" w:type="dxa"/>
            <w:shd w:val="clear" w:color="auto" w:fill="99CCFF"/>
          </w:tcPr>
          <w:p w14:paraId="6CC84223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Screening Tool</w:t>
            </w:r>
          </w:p>
        </w:tc>
        <w:tc>
          <w:tcPr>
            <w:tcW w:w="2970" w:type="dxa"/>
            <w:shd w:val="clear" w:color="auto" w:fill="99CCFF"/>
          </w:tcPr>
          <w:p w14:paraId="599E3A44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Test Publisher/Organization</w:t>
            </w:r>
          </w:p>
        </w:tc>
        <w:tc>
          <w:tcPr>
            <w:tcW w:w="3708" w:type="dxa"/>
            <w:shd w:val="clear" w:color="auto" w:fill="99CCFF"/>
          </w:tcPr>
          <w:p w14:paraId="262E1ECB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Link to Accessibility Supports/ Accommodations</w:t>
            </w:r>
          </w:p>
        </w:tc>
      </w:tr>
      <w:tr w:rsidR="008F5B47" w14:paraId="622A4674" w14:textId="77777777" w:rsidTr="00177B98">
        <w:tc>
          <w:tcPr>
            <w:tcW w:w="2898" w:type="dxa"/>
          </w:tcPr>
          <w:p w14:paraId="4A10FDBB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Acadience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Reading </w:t>
            </w:r>
          </w:p>
          <w:p w14:paraId="08E2C867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(also published under the name DIBELS Next)</w:t>
            </w:r>
          </w:p>
        </w:tc>
        <w:tc>
          <w:tcPr>
            <w:tcW w:w="2970" w:type="dxa"/>
          </w:tcPr>
          <w:p w14:paraId="7F2EC63F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Dynamic Measurement Group</w:t>
            </w:r>
          </w:p>
        </w:tc>
        <w:tc>
          <w:tcPr>
            <w:tcW w:w="3708" w:type="dxa"/>
          </w:tcPr>
          <w:p w14:paraId="40784CE2" w14:textId="2218FB5B" w:rsidR="008F5B47" w:rsidRDefault="00BC0450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5" w:history="1">
              <w:proofErr w:type="spellStart"/>
              <w:r w:rsidR="0041797D" w:rsidRPr="00BC04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Acadience</w:t>
              </w:r>
              <w:proofErr w:type="spellEnd"/>
              <w:r w:rsidR="0041797D" w:rsidRPr="00BC04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Reading Accommodations</w:t>
              </w:r>
            </w:hyperlink>
          </w:p>
        </w:tc>
      </w:tr>
      <w:tr w:rsidR="008F5B47" w14:paraId="2B179C09" w14:textId="77777777" w:rsidTr="00177B98">
        <w:tc>
          <w:tcPr>
            <w:tcW w:w="2898" w:type="dxa"/>
          </w:tcPr>
          <w:p w14:paraId="0ADDAD81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Acadience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Reading</w:t>
            </w:r>
          </w:p>
          <w:p w14:paraId="7555EDC6" w14:textId="1EBAF683" w:rsidR="008F5B47" w:rsidRDefault="008F5B47" w:rsidP="0041797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mCLASS</w:t>
            </w:r>
            <w:proofErr w:type="spellEnd"/>
            <w:r w:rsidR="00E34265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2"/>
              </w:rPr>
              <w:t>DIBELS Next)</w:t>
            </w:r>
          </w:p>
        </w:tc>
        <w:tc>
          <w:tcPr>
            <w:tcW w:w="2970" w:type="dxa"/>
          </w:tcPr>
          <w:p w14:paraId="7C8FC2CE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Amplify Education, LLC</w:t>
            </w:r>
          </w:p>
        </w:tc>
        <w:tc>
          <w:tcPr>
            <w:tcW w:w="3708" w:type="dxa"/>
          </w:tcPr>
          <w:p w14:paraId="32315F09" w14:textId="64D44F53" w:rsidR="008F5B47" w:rsidRDefault="00BC0450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6" w:history="1">
              <w:proofErr w:type="spellStart"/>
              <w:r w:rsidR="0041797D" w:rsidRPr="00BC04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mCLASS</w:t>
              </w:r>
              <w:r w:rsidR="00177B98" w:rsidRPr="00BC04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:</w:t>
              </w:r>
              <w:r w:rsidR="0041797D" w:rsidRPr="00BC04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DIBELS</w:t>
              </w:r>
              <w:proofErr w:type="spellEnd"/>
              <w:r w:rsidR="00177B98" w:rsidRPr="00BC04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</w:t>
              </w:r>
              <w:r w:rsidR="0041797D" w:rsidRPr="00BC045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Next Accommodations</w:t>
              </w:r>
            </w:hyperlink>
          </w:p>
        </w:tc>
      </w:tr>
      <w:tr w:rsidR="008F5B47" w14:paraId="2411297D" w14:textId="77777777" w:rsidTr="00177B98">
        <w:tc>
          <w:tcPr>
            <w:tcW w:w="2898" w:type="dxa"/>
          </w:tcPr>
          <w:p w14:paraId="43C9CED9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aimswebPlus</w:t>
            </w:r>
            <w:proofErr w:type="spellEnd"/>
          </w:p>
        </w:tc>
        <w:tc>
          <w:tcPr>
            <w:tcW w:w="2970" w:type="dxa"/>
          </w:tcPr>
          <w:p w14:paraId="301142E9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Pearson</w:t>
            </w:r>
          </w:p>
          <w:p w14:paraId="2140A396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14:paraId="47D07B26" w14:textId="4B7F14E9" w:rsidR="008F5B47" w:rsidRDefault="009231A1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proofErr w:type="spellStart"/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aimswebPlus</w:t>
              </w:r>
              <w:proofErr w:type="spellEnd"/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Accommodations</w:t>
              </w:r>
            </w:hyperlink>
          </w:p>
        </w:tc>
      </w:tr>
      <w:tr w:rsidR="008F5B47" w14:paraId="323CEAE8" w14:textId="77777777" w:rsidTr="00177B98">
        <w:tc>
          <w:tcPr>
            <w:tcW w:w="2898" w:type="dxa"/>
          </w:tcPr>
          <w:p w14:paraId="41715B3B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DIBELS 6</w:t>
            </w:r>
            <w:r w:rsidRPr="008F5B4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Edition</w:t>
            </w:r>
          </w:p>
        </w:tc>
        <w:tc>
          <w:tcPr>
            <w:tcW w:w="2970" w:type="dxa"/>
          </w:tcPr>
          <w:p w14:paraId="34C5B077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 of Oregon: Center on Teaching and Learning</w:t>
            </w:r>
          </w:p>
        </w:tc>
        <w:tc>
          <w:tcPr>
            <w:tcW w:w="3708" w:type="dxa"/>
          </w:tcPr>
          <w:p w14:paraId="1F0F8A64" w14:textId="16B17A7F" w:rsidR="008F5B47" w:rsidRDefault="009231A1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DIBELS 6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  <w:vertAlign w:val="superscript"/>
                </w:rPr>
                <w:t>th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Edition Accommodations</w:t>
              </w:r>
            </w:hyperlink>
          </w:p>
        </w:tc>
      </w:tr>
      <w:tr w:rsidR="008F5B47" w14:paraId="5C2F3E8B" w14:textId="77777777" w:rsidTr="00177B98">
        <w:tc>
          <w:tcPr>
            <w:tcW w:w="2898" w:type="dxa"/>
          </w:tcPr>
          <w:p w14:paraId="660C922E" w14:textId="77777777" w:rsidR="0041797D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DIBELS 8</w:t>
            </w:r>
            <w:r w:rsidRPr="008F5B4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Edition</w:t>
            </w:r>
          </w:p>
          <w:p w14:paraId="0B50EEFE" w14:textId="058FD4DD" w:rsidR="008F5B47" w:rsidRDefault="0041797D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mCLASS</w:t>
            </w:r>
            <w:proofErr w:type="spellEnd"/>
            <w:r w:rsidR="00E34265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2"/>
              </w:rPr>
              <w:t>DIBELS 8</w:t>
            </w:r>
            <w:r w:rsidRPr="008F5B4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3AED388D" w14:textId="77777777" w:rsidR="0041797D" w:rsidRDefault="0041797D" w:rsidP="008F5B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99F4E7E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Amplify Education, LLC</w:t>
            </w:r>
          </w:p>
          <w:p w14:paraId="2F930660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668591B" w14:textId="3A93B842" w:rsidR="008F5B47" w:rsidRDefault="009231A1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proofErr w:type="spellStart"/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mCLASS</w:t>
              </w:r>
              <w:r w:rsidR="00177B98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: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DIBELS</w:t>
              </w:r>
              <w:proofErr w:type="spellEnd"/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8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  <w:vertAlign w:val="superscript"/>
                </w:rPr>
                <w:t>th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</w:t>
              </w:r>
              <w:r w:rsidR="00177B98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Accommodations</w:t>
              </w:r>
            </w:hyperlink>
          </w:p>
        </w:tc>
      </w:tr>
      <w:tr w:rsidR="008F5B47" w14:paraId="1BC0BFD2" w14:textId="77777777" w:rsidTr="00177B98">
        <w:tc>
          <w:tcPr>
            <w:tcW w:w="2898" w:type="dxa"/>
          </w:tcPr>
          <w:p w14:paraId="1B7F3D41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DIBELS 8</w:t>
            </w:r>
            <w:r w:rsidRPr="008F5B4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Edition</w:t>
            </w:r>
          </w:p>
          <w:p w14:paraId="7B5DA985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33D5B63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 of Oregon: Center on Teaching and Learning</w:t>
            </w:r>
          </w:p>
        </w:tc>
        <w:tc>
          <w:tcPr>
            <w:tcW w:w="3708" w:type="dxa"/>
          </w:tcPr>
          <w:p w14:paraId="73E7B968" w14:textId="6BF7B23C" w:rsidR="008F5B47" w:rsidRDefault="009231A1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DIBELS 8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  <w:vertAlign w:val="superscript"/>
                </w:rPr>
                <w:t>th</w:t>
              </w:r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Edition Accommodations</w:t>
              </w:r>
            </w:hyperlink>
          </w:p>
        </w:tc>
      </w:tr>
      <w:tr w:rsidR="008F5B47" w14:paraId="02E0B0DD" w14:textId="77777777" w:rsidTr="00177B98">
        <w:tc>
          <w:tcPr>
            <w:tcW w:w="2898" w:type="dxa"/>
          </w:tcPr>
          <w:p w14:paraId="4C8BAAA3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DIBELS Next</w:t>
            </w:r>
          </w:p>
        </w:tc>
        <w:tc>
          <w:tcPr>
            <w:tcW w:w="2970" w:type="dxa"/>
          </w:tcPr>
          <w:p w14:paraId="251E16C5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 of Oregon: Center on Teaching and Learning</w:t>
            </w:r>
          </w:p>
        </w:tc>
        <w:tc>
          <w:tcPr>
            <w:tcW w:w="3708" w:type="dxa"/>
          </w:tcPr>
          <w:p w14:paraId="0E5C3818" w14:textId="2BBB5E89" w:rsidR="008F5B47" w:rsidRDefault="009231A1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DIBELS Next Accommodations</w:t>
              </w:r>
            </w:hyperlink>
          </w:p>
        </w:tc>
      </w:tr>
      <w:tr w:rsidR="008F5B47" w14:paraId="0EAAE5B5" w14:textId="77777777" w:rsidTr="00177B98">
        <w:tc>
          <w:tcPr>
            <w:tcW w:w="2898" w:type="dxa"/>
          </w:tcPr>
          <w:p w14:paraId="00EDADFC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easyCBM</w:t>
            </w:r>
            <w:proofErr w:type="spellEnd"/>
          </w:p>
        </w:tc>
        <w:tc>
          <w:tcPr>
            <w:tcW w:w="2970" w:type="dxa"/>
          </w:tcPr>
          <w:p w14:paraId="393849A8" w14:textId="5AA8E7B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Houghton Mifflin Harcourt (Riverside Publishing)/</w:t>
            </w:r>
            <w:r w:rsidR="0002286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University of Oregon</w:t>
            </w:r>
          </w:p>
        </w:tc>
        <w:tc>
          <w:tcPr>
            <w:tcW w:w="3708" w:type="dxa"/>
          </w:tcPr>
          <w:p w14:paraId="3F6E89D7" w14:textId="7F6479CD" w:rsidR="008F5B47" w:rsidRDefault="009231A1" w:rsidP="008F5B47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proofErr w:type="spellStart"/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easyCBM</w:t>
              </w:r>
              <w:proofErr w:type="spellEnd"/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 Accommodations</w:t>
              </w:r>
            </w:hyperlink>
          </w:p>
        </w:tc>
      </w:tr>
      <w:tr w:rsidR="008F5B47" w14:paraId="774EE408" w14:textId="77777777" w:rsidTr="00177B98">
        <w:tc>
          <w:tcPr>
            <w:tcW w:w="2898" w:type="dxa"/>
          </w:tcPr>
          <w:p w14:paraId="4D3B1A1C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FAST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earlyReading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Composite + CBM Reading</w:t>
            </w:r>
          </w:p>
        </w:tc>
        <w:tc>
          <w:tcPr>
            <w:tcW w:w="2970" w:type="dxa"/>
          </w:tcPr>
          <w:p w14:paraId="6F657757" w14:textId="77777777" w:rsidR="008F5B47" w:rsidRDefault="008F5B47" w:rsidP="008F5B4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FastBridge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Learning</w:t>
            </w:r>
          </w:p>
        </w:tc>
        <w:tc>
          <w:tcPr>
            <w:tcW w:w="3708" w:type="dxa"/>
          </w:tcPr>
          <w:p w14:paraId="22A03646" w14:textId="1C804E87" w:rsidR="008F5B47" w:rsidRDefault="009231A1" w:rsidP="00567C14">
            <w:pPr>
              <w:keepNext/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="0041797D" w:rsidRPr="003F2B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FAST Accommodations</w:t>
              </w:r>
            </w:hyperlink>
            <w:bookmarkStart w:id="0" w:name="_GoBack"/>
            <w:bookmarkEnd w:id="0"/>
          </w:p>
        </w:tc>
      </w:tr>
    </w:tbl>
    <w:p w14:paraId="288F077C" w14:textId="7EBEECFC" w:rsidR="008F5B47" w:rsidRPr="008F5B47" w:rsidRDefault="008F5B47" w:rsidP="00567C14">
      <w:pPr>
        <w:pStyle w:val="Caption"/>
        <w:rPr>
          <w:rFonts w:asciiTheme="majorHAnsi" w:hAnsiTheme="majorHAnsi"/>
          <w:sz w:val="22"/>
          <w:szCs w:val="22"/>
        </w:rPr>
      </w:pPr>
    </w:p>
    <w:sectPr w:rsidR="008F5B47" w:rsidRPr="008F5B47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7"/>
    <w:rsid w:val="00022865"/>
    <w:rsid w:val="00075911"/>
    <w:rsid w:val="000A0AF2"/>
    <w:rsid w:val="00177B98"/>
    <w:rsid w:val="001A1554"/>
    <w:rsid w:val="00354A0B"/>
    <w:rsid w:val="003B4385"/>
    <w:rsid w:val="003F2BC6"/>
    <w:rsid w:val="0041797D"/>
    <w:rsid w:val="004200E1"/>
    <w:rsid w:val="00460CA0"/>
    <w:rsid w:val="004B3953"/>
    <w:rsid w:val="00511642"/>
    <w:rsid w:val="005256E5"/>
    <w:rsid w:val="00567C14"/>
    <w:rsid w:val="00677BF9"/>
    <w:rsid w:val="006B5D4B"/>
    <w:rsid w:val="00801213"/>
    <w:rsid w:val="008F5B47"/>
    <w:rsid w:val="009231A1"/>
    <w:rsid w:val="00971213"/>
    <w:rsid w:val="009E2FD3"/>
    <w:rsid w:val="00A824F5"/>
    <w:rsid w:val="00B448A6"/>
    <w:rsid w:val="00BA73FB"/>
    <w:rsid w:val="00BC0450"/>
    <w:rsid w:val="00E34265"/>
    <w:rsid w:val="00F027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4DF50"/>
  <w15:docId w15:val="{61AD6AC5-472F-4439-9502-A3EA7B2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BC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7C1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SpecialEducation/RegPrograms_BestPractice/Documents/Accessibility%20Supports%20DIBELS%206th%20UO.docx" TargetMode="External"/><Relationship Id="rId13" Type="http://schemas.openxmlformats.org/officeDocument/2006/relationships/hyperlink" Target="https://www.oregon.gov/ode/students-and-family/SpecialEducation/RegPrograms_BestPractice/Documents/Accessibility%20Supports%20FAST.docx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SpecialEducation/RegPrograms_BestPractice/Documents/Accessibility%20Supports%20aimsWeb%20Plus.docx" TargetMode="External"/><Relationship Id="rId12" Type="http://schemas.openxmlformats.org/officeDocument/2006/relationships/hyperlink" Target="https://www.oregon.gov/ode/students-and-family/SpecialEducation/RegPrograms_BestPractice/Documents/Accessibility%20Supports%20easyCBM.docx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gon.gov/ode/students-and-family/SpecialEducation/RegPrograms_BestPractice/Documents/Accessibility%20Supports%20Acadience%20Reading%20%20mCLASS%20DIBELS%20Next%20Amplify%20(002).docx" TargetMode="External"/><Relationship Id="rId11" Type="http://schemas.openxmlformats.org/officeDocument/2006/relationships/hyperlink" Target="https://www.oregon.gov/ode/students-and-family/SpecialEducation/RegPrograms_BestPractice/Documents/Accessibility%20Supports%20DIBELS%20Next%20UO.docx" TargetMode="External"/><Relationship Id="rId5" Type="http://schemas.openxmlformats.org/officeDocument/2006/relationships/hyperlink" Target="https://www.oregon.gov/ode/students-and-family/SpecialEducation/RegPrograms_BestPractice/Documents/Accessibility%20Supports%20Acadience%20Reading%20DMG%20(002)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e/students-and-family/SpecialEducation/RegPrograms_BestPractice/Documents/Accessibility%20Supports%20DIBELS%208th%20U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-and-family/SpecialEducation/RegPrograms_BestPractice/Documents/Accessibility%20Supports%20DIBELS%208th%20Amplif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2019-04-01T21:19:40+00:00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4856B77B-A437-49B7-A6BD-180E7C05A54C}"/>
</file>

<file path=customXml/itemProps2.xml><?xml version="1.0" encoding="utf-8"?>
<ds:datastoreItem xmlns:ds="http://schemas.openxmlformats.org/officeDocument/2006/customXml" ds:itemID="{7396AFA2-7DA4-47A9-894C-9482631BB837}"/>
</file>

<file path=customXml/itemProps3.xml><?xml version="1.0" encoding="utf-8"?>
<ds:datastoreItem xmlns:ds="http://schemas.openxmlformats.org/officeDocument/2006/customXml" ds:itemID="{0DBEDBDE-59BA-400C-AD69-B5569112EA66}"/>
</file>

<file path=customXml/itemProps4.xml><?xml version="1.0" encoding="utf-8"?>
<ds:datastoreItem xmlns:ds="http://schemas.openxmlformats.org/officeDocument/2006/customXml" ds:itemID="{218EC84F-7EBC-4D0F-86EE-0BB85441F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6</cp:revision>
  <dcterms:created xsi:type="dcterms:W3CDTF">2019-03-29T16:26:00Z</dcterms:created>
  <dcterms:modified xsi:type="dcterms:W3CDTF">2019-04-01T21:19:00Z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