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25" w:rsidRDefault="00DC6625" w:rsidP="00DC6625">
      <w:pPr>
        <w:pStyle w:val="Default"/>
      </w:pPr>
    </w:p>
    <w:p w:rsidR="00DC6625" w:rsidRDefault="00DC6625" w:rsidP="00DC6625">
      <w:pPr>
        <w:pStyle w:val="Default"/>
        <w:spacing w:after="537" w:line="293" w:lineRule="atLeast"/>
        <w:jc w:val="center"/>
        <w:rPr>
          <w:sz w:val="23"/>
          <w:szCs w:val="23"/>
        </w:rPr>
      </w:pPr>
      <w:bookmarkStart w:id="0" w:name="_GoBack"/>
      <w:r>
        <w:t xml:space="preserve"> </w:t>
      </w:r>
      <w:r w:rsidRPr="00337C36">
        <w:rPr>
          <w:b/>
          <w:sz w:val="25"/>
          <w:szCs w:val="23"/>
        </w:rPr>
        <w:t>ODE</w:t>
      </w:r>
      <w:r w:rsidRPr="00337C36">
        <w:rPr>
          <w:b/>
          <w:sz w:val="25"/>
          <w:szCs w:val="23"/>
        </w:rPr>
        <w:t xml:space="preserve"> </w:t>
      </w:r>
      <w:r w:rsidRPr="00337C36">
        <w:rPr>
          <w:b/>
          <w:sz w:val="25"/>
          <w:szCs w:val="23"/>
        </w:rPr>
        <w:t>Farm</w:t>
      </w:r>
      <w:r w:rsidRPr="00337C36">
        <w:rPr>
          <w:b/>
          <w:sz w:val="25"/>
          <w:szCs w:val="23"/>
        </w:rPr>
        <w:t xml:space="preserve"> </w:t>
      </w:r>
      <w:r w:rsidRPr="00337C36">
        <w:rPr>
          <w:b/>
          <w:sz w:val="25"/>
          <w:szCs w:val="23"/>
        </w:rPr>
        <w:t>to</w:t>
      </w:r>
      <w:r w:rsidRPr="00337C36">
        <w:rPr>
          <w:b/>
          <w:sz w:val="25"/>
          <w:szCs w:val="23"/>
        </w:rPr>
        <w:t xml:space="preserve"> </w:t>
      </w:r>
      <w:r w:rsidRPr="00337C36">
        <w:rPr>
          <w:b/>
          <w:sz w:val="25"/>
          <w:szCs w:val="23"/>
        </w:rPr>
        <w:t>School</w:t>
      </w:r>
      <w:r w:rsidR="00337C36" w:rsidRPr="00337C36">
        <w:rPr>
          <w:b/>
          <w:sz w:val="25"/>
          <w:szCs w:val="23"/>
        </w:rPr>
        <w:t xml:space="preserve"> </w:t>
      </w:r>
      <w:r w:rsidRPr="00337C36">
        <w:rPr>
          <w:b/>
          <w:sz w:val="25"/>
          <w:szCs w:val="23"/>
        </w:rPr>
        <w:t>Procurement</w:t>
      </w:r>
      <w:r w:rsidRPr="00337C36">
        <w:rPr>
          <w:b/>
          <w:sz w:val="25"/>
          <w:szCs w:val="23"/>
        </w:rPr>
        <w:t xml:space="preserve"> </w:t>
      </w:r>
      <w:r w:rsidRPr="00337C36">
        <w:rPr>
          <w:b/>
          <w:sz w:val="25"/>
          <w:szCs w:val="23"/>
        </w:rPr>
        <w:t>and</w:t>
      </w:r>
      <w:r w:rsidRPr="00337C36">
        <w:rPr>
          <w:b/>
          <w:sz w:val="25"/>
          <w:szCs w:val="23"/>
        </w:rPr>
        <w:t xml:space="preserve"> </w:t>
      </w:r>
      <w:r w:rsidRPr="00337C36">
        <w:rPr>
          <w:b/>
          <w:sz w:val="25"/>
          <w:szCs w:val="23"/>
        </w:rPr>
        <w:t>Education</w:t>
      </w:r>
      <w:r w:rsidRPr="00337C36">
        <w:rPr>
          <w:b/>
          <w:sz w:val="25"/>
          <w:szCs w:val="23"/>
        </w:rPr>
        <w:t xml:space="preserve"> </w:t>
      </w:r>
      <w:r w:rsidRPr="00337C36">
        <w:rPr>
          <w:b/>
          <w:sz w:val="25"/>
          <w:szCs w:val="23"/>
        </w:rPr>
        <w:t>Grant</w:t>
      </w:r>
      <w:r w:rsidRPr="00337C36">
        <w:rPr>
          <w:b/>
          <w:sz w:val="25"/>
          <w:szCs w:val="23"/>
        </w:rPr>
        <w:t xml:space="preserve"> </w:t>
      </w:r>
      <w:r w:rsidRPr="00337C36">
        <w:rPr>
          <w:b/>
          <w:sz w:val="25"/>
          <w:szCs w:val="23"/>
        </w:rPr>
        <w:t>Rule</w:t>
      </w:r>
      <w:r w:rsidRPr="00337C36">
        <w:rPr>
          <w:b/>
          <w:sz w:val="25"/>
          <w:szCs w:val="23"/>
        </w:rPr>
        <w:t xml:space="preserve"> </w:t>
      </w:r>
      <w:r w:rsidRPr="00337C36">
        <w:rPr>
          <w:b/>
          <w:sz w:val="25"/>
          <w:szCs w:val="23"/>
        </w:rPr>
        <w:t>Writing Stakeholder Webinar</w:t>
      </w:r>
      <w:r w:rsidRPr="00337C36">
        <w:rPr>
          <w:sz w:val="25"/>
          <w:szCs w:val="23"/>
        </w:rPr>
        <w:t xml:space="preserve"> </w:t>
      </w:r>
      <w:bookmarkEnd w:id="0"/>
      <w:r>
        <w:rPr>
          <w:sz w:val="23"/>
          <w:szCs w:val="23"/>
        </w:rPr>
        <w:t xml:space="preserve">Thursday, September5, 2019 12:00 –2:30 pm </w:t>
      </w:r>
    </w:p>
    <w:p w:rsidR="00DC6625" w:rsidRPr="00337C36" w:rsidRDefault="00DC6625" w:rsidP="00DC6625">
      <w:pPr>
        <w:pStyle w:val="CM2"/>
        <w:spacing w:after="247" w:line="253" w:lineRule="atLeast"/>
        <w:ind w:right="5245"/>
        <w:rPr>
          <w:rFonts w:cs="EFNFLB+Calibri"/>
          <w:b/>
          <w:color w:val="000000"/>
          <w:sz w:val="26"/>
        </w:rPr>
      </w:pPr>
      <w:r w:rsidRPr="00337C36">
        <w:rPr>
          <w:rFonts w:cs="EFNFLB+Calibri"/>
          <w:b/>
          <w:color w:val="000000"/>
          <w:sz w:val="25"/>
          <w:szCs w:val="23"/>
        </w:rPr>
        <w:t>AGENDA</w:t>
      </w:r>
    </w:p>
    <w:p w:rsidR="00DC6625" w:rsidRPr="00337C36" w:rsidRDefault="00DC6625" w:rsidP="00DC6625">
      <w:pPr>
        <w:rPr>
          <w:rFonts w:cs="EFNFLB+Calibri"/>
          <w:b/>
          <w:color w:val="000000"/>
          <w:sz w:val="24"/>
        </w:rPr>
      </w:pPr>
      <w:r w:rsidRPr="00337C36">
        <w:rPr>
          <w:rFonts w:cs="EFNFLB+Calibri"/>
          <w:b/>
          <w:color w:val="000000"/>
          <w:sz w:val="24"/>
        </w:rPr>
        <w:t xml:space="preserve">COMMENTS/INPUT:  </w:t>
      </w:r>
    </w:p>
    <w:p w:rsidR="00DC6625" w:rsidRPr="00DC6625" w:rsidRDefault="00DC6625" w:rsidP="00DC6625">
      <w:pPr>
        <w:rPr>
          <w:rFonts w:cs="EFNFLB+Calibri"/>
          <w:color w:val="000000"/>
        </w:rPr>
      </w:pPr>
      <w:r w:rsidRPr="00DC6625">
        <w:rPr>
          <w:rFonts w:cs="EFNFLB+Calibri"/>
          <w:color w:val="000000"/>
        </w:rPr>
        <w:t xml:space="preserve">Please add your comments specific to the definition of terms and criteria in the </w:t>
      </w:r>
      <w:r>
        <w:rPr>
          <w:rFonts w:cs="EFNFLB+Calibri"/>
          <w:color w:val="000000"/>
        </w:rPr>
        <w:t xml:space="preserve"> </w:t>
      </w:r>
      <w:r w:rsidRPr="00DC6625">
        <w:rPr>
          <w:rFonts w:cs="EFNFLB+Calibri"/>
          <w:color w:val="000000"/>
        </w:rPr>
        <w:t>chat box, send</w:t>
      </w:r>
      <w:r>
        <w:rPr>
          <w:rFonts w:cs="EFNFLB+Calibri"/>
          <w:color w:val="000000"/>
        </w:rPr>
        <w:t xml:space="preserve"> </w:t>
      </w:r>
      <w:r w:rsidRPr="00DC6625">
        <w:rPr>
          <w:rFonts w:cs="EFNFLB+Calibri"/>
          <w:color w:val="000000"/>
        </w:rPr>
        <w:t>email, or provide verbal comments during the Q &amp; A section of the agenda. We would like to have a written record.</w:t>
      </w:r>
    </w:p>
    <w:p w:rsidR="00DC6625" w:rsidRPr="00DC6625" w:rsidRDefault="00DC6625" w:rsidP="00DC6625">
      <w:pPr>
        <w:kinsoku w:val="0"/>
        <w:overflowPunct w:val="0"/>
        <w:autoSpaceDE w:val="0"/>
        <w:autoSpaceDN w:val="0"/>
        <w:adjustRightInd w:val="0"/>
        <w:spacing w:after="0" w:line="240" w:lineRule="auto"/>
        <w:ind w:left="39"/>
        <w:rPr>
          <w:rFonts w:ascii="Calibri" w:hAnsi="Calibri" w:cs="Calibri"/>
          <w:b/>
          <w:bCs/>
          <w:color w:val="0432FF"/>
        </w:rPr>
      </w:pPr>
      <w:r w:rsidRPr="00DC6625">
        <w:rPr>
          <w:rFonts w:ascii="Calibri" w:hAnsi="Calibri" w:cs="Calibri"/>
          <w:b/>
          <w:bCs/>
          <w:color w:val="0432FF"/>
        </w:rPr>
        <w:t>Overview</w:t>
      </w:r>
    </w:p>
    <w:p w:rsidR="00DC6625" w:rsidRPr="00DC6625" w:rsidRDefault="00DC6625" w:rsidP="00DC6625">
      <w:pPr>
        <w:kinsoku w:val="0"/>
        <w:overflowPunct w:val="0"/>
        <w:autoSpaceDE w:val="0"/>
        <w:autoSpaceDN w:val="0"/>
        <w:adjustRightInd w:val="0"/>
        <w:spacing w:after="0" w:line="240" w:lineRule="auto"/>
        <w:ind w:left="40"/>
        <w:rPr>
          <w:rFonts w:ascii="Calibri" w:hAnsi="Calibri" w:cs="Calibri"/>
        </w:rPr>
      </w:pPr>
      <w:r w:rsidRPr="00DC6625">
        <w:rPr>
          <w:rFonts w:ascii="Calibri" w:hAnsi="Calibri" w:cs="Calibri"/>
        </w:rPr>
        <w:t>-Purpose: introduce and define any NEW or proposed changes to existing rules</w:t>
      </w:r>
    </w:p>
    <w:p w:rsidR="00DC6625" w:rsidRPr="00DC6625" w:rsidRDefault="00DC6625" w:rsidP="00DC6625">
      <w:pPr>
        <w:kinsoku w:val="0"/>
        <w:overflowPunct w:val="0"/>
        <w:autoSpaceDE w:val="0"/>
        <w:autoSpaceDN w:val="0"/>
        <w:adjustRightInd w:val="0"/>
        <w:spacing w:before="2" w:after="0" w:line="237" w:lineRule="auto"/>
        <w:ind w:left="40" w:right="660"/>
        <w:rPr>
          <w:rFonts w:ascii="Calibri" w:hAnsi="Calibri" w:cs="Calibri"/>
        </w:rPr>
      </w:pPr>
      <w:r w:rsidRPr="00DC6625">
        <w:rPr>
          <w:rFonts w:ascii="Calibri" w:hAnsi="Calibri" w:cs="Calibri"/>
        </w:rPr>
        <w:t>-Agenda for Today: Procurement (Noncompetitive and Competitive) and Education Grants</w:t>
      </w:r>
    </w:p>
    <w:p w:rsidR="00DC6625" w:rsidRPr="00DC6625" w:rsidRDefault="00DC6625" w:rsidP="00DC6625">
      <w:pPr>
        <w:kinsoku w:val="0"/>
        <w:overflowPunct w:val="0"/>
        <w:autoSpaceDE w:val="0"/>
        <w:autoSpaceDN w:val="0"/>
        <w:adjustRightInd w:val="0"/>
        <w:spacing w:before="1" w:after="0" w:line="240" w:lineRule="auto"/>
        <w:ind w:left="40"/>
        <w:rPr>
          <w:rFonts w:ascii="Calibri" w:hAnsi="Calibri" w:cs="Calibri"/>
        </w:rPr>
      </w:pPr>
      <w:r w:rsidRPr="00DC6625">
        <w:rPr>
          <w:rFonts w:ascii="Calibri" w:hAnsi="Calibri" w:cs="Calibri"/>
        </w:rPr>
        <w:t>-Next Call: Evaluation and Technical Assistance Grants</w:t>
      </w:r>
    </w:p>
    <w:p w:rsidR="00DC6625" w:rsidRPr="00DC6625" w:rsidRDefault="00DC6625" w:rsidP="00DC6625">
      <w:pPr>
        <w:kinsoku w:val="0"/>
        <w:overflowPunct w:val="0"/>
        <w:autoSpaceDE w:val="0"/>
        <w:autoSpaceDN w:val="0"/>
        <w:adjustRightInd w:val="0"/>
        <w:spacing w:after="0" w:line="240" w:lineRule="auto"/>
        <w:ind w:left="39" w:right="497"/>
        <w:rPr>
          <w:rFonts w:ascii="Calibri" w:hAnsi="Calibri" w:cs="Calibri"/>
        </w:rPr>
      </w:pPr>
      <w:r w:rsidRPr="00DC6625">
        <w:rPr>
          <w:rFonts w:ascii="Calibri" w:hAnsi="Calibri" w:cs="Calibri"/>
        </w:rPr>
        <w:t>-Rule Writing Process: Stakeholders will advise the ODE and provide informed insight into the administration of the farm-to-school grant program for the purpose of revising and adopting rules administer that program. Rule proposals developed will be presented to the State Board of Education, which will hear the proposed rules at one meeting and then consider them for adoption at a second meeting. This</w:t>
      </w:r>
    </w:p>
    <w:p w:rsidR="00DC6625" w:rsidRPr="00DC6625" w:rsidRDefault="00DC6625" w:rsidP="00DC6625">
      <w:pPr>
        <w:kinsoku w:val="0"/>
        <w:overflowPunct w:val="0"/>
        <w:autoSpaceDE w:val="0"/>
        <w:autoSpaceDN w:val="0"/>
        <w:adjustRightInd w:val="0"/>
        <w:spacing w:after="0" w:line="240" w:lineRule="auto"/>
        <w:rPr>
          <w:rFonts w:ascii="Times New Roman" w:hAnsi="Times New Roman" w:cs="Times New Roman"/>
        </w:rPr>
      </w:pPr>
      <w:r w:rsidRPr="00DC6625">
        <w:rPr>
          <w:rFonts w:ascii="Times New Roman" w:hAnsi="Times New Roman" w:cs="Times New Roman"/>
          <w:u w:val="single" w:color="000000"/>
        </w:rPr>
        <w:t xml:space="preserve"> </w:t>
      </w:r>
      <w:r w:rsidRPr="00DC6625">
        <w:rPr>
          <w:rFonts w:ascii="Calibri" w:hAnsi="Calibri" w:cs="Calibri"/>
          <w:u w:val="single" w:color="000000"/>
        </w:rPr>
        <w:t>process will take at least 45 days.</w:t>
      </w:r>
    </w:p>
    <w:p w:rsidR="00DC6625" w:rsidRDefault="00DC6625" w:rsidP="00DC6625"/>
    <w:p w:rsidR="00DC6625" w:rsidRPr="00DC6625" w:rsidRDefault="00DC6625" w:rsidP="00DC6625">
      <w:pPr>
        <w:kinsoku w:val="0"/>
        <w:overflowPunct w:val="0"/>
        <w:autoSpaceDE w:val="0"/>
        <w:autoSpaceDN w:val="0"/>
        <w:adjustRightInd w:val="0"/>
        <w:spacing w:after="0" w:line="240" w:lineRule="auto"/>
        <w:ind w:left="40" w:right="904"/>
        <w:rPr>
          <w:rFonts w:ascii="Calibri" w:hAnsi="Calibri" w:cs="Calibri"/>
          <w:b/>
          <w:bCs/>
          <w:color w:val="0000FF"/>
        </w:rPr>
      </w:pPr>
      <w:r w:rsidRPr="00DC6625">
        <w:rPr>
          <w:rFonts w:ascii="Calibri" w:hAnsi="Calibri" w:cs="Calibri"/>
          <w:b/>
          <w:bCs/>
          <w:color w:val="0000FF"/>
        </w:rPr>
        <w:t>Definition of Oregon Farm to School Procurement and Education Grant Eligible Entities and Terms</w:t>
      </w:r>
    </w:p>
    <w:p w:rsidR="00DC6625" w:rsidRPr="00DC6625" w:rsidRDefault="00DC6625" w:rsidP="00DC6625">
      <w:pPr>
        <w:numPr>
          <w:ilvl w:val="0"/>
          <w:numId w:val="1"/>
        </w:numPr>
        <w:tabs>
          <w:tab w:val="left" w:pos="1084"/>
        </w:tabs>
        <w:kinsoku w:val="0"/>
        <w:overflowPunct w:val="0"/>
        <w:autoSpaceDE w:val="0"/>
        <w:autoSpaceDN w:val="0"/>
        <w:adjustRightInd w:val="0"/>
        <w:spacing w:before="1" w:after="0" w:line="240" w:lineRule="auto"/>
        <w:ind w:right="730"/>
        <w:rPr>
          <w:rFonts w:ascii="Calibri" w:hAnsi="Calibri" w:cs="Calibri"/>
        </w:rPr>
      </w:pPr>
      <w:r w:rsidRPr="00DC6625">
        <w:rPr>
          <w:rFonts w:ascii="Calibri" w:hAnsi="Calibri" w:cs="Calibri"/>
        </w:rPr>
        <w:t>Legislature expanded the types of entities that can receive a noncompetitive and competitive education grant. See section 1(3)(a) and (5)(a) of the enrolled</w:t>
      </w:r>
      <w:r w:rsidRPr="00DC6625">
        <w:rPr>
          <w:rFonts w:ascii="Calibri" w:hAnsi="Calibri" w:cs="Calibri"/>
          <w:spacing w:val="-26"/>
        </w:rPr>
        <w:t xml:space="preserve"> </w:t>
      </w:r>
      <w:r w:rsidRPr="00DC6625">
        <w:rPr>
          <w:rFonts w:ascii="Calibri" w:hAnsi="Calibri" w:cs="Calibri"/>
        </w:rPr>
        <w:t>bill.</w:t>
      </w:r>
    </w:p>
    <w:p w:rsidR="00DC6625" w:rsidRPr="00DC6625" w:rsidRDefault="00DC6625" w:rsidP="00DC6625">
      <w:pPr>
        <w:numPr>
          <w:ilvl w:val="0"/>
          <w:numId w:val="1"/>
        </w:numPr>
        <w:tabs>
          <w:tab w:val="left" w:pos="1084"/>
        </w:tabs>
        <w:kinsoku w:val="0"/>
        <w:overflowPunct w:val="0"/>
        <w:autoSpaceDE w:val="0"/>
        <w:autoSpaceDN w:val="0"/>
        <w:adjustRightInd w:val="0"/>
        <w:spacing w:after="0" w:line="240" w:lineRule="auto"/>
        <w:ind w:right="826"/>
        <w:rPr>
          <w:rFonts w:ascii="Calibri" w:hAnsi="Calibri" w:cs="Calibri"/>
        </w:rPr>
      </w:pPr>
      <w:r w:rsidRPr="00DC6625">
        <w:rPr>
          <w:rFonts w:ascii="Calibri" w:hAnsi="Calibri" w:cs="Calibri"/>
        </w:rPr>
        <w:t>Define provider of center-based programs for children in the CACFP (for both Proc &amp; Ed</w:t>
      </w:r>
      <w:r w:rsidRPr="00DC6625">
        <w:rPr>
          <w:rFonts w:ascii="Calibri" w:hAnsi="Calibri" w:cs="Calibri"/>
          <w:spacing w:val="-10"/>
        </w:rPr>
        <w:t xml:space="preserve"> </w:t>
      </w:r>
      <w:r w:rsidRPr="00DC6625">
        <w:rPr>
          <w:rFonts w:ascii="Calibri" w:hAnsi="Calibri" w:cs="Calibri"/>
        </w:rPr>
        <w:t>grants)</w:t>
      </w:r>
    </w:p>
    <w:p w:rsidR="00DC6625" w:rsidRPr="00DC6625" w:rsidRDefault="00DC6625" w:rsidP="00DC6625">
      <w:pPr>
        <w:numPr>
          <w:ilvl w:val="0"/>
          <w:numId w:val="1"/>
        </w:numPr>
        <w:tabs>
          <w:tab w:val="left" w:pos="1084"/>
        </w:tabs>
        <w:kinsoku w:val="0"/>
        <w:overflowPunct w:val="0"/>
        <w:autoSpaceDE w:val="0"/>
        <w:autoSpaceDN w:val="0"/>
        <w:adjustRightInd w:val="0"/>
        <w:spacing w:after="0" w:line="240" w:lineRule="auto"/>
        <w:rPr>
          <w:rFonts w:ascii="Calibri" w:hAnsi="Calibri" w:cs="Calibri"/>
        </w:rPr>
      </w:pPr>
      <w:r w:rsidRPr="00DC6625">
        <w:rPr>
          <w:rFonts w:ascii="Calibri" w:hAnsi="Calibri" w:cs="Calibri"/>
        </w:rPr>
        <w:t>Meals definition (lunches=1/1, breakfasts=2/1,</w:t>
      </w:r>
      <w:r w:rsidRPr="00DC6625">
        <w:rPr>
          <w:rFonts w:ascii="Calibri" w:hAnsi="Calibri" w:cs="Calibri"/>
          <w:spacing w:val="-3"/>
        </w:rPr>
        <w:t xml:space="preserve"> </w:t>
      </w:r>
      <w:r w:rsidRPr="00DC6625">
        <w:rPr>
          <w:rFonts w:ascii="Calibri" w:hAnsi="Calibri" w:cs="Calibri"/>
        </w:rPr>
        <w:t>snacks=4/1)</w:t>
      </w:r>
    </w:p>
    <w:p w:rsidR="00DC6625" w:rsidRPr="00DC6625" w:rsidRDefault="00DC6625" w:rsidP="00DC6625">
      <w:pPr>
        <w:numPr>
          <w:ilvl w:val="0"/>
          <w:numId w:val="1"/>
        </w:numPr>
        <w:tabs>
          <w:tab w:val="left" w:pos="1084"/>
        </w:tabs>
        <w:kinsoku w:val="0"/>
        <w:overflowPunct w:val="0"/>
        <w:autoSpaceDE w:val="0"/>
        <w:autoSpaceDN w:val="0"/>
        <w:adjustRightInd w:val="0"/>
        <w:spacing w:before="2" w:after="0" w:line="237" w:lineRule="auto"/>
        <w:ind w:right="1079"/>
        <w:rPr>
          <w:rFonts w:ascii="Calibri" w:hAnsi="Calibri" w:cs="Calibri"/>
        </w:rPr>
      </w:pPr>
      <w:r w:rsidRPr="00DC6625">
        <w:rPr>
          <w:rFonts w:ascii="Calibri" w:hAnsi="Calibri" w:cs="Calibri"/>
        </w:rPr>
        <w:t>Providers of center-based programs for children in CACFP &amp; Producers are eligible to apply for Competitive Education</w:t>
      </w:r>
      <w:r w:rsidRPr="00DC6625">
        <w:rPr>
          <w:rFonts w:ascii="Calibri" w:hAnsi="Calibri" w:cs="Calibri"/>
          <w:spacing w:val="-16"/>
        </w:rPr>
        <w:t xml:space="preserve"> </w:t>
      </w:r>
      <w:r w:rsidRPr="00DC6625">
        <w:rPr>
          <w:rFonts w:ascii="Calibri" w:hAnsi="Calibri" w:cs="Calibri"/>
        </w:rPr>
        <w:t>Grants</w:t>
      </w:r>
    </w:p>
    <w:p w:rsidR="00DC6625" w:rsidRPr="00DC6625" w:rsidRDefault="00DC6625" w:rsidP="00DC6625">
      <w:pPr>
        <w:numPr>
          <w:ilvl w:val="0"/>
          <w:numId w:val="1"/>
        </w:numPr>
        <w:tabs>
          <w:tab w:val="left" w:pos="1084"/>
        </w:tabs>
        <w:kinsoku w:val="0"/>
        <w:overflowPunct w:val="0"/>
        <w:autoSpaceDE w:val="0"/>
        <w:autoSpaceDN w:val="0"/>
        <w:adjustRightInd w:val="0"/>
        <w:spacing w:before="2" w:after="0" w:line="240" w:lineRule="auto"/>
        <w:rPr>
          <w:rFonts w:ascii="Calibri" w:hAnsi="Calibri" w:cs="Calibri"/>
        </w:rPr>
      </w:pPr>
      <w:r w:rsidRPr="00DC6625">
        <w:rPr>
          <w:rFonts w:ascii="Calibri" w:hAnsi="Calibri" w:cs="Calibri"/>
        </w:rPr>
        <w:t>Define producers of food produced or processed in this state, including</w:t>
      </w:r>
      <w:r w:rsidRPr="00DC6625">
        <w:rPr>
          <w:rFonts w:ascii="Calibri" w:hAnsi="Calibri" w:cs="Calibri"/>
          <w:spacing w:val="-11"/>
        </w:rPr>
        <w:t xml:space="preserve"> </w:t>
      </w:r>
      <w:r w:rsidRPr="00DC6625">
        <w:rPr>
          <w:rFonts w:ascii="Calibri" w:hAnsi="Calibri" w:cs="Calibri"/>
        </w:rPr>
        <w:t>farmers,</w:t>
      </w:r>
    </w:p>
    <w:p w:rsidR="00DC6625" w:rsidRPr="00DC6625" w:rsidRDefault="00DC6625" w:rsidP="00DC6625">
      <w:pPr>
        <w:kinsoku w:val="0"/>
        <w:overflowPunct w:val="0"/>
        <w:autoSpaceDE w:val="0"/>
        <w:autoSpaceDN w:val="0"/>
        <w:adjustRightInd w:val="0"/>
        <w:spacing w:after="0" w:line="240" w:lineRule="auto"/>
        <w:rPr>
          <w:rFonts w:ascii="Times New Roman" w:hAnsi="Times New Roman" w:cs="Times New Roman"/>
        </w:rPr>
      </w:pPr>
      <w:r w:rsidRPr="00DC6625">
        <w:rPr>
          <w:rFonts w:ascii="Times New Roman" w:hAnsi="Times New Roman" w:cs="Times New Roman"/>
          <w:u w:val="single" w:color="000000"/>
        </w:rPr>
        <w:t xml:space="preserve"> </w:t>
      </w:r>
      <w:r w:rsidRPr="00DC6625">
        <w:rPr>
          <w:rFonts w:ascii="Calibri" w:hAnsi="Calibri" w:cs="Calibri"/>
          <w:u w:val="single" w:color="000000"/>
        </w:rPr>
        <w:t>ranchers and seafood harvesters.</w:t>
      </w:r>
    </w:p>
    <w:p w:rsidR="00DC6625" w:rsidRDefault="00DC6625" w:rsidP="00DC6625"/>
    <w:p w:rsidR="00DC6625" w:rsidRPr="00DC6625" w:rsidRDefault="00DC6625" w:rsidP="00DC6625">
      <w:pPr>
        <w:kinsoku w:val="0"/>
        <w:overflowPunct w:val="0"/>
        <w:autoSpaceDE w:val="0"/>
        <w:autoSpaceDN w:val="0"/>
        <w:adjustRightInd w:val="0"/>
        <w:spacing w:after="0" w:line="240" w:lineRule="auto"/>
        <w:rPr>
          <w:rFonts w:ascii="Times New Roman" w:hAnsi="Times New Roman" w:cs="Times New Roman"/>
          <w:color w:val="0000FF"/>
        </w:rPr>
      </w:pPr>
      <w:r w:rsidRPr="00DC6625">
        <w:rPr>
          <w:rFonts w:ascii="Calibri" w:hAnsi="Calibri" w:cs="Calibri"/>
          <w:b/>
          <w:bCs/>
          <w:color w:val="0000FF"/>
          <w:u w:val="single" w:color="000000"/>
        </w:rPr>
        <w:t>Q &amp; A: Definition of Terms</w:t>
      </w:r>
    </w:p>
    <w:p w:rsidR="00DC6625" w:rsidRDefault="00DC6625" w:rsidP="00DC6625"/>
    <w:p w:rsidR="00DC6625" w:rsidRPr="00DC6625" w:rsidRDefault="00DC6625" w:rsidP="00DC6625">
      <w:pPr>
        <w:kinsoku w:val="0"/>
        <w:overflowPunct w:val="0"/>
        <w:autoSpaceDE w:val="0"/>
        <w:autoSpaceDN w:val="0"/>
        <w:adjustRightInd w:val="0"/>
        <w:spacing w:after="0" w:line="240" w:lineRule="auto"/>
        <w:ind w:left="39"/>
        <w:rPr>
          <w:rFonts w:ascii="Calibri" w:hAnsi="Calibri" w:cs="Calibri"/>
          <w:b/>
          <w:bCs/>
          <w:color w:val="0000FF"/>
        </w:rPr>
      </w:pPr>
      <w:r w:rsidRPr="00DC6625">
        <w:rPr>
          <w:rFonts w:ascii="Calibri" w:hAnsi="Calibri" w:cs="Calibri"/>
          <w:b/>
          <w:bCs/>
          <w:color w:val="0000FF"/>
        </w:rPr>
        <w:t>Noncompetitive Procurement Grant Rules</w:t>
      </w:r>
    </w:p>
    <w:p w:rsidR="00DC6625" w:rsidRPr="00DC6625" w:rsidRDefault="00DC6625" w:rsidP="00DC6625">
      <w:pPr>
        <w:kinsoku w:val="0"/>
        <w:overflowPunct w:val="0"/>
        <w:autoSpaceDE w:val="0"/>
        <w:autoSpaceDN w:val="0"/>
        <w:adjustRightInd w:val="0"/>
        <w:spacing w:after="0" w:line="240" w:lineRule="auto"/>
        <w:rPr>
          <w:rFonts w:ascii="Times New Roman" w:hAnsi="Times New Roman" w:cs="Times New Roman"/>
          <w:color w:val="0D0D0D"/>
        </w:rPr>
      </w:pPr>
      <w:r w:rsidRPr="00DC6625">
        <w:rPr>
          <w:rFonts w:ascii="Times New Roman" w:hAnsi="Times New Roman" w:cs="Times New Roman"/>
          <w:color w:val="0D0D0D"/>
          <w:u w:val="single" w:color="000000"/>
        </w:rPr>
        <w:t xml:space="preserve"> </w:t>
      </w:r>
      <w:r w:rsidRPr="00DC6625">
        <w:rPr>
          <w:rFonts w:ascii="Symbol" w:hAnsi="Symbol" w:cs="Symbol"/>
          <w:color w:val="0D0D0D"/>
          <w:u w:val="single" w:color="000000"/>
        </w:rPr>
        <w:t></w:t>
      </w:r>
      <w:r w:rsidRPr="00DC6625">
        <w:rPr>
          <w:rFonts w:ascii="Times New Roman" w:hAnsi="Times New Roman" w:cs="Times New Roman"/>
          <w:color w:val="0D0D0D"/>
          <w:u w:val="single" w:color="000000"/>
        </w:rPr>
        <w:t xml:space="preserve"> </w:t>
      </w:r>
      <w:r w:rsidRPr="00DC6625">
        <w:rPr>
          <w:rFonts w:ascii="Calibri" w:hAnsi="Calibri" w:cs="Calibri"/>
          <w:color w:val="0D0D0D"/>
          <w:u w:val="single" w:color="000000"/>
        </w:rPr>
        <w:t>Added CACFP (providers of center-base programs), SFSP – 1(3)(a)</w:t>
      </w:r>
    </w:p>
    <w:p w:rsidR="00DC6625" w:rsidRPr="00DC6625" w:rsidRDefault="00DC6625" w:rsidP="00DC6625">
      <w:pPr>
        <w:kinsoku w:val="0"/>
        <w:overflowPunct w:val="0"/>
        <w:autoSpaceDE w:val="0"/>
        <w:autoSpaceDN w:val="0"/>
        <w:adjustRightInd w:val="0"/>
        <w:spacing w:before="57" w:after="0" w:line="240" w:lineRule="auto"/>
        <w:ind w:right="116"/>
        <w:jc w:val="right"/>
        <w:rPr>
          <w:rFonts w:ascii="Calibri" w:hAnsi="Calibri" w:cs="Calibri"/>
        </w:rPr>
      </w:pPr>
      <w:r w:rsidRPr="00DC6625">
        <w:rPr>
          <w:rFonts w:ascii="Calibri" w:hAnsi="Calibri" w:cs="Calibri"/>
        </w:rPr>
        <w:t>1</w:t>
      </w:r>
    </w:p>
    <w:p w:rsidR="00DC6625" w:rsidRPr="00DC6625" w:rsidRDefault="00DC6625" w:rsidP="00DC6625">
      <w:pPr>
        <w:kinsoku w:val="0"/>
        <w:overflowPunct w:val="0"/>
        <w:autoSpaceDE w:val="0"/>
        <w:autoSpaceDN w:val="0"/>
        <w:adjustRightInd w:val="0"/>
        <w:spacing w:before="57" w:after="0" w:line="240" w:lineRule="auto"/>
        <w:ind w:right="116"/>
        <w:jc w:val="right"/>
        <w:rPr>
          <w:rFonts w:ascii="Calibri" w:hAnsi="Calibri" w:cs="Calibri"/>
        </w:rPr>
      </w:pPr>
    </w:p>
    <w:p w:rsidR="00DC6625" w:rsidRPr="00DC6625" w:rsidRDefault="00DC6625" w:rsidP="00DC6625">
      <w:pPr>
        <w:kinsoku w:val="0"/>
        <w:overflowPunct w:val="0"/>
        <w:autoSpaceDE w:val="0"/>
        <w:autoSpaceDN w:val="0"/>
        <w:adjustRightInd w:val="0"/>
        <w:spacing w:after="0" w:line="240" w:lineRule="auto"/>
        <w:rPr>
          <w:rFonts w:ascii="Times New Roman" w:hAnsi="Times New Roman" w:cs="Times New Roman"/>
          <w:color w:val="0000FF"/>
        </w:rPr>
      </w:pPr>
      <w:r w:rsidRPr="00DC6625">
        <w:rPr>
          <w:rFonts w:ascii="Calibri" w:hAnsi="Calibri" w:cs="Calibri"/>
          <w:b/>
          <w:bCs/>
          <w:color w:val="0000FF"/>
          <w:u w:val="single" w:color="000000"/>
        </w:rPr>
        <w:t>Q &amp; A: Noncompetitive Procurement Grant</w:t>
      </w:r>
    </w:p>
    <w:p w:rsidR="00DC6625" w:rsidRDefault="00DC6625" w:rsidP="00DC6625"/>
    <w:p w:rsidR="00337C36" w:rsidRDefault="00337C36" w:rsidP="00337C36"/>
    <w:p w:rsidR="00337C36" w:rsidRPr="00337C36" w:rsidRDefault="00337C36" w:rsidP="00337C36">
      <w:pPr>
        <w:kinsoku w:val="0"/>
        <w:overflowPunct w:val="0"/>
        <w:autoSpaceDE w:val="0"/>
        <w:autoSpaceDN w:val="0"/>
        <w:adjustRightInd w:val="0"/>
        <w:spacing w:after="0" w:line="240" w:lineRule="auto"/>
        <w:rPr>
          <w:rFonts w:ascii="Calibri" w:hAnsi="Calibri" w:cs="Calibri"/>
          <w:b/>
          <w:bCs/>
          <w:color w:val="0000FF"/>
          <w:u w:val="single" w:color="000000"/>
        </w:rPr>
      </w:pPr>
      <w:r w:rsidRPr="00337C36">
        <w:rPr>
          <w:rFonts w:ascii="Calibri" w:hAnsi="Calibri" w:cs="Calibri"/>
          <w:b/>
          <w:bCs/>
          <w:color w:val="0000FF"/>
          <w:u w:val="single" w:color="000000"/>
        </w:rPr>
        <w:t>Competitive Procurement Grant Rules</w:t>
      </w:r>
    </w:p>
    <w:p w:rsidR="00337C36" w:rsidRDefault="00337C36" w:rsidP="00337C36">
      <w:pPr>
        <w:spacing w:after="0"/>
        <w:contextualSpacing/>
      </w:pPr>
      <w:r>
        <w:t>•     Added CACFP (providers of center-based programs), SFSP - 1(4)</w:t>
      </w:r>
    </w:p>
    <w:p w:rsidR="00337C36" w:rsidRDefault="00337C36" w:rsidP="00337C36">
      <w:pPr>
        <w:spacing w:after="0"/>
        <w:contextualSpacing/>
      </w:pPr>
      <w:r>
        <w:t xml:space="preserve">•     Section 1(2)(b) creates a new competitive grant to encourage and sustain efforts to purchase </w:t>
      </w:r>
    </w:p>
    <w:p w:rsidR="00337C36" w:rsidRDefault="00337C36" w:rsidP="00337C36">
      <w:pPr>
        <w:spacing w:after="0"/>
        <w:contextualSpacing/>
      </w:pPr>
      <w:r>
        <w:t>or promote Oregon-produced or -processed foods.</w:t>
      </w:r>
    </w:p>
    <w:p w:rsidR="00337C36" w:rsidRDefault="00337C36" w:rsidP="00337C36">
      <w:pPr>
        <w:spacing w:after="0"/>
        <w:contextualSpacing/>
      </w:pPr>
      <w:r>
        <w:t xml:space="preserve">-      Suggested* limitation up to 20% of total procurement funds can be used for costs such as </w:t>
      </w:r>
    </w:p>
    <w:p w:rsidR="00337C36" w:rsidRDefault="00337C36" w:rsidP="00337C36">
      <w:pPr>
        <w:spacing w:after="0"/>
        <w:contextualSpacing/>
      </w:pPr>
      <w:r>
        <w:t xml:space="preserve">labor, research, sourcing, mileage for travel, small kitchen appliances/equipment, as well as </w:t>
      </w:r>
    </w:p>
    <w:p w:rsidR="00337C36" w:rsidRDefault="00337C36" w:rsidP="00337C36">
      <w:pPr>
        <w:spacing w:after="0"/>
        <w:contextualSpacing/>
      </w:pPr>
      <w:r>
        <w:t>education and promotion activities of Oregon foods eligible for procurement reimbursements</w:t>
      </w:r>
    </w:p>
    <w:p w:rsidR="00337C36" w:rsidRDefault="00337C36" w:rsidP="00337C36">
      <w:pPr>
        <w:spacing w:after="0"/>
        <w:contextualSpacing/>
      </w:pPr>
      <w:r>
        <w:t xml:space="preserve">•     Define competitive process to encourage and sustain successful efforts to purchase or promote </w:t>
      </w:r>
    </w:p>
    <w:p w:rsidR="00337C36" w:rsidRDefault="00337C36" w:rsidP="00337C36">
      <w:pPr>
        <w:spacing w:after="0"/>
        <w:contextualSpacing/>
      </w:pPr>
      <w:r>
        <w:t>food produced or processed in the state</w:t>
      </w:r>
    </w:p>
    <w:p w:rsidR="00337C36" w:rsidRDefault="00337C36" w:rsidP="00337C36">
      <w:pPr>
        <w:spacing w:after="0"/>
        <w:contextualSpacing/>
      </w:pPr>
      <w:r>
        <w:t>•     Eligibility criteria:</w:t>
      </w:r>
    </w:p>
    <w:p w:rsidR="00337C36" w:rsidRDefault="00337C36" w:rsidP="00337C36">
      <w:pPr>
        <w:spacing w:after="0"/>
        <w:contextualSpacing/>
      </w:pPr>
      <w:r>
        <w:t>-      Suggested* mandatory participation in Noncompetitive Procurement Grant</w:t>
      </w:r>
    </w:p>
    <w:p w:rsidR="00337C36" w:rsidRDefault="00337C36" w:rsidP="00337C36">
      <w:pPr>
        <w:spacing w:after="0"/>
        <w:contextualSpacing/>
      </w:pPr>
      <w:r>
        <w:t xml:space="preserve">-      Suggested* history of excellent performance in Noncompetitive Procurement Grant (criteria: </w:t>
      </w:r>
    </w:p>
    <w:p w:rsidR="00337C36" w:rsidRDefault="00337C36" w:rsidP="00337C36">
      <w:pPr>
        <w:spacing w:after="0"/>
        <w:contextualSpacing/>
      </w:pPr>
      <w:r>
        <w:t xml:space="preserve">past participation in program, diverse purchases from multiple vendors, and meets reporting </w:t>
      </w:r>
    </w:p>
    <w:p w:rsidR="00337C36" w:rsidRDefault="00337C36" w:rsidP="00337C36">
      <w:pPr>
        <w:spacing w:after="0"/>
        <w:contextualSpacing/>
      </w:pPr>
      <w:r>
        <w:t>requirements)</w:t>
      </w:r>
    </w:p>
    <w:p w:rsidR="00337C36" w:rsidRDefault="00337C36" w:rsidP="00337C36">
      <w:pPr>
        <w:spacing w:after="0"/>
        <w:contextualSpacing/>
      </w:pPr>
      <w:r>
        <w:t xml:space="preserve">-      Suggested* demonstrated plan to source directly from producers and processors in entity’s </w:t>
      </w:r>
    </w:p>
    <w:p w:rsidR="00337C36" w:rsidRDefault="00337C36" w:rsidP="00337C36">
      <w:pPr>
        <w:spacing w:after="0"/>
        <w:contextualSpacing/>
      </w:pPr>
      <w:r>
        <w:t>region</w:t>
      </w:r>
    </w:p>
    <w:p w:rsidR="00337C36" w:rsidRDefault="00337C36" w:rsidP="00337C36">
      <w:pPr>
        <w:spacing w:after="0"/>
        <w:contextualSpacing/>
      </w:pPr>
      <w:r>
        <w:t>-      Suggested* engagement with regional producers to promote products in meal programs</w:t>
      </w:r>
    </w:p>
    <w:p w:rsidR="00337C36" w:rsidRDefault="00337C36" w:rsidP="00337C36">
      <w:pPr>
        <w:spacing w:after="0"/>
        <w:contextualSpacing/>
      </w:pPr>
      <w:r>
        <w:t>-      Suggested* required record keeping tool for tracking all Oregon purchases</w:t>
      </w:r>
    </w:p>
    <w:p w:rsidR="00337C36" w:rsidRDefault="00337C36" w:rsidP="00337C36">
      <w:pPr>
        <w:spacing w:after="0"/>
        <w:contextualSpacing/>
      </w:pPr>
      <w:r>
        <w:t>-      Suggested* matching requirement of %/amount Oregon purchases</w:t>
      </w:r>
    </w:p>
    <w:p w:rsidR="00DC6625" w:rsidRDefault="00DC6625" w:rsidP="00337C36">
      <w:pPr>
        <w:spacing w:after="0"/>
        <w:contextualSpacing/>
      </w:pPr>
    </w:p>
    <w:p w:rsidR="00337C36" w:rsidRPr="00337C36" w:rsidRDefault="00337C36" w:rsidP="00337C36">
      <w:pPr>
        <w:kinsoku w:val="0"/>
        <w:overflowPunct w:val="0"/>
        <w:autoSpaceDE w:val="0"/>
        <w:autoSpaceDN w:val="0"/>
        <w:adjustRightInd w:val="0"/>
        <w:spacing w:after="0" w:line="240" w:lineRule="auto"/>
        <w:rPr>
          <w:rFonts w:ascii="Times New Roman" w:hAnsi="Times New Roman" w:cs="Times New Roman"/>
          <w:color w:val="0000FF"/>
        </w:rPr>
      </w:pPr>
      <w:r w:rsidRPr="00337C36">
        <w:rPr>
          <w:rFonts w:ascii="Calibri" w:hAnsi="Calibri" w:cs="Calibri"/>
          <w:b/>
          <w:bCs/>
          <w:color w:val="0000FF"/>
          <w:u w:val="single" w:color="000000"/>
        </w:rPr>
        <w:t>Q &amp; A: Competitive Procurement Grant</w:t>
      </w:r>
    </w:p>
    <w:p w:rsidR="00337C36" w:rsidRDefault="00337C36" w:rsidP="00337C36">
      <w:pPr>
        <w:spacing w:after="0"/>
        <w:contextualSpacing/>
      </w:pPr>
    </w:p>
    <w:p w:rsidR="00337C36" w:rsidRDefault="00337C36" w:rsidP="00337C36">
      <w:pPr>
        <w:spacing w:after="0"/>
        <w:contextualSpacing/>
      </w:pPr>
      <w:r w:rsidRPr="00337C36">
        <w:rPr>
          <w:rFonts w:ascii="Calibri" w:hAnsi="Calibri" w:cs="Calibri"/>
          <w:b/>
          <w:bCs/>
          <w:color w:val="0000FF"/>
          <w:u w:val="single" w:color="000000"/>
        </w:rPr>
        <w:t>Competitive EducationGrant Rules</w:t>
      </w:r>
      <w:r w:rsidRPr="00337C36">
        <w:t xml:space="preserve"> </w:t>
      </w:r>
    </w:p>
    <w:p w:rsidR="00337C36" w:rsidRDefault="00337C36" w:rsidP="00337C36">
      <w:pPr>
        <w:kinsoku w:val="0"/>
        <w:overflowPunct w:val="0"/>
        <w:autoSpaceDE w:val="0"/>
        <w:autoSpaceDN w:val="0"/>
        <w:adjustRightInd w:val="0"/>
        <w:spacing w:after="0" w:line="240" w:lineRule="auto"/>
        <w:ind w:left="39"/>
        <w:rPr>
          <w:rFonts w:ascii="Calibri" w:hAnsi="Calibri" w:cs="Calibri"/>
          <w:color w:val="0D0D0D"/>
        </w:rPr>
      </w:pPr>
    </w:p>
    <w:p w:rsidR="00337C36" w:rsidRPr="00337C36" w:rsidRDefault="00337C36" w:rsidP="00337C36">
      <w:pPr>
        <w:pStyle w:val="ListParagraph"/>
        <w:numPr>
          <w:ilvl w:val="0"/>
          <w:numId w:val="3"/>
        </w:numPr>
        <w:kinsoku w:val="0"/>
        <w:overflowPunct w:val="0"/>
        <w:rPr>
          <w:color w:val="0D0D0D"/>
        </w:rPr>
      </w:pPr>
      <w:r w:rsidRPr="00337C36">
        <w:rPr>
          <w:color w:val="0D0D0D"/>
        </w:rPr>
        <w:t>Eligible entities to include CACFP providers and producers (1)5(F)(I)</w:t>
      </w:r>
    </w:p>
    <w:p w:rsidR="00337C36" w:rsidRPr="00337C36" w:rsidRDefault="00337C36" w:rsidP="00337C36">
      <w:pPr>
        <w:kinsoku w:val="0"/>
        <w:overflowPunct w:val="0"/>
        <w:autoSpaceDE w:val="0"/>
        <w:autoSpaceDN w:val="0"/>
        <w:adjustRightInd w:val="0"/>
        <w:spacing w:after="0" w:line="240" w:lineRule="auto"/>
        <w:ind w:left="39"/>
        <w:rPr>
          <w:rFonts w:ascii="Calibri" w:hAnsi="Calibri" w:cs="Calibri"/>
        </w:rPr>
      </w:pPr>
      <w:r w:rsidRPr="00337C36">
        <w:rPr>
          <w:rFonts w:ascii="Symbol" w:hAnsi="Symbol" w:cs="Symbol"/>
          <w:color w:val="0D0D0D"/>
        </w:rPr>
        <w:t></w:t>
      </w:r>
      <w:r>
        <w:rPr>
          <w:rFonts w:ascii="Symbol" w:hAnsi="Symbol" w:cs="Symbol"/>
          <w:color w:val="0D0D0D"/>
        </w:rPr>
        <w:t></w:t>
      </w:r>
      <w:r>
        <w:rPr>
          <w:rFonts w:ascii="Symbol" w:hAnsi="Symbol" w:cs="Symbol"/>
          <w:color w:val="0D0D0D"/>
        </w:rPr>
        <w:t></w:t>
      </w:r>
      <w:r>
        <w:rPr>
          <w:rFonts w:ascii="Symbol" w:hAnsi="Symbol" w:cs="Symbol"/>
          <w:color w:val="0D0D0D"/>
        </w:rPr>
        <w:t></w:t>
      </w:r>
      <w:r w:rsidRPr="00337C36">
        <w:rPr>
          <w:rFonts w:ascii="Calibri" w:hAnsi="Calibri" w:cs="Calibri"/>
        </w:rPr>
        <w:t xml:space="preserve">Section (1)5(a) Based on a competitive process, the department shall provide grants to assist in paying the costs incurred to </w:t>
      </w:r>
      <w:r w:rsidRPr="00337C36">
        <w:rPr>
          <w:rFonts w:ascii="Calibri" w:hAnsi="Calibri" w:cs="Calibri"/>
          <w:b/>
          <w:bCs/>
        </w:rPr>
        <w:t xml:space="preserve">coordinate and implement </w:t>
      </w:r>
      <w:r w:rsidRPr="00337C36">
        <w:rPr>
          <w:rFonts w:ascii="Calibri" w:hAnsi="Calibri" w:cs="Calibri"/>
        </w:rPr>
        <w:t>food based, agriculture based, or garden based educational activities in the school district.</w:t>
      </w:r>
    </w:p>
    <w:p w:rsidR="00337C36" w:rsidRDefault="00337C36" w:rsidP="00337C36">
      <w:pPr>
        <w:tabs>
          <w:tab w:val="left" w:pos="1444"/>
        </w:tabs>
        <w:kinsoku w:val="0"/>
        <w:overflowPunct w:val="0"/>
        <w:autoSpaceDE w:val="0"/>
        <w:autoSpaceDN w:val="0"/>
        <w:adjustRightInd w:val="0"/>
        <w:spacing w:after="0" w:line="240" w:lineRule="auto"/>
        <w:ind w:right="574"/>
      </w:pPr>
      <w:r w:rsidRPr="00337C36">
        <w:t>-</w:t>
      </w:r>
      <w:r>
        <w:t xml:space="preserve">      </w:t>
      </w:r>
      <w:r w:rsidRPr="00337C36">
        <w:t xml:space="preserve">Suggested* Coordination includes, but is not limited to, researching, writing and preparing </w:t>
      </w:r>
      <w:r>
        <w:t xml:space="preserve">    </w:t>
      </w:r>
    </w:p>
    <w:p w:rsidR="00337C36" w:rsidRPr="00337C36" w:rsidRDefault="00337C36" w:rsidP="00337C36">
      <w:pPr>
        <w:tabs>
          <w:tab w:val="left" w:pos="1444"/>
        </w:tabs>
        <w:kinsoku w:val="0"/>
        <w:overflowPunct w:val="0"/>
        <w:autoSpaceDE w:val="0"/>
        <w:autoSpaceDN w:val="0"/>
        <w:adjustRightInd w:val="0"/>
        <w:spacing w:after="0" w:line="240" w:lineRule="auto"/>
        <w:ind w:right="574"/>
      </w:pPr>
      <w:r>
        <w:t xml:space="preserve">        </w:t>
      </w:r>
      <w:r w:rsidRPr="00337C36">
        <w:t>lesson plans, gathering materials and general administration.</w:t>
      </w:r>
    </w:p>
    <w:p w:rsidR="00337C36" w:rsidRDefault="00337C36" w:rsidP="00337C36">
      <w:pPr>
        <w:tabs>
          <w:tab w:val="left" w:pos="1444"/>
        </w:tabs>
        <w:kinsoku w:val="0"/>
        <w:overflowPunct w:val="0"/>
        <w:autoSpaceDE w:val="0"/>
        <w:autoSpaceDN w:val="0"/>
        <w:adjustRightInd w:val="0"/>
        <w:spacing w:after="0" w:line="240" w:lineRule="auto"/>
        <w:ind w:right="1195"/>
      </w:pPr>
      <w:r w:rsidRPr="00337C36">
        <w:t>-</w:t>
      </w:r>
      <w:r>
        <w:t xml:space="preserve">      </w:t>
      </w:r>
      <w:r w:rsidRPr="00337C36">
        <w:t xml:space="preserve">Suggested* Implementation includes, but is not limited to, delivering educational </w:t>
      </w:r>
    </w:p>
    <w:p w:rsidR="00337C36" w:rsidRPr="00337C36" w:rsidRDefault="00337C36" w:rsidP="00337C36">
      <w:pPr>
        <w:tabs>
          <w:tab w:val="left" w:pos="1444"/>
        </w:tabs>
        <w:kinsoku w:val="0"/>
        <w:overflowPunct w:val="0"/>
        <w:autoSpaceDE w:val="0"/>
        <w:autoSpaceDN w:val="0"/>
        <w:adjustRightInd w:val="0"/>
        <w:spacing w:after="0" w:line="240" w:lineRule="auto"/>
        <w:ind w:right="1195"/>
      </w:pPr>
      <w:r>
        <w:t xml:space="preserve">         </w:t>
      </w:r>
      <w:r w:rsidRPr="00337C36">
        <w:t>activities, cost of supplies and materials.</w:t>
      </w:r>
    </w:p>
    <w:p w:rsidR="00337C36" w:rsidRDefault="00337C36" w:rsidP="00337C36">
      <w:pPr>
        <w:tabs>
          <w:tab w:val="left" w:pos="1443"/>
        </w:tabs>
        <w:kinsoku w:val="0"/>
        <w:overflowPunct w:val="0"/>
        <w:autoSpaceDE w:val="0"/>
        <w:autoSpaceDN w:val="0"/>
        <w:adjustRightInd w:val="0"/>
        <w:spacing w:after="0" w:line="240" w:lineRule="auto"/>
      </w:pPr>
      <w:r w:rsidRPr="00337C36">
        <w:t>-</w:t>
      </w:r>
      <w:r>
        <w:t xml:space="preserve">     </w:t>
      </w:r>
      <w:r w:rsidRPr="00337C36">
        <w:t>Suggested* No more than 20% of total grant award may be billed to</w:t>
      </w:r>
    </w:p>
    <w:p w:rsidR="00337C36" w:rsidRPr="00337C36" w:rsidRDefault="00337C36" w:rsidP="00337C36">
      <w:pPr>
        <w:tabs>
          <w:tab w:val="left" w:pos="1443"/>
        </w:tabs>
        <w:kinsoku w:val="0"/>
        <w:overflowPunct w:val="0"/>
        <w:autoSpaceDE w:val="0"/>
        <w:autoSpaceDN w:val="0"/>
        <w:adjustRightInd w:val="0"/>
        <w:spacing w:after="0" w:line="240" w:lineRule="auto"/>
      </w:pPr>
      <w:r>
        <w:t xml:space="preserve">        </w:t>
      </w:r>
      <w:r w:rsidRPr="00337C36">
        <w:t xml:space="preserve"> coordination and implementation costs</w:t>
      </w:r>
    </w:p>
    <w:p w:rsidR="00337C36" w:rsidRDefault="00337C36" w:rsidP="00337C36">
      <w:pPr>
        <w:spacing w:after="0"/>
        <w:contextualSpacing/>
      </w:pPr>
    </w:p>
    <w:sectPr w:rsidR="0033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NFLB+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83" w:hanging="360"/>
      </w:pPr>
      <w:rPr>
        <w:rFonts w:ascii="Symbol" w:hAnsi="Symbol" w:cs="Symbol"/>
        <w:b w:val="0"/>
        <w:bCs w:val="0"/>
        <w:w w:val="100"/>
        <w:sz w:val="22"/>
        <w:szCs w:val="22"/>
      </w:rPr>
    </w:lvl>
    <w:lvl w:ilvl="1">
      <w:numFmt w:val="bullet"/>
      <w:lvlText w:val="•"/>
      <w:lvlJc w:val="left"/>
      <w:pPr>
        <w:ind w:left="1852" w:hanging="360"/>
      </w:pPr>
    </w:lvl>
    <w:lvl w:ilvl="2">
      <w:numFmt w:val="bullet"/>
      <w:lvlText w:val="•"/>
      <w:lvlJc w:val="left"/>
      <w:pPr>
        <w:ind w:left="2624" w:hanging="360"/>
      </w:pPr>
    </w:lvl>
    <w:lvl w:ilvl="3">
      <w:numFmt w:val="bullet"/>
      <w:lvlText w:val="•"/>
      <w:lvlJc w:val="left"/>
      <w:pPr>
        <w:ind w:left="3396" w:hanging="360"/>
      </w:pPr>
    </w:lvl>
    <w:lvl w:ilvl="4">
      <w:numFmt w:val="bullet"/>
      <w:lvlText w:val="•"/>
      <w:lvlJc w:val="left"/>
      <w:pPr>
        <w:ind w:left="4168" w:hanging="360"/>
      </w:pPr>
    </w:lvl>
    <w:lvl w:ilvl="5">
      <w:numFmt w:val="bullet"/>
      <w:lvlText w:val="•"/>
      <w:lvlJc w:val="left"/>
      <w:pPr>
        <w:ind w:left="4940" w:hanging="360"/>
      </w:pPr>
    </w:lvl>
    <w:lvl w:ilvl="6">
      <w:numFmt w:val="bullet"/>
      <w:lvlText w:val="•"/>
      <w:lvlJc w:val="left"/>
      <w:pPr>
        <w:ind w:left="5712" w:hanging="360"/>
      </w:pPr>
    </w:lvl>
    <w:lvl w:ilvl="7">
      <w:numFmt w:val="bullet"/>
      <w:lvlText w:val="•"/>
      <w:lvlJc w:val="left"/>
      <w:pPr>
        <w:ind w:left="6484" w:hanging="360"/>
      </w:pPr>
    </w:lvl>
    <w:lvl w:ilvl="8">
      <w:numFmt w:val="bullet"/>
      <w:lvlText w:val="•"/>
      <w:lvlJc w:val="left"/>
      <w:pPr>
        <w:ind w:left="7256" w:hanging="360"/>
      </w:pPr>
    </w:lvl>
  </w:abstractNum>
  <w:abstractNum w:abstractNumId="1" w15:restartNumberingAfterBreak="0">
    <w:nsid w:val="6BF15CCB"/>
    <w:multiLevelType w:val="hybridMultilevel"/>
    <w:tmpl w:val="46C69C8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15:restartNumberingAfterBreak="0">
    <w:nsid w:val="709713B0"/>
    <w:multiLevelType w:val="hybridMultilevel"/>
    <w:tmpl w:val="D36A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25"/>
    <w:rsid w:val="00273275"/>
    <w:rsid w:val="00337C36"/>
    <w:rsid w:val="0084749F"/>
    <w:rsid w:val="00DC6625"/>
    <w:rsid w:val="00E17D9B"/>
    <w:rsid w:val="00E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CF9B"/>
  <w15:chartTrackingRefBased/>
  <w15:docId w15:val="{94906E54-F52A-4BB3-8A13-8030F655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625"/>
    <w:pPr>
      <w:autoSpaceDE w:val="0"/>
      <w:autoSpaceDN w:val="0"/>
      <w:adjustRightInd w:val="0"/>
      <w:spacing w:after="0" w:line="240" w:lineRule="auto"/>
    </w:pPr>
    <w:rPr>
      <w:rFonts w:ascii="EFNFLB+Calibri" w:hAnsi="EFNFLB+Calibri" w:cs="EFNFLB+Calibri"/>
      <w:color w:val="000000"/>
      <w:sz w:val="24"/>
      <w:szCs w:val="24"/>
    </w:rPr>
  </w:style>
  <w:style w:type="paragraph" w:customStyle="1" w:styleId="CM2">
    <w:name w:val="CM2"/>
    <w:basedOn w:val="Default"/>
    <w:next w:val="Default"/>
    <w:uiPriority w:val="99"/>
    <w:rsid w:val="00DC6625"/>
    <w:rPr>
      <w:rFonts w:cstheme="minorBidi"/>
      <w:color w:val="auto"/>
    </w:rPr>
  </w:style>
  <w:style w:type="paragraph" w:styleId="BodyText">
    <w:name w:val="Body Text"/>
    <w:basedOn w:val="Normal"/>
    <w:link w:val="BodyTextChar"/>
    <w:uiPriority w:val="1"/>
    <w:qFormat/>
    <w:rsid w:val="00DC6625"/>
    <w:pPr>
      <w:autoSpaceDE w:val="0"/>
      <w:autoSpaceDN w:val="0"/>
      <w:adjustRightInd w:val="0"/>
      <w:spacing w:after="0" w:line="240" w:lineRule="auto"/>
      <w:ind w:left="1083" w:hanging="360"/>
    </w:pPr>
    <w:rPr>
      <w:rFonts w:ascii="Calibri" w:hAnsi="Calibri" w:cs="Calibri"/>
    </w:rPr>
  </w:style>
  <w:style w:type="character" w:customStyle="1" w:styleId="BodyTextChar">
    <w:name w:val="Body Text Char"/>
    <w:basedOn w:val="DefaultParagraphFont"/>
    <w:link w:val="BodyText"/>
    <w:uiPriority w:val="1"/>
    <w:rsid w:val="00DC6625"/>
    <w:rPr>
      <w:rFonts w:ascii="Calibri" w:hAnsi="Calibri" w:cs="Calibri"/>
    </w:rPr>
  </w:style>
  <w:style w:type="paragraph" w:styleId="ListParagraph">
    <w:name w:val="List Paragraph"/>
    <w:basedOn w:val="Normal"/>
    <w:uiPriority w:val="1"/>
    <w:qFormat/>
    <w:rsid w:val="00DC6625"/>
    <w:pPr>
      <w:autoSpaceDE w:val="0"/>
      <w:autoSpaceDN w:val="0"/>
      <w:adjustRightInd w:val="0"/>
      <w:spacing w:after="0" w:line="240" w:lineRule="auto"/>
      <w:ind w:left="1083" w:hanging="36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2019-09-09T07:00:00+00:00</Remediation_x0020_Date>
    <Priority xmlns="ce0cad35-8474-4653-8db1-733794c99845">New</Priority>
  </documentManagement>
</p:properties>
</file>

<file path=customXml/itemProps1.xml><?xml version="1.0" encoding="utf-8"?>
<ds:datastoreItem xmlns:ds="http://schemas.openxmlformats.org/officeDocument/2006/customXml" ds:itemID="{51A07EC7-6865-446D-9E3D-8AA61ABFED2E}"/>
</file>

<file path=customXml/itemProps2.xml><?xml version="1.0" encoding="utf-8"?>
<ds:datastoreItem xmlns:ds="http://schemas.openxmlformats.org/officeDocument/2006/customXml" ds:itemID="{91A8D2C9-232B-4BFC-9280-194DB971670C}"/>
</file>

<file path=customXml/itemProps3.xml><?xml version="1.0" encoding="utf-8"?>
<ds:datastoreItem xmlns:ds="http://schemas.openxmlformats.org/officeDocument/2006/customXml" ds:itemID="{FCAEE0E8-2747-4804-A32A-EF19FF0E19C1}"/>
</file>

<file path=docProps/app.xml><?xml version="1.0" encoding="utf-8"?>
<Properties xmlns="http://schemas.openxmlformats.org/officeDocument/2006/extended-properties" xmlns:vt="http://schemas.openxmlformats.org/officeDocument/2006/docPropsVTypes">
  <Template>Normal</Template>
  <TotalTime>17</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agenda for farm to school bill</dc:title>
  <dc:subject/>
  <dc:creator>SHERMAN Rick - ODE</dc:creator>
  <cp:keywords/>
  <dc:description/>
  <cp:lastModifiedBy>SHERMAN Rick - ODE</cp:lastModifiedBy>
  <cp:revision>1</cp:revision>
  <dcterms:created xsi:type="dcterms:W3CDTF">2019-09-09T13:55:00Z</dcterms:created>
  <dcterms:modified xsi:type="dcterms:W3CDTF">2019-09-09T14:12:00Z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