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A7221" w14:textId="152AB6F2" w:rsidR="008064E2" w:rsidRDefault="008064E2" w:rsidP="000F4E86">
      <w:pPr>
        <w:pStyle w:val="Heading1"/>
        <w:rPr>
          <w:rFonts w:asciiTheme="minorHAnsi" w:hAnsiTheme="minorHAnsi" w:cstheme="minorHAnsi"/>
          <w:color w:val="auto"/>
        </w:rPr>
      </w:pPr>
      <w:r w:rsidRPr="000F4E86">
        <w:rPr>
          <w:rFonts w:asciiTheme="minorHAnsi" w:hAnsiTheme="minorHAnsi" w:cstheme="minorHAnsi"/>
          <w:color w:val="auto"/>
        </w:rPr>
        <w:t>Oregon Farm to School Education Grant</w:t>
      </w:r>
      <w:r w:rsidR="00E04E9C">
        <w:rPr>
          <w:rFonts w:asciiTheme="minorHAnsi" w:hAnsiTheme="minorHAnsi" w:cstheme="minorHAnsi"/>
          <w:color w:val="auto"/>
        </w:rPr>
        <w:t xml:space="preserve"> Allowable/</w:t>
      </w:r>
      <w:r w:rsidR="0093673A">
        <w:rPr>
          <w:rFonts w:asciiTheme="minorHAnsi" w:hAnsiTheme="minorHAnsi" w:cstheme="minorHAnsi"/>
          <w:color w:val="auto"/>
        </w:rPr>
        <w:t>Non</w:t>
      </w:r>
      <w:r w:rsidR="00E04E9C">
        <w:rPr>
          <w:rFonts w:asciiTheme="minorHAnsi" w:hAnsiTheme="minorHAnsi" w:cstheme="minorHAnsi"/>
          <w:color w:val="auto"/>
        </w:rPr>
        <w:t>-</w:t>
      </w:r>
      <w:r w:rsidR="0093673A">
        <w:rPr>
          <w:rFonts w:asciiTheme="minorHAnsi" w:hAnsiTheme="minorHAnsi" w:cstheme="minorHAnsi"/>
          <w:color w:val="auto"/>
        </w:rPr>
        <w:t>A</w:t>
      </w:r>
      <w:r w:rsidR="00E04E9C">
        <w:rPr>
          <w:rFonts w:asciiTheme="minorHAnsi" w:hAnsiTheme="minorHAnsi" w:cstheme="minorHAnsi"/>
          <w:color w:val="auto"/>
        </w:rPr>
        <w:t>llowable Purchases and Claim Reimbursement Procedure</w:t>
      </w:r>
    </w:p>
    <w:p w14:paraId="719946E9" w14:textId="77777777" w:rsidR="00E04E9C" w:rsidRPr="00E04E9C" w:rsidRDefault="00E04E9C" w:rsidP="00E04E9C"/>
    <w:p w14:paraId="27BFA38D" w14:textId="77777777" w:rsidR="005074C8" w:rsidRDefault="005074C8" w:rsidP="005074C8">
      <w:pPr>
        <w:rPr>
          <w:rFonts w:ascii="Calibri" w:eastAsia="Calibri" w:hAnsi="Calibri" w:cs="Calibri"/>
          <w:b/>
        </w:rPr>
      </w:pPr>
      <w:r>
        <w:rPr>
          <w:rFonts w:ascii="Calibri" w:eastAsia="Calibri" w:hAnsi="Calibri" w:cs="Calibri"/>
          <w:b/>
        </w:rPr>
        <w:t xml:space="preserve">Allowable Expenses </w:t>
      </w:r>
    </w:p>
    <w:p w14:paraId="7DF216B6" w14:textId="77777777" w:rsidR="005074C8" w:rsidRDefault="005074C8" w:rsidP="005074C8">
      <w:pPr>
        <w:numPr>
          <w:ilvl w:val="0"/>
          <w:numId w:val="3"/>
        </w:numPr>
        <w:pBdr>
          <w:top w:val="nil"/>
          <w:left w:val="nil"/>
          <w:bottom w:val="nil"/>
          <w:right w:val="nil"/>
          <w:between w:val="nil"/>
        </w:pBdr>
        <w:spacing w:after="0"/>
        <w:contextualSpacing/>
      </w:pPr>
      <w:r>
        <w:rPr>
          <w:rFonts w:ascii="Calibri" w:eastAsia="Calibri" w:hAnsi="Calibri" w:cs="Calibri"/>
        </w:rPr>
        <w:t>Labor and benefits for the planning and implementation of agriculture, food and garden-based educational activities, including regular staff, special-event support, or outside experts (to carry out specific grant activities), paid as hourly wages, salaries</w:t>
      </w:r>
      <w:r w:rsidR="006A2E13">
        <w:rPr>
          <w:rFonts w:ascii="Calibri" w:eastAsia="Calibri" w:hAnsi="Calibri" w:cs="Calibri"/>
        </w:rPr>
        <w:t xml:space="preserve">, benefits or contractual costs. </w:t>
      </w:r>
      <w:r>
        <w:rPr>
          <w:rFonts w:ascii="Calibri" w:eastAsia="Calibri" w:hAnsi="Calibri" w:cs="Calibri"/>
        </w:rPr>
        <w:t xml:space="preserve">  </w:t>
      </w:r>
    </w:p>
    <w:p w14:paraId="4B5E30B0" w14:textId="77777777" w:rsidR="005074C8" w:rsidRDefault="005074C8" w:rsidP="005074C8">
      <w:pPr>
        <w:numPr>
          <w:ilvl w:val="0"/>
          <w:numId w:val="3"/>
        </w:numPr>
        <w:pBdr>
          <w:top w:val="nil"/>
          <w:left w:val="nil"/>
          <w:bottom w:val="nil"/>
          <w:right w:val="nil"/>
          <w:between w:val="nil"/>
        </w:pBdr>
        <w:spacing w:after="0"/>
        <w:contextualSpacing/>
      </w:pPr>
      <w:r>
        <w:rPr>
          <w:rFonts w:ascii="Calibri" w:eastAsia="Calibri" w:hAnsi="Calibri" w:cs="Calibri"/>
        </w:rPr>
        <w:t>Materials, equipment and supplies for implementation of agriculture, food and garden-based educational activities, such as seeds, shovels, gloves, soil, compost bin materials, cooking equipment for classroom demonstrations, etc.;</w:t>
      </w:r>
    </w:p>
    <w:p w14:paraId="777EB16B" w14:textId="77777777" w:rsidR="005074C8" w:rsidRDefault="005074C8" w:rsidP="005074C8">
      <w:pPr>
        <w:numPr>
          <w:ilvl w:val="0"/>
          <w:numId w:val="3"/>
        </w:numPr>
        <w:pBdr>
          <w:top w:val="nil"/>
          <w:left w:val="nil"/>
          <w:bottom w:val="nil"/>
          <w:right w:val="nil"/>
          <w:between w:val="nil"/>
        </w:pBdr>
        <w:spacing w:after="0"/>
        <w:contextualSpacing/>
      </w:pPr>
      <w:r>
        <w:rPr>
          <w:rFonts w:ascii="Calibri" w:eastAsia="Calibri" w:hAnsi="Calibri" w:cs="Calibri"/>
        </w:rPr>
        <w:t xml:space="preserve">Travel expenses for field trips to farms, ranches, gardens, docks, food processing facilities, or other sites relevant to food, gardens, and agriculture; </w:t>
      </w:r>
    </w:p>
    <w:p w14:paraId="52693BC6" w14:textId="2248529A" w:rsidR="005074C8" w:rsidRPr="00FF6753" w:rsidRDefault="005074C8" w:rsidP="005074C8">
      <w:pPr>
        <w:numPr>
          <w:ilvl w:val="0"/>
          <w:numId w:val="3"/>
        </w:numPr>
        <w:pBdr>
          <w:top w:val="nil"/>
          <w:left w:val="nil"/>
          <w:bottom w:val="nil"/>
          <w:right w:val="nil"/>
          <w:between w:val="nil"/>
        </w:pBdr>
        <w:spacing w:after="0"/>
        <w:contextualSpacing/>
      </w:pPr>
      <w:r>
        <w:rPr>
          <w:rFonts w:ascii="Calibri" w:eastAsia="Calibri" w:hAnsi="Calibri" w:cs="Calibri"/>
        </w:rPr>
        <w:t>The educational activities described above may include education and outreach to families in addition to students;</w:t>
      </w:r>
    </w:p>
    <w:p w14:paraId="4B95ACC5" w14:textId="270EF302" w:rsidR="00FF6753" w:rsidRDefault="00FF6753" w:rsidP="005074C8">
      <w:pPr>
        <w:numPr>
          <w:ilvl w:val="0"/>
          <w:numId w:val="3"/>
        </w:numPr>
        <w:pBdr>
          <w:top w:val="nil"/>
          <w:left w:val="nil"/>
          <w:bottom w:val="nil"/>
          <w:right w:val="nil"/>
          <w:between w:val="nil"/>
        </w:pBdr>
        <w:spacing w:after="0"/>
        <w:contextualSpacing/>
      </w:pPr>
      <w:r>
        <w:rPr>
          <w:rFonts w:ascii="Calibri" w:eastAsia="Calibri" w:hAnsi="Calibri" w:cs="Calibri"/>
        </w:rPr>
        <w:t>Indirect costs</w:t>
      </w:r>
    </w:p>
    <w:p w14:paraId="474DEEB1" w14:textId="77777777" w:rsidR="005074C8" w:rsidRDefault="005074C8" w:rsidP="00FA6BB5">
      <w:pPr>
        <w:rPr>
          <w:rFonts w:ascii="Calibri" w:eastAsia="Calibri" w:hAnsi="Calibri" w:cs="Calibri"/>
        </w:rPr>
      </w:pPr>
    </w:p>
    <w:p w14:paraId="13CADC70" w14:textId="2369FEBE" w:rsidR="006A2E13" w:rsidRDefault="006A2E13" w:rsidP="00FA6BB5">
      <w:pPr>
        <w:rPr>
          <w:rFonts w:ascii="Calibri" w:eastAsia="Calibri" w:hAnsi="Calibri" w:cs="Calibri"/>
        </w:rPr>
      </w:pPr>
      <w:r>
        <w:rPr>
          <w:rFonts w:ascii="Calibri" w:eastAsia="Calibri" w:hAnsi="Calibri" w:cs="Calibri"/>
        </w:rPr>
        <w:t xml:space="preserve">In addition, travel, staff time and registration for participation in the Oregon Farm to School and School Garden Summit, are allowable expenses, in the planning and development expense category. </w:t>
      </w:r>
      <w:r w:rsidR="00FA6BB5" w:rsidRPr="00FA6BB5">
        <w:rPr>
          <w:rFonts w:ascii="Calibri" w:eastAsia="Calibri" w:hAnsi="Calibri" w:cs="Calibri"/>
          <w:b/>
        </w:rPr>
        <w:t>NOTE</w:t>
      </w:r>
      <w:r w:rsidR="00FA6BB5">
        <w:rPr>
          <w:rFonts w:ascii="Calibri" w:eastAsia="Calibri" w:hAnsi="Calibri" w:cs="Calibri"/>
        </w:rPr>
        <w:t>:  you may have to adjust/revise your budget and resubmit to ODE if your expenses are deviating from the scope of what you initially planned</w:t>
      </w:r>
    </w:p>
    <w:p w14:paraId="687769E2" w14:textId="77777777" w:rsidR="005074C8" w:rsidRDefault="005074C8" w:rsidP="005074C8">
      <w:pPr>
        <w:rPr>
          <w:rFonts w:ascii="Calibri" w:eastAsia="Calibri" w:hAnsi="Calibri" w:cs="Calibri"/>
          <w:b/>
        </w:rPr>
      </w:pPr>
      <w:r>
        <w:rPr>
          <w:rFonts w:ascii="Calibri" w:eastAsia="Calibri" w:hAnsi="Calibri" w:cs="Calibri"/>
          <w:b/>
        </w:rPr>
        <w:t xml:space="preserve">Non-Allowable Expenses </w:t>
      </w:r>
    </w:p>
    <w:p w14:paraId="7525DB55" w14:textId="0161BFDA" w:rsidR="005074C8" w:rsidRDefault="005074C8" w:rsidP="005074C8">
      <w:pPr>
        <w:numPr>
          <w:ilvl w:val="0"/>
          <w:numId w:val="4"/>
        </w:numPr>
        <w:pBdr>
          <w:top w:val="nil"/>
          <w:left w:val="nil"/>
          <w:bottom w:val="nil"/>
          <w:right w:val="nil"/>
          <w:between w:val="nil"/>
        </w:pBdr>
        <w:spacing w:after="0"/>
        <w:contextualSpacing/>
        <w:rPr>
          <w:b/>
        </w:rPr>
      </w:pPr>
      <w:r>
        <w:rPr>
          <w:rFonts w:ascii="Calibri" w:eastAsia="Calibri" w:hAnsi="Calibri" w:cs="Calibri"/>
        </w:rPr>
        <w:t>Capital equipment:  This grant will not cover items that are permanent structures</w:t>
      </w:r>
      <w:r w:rsidR="00FF6753">
        <w:rPr>
          <w:rFonts w:ascii="Calibri" w:eastAsia="Calibri" w:hAnsi="Calibri" w:cs="Calibri"/>
        </w:rPr>
        <w:t xml:space="preserve"> or vehicles</w:t>
      </w:r>
      <w:r>
        <w:rPr>
          <w:rFonts w:ascii="Calibri" w:eastAsia="Calibri" w:hAnsi="Calibri" w:cs="Calibri"/>
        </w:rPr>
        <w:t xml:space="preserve">.  </w:t>
      </w:r>
    </w:p>
    <w:p w14:paraId="485C4915" w14:textId="77777777" w:rsidR="005074C8" w:rsidRDefault="005074C8" w:rsidP="005074C8">
      <w:pPr>
        <w:numPr>
          <w:ilvl w:val="0"/>
          <w:numId w:val="4"/>
        </w:numPr>
        <w:pBdr>
          <w:top w:val="nil"/>
          <w:left w:val="nil"/>
          <w:bottom w:val="nil"/>
          <w:right w:val="nil"/>
          <w:between w:val="nil"/>
        </w:pBdr>
        <w:contextualSpacing/>
      </w:pPr>
      <w:r>
        <w:rPr>
          <w:rFonts w:ascii="Calibri" w:eastAsia="Calibri" w:hAnsi="Calibri" w:cs="Calibri"/>
          <w:b/>
        </w:rPr>
        <w:t>NOTE</w:t>
      </w:r>
      <w:r>
        <w:rPr>
          <w:rFonts w:ascii="Calibri" w:eastAsia="Calibri" w:hAnsi="Calibri" w:cs="Calibri"/>
        </w:rPr>
        <w:t>: Regardless of the type of product or service purchased, all funds must be spent in accordance with federal, state and local procurement statutes and regulations. Products or services must be competitively procured through free and open competition to ensure maximum value returned for funds expended.  Funds not spent in accordance with procurement guidelines will not be reimbursed.</w:t>
      </w:r>
    </w:p>
    <w:p w14:paraId="6700BA0A" w14:textId="77777777" w:rsidR="00FF6753" w:rsidRDefault="00FF6753" w:rsidP="000E3882">
      <w:pPr>
        <w:rPr>
          <w:b/>
        </w:rPr>
      </w:pPr>
    </w:p>
    <w:p w14:paraId="176C988D" w14:textId="6E950C2B" w:rsidR="000E3882" w:rsidRPr="000E3882" w:rsidRDefault="000E3882" w:rsidP="000E3882">
      <w:r w:rsidRPr="000F4E86">
        <w:rPr>
          <w:b/>
        </w:rPr>
        <w:t>At least 80% of your award MUST be directly related to food-; Ag-; or garden-based educational activities</w:t>
      </w:r>
      <w:r w:rsidR="000F4E86">
        <w:t>.  This means programming such as labor for direct lessons to kids can go into this category, as well as supplies that are necessary for these lessons.</w:t>
      </w:r>
      <w:r w:rsidR="00E04E9C">
        <w:t xml:space="preserve">  These items should be placed in the “activities” tab on the excel reimbursement claim worksheet (see reimbursement claim procedure below)</w:t>
      </w:r>
    </w:p>
    <w:p w14:paraId="3C251E9B" w14:textId="766D8917" w:rsidR="000F4E86" w:rsidRDefault="000E3882" w:rsidP="000E3882">
      <w:r w:rsidRPr="000F4E86">
        <w:rPr>
          <w:b/>
        </w:rPr>
        <w:t>The other 20% may be used for other reasonable costs related to administering the program</w:t>
      </w:r>
      <w:r w:rsidR="000F4E86">
        <w:rPr>
          <w:b/>
        </w:rPr>
        <w:t>.</w:t>
      </w:r>
      <w:r w:rsidRPr="000E3882">
        <w:t xml:space="preserve">  </w:t>
      </w:r>
    </w:p>
    <w:p w14:paraId="771401CA" w14:textId="77777777" w:rsidR="004D2326" w:rsidRDefault="00E04E9C" w:rsidP="004D2326">
      <w:r>
        <w:lastRenderedPageBreak/>
        <w:t>Anything NOT directly relating to educational activities must be placed in the “other” tab on the excel reimbursement claim worksheet in the appropriate section</w:t>
      </w:r>
      <w:r w:rsidR="004D2326">
        <w:t xml:space="preserve">, either </w:t>
      </w:r>
      <w:r w:rsidR="004D2326" w:rsidRPr="006114F6">
        <w:rPr>
          <w:u w:val="single"/>
        </w:rPr>
        <w:t>planning &amp; development</w:t>
      </w:r>
      <w:r w:rsidR="004D2326">
        <w:t xml:space="preserve">, or </w:t>
      </w:r>
      <w:r w:rsidR="004D2326" w:rsidRPr="006114F6">
        <w:rPr>
          <w:u w:val="single"/>
        </w:rPr>
        <w:t>administrative expenses</w:t>
      </w:r>
      <w:r>
        <w:t xml:space="preserve">.  </w:t>
      </w:r>
    </w:p>
    <w:p w14:paraId="649A338E" w14:textId="3A5F1F9B" w:rsidR="000F4E86" w:rsidRDefault="000F4E86" w:rsidP="004D2326">
      <w:r w:rsidRPr="00FF6753">
        <w:t xml:space="preserve">Administrative expenses:  </w:t>
      </w:r>
      <w:r w:rsidR="004D2326">
        <w:t xml:space="preserve">  </w:t>
      </w:r>
      <w:r w:rsidRPr="000E3882">
        <w:t xml:space="preserve">You must be specific when describing administrative costs.  </w:t>
      </w:r>
    </w:p>
    <w:p w14:paraId="5007E5B6" w14:textId="6D0E275C" w:rsidR="000E3882" w:rsidRDefault="000F4E86" w:rsidP="000E3882">
      <w:r>
        <w:t>LABOR:</w:t>
      </w:r>
      <w:r w:rsidR="00FF6753">
        <w:t xml:space="preserve">  </w:t>
      </w:r>
      <w:r>
        <w:t>F</w:t>
      </w:r>
      <w:r w:rsidR="000E3882" w:rsidRPr="000E3882">
        <w:t>ull positions</w:t>
      </w:r>
      <w:r>
        <w:t xml:space="preserve"> or FTE</w:t>
      </w:r>
      <w:r w:rsidR="000E3882" w:rsidRPr="000E3882">
        <w:t xml:space="preserve"> cannot be funded; </w:t>
      </w:r>
      <w:r w:rsidRPr="000E3882">
        <w:t xml:space="preserve">however, </w:t>
      </w:r>
      <w:r>
        <w:t>broken</w:t>
      </w:r>
      <w:r w:rsidR="000E3882" w:rsidRPr="000E3882">
        <w:t xml:space="preserve"> out labor expenses can be</w:t>
      </w:r>
      <w:r w:rsidR="00FF6753">
        <w:t xml:space="preserve"> that are justified to the educational activity</w:t>
      </w:r>
      <w:r w:rsidR="000E3882" w:rsidRPr="000E3882">
        <w:t xml:space="preserve">; must be listed as hours x wage rate + benefits.  </w:t>
      </w:r>
      <w:r>
        <w:t xml:space="preserve">  </w:t>
      </w:r>
    </w:p>
    <w:p w14:paraId="5A0452AE" w14:textId="31854935" w:rsidR="000F4E86" w:rsidRDefault="000F4E86" w:rsidP="00003837">
      <w:r>
        <w:tab/>
      </w:r>
      <w:r w:rsidRPr="00003837">
        <w:t xml:space="preserve">Example:  School Garden educator for garden programming:  </w:t>
      </w:r>
    </w:p>
    <w:p w14:paraId="61564E25" w14:textId="6D181EF8" w:rsidR="00FF6753" w:rsidRPr="00FF6753" w:rsidRDefault="00FF6753" w:rsidP="00FF6753">
      <w:pPr>
        <w:spacing w:line="240" w:lineRule="auto"/>
        <w:rPr>
          <w:b/>
          <w:u w:val="single"/>
        </w:rPr>
      </w:pPr>
      <w:r w:rsidRPr="00FF6753">
        <w:rPr>
          <w:b/>
          <w:u w:val="single"/>
        </w:rPr>
        <w:t>Labor</w:t>
      </w:r>
      <w:r w:rsidRPr="00FF6753">
        <w:rPr>
          <w:b/>
          <w:u w:val="single"/>
        </w:rPr>
        <w:tab/>
      </w:r>
      <w:r w:rsidRPr="00FF6753">
        <w:rPr>
          <w:b/>
          <w:u w:val="single"/>
        </w:rPr>
        <w:tab/>
      </w:r>
      <w:r w:rsidRPr="00FF6753">
        <w:rPr>
          <w:b/>
          <w:u w:val="single"/>
        </w:rPr>
        <w:tab/>
        <w:t>Amount</w:t>
      </w:r>
    </w:p>
    <w:p w14:paraId="079F2F0A" w14:textId="1DCB6797" w:rsidR="00FF6753" w:rsidRDefault="00FF6753" w:rsidP="00FF6753">
      <w:pPr>
        <w:spacing w:line="240" w:lineRule="auto"/>
      </w:pPr>
      <w:r>
        <w:t>100 hours x $14/</w:t>
      </w:r>
      <w:proofErr w:type="spellStart"/>
      <w:r>
        <w:t>hr</w:t>
      </w:r>
      <w:proofErr w:type="spellEnd"/>
      <w:r>
        <w:tab/>
        <w:t>$1,400</w:t>
      </w:r>
    </w:p>
    <w:p w14:paraId="1F51E09A" w14:textId="0BBFDCE1" w:rsidR="00FF6753" w:rsidRDefault="00FF6753" w:rsidP="00FF6753">
      <w:pPr>
        <w:spacing w:line="240" w:lineRule="auto"/>
      </w:pPr>
      <w:r>
        <w:t>Benefits</w:t>
      </w:r>
      <w:r w:rsidR="008523C2">
        <w:t xml:space="preserve"> @ 50%</w:t>
      </w:r>
      <w:r>
        <w:tab/>
      </w:r>
      <w:r>
        <w:tab/>
        <w:t>$700</w:t>
      </w:r>
    </w:p>
    <w:p w14:paraId="644B91A6" w14:textId="16A25809" w:rsidR="00FF6753" w:rsidRDefault="00FF6753" w:rsidP="00FF6753">
      <w:pPr>
        <w:spacing w:line="240" w:lineRule="auto"/>
      </w:pPr>
      <w:r>
        <w:t>Total</w:t>
      </w:r>
      <w:r>
        <w:tab/>
      </w:r>
      <w:r>
        <w:tab/>
      </w:r>
      <w:r>
        <w:tab/>
        <w:t>$2,100</w:t>
      </w:r>
    </w:p>
    <w:p w14:paraId="572C871B" w14:textId="77777777" w:rsidR="000F4E86" w:rsidRPr="000E3882" w:rsidRDefault="000F4E86" w:rsidP="000F4E86">
      <w:pPr>
        <w:spacing w:after="0"/>
      </w:pPr>
    </w:p>
    <w:p w14:paraId="05949C82" w14:textId="3B9DD871" w:rsidR="000E3882" w:rsidRDefault="00FF6753">
      <w:r>
        <w:t xml:space="preserve"> ---------------------------------------------------------------------------------------------------------------</w:t>
      </w:r>
    </w:p>
    <w:p w14:paraId="3144D203" w14:textId="77777777" w:rsidR="00023C24" w:rsidRPr="000F4E86" w:rsidRDefault="00023C24" w:rsidP="00FF6753">
      <w:pPr>
        <w:pStyle w:val="Heading1"/>
        <w:rPr>
          <w:rFonts w:asciiTheme="minorHAnsi" w:hAnsiTheme="minorHAnsi" w:cstheme="minorHAnsi"/>
          <w:color w:val="auto"/>
        </w:rPr>
      </w:pPr>
      <w:r>
        <w:rPr>
          <w:rFonts w:asciiTheme="minorHAnsi" w:hAnsiTheme="minorHAnsi" w:cstheme="minorHAnsi"/>
          <w:color w:val="auto"/>
        </w:rPr>
        <w:t>Reimbursement Claim Procedure</w:t>
      </w:r>
      <w:r w:rsidRPr="000F4E86">
        <w:rPr>
          <w:rFonts w:asciiTheme="minorHAnsi" w:hAnsiTheme="minorHAnsi" w:cstheme="minorHAnsi"/>
          <w:color w:val="auto"/>
        </w:rPr>
        <w:t xml:space="preserve"> </w:t>
      </w:r>
    </w:p>
    <w:p w14:paraId="38398C11" w14:textId="77777777" w:rsidR="004D2326" w:rsidRDefault="004D2326"/>
    <w:p w14:paraId="12BF2CE3" w14:textId="7D23E92A" w:rsidR="000E3882" w:rsidRDefault="00023C24">
      <w:r>
        <w:t xml:space="preserve">This grant is a reimbursement program.  ODE will allow grantees to have up to 25% of their award given to them in the form of an advance.  In order to do this, the grantee must request the amount up to 25% of their award in an email to </w:t>
      </w:r>
      <w:hyperlink r:id="rId8" w:history="1">
        <w:r w:rsidR="00D36AF2" w:rsidRPr="00FA72FF">
          <w:rPr>
            <w:rStyle w:val="Hyperlink"/>
          </w:rPr>
          <w:t>farmtocnp@ode.oregon.gov</w:t>
        </w:r>
      </w:hyperlink>
      <w:r>
        <w:t xml:space="preserve">.  Then, the award reverts back to the normal claiming process that will be described below. </w:t>
      </w:r>
    </w:p>
    <w:p w14:paraId="4B29C998" w14:textId="141C61A7" w:rsidR="00023C24" w:rsidRDefault="00023C24">
      <w:r>
        <w:t xml:space="preserve">If the grantee received an advance, the items purchased with those funds must be reviewed by ODE by submitting items purchased on a claim reimbursement excel worksheet, and submitting invoices or receipts to support those purchases to </w:t>
      </w:r>
      <w:hyperlink r:id="rId9" w:history="1">
        <w:r w:rsidR="00D36AF2" w:rsidRPr="00AB2810">
          <w:rPr>
            <w:rStyle w:val="Hyperlink"/>
          </w:rPr>
          <w:t>farmtoCNP@ode.oregon.gov</w:t>
        </w:r>
      </w:hyperlink>
      <w:r w:rsidR="00D36AF2">
        <w:t xml:space="preserve"> </w:t>
      </w:r>
      <w:r>
        <w:t xml:space="preserve">  before further claiming can take place. </w:t>
      </w:r>
      <w:r w:rsidR="0062320B">
        <w:t xml:space="preserve">You could copy and mail the receipts to </w:t>
      </w:r>
      <w:r w:rsidR="00D36AF2">
        <w:t>the Department of Education Child Nutrition Programs at 255 Capitol St NE, Salem OR 97301,</w:t>
      </w:r>
      <w:r w:rsidR="0062320B">
        <w:t xml:space="preserve"> or </w:t>
      </w:r>
      <w:r w:rsidR="00D36AF2">
        <w:t xml:space="preserve">preferred method: </w:t>
      </w:r>
      <w:r w:rsidR="0062320B">
        <w:t>you can scan and email them.</w:t>
      </w:r>
    </w:p>
    <w:p w14:paraId="1D27B0DA" w14:textId="77777777" w:rsidR="00023C24" w:rsidRDefault="00023C24">
      <w:r>
        <w:t>Reimbursement claim process:</w:t>
      </w:r>
    </w:p>
    <w:p w14:paraId="16B84C80" w14:textId="77777777" w:rsidR="0062320B" w:rsidRPr="0062320B" w:rsidRDefault="0062320B" w:rsidP="0062320B">
      <w:pPr>
        <w:pStyle w:val="ListParagraph"/>
        <w:numPr>
          <w:ilvl w:val="0"/>
          <w:numId w:val="1"/>
        </w:numPr>
        <w:rPr>
          <w:b/>
          <w:color w:val="FF0000"/>
        </w:rPr>
      </w:pPr>
      <w:r w:rsidRPr="0062320B">
        <w:rPr>
          <w:b/>
          <w:color w:val="FF0000"/>
        </w:rPr>
        <w:t>*DO NOT simply put the $ amount in EGMS first!</w:t>
      </w:r>
    </w:p>
    <w:p w14:paraId="375B91E8" w14:textId="77777777" w:rsidR="0062320B" w:rsidRDefault="0062320B" w:rsidP="0062320B">
      <w:pPr>
        <w:pStyle w:val="ListParagraph"/>
        <w:numPr>
          <w:ilvl w:val="1"/>
          <w:numId w:val="1"/>
        </w:numPr>
      </w:pPr>
      <w:r>
        <w:t xml:space="preserve">ODE has to look over the claim reimbursement request to see if the costs are allowable first.  If they are not, and you put the funds in EGMS already, we will need to go in and reject the claim, and it can get messy accounting-wise. </w:t>
      </w:r>
    </w:p>
    <w:p w14:paraId="4EF94F17" w14:textId="77777777" w:rsidR="00023C24" w:rsidRDefault="00023C24" w:rsidP="00023C24">
      <w:pPr>
        <w:pStyle w:val="ListParagraph"/>
        <w:numPr>
          <w:ilvl w:val="0"/>
          <w:numId w:val="1"/>
        </w:numPr>
      </w:pPr>
      <w:r>
        <w:t>Download the excel reimbursement claim worksheet (in the resources section on the grant website).</w:t>
      </w:r>
    </w:p>
    <w:p w14:paraId="4D5C0F14" w14:textId="77777777" w:rsidR="00023C24" w:rsidRDefault="00023C24" w:rsidP="00023C24">
      <w:pPr>
        <w:pStyle w:val="ListParagraph"/>
        <w:numPr>
          <w:ilvl w:val="0"/>
          <w:numId w:val="1"/>
        </w:numPr>
      </w:pPr>
      <w:r>
        <w:t>Fill in the worksheet; using the appropriate tab for the item getting reimbursed:</w:t>
      </w:r>
    </w:p>
    <w:p w14:paraId="5FBB576B" w14:textId="77777777" w:rsidR="00023C24" w:rsidRDefault="00023C24" w:rsidP="00023C24">
      <w:pPr>
        <w:pStyle w:val="ListParagraph"/>
        <w:numPr>
          <w:ilvl w:val="1"/>
          <w:numId w:val="1"/>
        </w:numPr>
      </w:pPr>
      <w:r>
        <w:t>Put the items relating to educational activities on the activities tab</w:t>
      </w:r>
      <w:bookmarkStart w:id="0" w:name="_GoBack"/>
      <w:bookmarkEnd w:id="0"/>
    </w:p>
    <w:p w14:paraId="311585F4" w14:textId="77777777" w:rsidR="0062320B" w:rsidRDefault="00023C24" w:rsidP="00C67357">
      <w:pPr>
        <w:pStyle w:val="ListParagraph"/>
        <w:numPr>
          <w:ilvl w:val="1"/>
          <w:numId w:val="1"/>
        </w:numPr>
      </w:pPr>
      <w:r>
        <w:lastRenderedPageBreak/>
        <w:t>put the items relating to planning/development or administration on the “other” tab</w:t>
      </w:r>
    </w:p>
    <w:p w14:paraId="21C0B291" w14:textId="5BFAA8BC" w:rsidR="0062320B" w:rsidRDefault="0062320B" w:rsidP="001E2D96">
      <w:pPr>
        <w:pStyle w:val="ListParagraph"/>
        <w:numPr>
          <w:ilvl w:val="0"/>
          <w:numId w:val="1"/>
        </w:numPr>
      </w:pPr>
      <w:r>
        <w:t>S</w:t>
      </w:r>
      <w:r w:rsidR="000E3882" w:rsidRPr="000E3882">
        <w:t xml:space="preserve">ubmit </w:t>
      </w:r>
      <w:r>
        <w:t xml:space="preserve">the </w:t>
      </w:r>
      <w:r w:rsidR="000E3882" w:rsidRPr="000E3882">
        <w:t xml:space="preserve">excel </w:t>
      </w:r>
      <w:r>
        <w:t xml:space="preserve">reimbursement claim </w:t>
      </w:r>
      <w:r w:rsidR="000E3882" w:rsidRPr="000E3882">
        <w:t xml:space="preserve">worksheet to </w:t>
      </w:r>
      <w:hyperlink r:id="rId10" w:history="1">
        <w:r w:rsidR="00D36AF2" w:rsidRPr="00FA72FF">
          <w:rPr>
            <w:rStyle w:val="Hyperlink"/>
          </w:rPr>
          <w:t>farmtoCNP@ode.oregon.gov</w:t>
        </w:r>
      </w:hyperlink>
      <w:r w:rsidR="00D36AF2">
        <w:t xml:space="preserve"> </w:t>
      </w:r>
      <w:r w:rsidR="0093673A" w:rsidRPr="0093673A">
        <w:t xml:space="preserve"> </w:t>
      </w:r>
      <w:r>
        <w:t xml:space="preserve"> </w:t>
      </w:r>
    </w:p>
    <w:p w14:paraId="788F1EBE" w14:textId="77777777" w:rsidR="0062320B" w:rsidRDefault="000E3882" w:rsidP="00F66D54">
      <w:pPr>
        <w:pStyle w:val="ListParagraph"/>
        <w:numPr>
          <w:ilvl w:val="0"/>
          <w:numId w:val="1"/>
        </w:numPr>
      </w:pPr>
      <w:r w:rsidRPr="000E3882">
        <w:t>(Keep invoices, receipts, etc. on hand to justify worksheet -do NOT send those to ODE!)</w:t>
      </w:r>
    </w:p>
    <w:p w14:paraId="259B5676" w14:textId="77777777" w:rsidR="0062320B" w:rsidRDefault="000E3882" w:rsidP="00B616A7">
      <w:pPr>
        <w:pStyle w:val="ListParagraph"/>
        <w:numPr>
          <w:ilvl w:val="0"/>
          <w:numId w:val="1"/>
        </w:numPr>
      </w:pPr>
      <w:r w:rsidRPr="000E3882">
        <w:t>ODE looks over and lets the grantee know that it’s ok to put $ amount in EGMS.</w:t>
      </w:r>
    </w:p>
    <w:p w14:paraId="5350B506" w14:textId="77777777" w:rsidR="0062320B" w:rsidRDefault="0062320B" w:rsidP="00B616A7">
      <w:pPr>
        <w:pStyle w:val="ListParagraph"/>
        <w:numPr>
          <w:ilvl w:val="0"/>
          <w:numId w:val="1"/>
        </w:numPr>
      </w:pPr>
      <w:r>
        <w:t xml:space="preserve">Once ODE determines the costs are allowable, ODE will reply to your email and attach an updated claim form with the last (TOTALS) tab updated.  It will show your updated balance. </w:t>
      </w:r>
    </w:p>
    <w:p w14:paraId="5A3D7DF2" w14:textId="77777777" w:rsidR="0062320B" w:rsidRDefault="0062320B" w:rsidP="00B616A7">
      <w:pPr>
        <w:pStyle w:val="ListParagraph"/>
        <w:numPr>
          <w:ilvl w:val="0"/>
          <w:numId w:val="1"/>
        </w:numPr>
      </w:pPr>
      <w:r>
        <w:t xml:space="preserve">When you get the above email from ODE telling you that your reimbursement claim request was approved, you then go into EGMS and put in your dollar amount in the system. </w:t>
      </w:r>
    </w:p>
    <w:p w14:paraId="041593CB" w14:textId="77777777" w:rsidR="0062320B" w:rsidRDefault="0062320B" w:rsidP="00B616A7">
      <w:pPr>
        <w:pStyle w:val="ListParagraph"/>
        <w:numPr>
          <w:ilvl w:val="0"/>
          <w:numId w:val="1"/>
        </w:numPr>
      </w:pPr>
      <w:r>
        <w:t xml:space="preserve">ODE gets notified that your reimbursement claim was entered in the system; we go in and confirm and approve this.  We run what we call a “batch run” report once a week, typically each Monday or Tuesday.  This essentially collects all the approved EGMS entries entered during the week.  We run this report and have it approved by our department head, then this report goes over to our accounting system for checks to be cut.  Usually this process takes a week or two from the time where you submit your excel reimbursement claim worksheet to ODE from the time you receive the check.  What delays this process is when </w:t>
      </w:r>
      <w:r w:rsidR="00E04E9C">
        <w:t xml:space="preserve">you submit an excel reimbursement claim worksheet to ODE, and ODE replies back to you that it’s good to put the dollar amount into EGMS, and this step doesn’t happen on your end. </w:t>
      </w:r>
    </w:p>
    <w:sectPr w:rsidR="00623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1907"/>
    <w:multiLevelType w:val="hybridMultilevel"/>
    <w:tmpl w:val="91B8E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10B8D"/>
    <w:multiLevelType w:val="hybridMultilevel"/>
    <w:tmpl w:val="AA78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85C54"/>
    <w:multiLevelType w:val="multilevel"/>
    <w:tmpl w:val="A896286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607D636E"/>
    <w:multiLevelType w:val="multilevel"/>
    <w:tmpl w:val="68F642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E2"/>
    <w:rsid w:val="00003837"/>
    <w:rsid w:val="00023C24"/>
    <w:rsid w:val="000E3882"/>
    <w:rsid w:val="000F4E86"/>
    <w:rsid w:val="00273275"/>
    <w:rsid w:val="002C1AD3"/>
    <w:rsid w:val="0040632F"/>
    <w:rsid w:val="004D2326"/>
    <w:rsid w:val="005074C8"/>
    <w:rsid w:val="006114F6"/>
    <w:rsid w:val="0062320B"/>
    <w:rsid w:val="006A2E13"/>
    <w:rsid w:val="008024C4"/>
    <w:rsid w:val="008064E2"/>
    <w:rsid w:val="0081746C"/>
    <w:rsid w:val="0084749F"/>
    <w:rsid w:val="008523C2"/>
    <w:rsid w:val="008873AF"/>
    <w:rsid w:val="008B7641"/>
    <w:rsid w:val="0093673A"/>
    <w:rsid w:val="00B11EC0"/>
    <w:rsid w:val="00D36AF2"/>
    <w:rsid w:val="00E04E9C"/>
    <w:rsid w:val="00E17D9B"/>
    <w:rsid w:val="00E955D3"/>
    <w:rsid w:val="00FA6BB5"/>
    <w:rsid w:val="00FA72FF"/>
    <w:rsid w:val="00FF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78C4"/>
  <w15:chartTrackingRefBased/>
  <w15:docId w15:val="{D707EC89-7073-4DEA-9386-3D52907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4E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F4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38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F4E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F4E86"/>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0F4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C24"/>
    <w:rPr>
      <w:color w:val="0000FF" w:themeColor="hyperlink"/>
      <w:u w:val="single"/>
    </w:rPr>
  </w:style>
  <w:style w:type="paragraph" w:styleId="ListParagraph">
    <w:name w:val="List Paragraph"/>
    <w:basedOn w:val="Normal"/>
    <w:uiPriority w:val="34"/>
    <w:qFormat/>
    <w:rsid w:val="00023C24"/>
    <w:pPr>
      <w:ind w:left="720"/>
      <w:contextualSpacing/>
    </w:pPr>
  </w:style>
  <w:style w:type="paragraph" w:styleId="BalloonText">
    <w:name w:val="Balloon Text"/>
    <w:basedOn w:val="Normal"/>
    <w:link w:val="BalloonTextChar"/>
    <w:uiPriority w:val="99"/>
    <w:semiHidden/>
    <w:unhideWhenUsed/>
    <w:rsid w:val="006A2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E13"/>
    <w:rPr>
      <w:rFonts w:ascii="Segoe UI" w:hAnsi="Segoe UI" w:cs="Segoe UI"/>
      <w:sz w:val="18"/>
      <w:szCs w:val="18"/>
    </w:rPr>
  </w:style>
  <w:style w:type="character" w:styleId="CommentReference">
    <w:name w:val="annotation reference"/>
    <w:basedOn w:val="DefaultParagraphFont"/>
    <w:uiPriority w:val="99"/>
    <w:semiHidden/>
    <w:unhideWhenUsed/>
    <w:rsid w:val="006A2E13"/>
    <w:rPr>
      <w:sz w:val="16"/>
      <w:szCs w:val="16"/>
    </w:rPr>
  </w:style>
  <w:style w:type="paragraph" w:styleId="CommentText">
    <w:name w:val="annotation text"/>
    <w:basedOn w:val="Normal"/>
    <w:link w:val="CommentTextChar"/>
    <w:uiPriority w:val="99"/>
    <w:semiHidden/>
    <w:unhideWhenUsed/>
    <w:rsid w:val="006A2E13"/>
    <w:pPr>
      <w:spacing w:line="240" w:lineRule="auto"/>
    </w:pPr>
    <w:rPr>
      <w:sz w:val="20"/>
      <w:szCs w:val="20"/>
    </w:rPr>
  </w:style>
  <w:style w:type="character" w:customStyle="1" w:styleId="CommentTextChar">
    <w:name w:val="Comment Text Char"/>
    <w:basedOn w:val="DefaultParagraphFont"/>
    <w:link w:val="CommentText"/>
    <w:uiPriority w:val="99"/>
    <w:semiHidden/>
    <w:rsid w:val="006A2E13"/>
    <w:rPr>
      <w:sz w:val="20"/>
      <w:szCs w:val="20"/>
    </w:rPr>
  </w:style>
  <w:style w:type="paragraph" w:styleId="CommentSubject">
    <w:name w:val="annotation subject"/>
    <w:basedOn w:val="CommentText"/>
    <w:next w:val="CommentText"/>
    <w:link w:val="CommentSubjectChar"/>
    <w:uiPriority w:val="99"/>
    <w:semiHidden/>
    <w:unhideWhenUsed/>
    <w:rsid w:val="006A2E13"/>
    <w:rPr>
      <w:b/>
      <w:bCs/>
    </w:rPr>
  </w:style>
  <w:style w:type="character" w:customStyle="1" w:styleId="CommentSubjectChar">
    <w:name w:val="Comment Subject Char"/>
    <w:basedOn w:val="CommentTextChar"/>
    <w:link w:val="CommentSubject"/>
    <w:uiPriority w:val="99"/>
    <w:semiHidden/>
    <w:rsid w:val="006A2E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mtocnp@ode.orego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armtoCNP@ode.oregon.gov" TargetMode="External"/><Relationship Id="rId4" Type="http://schemas.openxmlformats.org/officeDocument/2006/relationships/numbering" Target="numbering.xml"/><Relationship Id="rId9" Type="http://schemas.openxmlformats.org/officeDocument/2006/relationships/hyperlink" Target="mailto:farmtoCNP@od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ce0cad35-8474-4653-8db1-733794c99845">New</Priority>
    <Remediation_x0020_Date xmlns="ce0cad35-8474-4653-8db1-733794c99845">2022-06-29T07:00:00+00:00</Remediation_x0020_Date>
    <Estimated_x0020_Creation_x0020_Date xmlns="ce0cad35-8474-4653-8db1-733794c99845">2022-06-29T07:00:00+00:00</Estimated_x0020_Cre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F303D-65C7-4549-BEB6-AB27B8526370}">
  <ds:schemaRefs>
    <ds:schemaRef ds:uri="http://schemas.microsoft.com/office/2006/documentManagement/types"/>
    <ds:schemaRef ds:uri="http://schemas.openxmlformats.org/package/2006/metadata/core-properties"/>
    <ds:schemaRef ds:uri="http://purl.org/dc/elements/1.1/"/>
    <ds:schemaRef ds:uri="http://purl.org/dc/dcmitype/"/>
    <ds:schemaRef ds:uri="ce0cad35-8474-4653-8db1-733794c99845"/>
    <ds:schemaRef ds:uri="http://schemas.microsoft.com/office/infopath/2007/PartnerControls"/>
    <ds:schemaRef ds:uri="http://purl.org/dc/term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E70B7D-8D9A-48AC-BB75-570EC6705DBB}"/>
</file>

<file path=customXml/itemProps3.xml><?xml version="1.0" encoding="utf-8"?>
<ds:datastoreItem xmlns:ds="http://schemas.openxmlformats.org/officeDocument/2006/customXml" ds:itemID="{73FC8CC2-2148-4617-93A5-A2D429FCD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allowable purchases &amp; reimbursement procedure</vt:lpstr>
    </vt:vector>
  </TitlesOfParts>
  <Company>Oregon Department of Education</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allowable purchases &amp; reimbursement procedure</dc:title>
  <dc:subject/>
  <dc:creator>SHERMAN Rick - ODE</dc:creator>
  <cp:keywords/>
  <dc:description/>
  <cp:lastModifiedBy>SHERMAN Rick * ODE</cp:lastModifiedBy>
  <cp:revision>3</cp:revision>
  <dcterms:created xsi:type="dcterms:W3CDTF">2022-06-30T14:06:00Z</dcterms:created>
  <dcterms:modified xsi:type="dcterms:W3CDTF">2022-06-30T14:07:00Z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