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23D2F" w14:textId="7165B016" w:rsidR="00F133CB" w:rsidRDefault="00433139" w:rsidP="006B7F2B">
      <w:pPr>
        <w:rPr>
          <w:rFonts w:asciiTheme="minorHAnsi" w:hAnsiTheme="minorHAnsi"/>
        </w:rPr>
      </w:pPr>
      <w:r w:rsidRPr="00910723">
        <w:rPr>
          <w:rFonts w:asciiTheme="majorHAnsi" w:hAnsiTheme="majorHAnsi" w:cstheme="majorHAnsi"/>
          <w:b/>
          <w:noProof/>
          <w:color w:val="9F2065" w:themeColor="accent2"/>
          <w:sz w:val="26"/>
          <w:szCs w:val="26"/>
        </w:rPr>
        <mc:AlternateContent>
          <mc:Choice Requires="wps">
            <w:drawing>
              <wp:inline distT="0" distB="0" distL="0" distR="0" wp14:anchorId="65213FF0" wp14:editId="1238AD00">
                <wp:extent cx="5943600" cy="1702013"/>
                <wp:effectExtent l="0" t="0" r="0" b="0"/>
                <wp:docPr id="1113716342" name="Text Box 1113716342"/>
                <wp:cNvGraphicFramePr/>
                <a:graphic xmlns:a="http://schemas.openxmlformats.org/drawingml/2006/main">
                  <a:graphicData uri="http://schemas.microsoft.com/office/word/2010/wordprocessingShape">
                    <wps:wsp>
                      <wps:cNvSpPr txBox="1"/>
                      <wps:spPr>
                        <a:xfrm>
                          <a:off x="0" y="0"/>
                          <a:ext cx="5943600" cy="1702013"/>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848E95" w14:textId="77777777" w:rsidR="00433139" w:rsidRDefault="00433139" w:rsidP="00433139">
                            <w:pPr>
                              <w:widowControl w:val="0"/>
                              <w:autoSpaceDE w:val="0"/>
                              <w:autoSpaceDN w:val="0"/>
                              <w:adjustRightInd w:val="0"/>
                              <w:ind w:right="99"/>
                              <w:rPr>
                                <w:rFonts w:cs="Calibri"/>
                                <w:b/>
                              </w:rPr>
                            </w:pPr>
                            <w:r w:rsidRPr="00D11324">
                              <w:rPr>
                                <w:b/>
                                <w:szCs w:val="24"/>
                              </w:rPr>
                              <w:t>This document is a compilation of the most frequently asked questions from School Food Authorities (SFAs) that are new to operating under the Community Eligibility Provision (CEP).</w:t>
                            </w:r>
                            <w:r w:rsidRPr="00572605">
                              <w:rPr>
                                <w:rFonts w:cs="Calibri"/>
                                <w:b/>
                              </w:rPr>
                              <w:t xml:space="preserve"> T</w:t>
                            </w:r>
                            <w:r w:rsidRPr="00D11324">
                              <w:rPr>
                                <w:b/>
                                <w:szCs w:val="24"/>
                              </w:rPr>
                              <w:t>his high-level resource outlines the basic operational changes that need to be implemented when transitioning to CEP.</w:t>
                            </w:r>
                            <w:r w:rsidRPr="00572605">
                              <w:rPr>
                                <w:rFonts w:cs="Calibri"/>
                                <w:b/>
                              </w:rPr>
                              <w:t xml:space="preserve"> </w:t>
                            </w:r>
                          </w:p>
                          <w:p w14:paraId="1422955F" w14:textId="77777777" w:rsidR="00433139" w:rsidRDefault="00433139" w:rsidP="00433139">
                            <w:pPr>
                              <w:widowControl w:val="0"/>
                              <w:autoSpaceDE w:val="0"/>
                              <w:autoSpaceDN w:val="0"/>
                              <w:adjustRightInd w:val="0"/>
                              <w:ind w:right="99"/>
                              <w:rPr>
                                <w:szCs w:val="24"/>
                              </w:rPr>
                            </w:pPr>
                          </w:p>
                          <w:p w14:paraId="305EA0AE" w14:textId="77777777" w:rsidR="00433139" w:rsidRPr="00433139" w:rsidRDefault="00433139" w:rsidP="00433139">
                            <w:pPr>
                              <w:widowControl w:val="0"/>
                              <w:autoSpaceDE w:val="0"/>
                              <w:autoSpaceDN w:val="0"/>
                              <w:adjustRightInd w:val="0"/>
                              <w:ind w:right="99"/>
                              <w:rPr>
                                <w:b/>
                                <w:bCs/>
                                <w:szCs w:val="24"/>
                              </w:rPr>
                            </w:pPr>
                            <w:r w:rsidRPr="00572605">
                              <w:rPr>
                                <w:b/>
                                <w:bCs/>
                                <w:szCs w:val="24"/>
                              </w:rPr>
                              <w:t>Minor wording changes and revisions to regulatory citations to reflect publication of the final rule are included. [New/Revised] appears next to new or revised questions.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inline>
            </w:drawing>
          </mc:Choice>
          <mc:Fallback>
            <w:pict>
              <v:shapetype w14:anchorId="65213FF0" id="_x0000_t202" coordsize="21600,21600" o:spt="202" path="m,l,21600r21600,l21600,xe">
                <v:stroke joinstyle="miter"/>
                <v:path gradientshapeok="t" o:connecttype="rect"/>
              </v:shapetype>
              <v:shape id="Text Box 1113716342" o:spid="_x0000_s1026" type="#_x0000_t202" style="width:468pt;height: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" fillcolor="#d8d8d8 [2732]" stroked="f" strokeweight=".5pt">
                <v:textbox inset=",7.2pt,,0">
                  <w:txbxContent>
                    <w:p w14:paraId="18848E95" w14:textId="77777777" w:rsidR="00433139" w:rsidRDefault="00433139" w:rsidP="00433139">
                      <w:pPr>
                        <w:widowControl w:val="0"/>
                        <w:autoSpaceDE w:val="0"/>
                        <w:autoSpaceDN w:val="0"/>
                        <w:adjustRightInd w:val="0"/>
                        <w:ind w:right="99"/>
                        <w:rPr>
                          <w:rFonts w:cs="Calibri"/>
                          <w:b/>
                        </w:rPr>
                      </w:pPr>
                      <w:r w:rsidRPr="00D11324">
                        <w:rPr>
                          <w:b/>
                          <w:szCs w:val="24"/>
                        </w:rPr>
                        <w:t>This document is a compilation of the most frequently asked questions from School Food Authorities (SFAs) that are new to operating under the Community Eligibility Provision (CEP).</w:t>
                      </w:r>
                      <w:r w:rsidRPr="00572605">
                        <w:rPr>
                          <w:rFonts w:cs="Calibri"/>
                          <w:b/>
                        </w:rPr>
                        <w:t xml:space="preserve"> T</w:t>
                      </w:r>
                      <w:r w:rsidRPr="00D11324">
                        <w:rPr>
                          <w:b/>
                          <w:szCs w:val="24"/>
                        </w:rPr>
                        <w:t>his high-level resource outlines the basic operational changes that need to be implemented when transitioning to CEP.</w:t>
                      </w:r>
                      <w:r w:rsidRPr="00572605">
                        <w:rPr>
                          <w:rFonts w:cs="Calibri"/>
                          <w:b/>
                        </w:rPr>
                        <w:t xml:space="preserve"> </w:t>
                      </w:r>
                    </w:p>
                    <w:p w14:paraId="1422955F" w14:textId="77777777" w:rsidR="00433139" w:rsidRDefault="00433139" w:rsidP="00433139">
                      <w:pPr>
                        <w:widowControl w:val="0"/>
                        <w:autoSpaceDE w:val="0"/>
                        <w:autoSpaceDN w:val="0"/>
                        <w:adjustRightInd w:val="0"/>
                        <w:ind w:right="99"/>
                        <w:rPr>
                          <w:szCs w:val="24"/>
                        </w:rPr>
                      </w:pPr>
                    </w:p>
                    <w:p w14:paraId="305EA0AE" w14:textId="77777777" w:rsidR="00433139" w:rsidRPr="00433139" w:rsidRDefault="00433139" w:rsidP="00433139">
                      <w:pPr>
                        <w:widowControl w:val="0"/>
                        <w:autoSpaceDE w:val="0"/>
                        <w:autoSpaceDN w:val="0"/>
                        <w:adjustRightInd w:val="0"/>
                        <w:ind w:right="99"/>
                        <w:rPr>
                          <w:b/>
                          <w:bCs/>
                          <w:szCs w:val="24"/>
                        </w:rPr>
                      </w:pPr>
                      <w:r w:rsidRPr="00572605">
                        <w:rPr>
                          <w:b/>
                          <w:bCs/>
                          <w:szCs w:val="24"/>
                        </w:rPr>
                        <w:t>Minor wording changes and revisions to regulatory citations to reflect publication of the final rule are included. [New/Revised] appears next to new or revised questions.</w:t>
                      </w:r>
                    </w:p>
                  </w:txbxContent>
                </v:textbox>
                <w10:anchorlock/>
              </v:shape>
            </w:pict>
          </mc:Fallback>
        </mc:AlternateContent>
      </w:r>
    </w:p>
    <w:p w14:paraId="73A8722E" w14:textId="77777777" w:rsidR="0026187E" w:rsidRPr="0026187E" w:rsidRDefault="0026187E" w:rsidP="00E933BA">
      <w:pPr>
        <w:rPr>
          <w:i/>
        </w:rPr>
      </w:pPr>
    </w:p>
    <w:p w14:paraId="449E896C" w14:textId="77777777" w:rsidR="00231BF5" w:rsidRPr="00231BF5" w:rsidRDefault="00231BF5" w:rsidP="00231BF5">
      <w:pPr>
        <w:rPr>
          <w:rFonts w:asciiTheme="minorHAnsi" w:hAnsiTheme="minorHAnsi" w:cstheme="minorHAnsi"/>
          <w:b/>
          <w:bCs/>
          <w:i/>
          <w:iCs/>
          <w:color w:val="14578C" w:themeColor="accent1" w:themeShade="BF"/>
          <w:szCs w:val="24"/>
        </w:rPr>
      </w:pPr>
      <w:r w:rsidRPr="00231BF5">
        <w:rPr>
          <w:rFonts w:asciiTheme="minorHAnsi" w:hAnsiTheme="minorHAnsi" w:cstheme="minorHAnsi"/>
          <w:b/>
          <w:bCs/>
          <w:i/>
          <w:iCs/>
          <w:color w:val="14578C" w:themeColor="accent1" w:themeShade="BF"/>
          <w:szCs w:val="24"/>
        </w:rPr>
        <w:t>Schools and households are asking about meal prices for the school year, how do I get the word out about CEP?</w:t>
      </w:r>
    </w:p>
    <w:p w14:paraId="110ADDF6" w14:textId="77777777" w:rsidR="00231BF5" w:rsidRPr="00231BF5" w:rsidRDefault="00231BF5" w:rsidP="00231BF5">
      <w:pPr>
        <w:rPr>
          <w:rFonts w:asciiTheme="minorHAnsi" w:hAnsiTheme="minorHAnsi" w:cstheme="minorHAnsi"/>
          <w:i/>
          <w:iCs/>
        </w:rPr>
      </w:pPr>
      <w:r w:rsidRPr="00231BF5">
        <w:rPr>
          <w:rFonts w:asciiTheme="minorHAnsi" w:hAnsiTheme="minorHAnsi" w:cstheme="minorHAnsi"/>
          <w:i/>
          <w:iCs/>
        </w:rPr>
        <w:t xml:space="preserve">Schools should use their usual channels of communication with media and households to notify the community that school meals, both breakfast and lunch, will be available at no charge to all students enrolled at CEP schools. A combination of outreach strategies is typically best to ensure all households are aware of CEP and its many benefits. Successful communication strategies include: </w:t>
      </w:r>
    </w:p>
    <w:p w14:paraId="68F1E528" w14:textId="77777777" w:rsidR="00231BF5" w:rsidRPr="002C0765" w:rsidRDefault="00231BF5" w:rsidP="002C0765">
      <w:pPr>
        <w:pStyle w:val="ListParagraph"/>
        <w:numPr>
          <w:ilvl w:val="0"/>
          <w:numId w:val="25"/>
        </w:numPr>
        <w:rPr>
          <w:rFonts w:asciiTheme="minorHAnsi" w:hAnsiTheme="minorHAnsi" w:cstheme="minorHAnsi"/>
          <w:i/>
          <w:iCs/>
        </w:rPr>
      </w:pPr>
      <w:r w:rsidRPr="002C0765">
        <w:rPr>
          <w:rFonts w:asciiTheme="minorHAnsi" w:hAnsiTheme="minorHAnsi" w:cstheme="minorHAnsi"/>
          <w:i/>
          <w:iCs/>
        </w:rPr>
        <w:t>Placing CEP notifications prominently on websites, social media and in any “back-to-school” packets.</w:t>
      </w:r>
    </w:p>
    <w:p w14:paraId="22F1119D" w14:textId="77777777" w:rsidR="00231BF5" w:rsidRPr="002C0765" w:rsidRDefault="00231BF5" w:rsidP="002C0765">
      <w:pPr>
        <w:pStyle w:val="ListParagraph"/>
        <w:numPr>
          <w:ilvl w:val="0"/>
          <w:numId w:val="25"/>
        </w:numPr>
        <w:rPr>
          <w:rFonts w:asciiTheme="minorHAnsi" w:hAnsiTheme="minorHAnsi" w:cstheme="minorHAnsi"/>
          <w:i/>
          <w:iCs/>
        </w:rPr>
      </w:pPr>
      <w:r w:rsidRPr="002C0765">
        <w:rPr>
          <w:rFonts w:asciiTheme="minorHAnsi" w:hAnsiTheme="minorHAnsi" w:cstheme="minorHAnsi"/>
          <w:i/>
          <w:iCs/>
        </w:rPr>
        <w:t>Sending email notifications or letters to households.</w:t>
      </w:r>
    </w:p>
    <w:p w14:paraId="153D84F6" w14:textId="77777777" w:rsidR="00231BF5" w:rsidRPr="002C0765" w:rsidRDefault="00231BF5" w:rsidP="002C0765">
      <w:pPr>
        <w:pStyle w:val="ListParagraph"/>
        <w:numPr>
          <w:ilvl w:val="0"/>
          <w:numId w:val="25"/>
        </w:numPr>
        <w:rPr>
          <w:rFonts w:asciiTheme="minorHAnsi" w:hAnsiTheme="minorHAnsi" w:cstheme="minorHAnsi"/>
          <w:i/>
          <w:iCs/>
        </w:rPr>
      </w:pPr>
      <w:r w:rsidRPr="002C0765">
        <w:rPr>
          <w:rFonts w:asciiTheme="minorHAnsi" w:hAnsiTheme="minorHAnsi" w:cstheme="minorHAnsi"/>
          <w:i/>
          <w:iCs/>
        </w:rPr>
        <w:t>Providing CEP information at school board meetings and “back-to-school” nights.</w:t>
      </w:r>
    </w:p>
    <w:p w14:paraId="74228B6F" w14:textId="77777777" w:rsidR="00231BF5" w:rsidRPr="002C0765" w:rsidRDefault="00231BF5" w:rsidP="002C0765">
      <w:pPr>
        <w:pStyle w:val="ListParagraph"/>
        <w:numPr>
          <w:ilvl w:val="0"/>
          <w:numId w:val="25"/>
        </w:numPr>
        <w:spacing w:after="160" w:line="259" w:lineRule="auto"/>
        <w:rPr>
          <w:rFonts w:asciiTheme="minorHAnsi" w:hAnsiTheme="minorHAnsi" w:cstheme="minorHAnsi"/>
          <w:i/>
          <w:iCs/>
          <w:sz w:val="22"/>
          <w:szCs w:val="22"/>
        </w:rPr>
      </w:pPr>
      <w:r w:rsidRPr="002C0765">
        <w:rPr>
          <w:rFonts w:asciiTheme="minorHAnsi" w:hAnsiTheme="minorHAnsi" w:cstheme="minorHAnsi"/>
          <w:i/>
          <w:iCs/>
        </w:rPr>
        <w:t xml:space="preserve">ODE has notification letters available in several languages ( </w:t>
      </w:r>
      <w:hyperlink r:id="rId8" w:history="1">
        <w:r w:rsidRPr="002C0765">
          <w:rPr>
            <w:rStyle w:val="Hyperlink"/>
            <w:rFonts w:asciiTheme="minorHAnsi" w:hAnsiTheme="minorHAnsi" w:cstheme="minorHAnsi"/>
            <w:i/>
            <w:iCs/>
          </w:rPr>
          <w:t>English</w:t>
        </w:r>
      </w:hyperlink>
      <w:r w:rsidRPr="002C0765">
        <w:rPr>
          <w:rFonts w:asciiTheme="minorHAnsi" w:hAnsiTheme="minorHAnsi" w:cstheme="minorHAnsi"/>
          <w:i/>
          <w:iCs/>
        </w:rPr>
        <w:t xml:space="preserve">, </w:t>
      </w:r>
      <w:hyperlink r:id="rId9" w:history="1">
        <w:r w:rsidRPr="002C0765">
          <w:rPr>
            <w:rStyle w:val="Hyperlink"/>
            <w:rFonts w:asciiTheme="minorHAnsi" w:hAnsiTheme="minorHAnsi" w:cstheme="minorHAnsi"/>
            <w:i/>
            <w:iCs/>
          </w:rPr>
          <w:t>Chinese</w:t>
        </w:r>
      </w:hyperlink>
      <w:r w:rsidRPr="002C0765">
        <w:rPr>
          <w:rFonts w:asciiTheme="minorHAnsi" w:hAnsiTheme="minorHAnsi" w:cstheme="minorHAnsi"/>
          <w:i/>
          <w:iCs/>
        </w:rPr>
        <w:t xml:space="preserve">, </w:t>
      </w:r>
      <w:hyperlink r:id="rId10" w:history="1">
        <w:r w:rsidRPr="002C0765">
          <w:rPr>
            <w:rStyle w:val="Hyperlink"/>
            <w:rFonts w:asciiTheme="minorHAnsi" w:hAnsiTheme="minorHAnsi" w:cstheme="minorHAnsi"/>
            <w:i/>
            <w:iCs/>
          </w:rPr>
          <w:t>Russian</w:t>
        </w:r>
      </w:hyperlink>
      <w:r w:rsidRPr="002C0765">
        <w:rPr>
          <w:rFonts w:asciiTheme="minorHAnsi" w:hAnsiTheme="minorHAnsi" w:cstheme="minorHAnsi"/>
          <w:i/>
          <w:iCs/>
        </w:rPr>
        <w:t xml:space="preserve">, </w:t>
      </w:r>
      <w:hyperlink r:id="rId11" w:history="1">
        <w:r w:rsidRPr="002C0765">
          <w:rPr>
            <w:rStyle w:val="Hyperlink"/>
            <w:rFonts w:asciiTheme="minorHAnsi" w:hAnsiTheme="minorHAnsi" w:cstheme="minorHAnsi"/>
            <w:i/>
            <w:iCs/>
          </w:rPr>
          <w:t>Spanish</w:t>
        </w:r>
      </w:hyperlink>
      <w:r w:rsidRPr="002C0765">
        <w:rPr>
          <w:rFonts w:asciiTheme="minorHAnsi" w:hAnsiTheme="minorHAnsi" w:cstheme="minorHAnsi"/>
          <w:i/>
          <w:iCs/>
        </w:rPr>
        <w:t xml:space="preserve">, </w:t>
      </w:r>
      <w:hyperlink r:id="rId12" w:history="1">
        <w:r w:rsidRPr="002C0765">
          <w:rPr>
            <w:rStyle w:val="Hyperlink"/>
            <w:rFonts w:asciiTheme="minorHAnsi" w:hAnsiTheme="minorHAnsi" w:cstheme="minorHAnsi"/>
            <w:i/>
            <w:iCs/>
          </w:rPr>
          <w:t>Vietnamese</w:t>
        </w:r>
      </w:hyperlink>
      <w:r w:rsidRPr="002C0765">
        <w:rPr>
          <w:rFonts w:asciiTheme="minorHAnsi" w:hAnsiTheme="minorHAnsi" w:cstheme="minorHAnsi"/>
          <w:i/>
          <w:iCs/>
        </w:rPr>
        <w:t>)</w:t>
      </w:r>
    </w:p>
    <w:p w14:paraId="3E5EB8FF" w14:textId="77777777" w:rsidR="00231BF5" w:rsidRPr="00231BF5" w:rsidRDefault="00231BF5" w:rsidP="00231BF5">
      <w:pPr>
        <w:rPr>
          <w:rFonts w:asciiTheme="minorHAnsi" w:hAnsiTheme="minorHAnsi" w:cstheme="minorHAnsi"/>
          <w:b/>
          <w:bCs/>
          <w:i/>
          <w:iCs/>
          <w:color w:val="14578C" w:themeColor="accent1" w:themeShade="BF"/>
          <w:szCs w:val="24"/>
        </w:rPr>
      </w:pPr>
      <w:r w:rsidRPr="00231BF5">
        <w:rPr>
          <w:rFonts w:asciiTheme="minorHAnsi" w:hAnsiTheme="minorHAnsi" w:cstheme="minorHAnsi"/>
          <w:b/>
          <w:bCs/>
          <w:i/>
          <w:iCs/>
          <w:color w:val="14578C" w:themeColor="accent1" w:themeShade="BF"/>
          <w:szCs w:val="24"/>
        </w:rPr>
        <w:t xml:space="preserve">I am not sure if I should have Household Applications for Free and Reduced-Price meals available? </w:t>
      </w:r>
    </w:p>
    <w:p w14:paraId="3ECF672A" w14:textId="07713213" w:rsidR="00231BF5" w:rsidRPr="00231BF5" w:rsidRDefault="00F935BF" w:rsidP="00231BF5">
      <w:pPr>
        <w:rPr>
          <w:rFonts w:asciiTheme="minorHAnsi" w:hAnsiTheme="minorHAnsi" w:cstheme="minorHAnsi"/>
          <w:b/>
          <w:bCs/>
          <w:i/>
          <w:iCs/>
          <w:szCs w:val="24"/>
        </w:rPr>
      </w:pPr>
      <w:r w:rsidRPr="00F935BF">
        <w:rPr>
          <w:rFonts w:asciiTheme="minorHAnsi" w:hAnsiTheme="minorHAnsi" w:cstheme="minorHAnsi"/>
          <w:i/>
          <w:iCs/>
          <w:szCs w:val="24"/>
        </w:rPr>
        <w:t xml:space="preserve">The NSLP and SBP regulations at 7 CFR 245.9(f)(4)(iv) prohibit CEP schools from collecting free and </w:t>
      </w:r>
      <w:r w:rsidR="00433139" w:rsidRPr="00F935BF">
        <w:rPr>
          <w:rFonts w:asciiTheme="minorHAnsi" w:hAnsiTheme="minorHAnsi" w:cstheme="minorHAnsi"/>
          <w:i/>
          <w:iCs/>
          <w:szCs w:val="24"/>
        </w:rPr>
        <w:t>reduced-price</w:t>
      </w:r>
      <w:r w:rsidRPr="00F935BF">
        <w:rPr>
          <w:rFonts w:asciiTheme="minorHAnsi" w:hAnsiTheme="minorHAnsi" w:cstheme="minorHAnsi"/>
          <w:i/>
          <w:iCs/>
          <w:szCs w:val="24"/>
        </w:rPr>
        <w:t xml:space="preserve"> household applications</w:t>
      </w:r>
      <w:r w:rsidR="00932BD9">
        <w:rPr>
          <w:rFonts w:asciiTheme="minorHAnsi" w:hAnsiTheme="minorHAnsi" w:cstheme="minorHAnsi"/>
          <w:i/>
          <w:iCs/>
          <w:szCs w:val="24"/>
        </w:rPr>
        <w:t>.</w:t>
      </w:r>
      <w:r w:rsidRPr="00F935BF">
        <w:t xml:space="preserve"> </w:t>
      </w:r>
      <w:r w:rsidR="00932BD9" w:rsidRPr="00F9638E">
        <w:rPr>
          <w:rFonts w:asciiTheme="minorHAnsi" w:hAnsiTheme="minorHAnsi" w:cstheme="minorHAnsi"/>
        </w:rPr>
        <w:t xml:space="preserve">In </w:t>
      </w:r>
      <w:r w:rsidR="00F9638E">
        <w:rPr>
          <w:rFonts w:asciiTheme="minorHAnsi" w:hAnsiTheme="minorHAnsi" w:cstheme="minorHAnsi"/>
        </w:rPr>
        <w:t xml:space="preserve">the </w:t>
      </w:r>
      <w:r w:rsidR="00932BD9" w:rsidRPr="00F9638E">
        <w:rPr>
          <w:rFonts w:asciiTheme="minorHAnsi" w:hAnsiTheme="minorHAnsi" w:cstheme="minorHAnsi"/>
        </w:rPr>
        <w:t>executed CEP agreement,</w:t>
      </w:r>
      <w:r w:rsidR="00932BD9">
        <w:t xml:space="preserve"> </w:t>
      </w:r>
      <w:r w:rsidR="002C0765">
        <w:rPr>
          <w:rFonts w:asciiTheme="minorHAnsi" w:hAnsiTheme="minorHAnsi" w:cstheme="minorHAnsi"/>
          <w:i/>
          <w:iCs/>
          <w:szCs w:val="24"/>
        </w:rPr>
        <w:t>SFAs</w:t>
      </w:r>
      <w:r w:rsidR="00231BF5" w:rsidRPr="00231BF5">
        <w:rPr>
          <w:rFonts w:asciiTheme="minorHAnsi" w:hAnsiTheme="minorHAnsi" w:cstheme="minorHAnsi"/>
          <w:i/>
          <w:iCs/>
          <w:szCs w:val="24"/>
        </w:rPr>
        <w:t xml:space="preserve"> participating in CEP agree NOT to distribute, collect or process Free and Reduced Meal Applications.  Applications that are available at CEP schools should be removed</w:t>
      </w:r>
      <w:r w:rsidR="00932BD9">
        <w:rPr>
          <w:rFonts w:asciiTheme="minorHAnsi" w:hAnsiTheme="minorHAnsi" w:cstheme="minorHAnsi"/>
          <w:i/>
          <w:iCs/>
          <w:szCs w:val="24"/>
        </w:rPr>
        <w:t xml:space="preserve"> including websites</w:t>
      </w:r>
      <w:r w:rsidR="00231BF5" w:rsidRPr="00231BF5">
        <w:rPr>
          <w:rFonts w:asciiTheme="minorHAnsi" w:hAnsiTheme="minorHAnsi" w:cstheme="minorHAnsi"/>
          <w:i/>
          <w:iCs/>
          <w:szCs w:val="24"/>
        </w:rPr>
        <w:t xml:space="preserve">. </w:t>
      </w:r>
    </w:p>
    <w:p w14:paraId="5BEBF95D" w14:textId="77777777" w:rsidR="00960DA5" w:rsidRDefault="00960DA5" w:rsidP="00231BF5">
      <w:pPr>
        <w:rPr>
          <w:rFonts w:asciiTheme="minorHAnsi" w:hAnsiTheme="minorHAnsi" w:cstheme="minorHAnsi"/>
          <w:b/>
          <w:bCs/>
          <w:i/>
          <w:iCs/>
          <w:color w:val="14578C" w:themeColor="accent1" w:themeShade="BF"/>
          <w:szCs w:val="24"/>
        </w:rPr>
      </w:pPr>
    </w:p>
    <w:p w14:paraId="35B59B0A" w14:textId="6B55F6DA" w:rsidR="00231BF5" w:rsidRPr="00231BF5" w:rsidRDefault="00231BF5" w:rsidP="00231BF5">
      <w:pPr>
        <w:rPr>
          <w:rFonts w:asciiTheme="minorHAnsi" w:hAnsiTheme="minorHAnsi" w:cstheme="minorHAnsi"/>
          <w:b/>
          <w:bCs/>
          <w:i/>
          <w:iCs/>
          <w:color w:val="14578C" w:themeColor="accent1" w:themeShade="BF"/>
          <w:szCs w:val="24"/>
        </w:rPr>
      </w:pPr>
      <w:r w:rsidRPr="00231BF5">
        <w:rPr>
          <w:rFonts w:asciiTheme="minorHAnsi" w:hAnsiTheme="minorHAnsi" w:cstheme="minorHAnsi"/>
          <w:b/>
          <w:bCs/>
          <w:i/>
          <w:iCs/>
          <w:color w:val="14578C" w:themeColor="accent1" w:themeShade="BF"/>
          <w:szCs w:val="24"/>
        </w:rPr>
        <w:t>The High School Athletic Director has asked me to process Free and Reduced application</w:t>
      </w:r>
      <w:r w:rsidR="002C0765">
        <w:rPr>
          <w:rFonts w:asciiTheme="minorHAnsi" w:hAnsiTheme="minorHAnsi" w:cstheme="minorHAnsi"/>
          <w:b/>
          <w:bCs/>
          <w:i/>
          <w:iCs/>
          <w:color w:val="14578C" w:themeColor="accent1" w:themeShade="BF"/>
          <w:szCs w:val="24"/>
        </w:rPr>
        <w:t>s</w:t>
      </w:r>
      <w:r w:rsidRPr="00231BF5">
        <w:rPr>
          <w:rFonts w:asciiTheme="minorHAnsi" w:hAnsiTheme="minorHAnsi" w:cstheme="minorHAnsi"/>
          <w:b/>
          <w:bCs/>
          <w:i/>
          <w:iCs/>
          <w:color w:val="14578C" w:themeColor="accent1" w:themeShade="BF"/>
          <w:szCs w:val="24"/>
        </w:rPr>
        <w:t xml:space="preserve"> for student athletes for athletic fee reductions, can I make an exception for this? </w:t>
      </w:r>
    </w:p>
    <w:p w14:paraId="70948989" w14:textId="45FF1FD5" w:rsidR="00231BF5" w:rsidRDefault="00231BF5" w:rsidP="00231BF5">
      <w:pPr>
        <w:rPr>
          <w:rFonts w:asciiTheme="minorHAnsi" w:hAnsiTheme="minorHAnsi" w:cstheme="minorHAnsi"/>
          <w:i/>
          <w:iCs/>
          <w:szCs w:val="24"/>
        </w:rPr>
      </w:pPr>
      <w:r w:rsidRPr="00231BF5">
        <w:rPr>
          <w:rFonts w:asciiTheme="minorHAnsi" w:hAnsiTheme="minorHAnsi" w:cstheme="minorHAnsi"/>
          <w:i/>
          <w:iCs/>
          <w:szCs w:val="24"/>
        </w:rPr>
        <w:t>No</w:t>
      </w:r>
      <w:r w:rsidR="00932BD9">
        <w:rPr>
          <w:rFonts w:asciiTheme="minorHAnsi" w:hAnsiTheme="minorHAnsi" w:cstheme="minorHAnsi"/>
          <w:i/>
          <w:iCs/>
          <w:szCs w:val="24"/>
        </w:rPr>
        <w:t>, t</w:t>
      </w:r>
      <w:r w:rsidR="00932BD9" w:rsidRPr="00F935BF">
        <w:rPr>
          <w:rFonts w:asciiTheme="minorHAnsi" w:hAnsiTheme="minorHAnsi" w:cstheme="minorHAnsi"/>
          <w:i/>
          <w:iCs/>
          <w:szCs w:val="24"/>
        </w:rPr>
        <w:t xml:space="preserve">he NSLP and SBP regulations at 7 CFR 245.9(f)(4)(iv) prohibit CEP schools from collecting free and </w:t>
      </w:r>
      <w:r w:rsidR="00433139" w:rsidRPr="00F935BF">
        <w:rPr>
          <w:rFonts w:asciiTheme="minorHAnsi" w:hAnsiTheme="minorHAnsi" w:cstheme="minorHAnsi"/>
          <w:i/>
          <w:iCs/>
          <w:szCs w:val="24"/>
        </w:rPr>
        <w:t>reduced-price</w:t>
      </w:r>
      <w:r w:rsidR="00932BD9" w:rsidRPr="00F935BF">
        <w:rPr>
          <w:rFonts w:asciiTheme="minorHAnsi" w:hAnsiTheme="minorHAnsi" w:cstheme="minorHAnsi"/>
          <w:i/>
          <w:iCs/>
          <w:szCs w:val="24"/>
        </w:rPr>
        <w:t xml:space="preserve"> household applications</w:t>
      </w:r>
      <w:r w:rsidR="00932BD9">
        <w:rPr>
          <w:rFonts w:asciiTheme="minorHAnsi" w:hAnsiTheme="minorHAnsi" w:cstheme="minorHAnsi"/>
          <w:i/>
          <w:iCs/>
          <w:szCs w:val="24"/>
        </w:rPr>
        <w:t>.</w:t>
      </w:r>
      <w:r w:rsidRPr="00231BF5">
        <w:rPr>
          <w:rFonts w:asciiTheme="minorHAnsi" w:hAnsiTheme="minorHAnsi" w:cstheme="minorHAnsi"/>
          <w:i/>
          <w:iCs/>
          <w:szCs w:val="24"/>
        </w:rPr>
        <w:t xml:space="preserve">  The Oregon Family Income Survey (</w:t>
      </w:r>
      <w:hyperlink r:id="rId13" w:history="1">
        <w:r w:rsidRPr="00231BF5">
          <w:rPr>
            <w:rStyle w:val="Hyperlink"/>
            <w:rFonts w:asciiTheme="minorHAnsi" w:hAnsiTheme="minorHAnsi" w:cstheme="minorHAnsi"/>
            <w:i/>
            <w:iCs/>
            <w:szCs w:val="24"/>
          </w:rPr>
          <w:t>English</w:t>
        </w:r>
      </w:hyperlink>
      <w:r w:rsidRPr="00231BF5">
        <w:rPr>
          <w:rFonts w:asciiTheme="minorHAnsi" w:hAnsiTheme="minorHAnsi" w:cstheme="minorHAnsi"/>
          <w:i/>
          <w:iCs/>
          <w:szCs w:val="24"/>
        </w:rPr>
        <w:t xml:space="preserve">, </w:t>
      </w:r>
      <w:hyperlink r:id="rId14" w:history="1">
        <w:r w:rsidRPr="00231BF5">
          <w:rPr>
            <w:rStyle w:val="Hyperlink"/>
            <w:rFonts w:asciiTheme="minorHAnsi" w:hAnsiTheme="minorHAnsi" w:cstheme="minorHAnsi"/>
            <w:i/>
            <w:iCs/>
            <w:szCs w:val="24"/>
          </w:rPr>
          <w:t>Spanish</w:t>
        </w:r>
      </w:hyperlink>
      <w:r w:rsidRPr="00231BF5">
        <w:rPr>
          <w:rFonts w:asciiTheme="minorHAnsi" w:hAnsiTheme="minorHAnsi" w:cstheme="minorHAnsi"/>
          <w:i/>
          <w:iCs/>
          <w:szCs w:val="24"/>
        </w:rPr>
        <w:t xml:space="preserve">) can be used to determine eligibility for fee reductions etc. The </w:t>
      </w:r>
      <w:r w:rsidR="00932BD9">
        <w:rPr>
          <w:rFonts w:asciiTheme="minorHAnsi" w:hAnsiTheme="minorHAnsi" w:cstheme="minorHAnsi"/>
          <w:i/>
          <w:iCs/>
          <w:szCs w:val="24"/>
        </w:rPr>
        <w:t>family</w:t>
      </w:r>
      <w:r w:rsidR="00932BD9" w:rsidRPr="00231BF5">
        <w:rPr>
          <w:rFonts w:asciiTheme="minorHAnsi" w:hAnsiTheme="minorHAnsi" w:cstheme="minorHAnsi"/>
          <w:i/>
          <w:iCs/>
          <w:szCs w:val="24"/>
        </w:rPr>
        <w:t xml:space="preserve"> </w:t>
      </w:r>
      <w:r w:rsidRPr="00231BF5">
        <w:rPr>
          <w:rFonts w:asciiTheme="minorHAnsi" w:hAnsiTheme="minorHAnsi" w:cstheme="minorHAnsi"/>
          <w:i/>
          <w:iCs/>
          <w:szCs w:val="24"/>
        </w:rPr>
        <w:t>income surveys are not school meal applications and any costs associated with collecting household income information in CEP schools are not allowable costs to the Non-Profit Food Service Account.</w:t>
      </w:r>
    </w:p>
    <w:p w14:paraId="1B360888" w14:textId="77777777" w:rsidR="00231BF5" w:rsidRPr="00231BF5" w:rsidRDefault="00231BF5" w:rsidP="00231BF5">
      <w:pPr>
        <w:rPr>
          <w:rFonts w:asciiTheme="minorHAnsi" w:hAnsiTheme="minorHAnsi" w:cstheme="minorHAnsi"/>
          <w:i/>
          <w:iCs/>
          <w:szCs w:val="24"/>
        </w:rPr>
      </w:pPr>
    </w:p>
    <w:p w14:paraId="0D6D51B2" w14:textId="467F40B3" w:rsidR="00231BF5" w:rsidRPr="00231BF5" w:rsidRDefault="00231BF5" w:rsidP="00231BF5">
      <w:pPr>
        <w:rPr>
          <w:rFonts w:asciiTheme="minorHAnsi" w:hAnsiTheme="minorHAnsi" w:cstheme="minorHAnsi"/>
          <w:b/>
          <w:bCs/>
          <w:i/>
          <w:iCs/>
          <w:color w:val="14578C" w:themeColor="accent1" w:themeShade="BF"/>
          <w:szCs w:val="24"/>
        </w:rPr>
      </w:pPr>
      <w:r w:rsidRPr="00231BF5">
        <w:rPr>
          <w:rFonts w:asciiTheme="minorHAnsi" w:hAnsiTheme="minorHAnsi" w:cstheme="minorHAnsi"/>
          <w:b/>
          <w:bCs/>
          <w:i/>
          <w:iCs/>
          <w:color w:val="14578C" w:themeColor="accent1" w:themeShade="BF"/>
          <w:szCs w:val="24"/>
        </w:rPr>
        <w:t xml:space="preserve">I received an email from the ODE Helpdesk stating that I have not downloaded my direct certification file, do I still need to </w:t>
      </w:r>
      <w:r w:rsidR="00211116" w:rsidRPr="00231BF5">
        <w:rPr>
          <w:rFonts w:asciiTheme="minorHAnsi" w:hAnsiTheme="minorHAnsi" w:cstheme="minorHAnsi"/>
          <w:b/>
          <w:bCs/>
          <w:i/>
          <w:iCs/>
          <w:color w:val="14578C" w:themeColor="accent1" w:themeShade="BF"/>
          <w:szCs w:val="24"/>
        </w:rPr>
        <w:t>do</w:t>
      </w:r>
      <w:r w:rsidR="00211116">
        <w:rPr>
          <w:rFonts w:asciiTheme="minorHAnsi" w:hAnsiTheme="minorHAnsi" w:cstheme="minorHAnsi"/>
          <w:b/>
          <w:bCs/>
          <w:i/>
          <w:iCs/>
          <w:color w:val="14578C" w:themeColor="accent1" w:themeShade="BF"/>
          <w:szCs w:val="24"/>
        </w:rPr>
        <w:t>wnload</w:t>
      </w:r>
      <w:r w:rsidRPr="00231BF5">
        <w:rPr>
          <w:rFonts w:asciiTheme="minorHAnsi" w:hAnsiTheme="minorHAnsi" w:cstheme="minorHAnsi"/>
          <w:b/>
          <w:bCs/>
          <w:i/>
          <w:iCs/>
          <w:color w:val="14578C" w:themeColor="accent1" w:themeShade="BF"/>
          <w:szCs w:val="24"/>
        </w:rPr>
        <w:t xml:space="preserve"> direct certification?</w:t>
      </w:r>
    </w:p>
    <w:p w14:paraId="35E3D622" w14:textId="49340839" w:rsidR="00231BF5" w:rsidRDefault="00231BF5" w:rsidP="00231BF5">
      <w:pPr>
        <w:rPr>
          <w:rFonts w:asciiTheme="minorHAnsi" w:hAnsiTheme="minorHAnsi" w:cstheme="minorHAnsi"/>
          <w:i/>
          <w:iCs/>
          <w:szCs w:val="24"/>
        </w:rPr>
      </w:pPr>
      <w:r w:rsidRPr="002C0765">
        <w:rPr>
          <w:rFonts w:asciiTheme="minorHAnsi" w:hAnsiTheme="minorHAnsi" w:cstheme="minorHAnsi"/>
          <w:i/>
          <w:iCs/>
          <w:szCs w:val="24"/>
        </w:rPr>
        <w:t xml:space="preserve">CEP schools must </w:t>
      </w:r>
      <w:r w:rsidR="00211116">
        <w:rPr>
          <w:rFonts w:asciiTheme="minorHAnsi" w:hAnsiTheme="minorHAnsi" w:cstheme="minorHAnsi"/>
          <w:i/>
          <w:iCs/>
          <w:szCs w:val="24"/>
        </w:rPr>
        <w:t>download direct certification, which is a</w:t>
      </w:r>
      <w:r w:rsidRPr="002C0765">
        <w:rPr>
          <w:rFonts w:asciiTheme="minorHAnsi" w:hAnsiTheme="minorHAnsi" w:cstheme="minorHAnsi"/>
          <w:i/>
          <w:iCs/>
          <w:szCs w:val="24"/>
        </w:rPr>
        <w:t xml:space="preserve"> match between SNAP records and student enrollment records at least once annually.  This means the SNAP Direct Certification file must be downloaded at least once every school year and retained on file.</w:t>
      </w:r>
    </w:p>
    <w:p w14:paraId="3A7EFFEC" w14:textId="77777777" w:rsidR="00073D96" w:rsidRDefault="00073D96" w:rsidP="00231BF5">
      <w:pPr>
        <w:rPr>
          <w:rFonts w:asciiTheme="minorHAnsi" w:hAnsiTheme="minorHAnsi" w:cstheme="minorHAnsi"/>
          <w:i/>
          <w:iCs/>
          <w:szCs w:val="24"/>
        </w:rPr>
      </w:pPr>
    </w:p>
    <w:p w14:paraId="58D694DC" w14:textId="77777777" w:rsidR="00073D96" w:rsidRPr="002C0765" w:rsidRDefault="00073D96" w:rsidP="00073D96">
      <w:pPr>
        <w:rPr>
          <w:rFonts w:asciiTheme="minorHAnsi" w:hAnsiTheme="minorHAnsi" w:cstheme="minorHAnsi"/>
          <w:i/>
          <w:iCs/>
          <w:szCs w:val="24"/>
        </w:rPr>
      </w:pPr>
      <w:r w:rsidRPr="00EA29F7">
        <w:rPr>
          <w:rFonts w:asciiTheme="minorHAnsi" w:hAnsiTheme="minorHAnsi" w:cstheme="minorHAnsi"/>
          <w:i/>
          <w:iCs/>
          <w:szCs w:val="24"/>
        </w:rPr>
        <w:lastRenderedPageBreak/>
        <w:t>Conducting direct certification at least annually allows LEAs participating in CEP to take advantage of any ISP increases and ensures directly certified households are aware of their eligibility status which may be used for other programs and benefits, such as Summer EBT or for other educational and school-level benefits. Additionally, running direct certification helps LEAs observe demographic trends.</w:t>
      </w:r>
    </w:p>
    <w:p w14:paraId="4417AE66" w14:textId="77777777" w:rsidR="00EA29F7" w:rsidRDefault="00EA29F7" w:rsidP="00231BF5">
      <w:pPr>
        <w:rPr>
          <w:rFonts w:asciiTheme="minorHAnsi" w:hAnsiTheme="minorHAnsi" w:cstheme="minorHAnsi"/>
          <w:i/>
          <w:iCs/>
          <w:szCs w:val="24"/>
        </w:rPr>
      </w:pPr>
    </w:p>
    <w:p w14:paraId="47A8C2FF" w14:textId="660CDBC5" w:rsidR="00EA29F7" w:rsidRPr="00F9638E" w:rsidRDefault="00073D96" w:rsidP="00231BF5">
      <w:pPr>
        <w:rPr>
          <w:rFonts w:asciiTheme="minorHAnsi" w:hAnsiTheme="minorHAnsi" w:cstheme="minorHAnsi"/>
          <w:b/>
          <w:bCs/>
          <w:i/>
          <w:iCs/>
          <w:szCs w:val="24"/>
        </w:rPr>
      </w:pPr>
      <w:r w:rsidRPr="00F9638E">
        <w:rPr>
          <w:rFonts w:asciiTheme="minorHAnsi" w:hAnsiTheme="minorHAnsi" w:cstheme="minorHAnsi"/>
          <w:b/>
          <w:bCs/>
          <w:i/>
          <w:iCs/>
          <w:color w:val="14578C" w:themeColor="accent1" w:themeShade="BF"/>
          <w:szCs w:val="24"/>
        </w:rPr>
        <w:t xml:space="preserve">[Revised] </w:t>
      </w:r>
      <w:r w:rsidR="00EA29F7" w:rsidRPr="00F9638E">
        <w:rPr>
          <w:rFonts w:asciiTheme="minorHAnsi" w:hAnsiTheme="minorHAnsi" w:cstheme="minorHAnsi"/>
          <w:b/>
          <w:bCs/>
          <w:i/>
          <w:iCs/>
          <w:color w:val="14578C" w:themeColor="accent1" w:themeShade="BF"/>
          <w:szCs w:val="24"/>
        </w:rPr>
        <w:t xml:space="preserve">Do I have to send direct certification eligibility notifications to </w:t>
      </w:r>
      <w:r w:rsidRPr="00F9638E">
        <w:rPr>
          <w:rFonts w:asciiTheme="minorHAnsi" w:hAnsiTheme="minorHAnsi" w:cstheme="minorHAnsi"/>
          <w:b/>
          <w:bCs/>
          <w:i/>
          <w:iCs/>
          <w:color w:val="14578C" w:themeColor="accent1" w:themeShade="BF"/>
          <w:szCs w:val="24"/>
        </w:rPr>
        <w:t xml:space="preserve">CEP </w:t>
      </w:r>
      <w:r w:rsidR="00EA29F7" w:rsidRPr="00F9638E">
        <w:rPr>
          <w:rFonts w:asciiTheme="minorHAnsi" w:hAnsiTheme="minorHAnsi" w:cstheme="minorHAnsi"/>
          <w:b/>
          <w:bCs/>
          <w:i/>
          <w:iCs/>
          <w:color w:val="14578C" w:themeColor="accent1" w:themeShade="BF"/>
          <w:szCs w:val="24"/>
        </w:rPr>
        <w:t>households</w:t>
      </w:r>
      <w:r w:rsidRPr="00F9638E">
        <w:rPr>
          <w:rFonts w:asciiTheme="minorHAnsi" w:hAnsiTheme="minorHAnsi" w:cstheme="minorHAnsi"/>
          <w:b/>
          <w:bCs/>
          <w:i/>
          <w:iCs/>
          <w:color w:val="14578C" w:themeColor="accent1" w:themeShade="BF"/>
          <w:szCs w:val="24"/>
        </w:rPr>
        <w:t>?</w:t>
      </w:r>
      <w:r w:rsidR="00EA29F7" w:rsidRPr="00F9638E">
        <w:rPr>
          <w:rFonts w:asciiTheme="minorHAnsi" w:hAnsiTheme="minorHAnsi" w:cstheme="minorHAnsi"/>
          <w:b/>
          <w:bCs/>
          <w:i/>
          <w:iCs/>
          <w:szCs w:val="24"/>
        </w:rPr>
        <w:t xml:space="preserve"> </w:t>
      </w:r>
    </w:p>
    <w:p w14:paraId="0B07C414" w14:textId="29F04E9B" w:rsidR="00EA29F7" w:rsidRDefault="00EA29F7" w:rsidP="00231BF5">
      <w:pPr>
        <w:rPr>
          <w:rFonts w:asciiTheme="minorHAnsi" w:hAnsiTheme="minorHAnsi" w:cstheme="minorHAnsi"/>
          <w:i/>
          <w:iCs/>
          <w:szCs w:val="24"/>
        </w:rPr>
      </w:pPr>
      <w:r w:rsidRPr="00EA29F7">
        <w:rPr>
          <w:rFonts w:asciiTheme="minorHAnsi" w:hAnsiTheme="minorHAnsi" w:cstheme="minorHAnsi"/>
          <w:i/>
          <w:iCs/>
          <w:szCs w:val="24"/>
        </w:rPr>
        <w:t>LEAs must continue to provide direct certification eligibility notifications to</w:t>
      </w:r>
      <w:r w:rsidR="00073D96">
        <w:rPr>
          <w:rFonts w:asciiTheme="minorHAnsi" w:hAnsiTheme="minorHAnsi" w:cstheme="minorHAnsi"/>
          <w:i/>
          <w:iCs/>
          <w:szCs w:val="24"/>
        </w:rPr>
        <w:t xml:space="preserve"> </w:t>
      </w:r>
      <w:r w:rsidRPr="00EA29F7">
        <w:rPr>
          <w:rFonts w:asciiTheme="minorHAnsi" w:hAnsiTheme="minorHAnsi" w:cstheme="minorHAnsi"/>
          <w:i/>
          <w:iCs/>
          <w:szCs w:val="24"/>
        </w:rPr>
        <w:t>households, even if the children in that household attend a CEP school (7 CFR 245.6(c)(6)(ii)). The LEA’s public notification cannot fulfill this requirement.</w:t>
      </w:r>
    </w:p>
    <w:p w14:paraId="52ABF9A4" w14:textId="77777777" w:rsidR="00EA29F7" w:rsidRDefault="00EA29F7" w:rsidP="00231BF5">
      <w:pPr>
        <w:rPr>
          <w:rFonts w:asciiTheme="minorHAnsi" w:hAnsiTheme="minorHAnsi" w:cstheme="minorHAnsi"/>
          <w:i/>
          <w:iCs/>
          <w:szCs w:val="24"/>
        </w:rPr>
      </w:pPr>
    </w:p>
    <w:p w14:paraId="4701D505" w14:textId="77777777" w:rsidR="00231BF5" w:rsidRPr="00231BF5" w:rsidRDefault="00231BF5" w:rsidP="00231BF5">
      <w:pPr>
        <w:rPr>
          <w:rFonts w:asciiTheme="minorHAnsi" w:hAnsiTheme="minorHAnsi" w:cstheme="minorHAnsi"/>
          <w:b/>
          <w:bCs/>
          <w:i/>
          <w:iCs/>
          <w:color w:val="14578C" w:themeColor="accent1" w:themeShade="BF"/>
          <w:szCs w:val="24"/>
        </w:rPr>
      </w:pPr>
      <w:r w:rsidRPr="00231BF5">
        <w:rPr>
          <w:rFonts w:asciiTheme="minorHAnsi" w:hAnsiTheme="minorHAnsi" w:cstheme="minorHAnsi"/>
          <w:b/>
          <w:bCs/>
          <w:i/>
          <w:iCs/>
          <w:color w:val="14578C" w:themeColor="accent1" w:themeShade="BF"/>
          <w:szCs w:val="24"/>
        </w:rPr>
        <w:t>We have a lot of unpaid meal balances that are outstanding from previous years.  What should I do with these now that we are operating CEP?</w:t>
      </w:r>
    </w:p>
    <w:p w14:paraId="199BCEF9" w14:textId="6894B522" w:rsidR="00231BF5" w:rsidRPr="002C0765" w:rsidRDefault="00231BF5" w:rsidP="00231BF5">
      <w:pPr>
        <w:rPr>
          <w:rFonts w:asciiTheme="minorHAnsi" w:hAnsiTheme="minorHAnsi" w:cstheme="minorHAnsi"/>
          <w:i/>
          <w:iCs/>
          <w:szCs w:val="24"/>
        </w:rPr>
      </w:pPr>
      <w:r w:rsidRPr="00231BF5">
        <w:rPr>
          <w:rFonts w:asciiTheme="minorHAnsi" w:hAnsiTheme="minorHAnsi" w:cstheme="minorHAnsi"/>
          <w:i/>
          <w:iCs/>
          <w:szCs w:val="24"/>
        </w:rPr>
        <w:t>If the debt is considered collectable, reasonable efforts can still be made to collect the unpaid meal charges. If the SFA determines the debt is no longer collectable and ceases effort</w:t>
      </w:r>
      <w:r w:rsidR="002C0765">
        <w:rPr>
          <w:rFonts w:asciiTheme="minorHAnsi" w:hAnsiTheme="minorHAnsi" w:cstheme="minorHAnsi"/>
          <w:i/>
          <w:iCs/>
          <w:szCs w:val="24"/>
        </w:rPr>
        <w:t>s</w:t>
      </w:r>
      <w:r w:rsidRPr="00231BF5">
        <w:rPr>
          <w:rFonts w:asciiTheme="minorHAnsi" w:hAnsiTheme="minorHAnsi" w:cstheme="minorHAnsi"/>
          <w:i/>
          <w:iCs/>
          <w:szCs w:val="24"/>
        </w:rPr>
        <w:t xml:space="preserve"> to obtain payment, then the unpaid balance would be considered bad debt.  The revenue loss from bad debt</w:t>
      </w:r>
      <w:r w:rsidR="002C0765">
        <w:rPr>
          <w:rFonts w:asciiTheme="minorHAnsi" w:hAnsiTheme="minorHAnsi" w:cstheme="minorHAnsi"/>
          <w:i/>
          <w:iCs/>
          <w:szCs w:val="24"/>
        </w:rPr>
        <w:t xml:space="preserve"> </w:t>
      </w:r>
      <w:r w:rsidRPr="00231BF5">
        <w:rPr>
          <w:rFonts w:asciiTheme="minorHAnsi" w:hAnsiTheme="minorHAnsi" w:cstheme="minorHAnsi"/>
          <w:i/>
          <w:iCs/>
          <w:szCs w:val="24"/>
        </w:rPr>
        <w:t>must be restored to the Non-Profit Food Service account with non-federal sources</w:t>
      </w:r>
      <w:r w:rsidR="00400AAB">
        <w:rPr>
          <w:rFonts w:asciiTheme="minorHAnsi" w:hAnsiTheme="minorHAnsi" w:cstheme="minorHAnsi"/>
          <w:i/>
          <w:iCs/>
          <w:szCs w:val="24"/>
        </w:rPr>
        <w:t>.</w:t>
      </w:r>
    </w:p>
    <w:p w14:paraId="5F42E280" w14:textId="77777777" w:rsidR="00934859" w:rsidRDefault="00934859" w:rsidP="00231BF5">
      <w:pPr>
        <w:rPr>
          <w:rFonts w:asciiTheme="minorHAnsi" w:hAnsiTheme="minorHAnsi" w:cstheme="minorHAnsi"/>
          <w:b/>
          <w:bCs/>
          <w:i/>
          <w:iCs/>
          <w:color w:val="14578C" w:themeColor="accent1" w:themeShade="BF"/>
          <w:szCs w:val="24"/>
        </w:rPr>
      </w:pPr>
    </w:p>
    <w:p w14:paraId="10067852" w14:textId="5F79D08F" w:rsidR="00231BF5" w:rsidRPr="00231BF5" w:rsidRDefault="00231BF5" w:rsidP="00231BF5">
      <w:pPr>
        <w:rPr>
          <w:rFonts w:asciiTheme="minorHAnsi" w:hAnsiTheme="minorHAnsi" w:cstheme="minorHAnsi"/>
          <w:b/>
          <w:bCs/>
          <w:i/>
          <w:iCs/>
          <w:color w:val="14578C" w:themeColor="accent1" w:themeShade="BF"/>
          <w:szCs w:val="24"/>
        </w:rPr>
      </w:pPr>
      <w:r w:rsidRPr="00231BF5">
        <w:rPr>
          <w:rFonts w:asciiTheme="minorHAnsi" w:hAnsiTheme="minorHAnsi" w:cstheme="minorHAnsi"/>
          <w:b/>
          <w:bCs/>
          <w:i/>
          <w:iCs/>
          <w:color w:val="14578C" w:themeColor="accent1" w:themeShade="BF"/>
          <w:szCs w:val="24"/>
        </w:rPr>
        <w:t>Can I offer milk at no charge to students who are bringing a lunch from home?</w:t>
      </w:r>
    </w:p>
    <w:p w14:paraId="6342ACA4" w14:textId="29E99223" w:rsidR="00231BF5" w:rsidRPr="00231BF5" w:rsidRDefault="00231BF5" w:rsidP="00231BF5">
      <w:pPr>
        <w:rPr>
          <w:rFonts w:asciiTheme="minorHAnsi" w:hAnsiTheme="minorHAnsi" w:cstheme="minorHAnsi"/>
          <w:i/>
          <w:iCs/>
          <w:color w:val="000000"/>
          <w:szCs w:val="24"/>
        </w:rPr>
      </w:pPr>
      <w:r w:rsidRPr="00231BF5">
        <w:rPr>
          <w:rFonts w:asciiTheme="minorHAnsi" w:hAnsiTheme="minorHAnsi" w:cstheme="minorHAnsi"/>
          <w:i/>
          <w:iCs/>
          <w:szCs w:val="24"/>
        </w:rPr>
        <w:t>Managing milk sales can be a</w:t>
      </w:r>
      <w:r w:rsidR="00934859">
        <w:rPr>
          <w:rFonts w:asciiTheme="minorHAnsi" w:hAnsiTheme="minorHAnsi" w:cstheme="minorHAnsi"/>
          <w:i/>
          <w:iCs/>
          <w:szCs w:val="24"/>
        </w:rPr>
        <w:t xml:space="preserve"> challenge</w:t>
      </w:r>
      <w:r w:rsidRPr="00231BF5">
        <w:rPr>
          <w:rFonts w:asciiTheme="minorHAnsi" w:hAnsiTheme="minorHAnsi" w:cstheme="minorHAnsi"/>
          <w:i/>
          <w:iCs/>
          <w:szCs w:val="24"/>
        </w:rPr>
        <w:t xml:space="preserve"> with CEP. It is hard for students and families to understand that the meal is at no charge but there is a charge for milk. </w:t>
      </w:r>
      <w:r w:rsidRPr="00231BF5">
        <w:rPr>
          <w:rFonts w:asciiTheme="minorHAnsi" w:hAnsiTheme="minorHAnsi" w:cstheme="minorHAnsi"/>
          <w:i/>
          <w:iCs/>
          <w:color w:val="000000"/>
          <w:szCs w:val="24"/>
        </w:rPr>
        <w:t xml:space="preserve">A </w:t>
      </w:r>
      <w:r w:rsidR="002C0765">
        <w:rPr>
          <w:rFonts w:asciiTheme="minorHAnsi" w:hAnsiTheme="minorHAnsi" w:cstheme="minorHAnsi"/>
          <w:i/>
          <w:iCs/>
          <w:color w:val="000000"/>
          <w:szCs w:val="24"/>
        </w:rPr>
        <w:t xml:space="preserve">SFA </w:t>
      </w:r>
      <w:r w:rsidRPr="00231BF5">
        <w:rPr>
          <w:rFonts w:asciiTheme="minorHAnsi" w:hAnsiTheme="minorHAnsi" w:cstheme="minorHAnsi"/>
          <w:i/>
          <w:iCs/>
          <w:color w:val="000000"/>
          <w:szCs w:val="24"/>
        </w:rPr>
        <w:t xml:space="preserve"> may choose to charge student accounts directly for milk sales. As an alternative SFAs can allow students to take milk for free; however, this is not reimbursable or an allowable cost to the Non-Profit Food Service Account and would have to paid for in full through nonfederal funds. The same applies to non-reimbursable meals and a la carte sales.</w:t>
      </w:r>
    </w:p>
    <w:p w14:paraId="0FE5FB07" w14:textId="77777777" w:rsidR="00231BF5" w:rsidRPr="00231BF5" w:rsidRDefault="00231BF5" w:rsidP="00231BF5">
      <w:pPr>
        <w:rPr>
          <w:rFonts w:asciiTheme="minorHAnsi" w:hAnsiTheme="minorHAnsi" w:cstheme="minorHAnsi"/>
          <w:i/>
          <w:iCs/>
          <w:color w:val="000000"/>
          <w:szCs w:val="24"/>
        </w:rPr>
      </w:pPr>
    </w:p>
    <w:p w14:paraId="04DC0128" w14:textId="77777777" w:rsidR="00231BF5" w:rsidRPr="00231BF5" w:rsidRDefault="00231BF5" w:rsidP="00231BF5">
      <w:pPr>
        <w:rPr>
          <w:rFonts w:asciiTheme="minorHAnsi" w:hAnsiTheme="minorHAnsi" w:cstheme="minorHAnsi"/>
          <w:b/>
          <w:bCs/>
          <w:i/>
          <w:iCs/>
          <w:color w:val="14578C" w:themeColor="accent1" w:themeShade="BF"/>
          <w:szCs w:val="24"/>
        </w:rPr>
      </w:pPr>
      <w:r w:rsidRPr="00231BF5">
        <w:rPr>
          <w:rFonts w:asciiTheme="minorHAnsi" w:hAnsiTheme="minorHAnsi" w:cstheme="minorHAnsi"/>
          <w:b/>
          <w:bCs/>
          <w:i/>
          <w:iCs/>
          <w:color w:val="14578C" w:themeColor="accent1" w:themeShade="BF"/>
          <w:szCs w:val="24"/>
        </w:rPr>
        <w:t>What is different about meal counting and claiming?</w:t>
      </w:r>
    </w:p>
    <w:p w14:paraId="07250532" w14:textId="77777777" w:rsidR="00231BF5" w:rsidRPr="00231BF5" w:rsidRDefault="00231BF5" w:rsidP="00231BF5">
      <w:pPr>
        <w:rPr>
          <w:rFonts w:asciiTheme="minorHAnsi" w:hAnsiTheme="minorHAnsi" w:cstheme="minorHAnsi"/>
          <w:i/>
          <w:iCs/>
          <w:szCs w:val="24"/>
        </w:rPr>
      </w:pPr>
      <w:r w:rsidRPr="00231BF5">
        <w:rPr>
          <w:rFonts w:asciiTheme="minorHAnsi" w:hAnsiTheme="minorHAnsi" w:cstheme="minorHAnsi"/>
          <w:i/>
          <w:iCs/>
          <w:szCs w:val="24"/>
        </w:rPr>
        <w:t xml:space="preserve">Meal Counting and Claiming in CEP is streamlined, as individual eligibility categories are eliminated. During meal service, schools are required to keep accurate meal counts and maintain a Point of Service (POS) system that ensures reimbursements are claimed only once for each student served a reimbursable meal . Schools may not claim reimbursement for additional meals served to students.  Clicker and tally sheets are acceptable meal counting methods </w:t>
      </w:r>
      <w:proofErr w:type="gramStart"/>
      <w:r w:rsidRPr="00231BF5">
        <w:rPr>
          <w:rFonts w:asciiTheme="minorHAnsi" w:hAnsiTheme="minorHAnsi" w:cstheme="minorHAnsi"/>
          <w:i/>
          <w:iCs/>
          <w:szCs w:val="24"/>
        </w:rPr>
        <w:t>as long as</w:t>
      </w:r>
      <w:proofErr w:type="gramEnd"/>
      <w:r w:rsidRPr="00231BF5">
        <w:rPr>
          <w:rFonts w:asciiTheme="minorHAnsi" w:hAnsiTheme="minorHAnsi" w:cstheme="minorHAnsi"/>
          <w:i/>
          <w:iCs/>
          <w:szCs w:val="24"/>
        </w:rPr>
        <w:t xml:space="preserve"> there is a system in place to ensure duplicate meals are not claimed for the same child.</w:t>
      </w:r>
    </w:p>
    <w:p w14:paraId="32450257" w14:textId="77777777" w:rsidR="00231BF5" w:rsidRPr="00231BF5" w:rsidRDefault="00231BF5" w:rsidP="00231BF5">
      <w:pPr>
        <w:rPr>
          <w:rFonts w:asciiTheme="minorHAnsi" w:hAnsiTheme="minorHAnsi" w:cstheme="minorHAnsi"/>
          <w:szCs w:val="24"/>
        </w:rPr>
      </w:pPr>
    </w:p>
    <w:p w14:paraId="1C779FC5" w14:textId="77777777" w:rsidR="00231BF5" w:rsidRPr="00231BF5" w:rsidRDefault="00231BF5" w:rsidP="00231BF5">
      <w:pPr>
        <w:rPr>
          <w:rFonts w:asciiTheme="minorHAnsi" w:hAnsiTheme="minorHAnsi" w:cstheme="minorHAnsi"/>
          <w:b/>
          <w:bCs/>
          <w:i/>
          <w:iCs/>
          <w:color w:val="14578C" w:themeColor="accent1" w:themeShade="BF"/>
          <w:szCs w:val="24"/>
        </w:rPr>
      </w:pPr>
      <w:r w:rsidRPr="00231BF5">
        <w:rPr>
          <w:rFonts w:asciiTheme="minorHAnsi" w:hAnsiTheme="minorHAnsi" w:cstheme="minorHAnsi"/>
          <w:b/>
          <w:bCs/>
          <w:i/>
          <w:iCs/>
          <w:color w:val="14578C" w:themeColor="accent1" w:themeShade="BF"/>
          <w:szCs w:val="24"/>
        </w:rPr>
        <w:t>How do I conduct verification for CEP schools?</w:t>
      </w:r>
    </w:p>
    <w:p w14:paraId="34390C14" w14:textId="4A79B671" w:rsidR="00231BF5" w:rsidRPr="00231BF5" w:rsidRDefault="00400AAB" w:rsidP="00231BF5">
      <w:pPr>
        <w:rPr>
          <w:rFonts w:asciiTheme="minorHAnsi" w:hAnsiTheme="minorHAnsi" w:cstheme="minorHAnsi"/>
          <w:i/>
          <w:iCs/>
          <w:szCs w:val="24"/>
        </w:rPr>
      </w:pPr>
      <w:r>
        <w:rPr>
          <w:rFonts w:asciiTheme="minorHAnsi" w:hAnsiTheme="minorHAnsi" w:cstheme="minorHAnsi"/>
          <w:i/>
          <w:iCs/>
          <w:szCs w:val="24"/>
        </w:rPr>
        <w:t xml:space="preserve">All Sponsors must complete the FNS- 742 Verification Collection Report. </w:t>
      </w:r>
      <w:r w:rsidR="00231BF5" w:rsidRPr="00231BF5">
        <w:rPr>
          <w:rFonts w:asciiTheme="minorHAnsi" w:hAnsiTheme="minorHAnsi" w:cstheme="minorHAnsi"/>
          <w:i/>
          <w:iCs/>
          <w:szCs w:val="24"/>
        </w:rPr>
        <w:t xml:space="preserve">SFA’s that are districtwide CEP do not perform verification </w:t>
      </w:r>
      <w:r w:rsidRPr="00231BF5">
        <w:rPr>
          <w:rFonts w:asciiTheme="minorHAnsi" w:hAnsiTheme="minorHAnsi" w:cstheme="minorHAnsi"/>
          <w:i/>
          <w:iCs/>
          <w:szCs w:val="24"/>
        </w:rPr>
        <w:t>activities but</w:t>
      </w:r>
      <w:r w:rsidR="00231BF5" w:rsidRPr="00231BF5">
        <w:rPr>
          <w:rFonts w:asciiTheme="minorHAnsi" w:hAnsiTheme="minorHAnsi" w:cstheme="minorHAnsi"/>
          <w:i/>
          <w:iCs/>
          <w:szCs w:val="24"/>
        </w:rPr>
        <w:t xml:space="preserve"> are required to submit the FNS-742 Verification Collection Report, as it contains baseline enrollment information that is submitted to USDA.  SFAs with some, but not all schools electing CEP must conduct verification in schools operating standard counting and claiming.</w:t>
      </w:r>
    </w:p>
    <w:p w14:paraId="677DF0C9" w14:textId="77777777" w:rsidR="00231BF5" w:rsidRPr="00231BF5" w:rsidRDefault="00231BF5" w:rsidP="00E933BA">
      <w:pPr>
        <w:rPr>
          <w:rFonts w:asciiTheme="minorHAnsi" w:hAnsiTheme="minorHAnsi" w:cstheme="minorHAnsi"/>
          <w:b/>
        </w:rPr>
      </w:pPr>
    </w:p>
    <w:p w14:paraId="510B9ECF" w14:textId="77777777" w:rsidR="00E933BA" w:rsidRDefault="00910723" w:rsidP="005B6A53">
      <w:pPr>
        <w:rPr>
          <w:rFonts w:asciiTheme="minorHAnsi" w:hAnsiTheme="minorHAnsi" w:cstheme="minorHAnsi"/>
        </w:rPr>
      </w:pPr>
      <w:r w:rsidRPr="00231BF5">
        <w:rPr>
          <w:rFonts w:asciiTheme="minorHAnsi" w:hAnsiTheme="minorHAnsi" w:cstheme="minorHAnsi"/>
          <w:b/>
        </w:rPr>
        <w:t xml:space="preserve">Helpful </w:t>
      </w:r>
      <w:r w:rsidR="00E933BA" w:rsidRPr="00231BF5">
        <w:rPr>
          <w:rFonts w:asciiTheme="minorHAnsi" w:hAnsiTheme="minorHAnsi" w:cstheme="minorHAnsi"/>
          <w:b/>
        </w:rPr>
        <w:t>R</w:t>
      </w:r>
      <w:r w:rsidR="005B6A53" w:rsidRPr="00231BF5">
        <w:rPr>
          <w:rFonts w:asciiTheme="minorHAnsi" w:hAnsiTheme="minorHAnsi" w:cstheme="minorHAnsi"/>
          <w:b/>
        </w:rPr>
        <w:t>esources:</w:t>
      </w:r>
      <w:r w:rsidR="005B6A53" w:rsidRPr="00231BF5">
        <w:rPr>
          <w:rFonts w:asciiTheme="minorHAnsi" w:hAnsiTheme="minorHAnsi" w:cstheme="minorHAnsi"/>
        </w:rPr>
        <w:t xml:space="preserve"> </w:t>
      </w:r>
    </w:p>
    <w:p w14:paraId="39737DB5" w14:textId="77777777" w:rsidR="006B707E" w:rsidRPr="006B707E" w:rsidRDefault="00000000" w:rsidP="006B707E">
      <w:pPr>
        <w:pStyle w:val="ListParagraph"/>
        <w:numPr>
          <w:ilvl w:val="0"/>
          <w:numId w:val="23"/>
        </w:numPr>
        <w:spacing w:after="200"/>
        <w:rPr>
          <w:rStyle w:val="Hyperlink"/>
          <w:rFonts w:asciiTheme="minorHAnsi" w:hAnsiTheme="minorHAnsi" w:cstheme="minorHAnsi"/>
          <w:color w:val="auto"/>
          <w:u w:val="none"/>
        </w:rPr>
      </w:pPr>
      <w:hyperlink r:id="rId15" w:anchor="SP" w:history="1">
        <w:r w:rsidR="006B707E" w:rsidRPr="006B707E">
          <w:rPr>
            <w:rStyle w:val="Hyperlink"/>
            <w:rFonts w:asciiTheme="minorHAnsi" w:hAnsiTheme="minorHAnsi" w:cstheme="minorHAnsi"/>
          </w:rPr>
          <w:t>ODE SNP: Special Provisions</w:t>
        </w:r>
      </w:hyperlink>
    </w:p>
    <w:p w14:paraId="15133E54" w14:textId="1E4AE041" w:rsidR="006B707E" w:rsidRPr="006B707E" w:rsidRDefault="00000000" w:rsidP="006B707E">
      <w:pPr>
        <w:pStyle w:val="ListParagraph"/>
        <w:numPr>
          <w:ilvl w:val="0"/>
          <w:numId w:val="23"/>
        </w:numPr>
        <w:spacing w:after="200"/>
        <w:rPr>
          <w:rStyle w:val="Hyperlink"/>
          <w:rFonts w:asciiTheme="minorHAnsi" w:hAnsiTheme="minorHAnsi" w:cstheme="minorHAnsi"/>
          <w:color w:val="auto"/>
          <w:u w:val="none"/>
        </w:rPr>
      </w:pPr>
      <w:hyperlink r:id="rId16" w:history="1">
        <w:r w:rsidR="006B707E" w:rsidRPr="006B707E">
          <w:rPr>
            <w:rStyle w:val="Hyperlink"/>
            <w:rFonts w:asciiTheme="minorHAnsi" w:hAnsiTheme="minorHAnsi" w:cstheme="minorHAnsi"/>
          </w:rPr>
          <w:t>Community Eligibility Provision Resource Center | Food and Nutrition Service (usda.gov)</w:t>
        </w:r>
      </w:hyperlink>
    </w:p>
    <w:p w14:paraId="313BE8C3" w14:textId="625D4A31" w:rsidR="006B707E" w:rsidRPr="006B707E" w:rsidRDefault="00000000" w:rsidP="006B707E">
      <w:pPr>
        <w:pStyle w:val="ListParagraph"/>
        <w:numPr>
          <w:ilvl w:val="0"/>
          <w:numId w:val="23"/>
        </w:numPr>
        <w:spacing w:after="200"/>
        <w:rPr>
          <w:rFonts w:asciiTheme="minorHAnsi" w:hAnsiTheme="minorHAnsi" w:cstheme="minorHAnsi"/>
        </w:rPr>
      </w:pPr>
      <w:hyperlink r:id="rId17" w:history="1">
        <w:r w:rsidR="006B707E" w:rsidRPr="006B707E">
          <w:rPr>
            <w:rStyle w:val="Hyperlink"/>
            <w:rFonts w:asciiTheme="minorHAnsi" w:hAnsiTheme="minorHAnsi" w:cstheme="minorHAnsi"/>
          </w:rPr>
          <w:t>CEP Planning and Implementation Guidance</w:t>
        </w:r>
      </w:hyperlink>
    </w:p>
    <w:p w14:paraId="131FD65A" w14:textId="77777777" w:rsidR="00E933BA" w:rsidRDefault="00910723" w:rsidP="00E933BA">
      <w:pPr>
        <w:rPr>
          <w:rFonts w:asciiTheme="minorHAnsi" w:hAnsiTheme="minorHAnsi" w:cstheme="minorHAnsi"/>
        </w:rPr>
      </w:pPr>
      <w:r w:rsidRPr="00231BF5">
        <w:rPr>
          <w:rFonts w:asciiTheme="minorHAnsi" w:hAnsiTheme="minorHAnsi" w:cstheme="minorHAnsi"/>
          <w:b/>
        </w:rPr>
        <w:lastRenderedPageBreak/>
        <w:t xml:space="preserve">Regulatory </w:t>
      </w:r>
      <w:r w:rsidR="005B6A53" w:rsidRPr="00231BF5">
        <w:rPr>
          <w:rFonts w:asciiTheme="minorHAnsi" w:hAnsiTheme="minorHAnsi" w:cstheme="minorHAnsi"/>
          <w:b/>
        </w:rPr>
        <w:t>Reference:</w:t>
      </w:r>
      <w:r w:rsidR="005B6A53" w:rsidRPr="00231BF5">
        <w:rPr>
          <w:rFonts w:asciiTheme="minorHAnsi" w:hAnsiTheme="minorHAnsi" w:cstheme="minorHAnsi"/>
        </w:rPr>
        <w:t xml:space="preserve"> </w:t>
      </w:r>
    </w:p>
    <w:p w14:paraId="22B1E338" w14:textId="30A711E0" w:rsidR="006B707E" w:rsidRPr="006B707E" w:rsidRDefault="00000000" w:rsidP="006B707E">
      <w:pPr>
        <w:pStyle w:val="ListParagraph"/>
        <w:numPr>
          <w:ilvl w:val="0"/>
          <w:numId w:val="24"/>
        </w:numPr>
        <w:spacing w:after="200"/>
        <w:rPr>
          <w:rFonts w:asciiTheme="minorHAnsi" w:hAnsiTheme="minorHAnsi" w:cstheme="minorHAnsi"/>
        </w:rPr>
      </w:pPr>
      <w:hyperlink r:id="rId18" w:anchor="p-245.9(f)" w:history="1">
        <w:r w:rsidR="006B707E" w:rsidRPr="006B707E">
          <w:rPr>
            <w:rStyle w:val="Hyperlink"/>
            <w:rFonts w:asciiTheme="minorHAnsi" w:hAnsiTheme="minorHAnsi" w:cstheme="minorHAnsi"/>
          </w:rPr>
          <w:t>7 CFR 245.9(f)</w:t>
        </w:r>
      </w:hyperlink>
      <w:r w:rsidR="006B707E" w:rsidRPr="006B707E">
        <w:rPr>
          <w:rFonts w:asciiTheme="minorHAnsi" w:hAnsiTheme="minorHAnsi" w:cstheme="minorHAnsi"/>
        </w:rPr>
        <w:t xml:space="preserve"> Community eligibility.</w:t>
      </w:r>
    </w:p>
    <w:p w14:paraId="553F3BB1" w14:textId="77777777" w:rsidR="006B707E" w:rsidRPr="006B707E" w:rsidRDefault="00000000" w:rsidP="006B707E">
      <w:pPr>
        <w:pStyle w:val="ListParagraph"/>
        <w:numPr>
          <w:ilvl w:val="0"/>
          <w:numId w:val="24"/>
        </w:numPr>
        <w:spacing w:after="200"/>
        <w:rPr>
          <w:rStyle w:val="Hyperlink"/>
          <w:rFonts w:asciiTheme="minorHAnsi" w:hAnsiTheme="minorHAnsi" w:cstheme="minorHAnsi"/>
          <w:color w:val="auto"/>
          <w:u w:val="none"/>
        </w:rPr>
      </w:pPr>
      <w:hyperlink r:id="rId19" w:history="1">
        <w:r w:rsidR="006B707E" w:rsidRPr="006B707E">
          <w:rPr>
            <w:rStyle w:val="Hyperlink"/>
            <w:rFonts w:asciiTheme="minorHAnsi" w:hAnsiTheme="minorHAnsi" w:cstheme="minorHAnsi"/>
          </w:rPr>
          <w:t>SP 09-2024 – Community Eligibility Provision: Guidance and Updated Q&amp;As</w:t>
        </w:r>
      </w:hyperlink>
      <w:r w:rsidR="006B707E" w:rsidRPr="006B707E">
        <w:rPr>
          <w:rFonts w:asciiTheme="minorHAnsi" w:hAnsiTheme="minorHAnsi" w:cstheme="minorHAnsi"/>
        </w:rPr>
        <w:fldChar w:fldCharType="begin"/>
      </w:r>
      <w:r w:rsidR="006B707E" w:rsidRPr="006B707E">
        <w:rPr>
          <w:rFonts w:asciiTheme="minorHAnsi" w:hAnsiTheme="minorHAnsi" w:cstheme="minorHAnsi"/>
        </w:rPr>
        <w:instrText>HYPERLINK "https://www.fns.usda.gov/cn/cep-planning-implementation-guidance"</w:instrText>
      </w:r>
      <w:r w:rsidR="006B707E" w:rsidRPr="006B707E">
        <w:rPr>
          <w:rFonts w:asciiTheme="minorHAnsi" w:hAnsiTheme="minorHAnsi" w:cstheme="minorHAnsi"/>
        </w:rPr>
      </w:r>
      <w:r w:rsidR="006B707E" w:rsidRPr="006B707E">
        <w:rPr>
          <w:rFonts w:asciiTheme="minorHAnsi" w:hAnsiTheme="minorHAnsi" w:cstheme="minorHAnsi"/>
        </w:rPr>
        <w:fldChar w:fldCharType="separate"/>
      </w:r>
    </w:p>
    <w:p w14:paraId="75E1CE03" w14:textId="77777777" w:rsidR="006B707E" w:rsidRPr="006B707E" w:rsidRDefault="006B707E" w:rsidP="006B707E">
      <w:pPr>
        <w:pStyle w:val="ListParagraph"/>
        <w:numPr>
          <w:ilvl w:val="0"/>
          <w:numId w:val="24"/>
        </w:numPr>
        <w:spacing w:after="200"/>
        <w:rPr>
          <w:rFonts w:asciiTheme="minorHAnsi" w:hAnsiTheme="minorHAnsi" w:cstheme="minorHAnsi"/>
        </w:rPr>
      </w:pPr>
      <w:r w:rsidRPr="006B707E">
        <w:rPr>
          <w:rFonts w:asciiTheme="minorHAnsi" w:hAnsiTheme="minorHAnsi" w:cstheme="minorHAnsi"/>
        </w:rPr>
        <w:fldChar w:fldCharType="end"/>
      </w:r>
      <w:hyperlink r:id="rId20" w:history="1">
        <w:r w:rsidRPr="006B707E">
          <w:rPr>
            <w:rStyle w:val="Hyperlink"/>
            <w:rFonts w:asciiTheme="minorHAnsi" w:hAnsiTheme="minorHAnsi" w:cstheme="minorHAnsi"/>
          </w:rPr>
          <w:t>SP 08-2024: Community Eligibility Provision: Planning and Implementation Guidance - Updated</w:t>
        </w:r>
      </w:hyperlink>
      <w:r w:rsidRPr="006B707E">
        <w:rPr>
          <w:rFonts w:asciiTheme="minorHAnsi" w:hAnsiTheme="minorHAnsi" w:cstheme="minorHAnsi"/>
        </w:rPr>
        <w:t xml:space="preserve"> </w:t>
      </w:r>
    </w:p>
    <w:p w14:paraId="48B14F62" w14:textId="77777777" w:rsidR="006B707E" w:rsidRPr="00231BF5" w:rsidRDefault="006B707E" w:rsidP="00E933BA">
      <w:pPr>
        <w:rPr>
          <w:rFonts w:asciiTheme="minorHAnsi" w:hAnsiTheme="minorHAnsi" w:cstheme="minorHAnsi"/>
        </w:rPr>
      </w:pPr>
    </w:p>
    <w:p w14:paraId="095FD55F" w14:textId="77777777" w:rsidR="006A639E" w:rsidRPr="00231BF5" w:rsidRDefault="006A639E" w:rsidP="00A46EDE">
      <w:pPr>
        <w:rPr>
          <w:rFonts w:asciiTheme="minorHAnsi" w:hAnsiTheme="minorHAnsi" w:cstheme="minorHAnsi"/>
          <w:szCs w:val="24"/>
        </w:rPr>
      </w:pPr>
      <w:r w:rsidRPr="00231BF5">
        <w:rPr>
          <w:rFonts w:asciiTheme="minorHAnsi" w:hAnsiTheme="minorHAnsi" w:cstheme="minorHAnsi"/>
          <w:szCs w:val="24"/>
        </w:rPr>
        <w:t>This institution is an equal opportunity provider.</w:t>
      </w:r>
    </w:p>
    <w:p w14:paraId="3C894BAB" w14:textId="77777777" w:rsidR="00A46EDE" w:rsidRPr="00231BF5" w:rsidRDefault="00A46EDE" w:rsidP="00A46EDE">
      <w:pPr>
        <w:rPr>
          <w:rFonts w:asciiTheme="minorHAnsi" w:hAnsiTheme="minorHAnsi" w:cstheme="minorHAnsi"/>
          <w:color w:val="9F2065" w:themeColor="accent2"/>
          <w:szCs w:val="24"/>
        </w:rPr>
      </w:pPr>
    </w:p>
    <w:p w14:paraId="7A28B4C3" w14:textId="25C65489" w:rsidR="00A46EDE" w:rsidRPr="006A639E" w:rsidRDefault="00A46EDE" w:rsidP="00A46EDE">
      <w:pPr>
        <w:rPr>
          <w:rFonts w:ascii="Calibri" w:hAnsi="Calibri" w:cs="Calibri"/>
          <w:color w:val="9F2065" w:themeColor="accent2"/>
          <w:szCs w:val="24"/>
        </w:rPr>
      </w:pPr>
    </w:p>
    <w:sectPr w:rsidR="00A46EDE" w:rsidRPr="006A639E" w:rsidSect="00F9638E">
      <w:headerReference w:type="default" r:id="rId21"/>
      <w:footerReference w:type="default" r:id="rId22"/>
      <w:headerReference w:type="first" r:id="rId23"/>
      <w:pgSz w:w="12240" w:h="15840"/>
      <w:pgMar w:top="1350" w:right="1440" w:bottom="6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7D7A0" w14:textId="77777777" w:rsidR="00115D35" w:rsidRDefault="00115D35" w:rsidP="006B7F2B">
      <w:r>
        <w:separator/>
      </w:r>
    </w:p>
  </w:endnote>
  <w:endnote w:type="continuationSeparator" w:id="0">
    <w:p w14:paraId="46F5A49B" w14:textId="77777777" w:rsidR="00115D35" w:rsidRDefault="00115D35" w:rsidP="006B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DF923" w14:textId="22A103DA" w:rsidR="006A639E" w:rsidRPr="006A639E" w:rsidRDefault="006A639E" w:rsidP="006A639E">
    <w:pPr>
      <w:rPr>
        <w:rFonts w:ascii="Calibri" w:hAnsi="Calibri" w:cs="Calibri"/>
        <w:i/>
        <w:color w:val="1B75BC" w:themeColor="accent1"/>
        <w:szCs w:val="24"/>
      </w:rPr>
    </w:pPr>
    <w:r w:rsidRPr="006A639E">
      <w:rPr>
        <w:rFonts w:ascii="Calibri" w:hAnsi="Calibri" w:cs="Calibri"/>
        <w:i/>
        <w:color w:val="1B75BC" w:themeColor="accent1"/>
        <w:szCs w:val="24"/>
      </w:rPr>
      <w:t xml:space="preserve">Oregon Department of Education Child Nutrition Programs </w:t>
    </w:r>
    <w:r>
      <w:rPr>
        <w:rFonts w:ascii="Calibri" w:hAnsi="Calibri" w:cs="Calibri"/>
        <w:i/>
        <w:color w:val="1B75BC" w:themeColor="accent1"/>
        <w:szCs w:val="24"/>
      </w:rPr>
      <w:tab/>
    </w:r>
    <w:r>
      <w:rPr>
        <w:rFonts w:ascii="Calibri" w:hAnsi="Calibri" w:cs="Calibri"/>
        <w:i/>
        <w:color w:val="1B75BC" w:themeColor="accent1"/>
        <w:szCs w:val="24"/>
      </w:rPr>
      <w:tab/>
    </w:r>
    <w:r>
      <w:rPr>
        <w:rFonts w:ascii="Calibri" w:hAnsi="Calibri" w:cs="Calibri"/>
        <w:i/>
        <w:color w:val="1B75BC" w:themeColor="accent1"/>
        <w:szCs w:val="24"/>
      </w:rPr>
      <w:tab/>
      <w:t xml:space="preserve">         </w:t>
    </w:r>
    <w:r w:rsidR="00231BF5">
      <w:rPr>
        <w:rFonts w:ascii="Calibri" w:hAnsi="Calibri" w:cs="Calibri"/>
        <w:i/>
        <w:color w:val="1B75BC" w:themeColor="accent1"/>
        <w:szCs w:val="24"/>
      </w:rPr>
      <w:t xml:space="preserve">       </w:t>
    </w:r>
    <w:r>
      <w:rPr>
        <w:rFonts w:ascii="Calibri" w:hAnsi="Calibri" w:cs="Calibri"/>
        <w:i/>
        <w:color w:val="1B75BC" w:themeColor="accent1"/>
        <w:szCs w:val="24"/>
      </w:rPr>
      <w:t xml:space="preserve"> </w:t>
    </w:r>
    <w:r w:rsidR="00231BF5">
      <w:rPr>
        <w:rFonts w:ascii="Calibri" w:hAnsi="Calibri" w:cs="Calibri"/>
        <w:i/>
        <w:color w:val="1B75BC" w:themeColor="accent1"/>
        <w:szCs w:val="24"/>
      </w:rPr>
      <w:t>August 2024</w:t>
    </w:r>
  </w:p>
  <w:p w14:paraId="354B5A74" w14:textId="77777777" w:rsidR="006A639E" w:rsidRDefault="006A6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BD375" w14:textId="77777777" w:rsidR="00115D35" w:rsidRDefault="00115D35" w:rsidP="006B7F2B">
      <w:r>
        <w:separator/>
      </w:r>
    </w:p>
  </w:footnote>
  <w:footnote w:type="continuationSeparator" w:id="0">
    <w:p w14:paraId="5DA0A6F8" w14:textId="77777777" w:rsidR="00115D35" w:rsidRDefault="00115D35" w:rsidP="006B7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044E3" w14:textId="2DCF87CC" w:rsidR="006B7F2B" w:rsidRPr="00EC5D23" w:rsidRDefault="006B707E" w:rsidP="00EC5D23">
    <w:pPr>
      <w:pStyle w:val="Header"/>
      <w:rPr>
        <w:rStyle w:val="IntenseEmphasis"/>
      </w:rPr>
    </w:pPr>
    <w:r>
      <w:rPr>
        <w:rStyle w:val="IntenseEmphasis"/>
      </w:rPr>
      <w:t>Community Eligibility Provision Operations                                                              FAQ’s</w:t>
    </w:r>
  </w:p>
  <w:p w14:paraId="443FB944" w14:textId="77777777" w:rsidR="006B7F2B" w:rsidRPr="006B7F2B" w:rsidRDefault="00EC5D23" w:rsidP="006B7F2B">
    <w:r>
      <w:rPr>
        <w:noProof/>
      </w:rPr>
      <mc:AlternateContent>
        <mc:Choice Requires="wps">
          <w:drawing>
            <wp:anchor distT="0" distB="0" distL="114300" distR="114300" simplePos="0" relativeHeight="251659264" behindDoc="0" locked="0" layoutInCell="1" allowOverlap="1" wp14:anchorId="10B831A6" wp14:editId="05555864">
              <wp:simplePos x="0" y="0"/>
              <wp:positionH relativeFrom="column">
                <wp:posOffset>-95416</wp:posOffset>
              </wp:positionH>
              <wp:positionV relativeFrom="paragraph">
                <wp:posOffset>59221</wp:posOffset>
              </wp:positionV>
              <wp:extent cx="6057900" cy="0"/>
              <wp:effectExtent l="0" t="0" r="19050" b="19050"/>
              <wp:wrapNone/>
              <wp:docPr id="6" name="Straight Connector 6" descr="Decorative Straight Line" title="Straight Line"/>
              <wp:cNvGraphicFramePr/>
              <a:graphic xmlns:a="http://schemas.openxmlformats.org/drawingml/2006/main">
                <a:graphicData uri="http://schemas.microsoft.com/office/word/2010/wordprocessingShape">
                  <wps:wsp>
                    <wps:cNvCnPr/>
                    <wps:spPr>
                      <a:xfrm>
                        <a:off x="0" y="0"/>
                        <a:ext cx="60579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9ADC5" id="Straight Connector 6" o:spid="_x0000_s1026" alt="Title: Straight Line - Description: Decorative Straight Lin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" strokecolor="#1b75bc [320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46DF0" w14:textId="5A00BDC4" w:rsidR="00EC5D23" w:rsidRPr="00EF44E6" w:rsidRDefault="00EC5D23" w:rsidP="00EC5D23">
    <w:pPr>
      <w:pStyle w:val="Header"/>
      <w:jc w:val="center"/>
      <w:rPr>
        <w:rStyle w:val="TitleChar"/>
        <w:b/>
        <w:bCs/>
        <w:sz w:val="44"/>
        <w:szCs w:val="44"/>
      </w:rPr>
    </w:pPr>
    <w:r w:rsidRPr="00EF44E6">
      <w:rPr>
        <w:rStyle w:val="TitleChar"/>
        <w:b/>
        <w:bCs/>
        <w:noProof/>
        <w:sz w:val="44"/>
        <w:szCs w:val="44"/>
      </w:rPr>
      <w:drawing>
        <wp:anchor distT="0" distB="0" distL="114300" distR="114300" simplePos="0" relativeHeight="251662336" behindDoc="1" locked="0" layoutInCell="1" allowOverlap="1" wp14:anchorId="362CB8D0" wp14:editId="6CBADE26">
          <wp:simplePos x="0" y="0"/>
          <wp:positionH relativeFrom="column">
            <wp:posOffset>-898525</wp:posOffset>
          </wp:positionH>
          <wp:positionV relativeFrom="paragraph">
            <wp:posOffset>-457200</wp:posOffset>
          </wp:positionV>
          <wp:extent cx="1033145" cy="1042670"/>
          <wp:effectExtent l="0" t="0" r="0" b="5080"/>
          <wp:wrapSquare wrapText="bothSides"/>
          <wp:docPr id="935654570" name="Picture 935654570" descr="Graduation cap Oregon Department of Education "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ODE Logo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145" cy="1042670"/>
                  </a:xfrm>
                  <a:prstGeom prst="rect">
                    <a:avLst/>
                  </a:prstGeom>
                </pic:spPr>
              </pic:pic>
            </a:graphicData>
          </a:graphic>
          <wp14:sizeRelH relativeFrom="page">
            <wp14:pctWidth>0</wp14:pctWidth>
          </wp14:sizeRelH>
          <wp14:sizeRelV relativeFrom="page">
            <wp14:pctHeight>0</wp14:pctHeight>
          </wp14:sizeRelV>
        </wp:anchor>
      </w:drawing>
    </w:r>
    <w:r w:rsidR="00231BF5" w:rsidRPr="00EF44E6">
      <w:rPr>
        <w:rStyle w:val="TitleChar"/>
        <w:b/>
        <w:bCs/>
        <w:sz w:val="44"/>
        <w:szCs w:val="44"/>
      </w:rPr>
      <w:t>Community Eligibility Provision Operations: FAQ’s</w:t>
    </w:r>
  </w:p>
  <w:p w14:paraId="71FA4516" w14:textId="77777777" w:rsidR="00EC5D23" w:rsidRDefault="00EC5D23">
    <w:pPr>
      <w:pStyle w:val="Header"/>
    </w:pPr>
    <w:r>
      <w:rPr>
        <w:noProof/>
      </w:rPr>
      <mc:AlternateContent>
        <mc:Choice Requires="wps">
          <w:drawing>
            <wp:anchor distT="0" distB="0" distL="114300" distR="114300" simplePos="0" relativeHeight="251665408" behindDoc="0" locked="0" layoutInCell="1" allowOverlap="1" wp14:anchorId="57E948CC" wp14:editId="2B9A90A7">
              <wp:simplePos x="0" y="0"/>
              <wp:positionH relativeFrom="column">
                <wp:posOffset>39756</wp:posOffset>
              </wp:positionH>
              <wp:positionV relativeFrom="paragraph">
                <wp:posOffset>70568</wp:posOffset>
              </wp:positionV>
              <wp:extent cx="5876013" cy="0"/>
              <wp:effectExtent l="0" t="0" r="29845" b="19050"/>
              <wp:wrapNone/>
              <wp:docPr id="8" name="Straight Connector 8" descr="Decorative straight line" title="Straight Line"/>
              <wp:cNvGraphicFramePr/>
              <a:graphic xmlns:a="http://schemas.openxmlformats.org/drawingml/2006/main">
                <a:graphicData uri="http://schemas.microsoft.com/office/word/2010/wordprocessingShape">
                  <wps:wsp>
                    <wps:cNvCnPr/>
                    <wps:spPr>
                      <a:xfrm>
                        <a:off x="0" y="0"/>
                        <a:ext cx="5876013"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65EF93" id="Straight Connector 8" o:spid="_x0000_s1026" alt="Title: Straight Line - Description: Decorative straight 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15pt,5.55pt" to="465.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" strokecolor="#1b75bc [3204]"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DFAFB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1C38BE"/>
    <w:multiLevelType w:val="hybridMultilevel"/>
    <w:tmpl w:val="44CEE5A0"/>
    <w:lvl w:ilvl="0" w:tplc="0409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95E159D"/>
    <w:multiLevelType w:val="hybridMultilevel"/>
    <w:tmpl w:val="B49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E3727"/>
    <w:multiLevelType w:val="hybridMultilevel"/>
    <w:tmpl w:val="1A8E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A3B4C"/>
    <w:multiLevelType w:val="hybridMultilevel"/>
    <w:tmpl w:val="5D62F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AC5AF2"/>
    <w:multiLevelType w:val="hybridMultilevel"/>
    <w:tmpl w:val="6ADAB02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B63450"/>
    <w:multiLevelType w:val="hybridMultilevel"/>
    <w:tmpl w:val="3788C3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3402D"/>
    <w:multiLevelType w:val="multilevel"/>
    <w:tmpl w:val="96B88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683F8C"/>
    <w:multiLevelType w:val="hybridMultilevel"/>
    <w:tmpl w:val="53928DB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A41517"/>
    <w:multiLevelType w:val="hybridMultilevel"/>
    <w:tmpl w:val="6B82BFDE"/>
    <w:lvl w:ilvl="0" w:tplc="4CB2A9C4">
      <w:start w:val="1"/>
      <w:numFmt w:val="bullet"/>
      <w:lvlText w:val=""/>
      <w:lvlJc w:val="left"/>
      <w:pPr>
        <w:tabs>
          <w:tab w:val="num" w:pos="720"/>
        </w:tabs>
        <w:ind w:left="720" w:hanging="360"/>
      </w:pPr>
      <w:rPr>
        <w:rFonts w:ascii="Wingdings" w:hAnsi="Wingdings" w:hint="default"/>
      </w:rPr>
    </w:lvl>
    <w:lvl w:ilvl="1" w:tplc="49C8F2CA">
      <w:start w:val="1"/>
      <w:numFmt w:val="bullet"/>
      <w:lvlText w:val=""/>
      <w:lvlJc w:val="left"/>
      <w:pPr>
        <w:tabs>
          <w:tab w:val="num" w:pos="1440"/>
        </w:tabs>
        <w:ind w:left="1440" w:hanging="360"/>
      </w:pPr>
      <w:rPr>
        <w:rFonts w:ascii="Wingdings" w:hAnsi="Wingdings" w:hint="default"/>
      </w:rPr>
    </w:lvl>
    <w:lvl w:ilvl="2" w:tplc="E3A492BC" w:tentative="1">
      <w:start w:val="1"/>
      <w:numFmt w:val="bullet"/>
      <w:lvlText w:val=""/>
      <w:lvlJc w:val="left"/>
      <w:pPr>
        <w:tabs>
          <w:tab w:val="num" w:pos="2160"/>
        </w:tabs>
        <w:ind w:left="2160" w:hanging="360"/>
      </w:pPr>
      <w:rPr>
        <w:rFonts w:ascii="Wingdings" w:hAnsi="Wingdings" w:hint="default"/>
      </w:rPr>
    </w:lvl>
    <w:lvl w:ilvl="3" w:tplc="C438555E" w:tentative="1">
      <w:start w:val="1"/>
      <w:numFmt w:val="bullet"/>
      <w:lvlText w:val=""/>
      <w:lvlJc w:val="left"/>
      <w:pPr>
        <w:tabs>
          <w:tab w:val="num" w:pos="2880"/>
        </w:tabs>
        <w:ind w:left="2880" w:hanging="360"/>
      </w:pPr>
      <w:rPr>
        <w:rFonts w:ascii="Wingdings" w:hAnsi="Wingdings" w:hint="default"/>
      </w:rPr>
    </w:lvl>
    <w:lvl w:ilvl="4" w:tplc="4D0AC852" w:tentative="1">
      <w:start w:val="1"/>
      <w:numFmt w:val="bullet"/>
      <w:lvlText w:val=""/>
      <w:lvlJc w:val="left"/>
      <w:pPr>
        <w:tabs>
          <w:tab w:val="num" w:pos="3600"/>
        </w:tabs>
        <w:ind w:left="3600" w:hanging="360"/>
      </w:pPr>
      <w:rPr>
        <w:rFonts w:ascii="Wingdings" w:hAnsi="Wingdings" w:hint="default"/>
      </w:rPr>
    </w:lvl>
    <w:lvl w:ilvl="5" w:tplc="98104D1A" w:tentative="1">
      <w:start w:val="1"/>
      <w:numFmt w:val="bullet"/>
      <w:lvlText w:val=""/>
      <w:lvlJc w:val="left"/>
      <w:pPr>
        <w:tabs>
          <w:tab w:val="num" w:pos="4320"/>
        </w:tabs>
        <w:ind w:left="4320" w:hanging="360"/>
      </w:pPr>
      <w:rPr>
        <w:rFonts w:ascii="Wingdings" w:hAnsi="Wingdings" w:hint="default"/>
      </w:rPr>
    </w:lvl>
    <w:lvl w:ilvl="6" w:tplc="77F67D6C" w:tentative="1">
      <w:start w:val="1"/>
      <w:numFmt w:val="bullet"/>
      <w:lvlText w:val=""/>
      <w:lvlJc w:val="left"/>
      <w:pPr>
        <w:tabs>
          <w:tab w:val="num" w:pos="5040"/>
        </w:tabs>
        <w:ind w:left="5040" w:hanging="360"/>
      </w:pPr>
      <w:rPr>
        <w:rFonts w:ascii="Wingdings" w:hAnsi="Wingdings" w:hint="default"/>
      </w:rPr>
    </w:lvl>
    <w:lvl w:ilvl="7" w:tplc="2F7883AC" w:tentative="1">
      <w:start w:val="1"/>
      <w:numFmt w:val="bullet"/>
      <w:lvlText w:val=""/>
      <w:lvlJc w:val="left"/>
      <w:pPr>
        <w:tabs>
          <w:tab w:val="num" w:pos="5760"/>
        </w:tabs>
        <w:ind w:left="5760" w:hanging="360"/>
      </w:pPr>
      <w:rPr>
        <w:rFonts w:ascii="Wingdings" w:hAnsi="Wingdings" w:hint="default"/>
      </w:rPr>
    </w:lvl>
    <w:lvl w:ilvl="8" w:tplc="C52A8EF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4D615C"/>
    <w:multiLevelType w:val="hybridMultilevel"/>
    <w:tmpl w:val="8926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435B1"/>
    <w:multiLevelType w:val="hybridMultilevel"/>
    <w:tmpl w:val="FD1818D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64182"/>
    <w:multiLevelType w:val="hybridMultilevel"/>
    <w:tmpl w:val="92F8AC62"/>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C72982"/>
    <w:multiLevelType w:val="hybridMultilevel"/>
    <w:tmpl w:val="246CCC66"/>
    <w:lvl w:ilvl="0" w:tplc="0409000D">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C176A9"/>
    <w:multiLevelType w:val="hybridMultilevel"/>
    <w:tmpl w:val="23167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21122"/>
    <w:multiLevelType w:val="hybridMultilevel"/>
    <w:tmpl w:val="CDAE04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DD6EEC"/>
    <w:multiLevelType w:val="hybridMultilevel"/>
    <w:tmpl w:val="47A4F2D8"/>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DB82C94"/>
    <w:multiLevelType w:val="hybridMultilevel"/>
    <w:tmpl w:val="DE669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921111"/>
    <w:multiLevelType w:val="hybridMultilevel"/>
    <w:tmpl w:val="EC367DF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82E797E"/>
    <w:multiLevelType w:val="hybridMultilevel"/>
    <w:tmpl w:val="34421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330C7"/>
    <w:multiLevelType w:val="multilevel"/>
    <w:tmpl w:val="FAA6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696027"/>
    <w:multiLevelType w:val="hybridMultilevel"/>
    <w:tmpl w:val="F816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017445">
    <w:abstractNumId w:val="1"/>
  </w:num>
  <w:num w:numId="2" w16cid:durableId="1649286397">
    <w:abstractNumId w:val="1"/>
  </w:num>
  <w:num w:numId="3" w16cid:durableId="511649786">
    <w:abstractNumId w:val="0"/>
  </w:num>
  <w:num w:numId="4" w16cid:durableId="1374618641">
    <w:abstractNumId w:val="0"/>
  </w:num>
  <w:num w:numId="5" w16cid:durableId="2069567201">
    <w:abstractNumId w:val="12"/>
  </w:num>
  <w:num w:numId="6" w16cid:durableId="472602407">
    <w:abstractNumId w:val="8"/>
  </w:num>
  <w:num w:numId="7" w16cid:durableId="960724644">
    <w:abstractNumId w:val="21"/>
  </w:num>
  <w:num w:numId="8" w16cid:durableId="98575336">
    <w:abstractNumId w:val="3"/>
  </w:num>
  <w:num w:numId="9" w16cid:durableId="1816681122">
    <w:abstractNumId w:val="20"/>
  </w:num>
  <w:num w:numId="10" w16cid:durableId="1729910851">
    <w:abstractNumId w:val="7"/>
  </w:num>
  <w:num w:numId="11" w16cid:durableId="117648092">
    <w:abstractNumId w:val="22"/>
  </w:num>
  <w:num w:numId="12" w16cid:durableId="1813718339">
    <w:abstractNumId w:val="11"/>
  </w:num>
  <w:num w:numId="13" w16cid:durableId="1552762556">
    <w:abstractNumId w:val="5"/>
  </w:num>
  <w:num w:numId="14" w16cid:durableId="1200360034">
    <w:abstractNumId w:val="17"/>
  </w:num>
  <w:num w:numId="15" w16cid:durableId="185145415">
    <w:abstractNumId w:val="19"/>
  </w:num>
  <w:num w:numId="16" w16cid:durableId="116682377">
    <w:abstractNumId w:val="10"/>
  </w:num>
  <w:num w:numId="17" w16cid:durableId="2099326310">
    <w:abstractNumId w:val="14"/>
  </w:num>
  <w:num w:numId="18" w16cid:durableId="991638394">
    <w:abstractNumId w:val="13"/>
  </w:num>
  <w:num w:numId="19" w16cid:durableId="1634752400">
    <w:abstractNumId w:val="9"/>
  </w:num>
  <w:num w:numId="20" w16cid:durableId="1007632920">
    <w:abstractNumId w:val="18"/>
  </w:num>
  <w:num w:numId="21" w16cid:durableId="853619224">
    <w:abstractNumId w:val="4"/>
  </w:num>
  <w:num w:numId="22" w16cid:durableId="18505299">
    <w:abstractNumId w:val="15"/>
  </w:num>
  <w:num w:numId="23" w16cid:durableId="163934299">
    <w:abstractNumId w:val="2"/>
  </w:num>
  <w:num w:numId="24" w16cid:durableId="1241984263">
    <w:abstractNumId w:val="6"/>
  </w:num>
  <w:num w:numId="25" w16cid:durableId="5312617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F2B"/>
    <w:rsid w:val="00004C02"/>
    <w:rsid w:val="00073D96"/>
    <w:rsid w:val="0009345E"/>
    <w:rsid w:val="00097A9B"/>
    <w:rsid w:val="000C14A2"/>
    <w:rsid w:val="000D36B7"/>
    <w:rsid w:val="000E7BC7"/>
    <w:rsid w:val="00101976"/>
    <w:rsid w:val="00115D35"/>
    <w:rsid w:val="001411A0"/>
    <w:rsid w:val="0016287F"/>
    <w:rsid w:val="00191B3B"/>
    <w:rsid w:val="001D76B0"/>
    <w:rsid w:val="001E1E45"/>
    <w:rsid w:val="00211116"/>
    <w:rsid w:val="0022037B"/>
    <w:rsid w:val="00223DAF"/>
    <w:rsid w:val="00231BF5"/>
    <w:rsid w:val="0026187E"/>
    <w:rsid w:val="00281AF0"/>
    <w:rsid w:val="00285508"/>
    <w:rsid w:val="00295954"/>
    <w:rsid w:val="002C0765"/>
    <w:rsid w:val="002D37BB"/>
    <w:rsid w:val="002F1535"/>
    <w:rsid w:val="00346621"/>
    <w:rsid w:val="0036415A"/>
    <w:rsid w:val="00384CC6"/>
    <w:rsid w:val="003A5E26"/>
    <w:rsid w:val="003B33DF"/>
    <w:rsid w:val="003D5F5B"/>
    <w:rsid w:val="003F6983"/>
    <w:rsid w:val="00400AAB"/>
    <w:rsid w:val="004024D8"/>
    <w:rsid w:val="004159AA"/>
    <w:rsid w:val="00424209"/>
    <w:rsid w:val="00430BDE"/>
    <w:rsid w:val="00433139"/>
    <w:rsid w:val="00445731"/>
    <w:rsid w:val="00460E29"/>
    <w:rsid w:val="00465BAE"/>
    <w:rsid w:val="004B38C1"/>
    <w:rsid w:val="004C2009"/>
    <w:rsid w:val="004D3FBD"/>
    <w:rsid w:val="004E0A36"/>
    <w:rsid w:val="005110C4"/>
    <w:rsid w:val="005777D5"/>
    <w:rsid w:val="005B6A53"/>
    <w:rsid w:val="005C3F0F"/>
    <w:rsid w:val="006953DF"/>
    <w:rsid w:val="006A639E"/>
    <w:rsid w:val="006B3F59"/>
    <w:rsid w:val="006B707E"/>
    <w:rsid w:val="006B7F2B"/>
    <w:rsid w:val="00712E0C"/>
    <w:rsid w:val="00713F54"/>
    <w:rsid w:val="007D4F05"/>
    <w:rsid w:val="00801C70"/>
    <w:rsid w:val="008469D0"/>
    <w:rsid w:val="00851F77"/>
    <w:rsid w:val="00871D17"/>
    <w:rsid w:val="008A7DCC"/>
    <w:rsid w:val="00910723"/>
    <w:rsid w:val="009129F2"/>
    <w:rsid w:val="009166CB"/>
    <w:rsid w:val="00932BD9"/>
    <w:rsid w:val="00934859"/>
    <w:rsid w:val="00960DA5"/>
    <w:rsid w:val="00996EAA"/>
    <w:rsid w:val="009A482B"/>
    <w:rsid w:val="009F54B8"/>
    <w:rsid w:val="00A1287D"/>
    <w:rsid w:val="00A34A37"/>
    <w:rsid w:val="00A4189D"/>
    <w:rsid w:val="00A46EDE"/>
    <w:rsid w:val="00A844D5"/>
    <w:rsid w:val="00A86E4D"/>
    <w:rsid w:val="00AB351A"/>
    <w:rsid w:val="00AD1307"/>
    <w:rsid w:val="00AD1C0D"/>
    <w:rsid w:val="00AD68B1"/>
    <w:rsid w:val="00B00F77"/>
    <w:rsid w:val="00B01343"/>
    <w:rsid w:val="00B3764B"/>
    <w:rsid w:val="00B37A38"/>
    <w:rsid w:val="00B56B6A"/>
    <w:rsid w:val="00B60464"/>
    <w:rsid w:val="00B75D87"/>
    <w:rsid w:val="00BB358B"/>
    <w:rsid w:val="00C26B6D"/>
    <w:rsid w:val="00C5396B"/>
    <w:rsid w:val="00C8109C"/>
    <w:rsid w:val="00CB3A7E"/>
    <w:rsid w:val="00CB56F4"/>
    <w:rsid w:val="00CC71E1"/>
    <w:rsid w:val="00D11324"/>
    <w:rsid w:val="00D13DED"/>
    <w:rsid w:val="00D82557"/>
    <w:rsid w:val="00D82900"/>
    <w:rsid w:val="00DB0B30"/>
    <w:rsid w:val="00DD212E"/>
    <w:rsid w:val="00E52BAE"/>
    <w:rsid w:val="00E551F1"/>
    <w:rsid w:val="00E70EDF"/>
    <w:rsid w:val="00E73AC0"/>
    <w:rsid w:val="00E74910"/>
    <w:rsid w:val="00E933BA"/>
    <w:rsid w:val="00EA29F7"/>
    <w:rsid w:val="00EC5D23"/>
    <w:rsid w:val="00EF44E6"/>
    <w:rsid w:val="00F133CB"/>
    <w:rsid w:val="00F466E9"/>
    <w:rsid w:val="00F935BF"/>
    <w:rsid w:val="00F9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AB56A"/>
  <w15:chartTrackingRefBased/>
  <w15:docId w15:val="{2ABF5A31-32D6-4DEB-B732-CE59F905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A7E"/>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CB3A7E"/>
    <w:pPr>
      <w:keepNext/>
      <w:keepLines/>
      <w:spacing w:before="24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CB3A7E"/>
    <w:pPr>
      <w:keepNext/>
      <w:keepLines/>
      <w:spacing w:before="40"/>
      <w:outlineLvl w:val="1"/>
    </w:pPr>
    <w:rPr>
      <w:rFonts w:asciiTheme="majorHAnsi" w:eastAsiaTheme="majorEastAsia" w:hAnsiTheme="majorHAnsi" w:cstheme="majorBidi"/>
      <w:color w:val="14578C" w:themeColor="accent1" w:themeShade="BF"/>
      <w:sz w:val="26"/>
      <w:szCs w:val="26"/>
    </w:rPr>
  </w:style>
  <w:style w:type="paragraph" w:styleId="Heading3">
    <w:name w:val="heading 3"/>
    <w:basedOn w:val="Normal"/>
    <w:next w:val="Normal"/>
    <w:link w:val="Heading3Char"/>
    <w:uiPriority w:val="9"/>
    <w:semiHidden/>
    <w:unhideWhenUsed/>
    <w:qFormat/>
    <w:rsid w:val="00CB3A7E"/>
    <w:pPr>
      <w:keepNext/>
      <w:keepLines/>
      <w:spacing w:before="40"/>
      <w:outlineLvl w:val="2"/>
    </w:pPr>
    <w:rPr>
      <w:rFonts w:asciiTheme="majorHAnsi" w:eastAsiaTheme="majorEastAsia" w:hAnsiTheme="majorHAnsi" w:cstheme="majorBidi"/>
      <w:color w:val="0D3A5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Name">
    <w:name w:val="Header Name"/>
    <w:basedOn w:val="Normal"/>
    <w:qFormat/>
    <w:rsid w:val="00CB3A7E"/>
    <w:pPr>
      <w:spacing w:after="80"/>
      <w:jc w:val="right"/>
    </w:pPr>
    <w:rPr>
      <w:rFonts w:ascii="Palatino Linotype" w:hAnsi="Palatino Linotype"/>
      <w:sz w:val="22"/>
      <w:szCs w:val="22"/>
    </w:rPr>
  </w:style>
  <w:style w:type="character" w:customStyle="1" w:styleId="Heading1Char">
    <w:name w:val="Heading 1 Char"/>
    <w:basedOn w:val="DefaultParagraphFont"/>
    <w:link w:val="Heading1"/>
    <w:uiPriority w:val="9"/>
    <w:rsid w:val="00CB3A7E"/>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CB3A7E"/>
    <w:rPr>
      <w:rFonts w:asciiTheme="majorHAnsi" w:eastAsiaTheme="majorEastAsia" w:hAnsiTheme="majorHAnsi" w:cstheme="majorBidi"/>
      <w:color w:val="14578C" w:themeColor="accent1" w:themeShade="BF"/>
      <w:sz w:val="26"/>
      <w:szCs w:val="26"/>
    </w:rPr>
  </w:style>
  <w:style w:type="character" w:customStyle="1" w:styleId="Heading3Char">
    <w:name w:val="Heading 3 Char"/>
    <w:basedOn w:val="DefaultParagraphFont"/>
    <w:link w:val="Heading3"/>
    <w:uiPriority w:val="9"/>
    <w:semiHidden/>
    <w:rsid w:val="00CB3A7E"/>
    <w:rPr>
      <w:rFonts w:asciiTheme="majorHAnsi" w:eastAsiaTheme="majorEastAsia" w:hAnsiTheme="majorHAnsi" w:cstheme="majorBidi"/>
      <w:color w:val="0D3A5D" w:themeColor="accent1" w:themeShade="7F"/>
      <w:sz w:val="24"/>
      <w:szCs w:val="24"/>
    </w:rPr>
  </w:style>
  <w:style w:type="paragraph" w:styleId="ListBullet">
    <w:name w:val="List Bullet"/>
    <w:basedOn w:val="Normal"/>
    <w:uiPriority w:val="99"/>
    <w:unhideWhenUsed/>
    <w:qFormat/>
    <w:rsid w:val="00CB3A7E"/>
    <w:pPr>
      <w:spacing w:after="100"/>
      <w:ind w:left="360" w:hanging="360"/>
      <w:contextualSpacing/>
    </w:pPr>
    <w:rPr>
      <w:rFonts w:asciiTheme="minorHAnsi" w:hAnsiTheme="minorHAnsi"/>
      <w:sz w:val="21"/>
      <w:szCs w:val="21"/>
    </w:rPr>
  </w:style>
  <w:style w:type="paragraph" w:styleId="ListBullet2">
    <w:name w:val="List Bullet 2"/>
    <w:basedOn w:val="Normal"/>
    <w:uiPriority w:val="99"/>
    <w:unhideWhenUsed/>
    <w:qFormat/>
    <w:rsid w:val="00CB3A7E"/>
    <w:pPr>
      <w:numPr>
        <w:numId w:val="4"/>
      </w:numPr>
      <w:spacing w:after="100"/>
      <w:contextualSpacing/>
    </w:pPr>
    <w:rPr>
      <w:rFonts w:asciiTheme="minorHAnsi" w:hAnsiTheme="minorHAnsi"/>
      <w:sz w:val="21"/>
      <w:szCs w:val="21"/>
    </w:rPr>
  </w:style>
  <w:style w:type="paragraph" w:styleId="Title">
    <w:name w:val="Title"/>
    <w:basedOn w:val="Normal"/>
    <w:next w:val="Normal"/>
    <w:link w:val="TitleChar"/>
    <w:autoRedefine/>
    <w:uiPriority w:val="10"/>
    <w:qFormat/>
    <w:rsid w:val="006B7F2B"/>
    <w:pPr>
      <w:contextualSpacing/>
      <w:jc w:val="center"/>
    </w:pPr>
    <w:rPr>
      <w:rFonts w:asciiTheme="majorHAnsi" w:eastAsiaTheme="majorEastAsia" w:hAnsiTheme="majorHAnsi" w:cstheme="majorBidi"/>
      <w:color w:val="72C9F1" w:themeColor="accent4"/>
      <w:sz w:val="56"/>
      <w:szCs w:val="56"/>
    </w:rPr>
  </w:style>
  <w:style w:type="character" w:customStyle="1" w:styleId="TitleChar">
    <w:name w:val="Title Char"/>
    <w:basedOn w:val="DefaultParagraphFont"/>
    <w:link w:val="Title"/>
    <w:uiPriority w:val="10"/>
    <w:rsid w:val="006B7F2B"/>
    <w:rPr>
      <w:rFonts w:asciiTheme="majorHAnsi" w:eastAsiaTheme="majorEastAsia" w:hAnsiTheme="majorHAnsi" w:cstheme="majorBidi"/>
      <w:color w:val="72C9F1" w:themeColor="accent4"/>
      <w:sz w:val="56"/>
      <w:szCs w:val="56"/>
    </w:rPr>
  </w:style>
  <w:style w:type="character" w:styleId="Strong">
    <w:name w:val="Strong"/>
    <w:basedOn w:val="DefaultParagraphFont"/>
    <w:uiPriority w:val="99"/>
    <w:qFormat/>
    <w:rsid w:val="00CB3A7E"/>
    <w:rPr>
      <w:b/>
      <w:bCs/>
    </w:rPr>
  </w:style>
  <w:style w:type="paragraph" w:styleId="Header">
    <w:name w:val="header"/>
    <w:basedOn w:val="Normal"/>
    <w:link w:val="HeaderChar"/>
    <w:uiPriority w:val="99"/>
    <w:unhideWhenUsed/>
    <w:rsid w:val="006B7F2B"/>
    <w:pPr>
      <w:tabs>
        <w:tab w:val="center" w:pos="4680"/>
        <w:tab w:val="right" w:pos="9360"/>
      </w:tabs>
    </w:pPr>
  </w:style>
  <w:style w:type="character" w:customStyle="1" w:styleId="HeaderChar">
    <w:name w:val="Header Char"/>
    <w:basedOn w:val="DefaultParagraphFont"/>
    <w:link w:val="Header"/>
    <w:uiPriority w:val="99"/>
    <w:rsid w:val="006B7F2B"/>
    <w:rPr>
      <w:rFonts w:ascii="Arial" w:hAnsi="Arial"/>
      <w:sz w:val="24"/>
      <w:szCs w:val="20"/>
    </w:rPr>
  </w:style>
  <w:style w:type="paragraph" w:styleId="Footer">
    <w:name w:val="footer"/>
    <w:basedOn w:val="Normal"/>
    <w:link w:val="FooterChar"/>
    <w:uiPriority w:val="99"/>
    <w:unhideWhenUsed/>
    <w:rsid w:val="006B7F2B"/>
    <w:pPr>
      <w:tabs>
        <w:tab w:val="center" w:pos="4680"/>
        <w:tab w:val="right" w:pos="9360"/>
      </w:tabs>
    </w:pPr>
  </w:style>
  <w:style w:type="character" w:customStyle="1" w:styleId="FooterChar">
    <w:name w:val="Footer Char"/>
    <w:basedOn w:val="DefaultParagraphFont"/>
    <w:link w:val="Footer"/>
    <w:uiPriority w:val="99"/>
    <w:rsid w:val="006B7F2B"/>
    <w:rPr>
      <w:rFonts w:ascii="Arial" w:hAnsi="Arial"/>
      <w:sz w:val="24"/>
      <w:szCs w:val="20"/>
    </w:rPr>
  </w:style>
  <w:style w:type="paragraph" w:styleId="NoSpacing">
    <w:name w:val="No Spacing"/>
    <w:link w:val="NoSpacingChar"/>
    <w:uiPriority w:val="1"/>
    <w:qFormat/>
    <w:rsid w:val="005777D5"/>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5777D5"/>
    <w:rPr>
      <w:rFonts w:eastAsiaTheme="minorEastAsia"/>
      <w:sz w:val="22"/>
      <w:szCs w:val="22"/>
    </w:rPr>
  </w:style>
  <w:style w:type="paragraph" w:styleId="ListParagraph">
    <w:name w:val="List Paragraph"/>
    <w:basedOn w:val="Normal"/>
    <w:uiPriority w:val="34"/>
    <w:qFormat/>
    <w:rsid w:val="005777D5"/>
    <w:pPr>
      <w:ind w:left="720"/>
      <w:contextualSpacing/>
    </w:pPr>
  </w:style>
  <w:style w:type="paragraph" w:styleId="NormalWeb">
    <w:name w:val="Normal (Web)"/>
    <w:basedOn w:val="Normal"/>
    <w:uiPriority w:val="99"/>
    <w:semiHidden/>
    <w:unhideWhenUsed/>
    <w:rsid w:val="005777D5"/>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5777D5"/>
    <w:rPr>
      <w:color w:val="0000FF"/>
      <w:u w:val="single"/>
    </w:rPr>
  </w:style>
  <w:style w:type="paragraph" w:customStyle="1" w:styleId="text-align-center">
    <w:name w:val="text-align-center"/>
    <w:basedOn w:val="Normal"/>
    <w:rsid w:val="005777D5"/>
    <w:pPr>
      <w:spacing w:before="100" w:beforeAutospacing="1" w:after="100" w:afterAutospacing="1"/>
    </w:pPr>
    <w:rPr>
      <w:rFonts w:ascii="Times New Roman" w:eastAsia="Times New Roman" w:hAnsi="Times New Roman" w:cs="Times New Roman"/>
      <w:szCs w:val="24"/>
    </w:rPr>
  </w:style>
  <w:style w:type="character" w:styleId="Emphasis">
    <w:name w:val="Emphasis"/>
    <w:basedOn w:val="DefaultParagraphFont"/>
    <w:uiPriority w:val="20"/>
    <w:qFormat/>
    <w:rsid w:val="005777D5"/>
    <w:rPr>
      <w:i/>
      <w:iCs/>
    </w:rPr>
  </w:style>
  <w:style w:type="character" w:styleId="IntenseEmphasis">
    <w:name w:val="Intense Emphasis"/>
    <w:basedOn w:val="DefaultParagraphFont"/>
    <w:uiPriority w:val="21"/>
    <w:qFormat/>
    <w:rsid w:val="00EC5D23"/>
    <w:rPr>
      <w:i/>
      <w:iCs/>
      <w:color w:val="1B75BC" w:themeColor="accent1"/>
    </w:rPr>
  </w:style>
  <w:style w:type="character" w:styleId="FollowedHyperlink">
    <w:name w:val="FollowedHyperlink"/>
    <w:basedOn w:val="DefaultParagraphFont"/>
    <w:uiPriority w:val="99"/>
    <w:semiHidden/>
    <w:unhideWhenUsed/>
    <w:rsid w:val="009129F2"/>
    <w:rPr>
      <w:color w:val="21AAE8" w:themeColor="followedHyperlink"/>
      <w:u w:val="single"/>
    </w:rPr>
  </w:style>
  <w:style w:type="paragraph" w:styleId="BalloonText">
    <w:name w:val="Balloon Text"/>
    <w:basedOn w:val="Normal"/>
    <w:link w:val="BalloonTextChar"/>
    <w:uiPriority w:val="99"/>
    <w:semiHidden/>
    <w:unhideWhenUsed/>
    <w:rsid w:val="00AD1C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C0D"/>
    <w:rPr>
      <w:rFonts w:ascii="Segoe UI" w:hAnsi="Segoe UI" w:cs="Segoe UI"/>
      <w:sz w:val="18"/>
      <w:szCs w:val="18"/>
    </w:rPr>
  </w:style>
  <w:style w:type="table" w:styleId="TableGrid">
    <w:name w:val="Table Grid"/>
    <w:basedOn w:val="TableNormal"/>
    <w:uiPriority w:val="59"/>
    <w:rsid w:val="00C53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6E4D"/>
    <w:rPr>
      <w:sz w:val="16"/>
      <w:szCs w:val="16"/>
    </w:rPr>
  </w:style>
  <w:style w:type="paragraph" w:styleId="CommentText">
    <w:name w:val="annotation text"/>
    <w:basedOn w:val="Normal"/>
    <w:link w:val="CommentTextChar"/>
    <w:uiPriority w:val="99"/>
    <w:unhideWhenUsed/>
    <w:rsid w:val="00A86E4D"/>
    <w:rPr>
      <w:sz w:val="20"/>
    </w:rPr>
  </w:style>
  <w:style w:type="character" w:customStyle="1" w:styleId="CommentTextChar">
    <w:name w:val="Comment Text Char"/>
    <w:basedOn w:val="DefaultParagraphFont"/>
    <w:link w:val="CommentText"/>
    <w:uiPriority w:val="99"/>
    <w:rsid w:val="00A86E4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86E4D"/>
    <w:rPr>
      <w:b/>
      <w:bCs/>
    </w:rPr>
  </w:style>
  <w:style w:type="character" w:customStyle="1" w:styleId="CommentSubjectChar">
    <w:name w:val="Comment Subject Char"/>
    <w:basedOn w:val="CommentTextChar"/>
    <w:link w:val="CommentSubject"/>
    <w:uiPriority w:val="99"/>
    <w:semiHidden/>
    <w:rsid w:val="00A86E4D"/>
    <w:rPr>
      <w:rFonts w:ascii="Arial" w:hAnsi="Arial"/>
      <w:b/>
      <w:bCs/>
      <w:sz w:val="20"/>
      <w:szCs w:val="20"/>
    </w:rPr>
  </w:style>
  <w:style w:type="paragraph" w:styleId="Revision">
    <w:name w:val="Revision"/>
    <w:hidden/>
    <w:uiPriority w:val="99"/>
    <w:semiHidden/>
    <w:rsid w:val="00400AAB"/>
    <w:pPr>
      <w:spacing w:after="0" w:line="240" w:lineRule="auto"/>
    </w:pPr>
    <w:rPr>
      <w:rFonts w:ascii="Arial"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647070">
      <w:bodyDiv w:val="1"/>
      <w:marLeft w:val="0"/>
      <w:marRight w:val="0"/>
      <w:marTop w:val="0"/>
      <w:marBottom w:val="0"/>
      <w:divBdr>
        <w:top w:val="none" w:sz="0" w:space="0" w:color="auto"/>
        <w:left w:val="none" w:sz="0" w:space="0" w:color="auto"/>
        <w:bottom w:val="none" w:sz="0" w:space="0" w:color="auto"/>
        <w:right w:val="none" w:sz="0" w:space="0" w:color="auto"/>
      </w:divBdr>
    </w:div>
    <w:div w:id="1477408540">
      <w:bodyDiv w:val="1"/>
      <w:marLeft w:val="0"/>
      <w:marRight w:val="0"/>
      <w:marTop w:val="0"/>
      <w:marBottom w:val="0"/>
      <w:divBdr>
        <w:top w:val="none" w:sz="0" w:space="0" w:color="auto"/>
        <w:left w:val="none" w:sz="0" w:space="0" w:color="auto"/>
        <w:bottom w:val="none" w:sz="0" w:space="0" w:color="auto"/>
        <w:right w:val="none" w:sz="0" w:space="0" w:color="auto"/>
      </w:divBdr>
      <w:divsChild>
        <w:div w:id="2096973143">
          <w:marLeft w:val="1080"/>
          <w:marRight w:val="0"/>
          <w:marTop w:val="100"/>
          <w:marBottom w:val="0"/>
          <w:divBdr>
            <w:top w:val="none" w:sz="0" w:space="0" w:color="auto"/>
            <w:left w:val="none" w:sz="0" w:space="0" w:color="auto"/>
            <w:bottom w:val="none" w:sz="0" w:space="0" w:color="auto"/>
            <w:right w:val="none" w:sz="0" w:space="0" w:color="auto"/>
          </w:divBdr>
        </w:div>
        <w:div w:id="2017341679">
          <w:marLeft w:val="1080"/>
          <w:marRight w:val="0"/>
          <w:marTop w:val="100"/>
          <w:marBottom w:val="0"/>
          <w:divBdr>
            <w:top w:val="none" w:sz="0" w:space="0" w:color="auto"/>
            <w:left w:val="none" w:sz="0" w:space="0" w:color="auto"/>
            <w:bottom w:val="none" w:sz="0" w:space="0" w:color="auto"/>
            <w:right w:val="none" w:sz="0" w:space="0" w:color="auto"/>
          </w:divBdr>
        </w:div>
        <w:div w:id="25957592">
          <w:marLeft w:val="1080"/>
          <w:marRight w:val="0"/>
          <w:marTop w:val="100"/>
          <w:marBottom w:val="0"/>
          <w:divBdr>
            <w:top w:val="none" w:sz="0" w:space="0" w:color="auto"/>
            <w:left w:val="none" w:sz="0" w:space="0" w:color="auto"/>
            <w:bottom w:val="none" w:sz="0" w:space="0" w:color="auto"/>
            <w:right w:val="none" w:sz="0" w:space="0" w:color="auto"/>
          </w:divBdr>
        </w:div>
        <w:div w:id="1818302181">
          <w:marLeft w:val="1080"/>
          <w:marRight w:val="0"/>
          <w:marTop w:val="100"/>
          <w:marBottom w:val="0"/>
          <w:divBdr>
            <w:top w:val="none" w:sz="0" w:space="0" w:color="auto"/>
            <w:left w:val="none" w:sz="0" w:space="0" w:color="auto"/>
            <w:bottom w:val="none" w:sz="0" w:space="0" w:color="auto"/>
            <w:right w:val="none" w:sz="0" w:space="0" w:color="auto"/>
          </w:divBdr>
        </w:div>
        <w:div w:id="266082291">
          <w:marLeft w:val="1080"/>
          <w:marRight w:val="0"/>
          <w:marTop w:val="100"/>
          <w:marBottom w:val="0"/>
          <w:divBdr>
            <w:top w:val="none" w:sz="0" w:space="0" w:color="auto"/>
            <w:left w:val="none" w:sz="0" w:space="0" w:color="auto"/>
            <w:bottom w:val="none" w:sz="0" w:space="0" w:color="auto"/>
            <w:right w:val="none" w:sz="0" w:space="0" w:color="auto"/>
          </w:divBdr>
        </w:div>
      </w:divsChild>
    </w:div>
    <w:div w:id="161127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students-and-family/childnutrition/SNP/Documents/sample_letter_to_households_english.docx" TargetMode="External"/><Relationship Id="rId13" Type="http://schemas.openxmlformats.org/officeDocument/2006/relationships/hyperlink" Target="https://www.oregon.gov/ode/students-and-family/childnutrition/SNP/Documents/Oregon%20%20Family%20Income%20Survey_%20English.docx" TargetMode="External"/><Relationship Id="rId18" Type="http://schemas.openxmlformats.org/officeDocument/2006/relationships/hyperlink" Target="https://www.ecfr.gov/current/title-7/part-245"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oregon.gov/ode/students-and-family/childnutrition/SNP/Documents/CEP%20Parent%20Letter%20_VT.docx" TargetMode="External"/><Relationship Id="rId17" Type="http://schemas.openxmlformats.org/officeDocument/2006/relationships/hyperlink" Target="https://www.fns.usda.gov/cn/cep-planning-implementation-guidan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ns.usda.gov/cn/cep/resource-center" TargetMode="External"/><Relationship Id="rId20" Type="http://schemas.openxmlformats.org/officeDocument/2006/relationships/hyperlink" Target="https://fns-prod.azureedge.us/sites/default/files/resource-files/SP08-2024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de/students-and-family/childnutrition/SNP/Documents/sample_letter_to_households_spanish.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regon.gov/ode/students-and-family/childnutrition/SNP/Pages/Special-Provisions.aspx" TargetMode="External"/><Relationship Id="rId23" Type="http://schemas.openxmlformats.org/officeDocument/2006/relationships/header" Target="header2.xml"/><Relationship Id="rId28" Type="http://schemas.openxmlformats.org/officeDocument/2006/relationships/customXml" Target="../customXml/item4.xml"/><Relationship Id="rId10" Type="http://schemas.openxmlformats.org/officeDocument/2006/relationships/hyperlink" Target="https://www.oregon.gov/ode/students-and-family/childnutrition/SNP/Documents/CEP%20Parent%20Letter%20_RUS.docx" TargetMode="External"/><Relationship Id="rId19" Type="http://schemas.openxmlformats.org/officeDocument/2006/relationships/hyperlink" Target="https://fns-prod.azureedge.us/sites/default/files/resource-files/SP09-2024s.pdf" TargetMode="External"/><Relationship Id="rId4" Type="http://schemas.openxmlformats.org/officeDocument/2006/relationships/settings" Target="settings.xml"/><Relationship Id="rId9" Type="http://schemas.openxmlformats.org/officeDocument/2006/relationships/hyperlink" Target="https://www.oregon.gov/ode/students-and-family/childnutrition/SNP/Documents/CEP%20Parent%20Letter%20_CH.docx" TargetMode="External"/><Relationship Id="rId14" Type="http://schemas.openxmlformats.org/officeDocument/2006/relationships/hyperlink" Target="https://www.oregon.gov/ode/students-and-family/childnutrition/SNP/Documents/Oregon%20Family%20Income%20Survey_Spanish.docx" TargetMode="External"/><Relationship Id="rId22" Type="http://schemas.openxmlformats.org/officeDocument/2006/relationships/footer" Target="footer1.xml"/><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9050"/>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2024-08-22T18:47:32+00:00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D0B6DD-676E-448D-911C-7F69F511FFF8}">
  <ds:schemaRefs>
    <ds:schemaRef ds:uri="http://schemas.openxmlformats.org/officeDocument/2006/bibliography"/>
  </ds:schemaRefs>
</ds:datastoreItem>
</file>

<file path=customXml/itemProps2.xml><?xml version="1.0" encoding="utf-8"?>
<ds:datastoreItem xmlns:ds="http://schemas.openxmlformats.org/officeDocument/2006/customXml" ds:itemID="{8BF6E2F8-9407-4AAE-97B6-827721925EC3}"/>
</file>

<file path=customXml/itemProps3.xml><?xml version="1.0" encoding="utf-8"?>
<ds:datastoreItem xmlns:ds="http://schemas.openxmlformats.org/officeDocument/2006/customXml" ds:itemID="{F0241296-ABA0-45F4-B768-6CFC5E6E2672}"/>
</file>

<file path=customXml/itemProps4.xml><?xml version="1.0" encoding="utf-8"?>
<ds:datastoreItem xmlns:ds="http://schemas.openxmlformats.org/officeDocument/2006/customXml" ds:itemID="{3FE8C64B-F964-4537-8599-4D16C1ED3DE0}"/>
</file>

<file path=docProps/app.xml><?xml version="1.0" encoding="utf-8"?>
<Properties xmlns="http://schemas.openxmlformats.org/officeDocument/2006/extended-properties" xmlns:vt="http://schemas.openxmlformats.org/officeDocument/2006/docPropsVTypes">
  <Template>Normal.dotm</Template>
  <TotalTime>10</TotalTime>
  <Pages>3</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FLEENER Michelle * ODE</dc:creator>
  <cp:keywords/>
  <dc:description/>
  <cp:lastModifiedBy>LINCOLN Michelle * ODE</cp:lastModifiedBy>
  <cp:revision>3</cp:revision>
  <dcterms:created xsi:type="dcterms:W3CDTF">2024-08-21T21:19:00Z</dcterms:created>
  <dcterms:modified xsi:type="dcterms:W3CDTF">2024-08-22T18:33:00Z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2024-08-16T23:09:22Z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00c9cf76-afca-4415-810a-6f54c7a620b6</vt:lpwstr>
  </property>
  <property fmtid="{D5CDD505-2E9C-101B-9397-08002B2CF9AE}" pid="8" name="MSIP_Label_7730ea53-6f5e-4160-81a5-992a9105450a_ContentBits">
    <vt:lpwstr>0</vt:lpwstr>
  </property>
  <property fmtid="{D5CDD505-2E9C-101B-9397-08002B2CF9AE}" pid="9" name="ContentTypeId">
    <vt:lpwstr>0x010100FC7457C9221D0340B8D5CA9726A131CC</vt:lpwstr>
  </property>
</Properties>
</file>