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534F" w14:textId="77777777" w:rsidR="006D72FD" w:rsidRDefault="006D72FD"/>
    <w:p w14:paraId="6C1FB1DC" w14:textId="77777777" w:rsidR="0055634D" w:rsidRPr="005B475D" w:rsidRDefault="0055634D" w:rsidP="005B475D">
      <w:pPr>
        <w:pStyle w:val="Heading1"/>
        <w:rPr>
          <w:color w:val="14578C"/>
        </w:rPr>
      </w:pPr>
      <w:r w:rsidRPr="005B475D">
        <w:rPr>
          <w:color w:val="14578C"/>
        </w:rPr>
        <w:t>Topic: Claims for Reimbursement – Oregon EIG</w:t>
      </w:r>
    </w:p>
    <w:p w14:paraId="223F9B69" w14:textId="77777777" w:rsidR="005B475D" w:rsidRPr="005B475D" w:rsidRDefault="005B475D" w:rsidP="005B475D">
      <w:pPr>
        <w:spacing w:before="80"/>
        <w:rPr>
          <w:rFonts w:asciiTheme="majorHAnsi" w:hAnsiTheme="majorHAnsi" w:cstheme="majorHAnsi"/>
          <w:b/>
          <w:color w:val="14578C"/>
          <w:sz w:val="26"/>
          <w:szCs w:val="26"/>
        </w:rPr>
      </w:pPr>
      <w:r w:rsidRPr="005B475D">
        <w:rPr>
          <w:rFonts w:asciiTheme="majorHAnsi" w:hAnsiTheme="majorHAnsi" w:cstheme="majorHAnsi"/>
          <w:b/>
          <w:color w:val="14578C"/>
          <w:sz w:val="26"/>
          <w:szCs w:val="26"/>
        </w:rPr>
        <w:t>Overview:</w:t>
      </w:r>
    </w:p>
    <w:p w14:paraId="63E4C73E" w14:textId="77777777" w:rsidR="0055634D" w:rsidRDefault="0055634D" w:rsidP="0055634D">
      <w:pPr>
        <w:pStyle w:val="NoSpacing"/>
        <w:rPr>
          <w:rFonts w:cstheme="minorHAnsi"/>
          <w:sz w:val="24"/>
          <w:szCs w:val="24"/>
        </w:rPr>
      </w:pPr>
      <w:r w:rsidRPr="0047333C">
        <w:rPr>
          <w:rFonts w:cstheme="minorHAnsi"/>
          <w:sz w:val="24"/>
          <w:szCs w:val="24"/>
        </w:rPr>
        <w:t xml:space="preserve">The Oregon Expanded Income Eligibility Group (EIG) Reimbursement Program is an Oregon funded school meal provision program. The program provides a supplemental reimbursement to the federal paid reimbursement amount for meals provided at no charge to students who qualify under Oregon EIG guidelines, but who do not qualify for free or reduced meals under federal income guidelines. </w:t>
      </w:r>
    </w:p>
    <w:p w14:paraId="5ABC7701" w14:textId="77777777" w:rsidR="0055634D" w:rsidRPr="0047333C" w:rsidRDefault="0055634D" w:rsidP="0055634D">
      <w:pPr>
        <w:pStyle w:val="NoSpacing"/>
        <w:rPr>
          <w:rFonts w:cstheme="minorHAnsi"/>
          <w:sz w:val="24"/>
          <w:szCs w:val="24"/>
        </w:rPr>
      </w:pPr>
    </w:p>
    <w:p w14:paraId="0B2E4745" w14:textId="77777777" w:rsidR="0055634D" w:rsidRDefault="0055634D" w:rsidP="0055634D">
      <w:pPr>
        <w:pStyle w:val="NoSpacing"/>
        <w:rPr>
          <w:rFonts w:cstheme="minorHAnsi"/>
          <w:sz w:val="24"/>
          <w:szCs w:val="24"/>
        </w:rPr>
      </w:pPr>
      <w:r w:rsidRPr="0047333C">
        <w:rPr>
          <w:rFonts w:cstheme="minorHAnsi"/>
          <w:sz w:val="24"/>
          <w:szCs w:val="24"/>
        </w:rPr>
        <w:t xml:space="preserve">The National School Lunch Program (NSLP) and School Breakfast Program’s (SBP) are federal programs. The reimbursements paid through claims are federal funds. For a student to qualify for free or reduced-price benefits under these programs, specific criteria must be met. When qualifying by income, the federal income charts for free and reduced-price meals must be used. </w:t>
      </w:r>
    </w:p>
    <w:p w14:paraId="0970D6BF" w14:textId="77777777" w:rsidR="0055634D" w:rsidRPr="0047333C" w:rsidRDefault="0055634D" w:rsidP="0055634D">
      <w:pPr>
        <w:pStyle w:val="NoSpacing"/>
        <w:rPr>
          <w:rFonts w:cstheme="minorHAnsi"/>
          <w:sz w:val="24"/>
          <w:szCs w:val="24"/>
        </w:rPr>
      </w:pPr>
    </w:p>
    <w:p w14:paraId="2519DC28" w14:textId="0CACD395" w:rsidR="0055634D" w:rsidRDefault="0055634D" w:rsidP="0055634D">
      <w:pPr>
        <w:rPr>
          <w:rFonts w:asciiTheme="minorHAnsi" w:hAnsiTheme="minorHAnsi" w:cstheme="minorHAnsi"/>
          <w:szCs w:val="24"/>
        </w:rPr>
      </w:pPr>
      <w:r w:rsidRPr="0047333C">
        <w:rPr>
          <w:rFonts w:asciiTheme="minorHAnsi" w:hAnsiTheme="minorHAnsi" w:cstheme="minorHAnsi"/>
          <w:szCs w:val="24"/>
        </w:rPr>
        <w:t xml:space="preserve">The </w:t>
      </w:r>
      <w:r w:rsidR="00AE3D93">
        <w:rPr>
          <w:rFonts w:asciiTheme="minorHAnsi" w:hAnsiTheme="minorHAnsi" w:cstheme="minorHAnsi"/>
          <w:szCs w:val="24"/>
        </w:rPr>
        <w:t>S</w:t>
      </w:r>
      <w:r w:rsidRPr="0047333C">
        <w:rPr>
          <w:rFonts w:asciiTheme="minorHAnsi" w:hAnsiTheme="minorHAnsi" w:cstheme="minorHAnsi"/>
          <w:szCs w:val="24"/>
        </w:rPr>
        <w:t xml:space="preserve">tate of Oregon has passed the Student Success Act of 2019 (SSA) which has provided additional state funds for some students that do not qualify under the federal free/reduced-priced threshold. If a student does not qualify on the federal free/reduced-price household income guidelines, the </w:t>
      </w:r>
      <w:r>
        <w:rPr>
          <w:rFonts w:asciiTheme="minorHAnsi" w:hAnsiTheme="minorHAnsi" w:cstheme="minorHAnsi"/>
          <w:szCs w:val="24"/>
        </w:rPr>
        <w:t>School Food Authority (</w:t>
      </w:r>
      <w:r w:rsidRPr="0047333C">
        <w:rPr>
          <w:rFonts w:asciiTheme="minorHAnsi" w:hAnsiTheme="minorHAnsi" w:cstheme="minorHAnsi"/>
          <w:szCs w:val="24"/>
        </w:rPr>
        <w:t>SFA</w:t>
      </w:r>
      <w:r>
        <w:rPr>
          <w:rFonts w:asciiTheme="minorHAnsi" w:hAnsiTheme="minorHAnsi" w:cstheme="minorHAnsi"/>
          <w:szCs w:val="24"/>
        </w:rPr>
        <w:t>)</w:t>
      </w:r>
      <w:r w:rsidRPr="0047333C">
        <w:rPr>
          <w:rFonts w:asciiTheme="minorHAnsi" w:hAnsiTheme="minorHAnsi" w:cstheme="minorHAnsi"/>
          <w:szCs w:val="24"/>
        </w:rPr>
        <w:t xml:space="preserve"> should review the Oregon Expanded income guidelines. If a student qualifies under the Oregon EIG, they would first be considered </w:t>
      </w:r>
      <w:r w:rsidRPr="005B475D">
        <w:rPr>
          <w:rFonts w:asciiTheme="minorHAnsi" w:hAnsiTheme="minorHAnsi" w:cstheme="minorHAnsi"/>
          <w:szCs w:val="24"/>
          <w:u w:val="single"/>
        </w:rPr>
        <w:t>denied</w:t>
      </w:r>
      <w:r w:rsidRPr="0047333C">
        <w:rPr>
          <w:rFonts w:asciiTheme="minorHAnsi" w:hAnsiTheme="minorHAnsi" w:cstheme="minorHAnsi"/>
          <w:szCs w:val="24"/>
        </w:rPr>
        <w:t xml:space="preserve"> by </w:t>
      </w:r>
      <w:r w:rsidRPr="005B475D">
        <w:rPr>
          <w:rFonts w:asciiTheme="minorHAnsi" w:hAnsiTheme="minorHAnsi" w:cstheme="minorHAnsi"/>
          <w:szCs w:val="24"/>
          <w:u w:val="single"/>
        </w:rPr>
        <w:t>federal</w:t>
      </w:r>
      <w:r w:rsidRPr="0047333C">
        <w:rPr>
          <w:rFonts w:asciiTheme="minorHAnsi" w:hAnsiTheme="minorHAnsi" w:cstheme="minorHAnsi"/>
          <w:szCs w:val="24"/>
        </w:rPr>
        <w:t xml:space="preserve"> standards and their meals would be claimed as a ‘paid’ meal. The</w:t>
      </w:r>
      <w:r w:rsidR="005B475D">
        <w:rPr>
          <w:rFonts w:asciiTheme="minorHAnsi" w:hAnsiTheme="minorHAnsi" w:cstheme="minorHAnsi"/>
          <w:szCs w:val="24"/>
        </w:rPr>
        <w:t xml:space="preserve"> meal</w:t>
      </w:r>
      <w:r w:rsidRPr="0047333C">
        <w:rPr>
          <w:rFonts w:asciiTheme="minorHAnsi" w:hAnsiTheme="minorHAnsi" w:cstheme="minorHAnsi"/>
          <w:szCs w:val="24"/>
        </w:rPr>
        <w:t xml:space="preserve"> would also be claimed under EIG. This is because the federal government will reimburse the SFA at the paid rate using federal funds, and then the </w:t>
      </w:r>
      <w:r>
        <w:rPr>
          <w:rFonts w:asciiTheme="minorHAnsi" w:hAnsiTheme="minorHAnsi" w:cstheme="minorHAnsi"/>
          <w:szCs w:val="24"/>
        </w:rPr>
        <w:t>s</w:t>
      </w:r>
      <w:r w:rsidRPr="0047333C">
        <w:rPr>
          <w:rFonts w:asciiTheme="minorHAnsi" w:hAnsiTheme="minorHAnsi" w:cstheme="minorHAnsi"/>
          <w:szCs w:val="24"/>
        </w:rPr>
        <w:t>tate of Oregon will supplement the remaining amount</w:t>
      </w:r>
      <w:r>
        <w:rPr>
          <w:rFonts w:asciiTheme="minorHAnsi" w:hAnsiTheme="minorHAnsi" w:cstheme="minorHAnsi"/>
          <w:szCs w:val="24"/>
        </w:rPr>
        <w:t xml:space="preserve"> </w:t>
      </w:r>
      <w:r w:rsidRPr="0047333C">
        <w:rPr>
          <w:rFonts w:asciiTheme="minorHAnsi" w:hAnsiTheme="minorHAnsi" w:cstheme="minorHAnsi"/>
          <w:szCs w:val="24"/>
        </w:rPr>
        <w:t>equal the ‘free’ reimbursement rate.</w:t>
      </w:r>
    </w:p>
    <w:p w14:paraId="7E391004" w14:textId="2C9C136E" w:rsidR="0055634D" w:rsidRDefault="005B475D" w:rsidP="0055634D">
      <w:r>
        <w:rPr>
          <w:noProof/>
        </w:rPr>
        <mc:AlternateContent>
          <mc:Choice Requires="wps">
            <w:drawing>
              <wp:anchor distT="45720" distB="45720" distL="114300" distR="114300" simplePos="0" relativeHeight="251659264" behindDoc="0" locked="0" layoutInCell="1" allowOverlap="1" wp14:anchorId="1673943F" wp14:editId="622F1348">
                <wp:simplePos x="0" y="0"/>
                <wp:positionH relativeFrom="margin">
                  <wp:align>left</wp:align>
                </wp:positionH>
                <wp:positionV relativeFrom="paragraph">
                  <wp:posOffset>1981200</wp:posOffset>
                </wp:positionV>
                <wp:extent cx="5784850" cy="1404620"/>
                <wp:effectExtent l="0" t="0" r="25400" b="27940"/>
                <wp:wrapSquare wrapText="bothSides"/>
                <wp:docPr id="435851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3AD51D6A" w14:textId="02A6F8CF" w:rsidR="005B475D" w:rsidRPr="005B475D" w:rsidRDefault="005B475D" w:rsidP="005B475D">
                            <w:pPr>
                              <w:spacing w:before="80"/>
                              <w:rPr>
                                <w:rFonts w:asciiTheme="majorHAnsi" w:hAnsiTheme="majorHAnsi" w:cstheme="majorHAnsi"/>
                                <w:b/>
                                <w:color w:val="14578C"/>
                                <w:sz w:val="26"/>
                                <w:szCs w:val="26"/>
                              </w:rPr>
                            </w:pPr>
                            <w:r>
                              <w:rPr>
                                <w:rFonts w:asciiTheme="majorHAnsi" w:hAnsiTheme="majorHAnsi" w:cstheme="majorHAnsi"/>
                                <w:b/>
                                <w:color w:val="14578C"/>
                                <w:sz w:val="26"/>
                                <w:szCs w:val="26"/>
                              </w:rPr>
                              <w:t>Entering a Claim in CNPweb:</w:t>
                            </w:r>
                          </w:p>
                          <w:p w14:paraId="42461EC8" w14:textId="77777777" w:rsidR="005B475D" w:rsidRPr="006B50EA" w:rsidRDefault="005B475D" w:rsidP="005B475D">
                            <w:pPr>
                              <w:ind w:left="900" w:hanging="900"/>
                              <w:rPr>
                                <w:rFonts w:asciiTheme="minorHAnsi" w:hAnsiTheme="minorHAnsi" w:cstheme="minorHAnsi"/>
                              </w:rPr>
                            </w:pPr>
                            <w:r w:rsidRPr="006B50EA">
                              <w:rPr>
                                <w:rFonts w:asciiTheme="minorHAnsi" w:hAnsiTheme="minorHAnsi" w:cstheme="minorHAnsi"/>
                                <w:b/>
                                <w:bCs/>
                              </w:rPr>
                              <w:t>Step 1</w:t>
                            </w:r>
                            <w:r w:rsidRPr="006B50EA">
                              <w:rPr>
                                <w:rFonts w:asciiTheme="minorHAnsi" w:hAnsiTheme="minorHAnsi" w:cstheme="minorHAnsi"/>
                              </w:rPr>
                              <w:t xml:space="preserve"> – Understand your counting and claiming system and how it tracks EIG students and their meals</w:t>
                            </w:r>
                            <w:r>
                              <w:rPr>
                                <w:rFonts w:asciiTheme="minorHAnsi" w:hAnsiTheme="minorHAnsi" w:cstheme="minorHAnsi"/>
                              </w:rPr>
                              <w:t>.</w:t>
                            </w:r>
                          </w:p>
                          <w:p w14:paraId="1717B008" w14:textId="77777777" w:rsidR="005B475D" w:rsidRPr="006B50EA" w:rsidRDefault="005B475D" w:rsidP="005B475D">
                            <w:pPr>
                              <w:pStyle w:val="ListParagraph"/>
                              <w:numPr>
                                <w:ilvl w:val="0"/>
                                <w:numId w:val="1"/>
                              </w:numPr>
                              <w:rPr>
                                <w:rFonts w:asciiTheme="minorHAnsi" w:hAnsiTheme="minorHAnsi" w:cstheme="minorHAnsi"/>
                              </w:rPr>
                            </w:pPr>
                            <w:r w:rsidRPr="006B50EA">
                              <w:rPr>
                                <w:rFonts w:asciiTheme="minorHAnsi" w:hAnsiTheme="minorHAnsi" w:cstheme="minorHAnsi"/>
                              </w:rPr>
                              <w:t xml:space="preserve">What system do you use and how are you tracking EIG meals? </w:t>
                            </w:r>
                          </w:p>
                          <w:p w14:paraId="02C8E06D" w14:textId="77777777" w:rsidR="005B475D" w:rsidRPr="006B50EA" w:rsidRDefault="005B475D" w:rsidP="005B475D">
                            <w:pPr>
                              <w:pStyle w:val="ListParagraph"/>
                              <w:pageBreakBefore/>
                              <w:numPr>
                                <w:ilvl w:val="0"/>
                                <w:numId w:val="1"/>
                              </w:numPr>
                              <w:rPr>
                                <w:rFonts w:asciiTheme="minorHAnsi" w:hAnsiTheme="minorHAnsi" w:cstheme="minorHAnsi"/>
                              </w:rPr>
                            </w:pPr>
                            <w:r w:rsidRPr="006B50EA">
                              <w:rPr>
                                <w:rFonts w:asciiTheme="minorHAnsi" w:hAnsiTheme="minorHAnsi" w:cstheme="minorHAnsi"/>
                              </w:rPr>
                              <w:t>Does the counting and claiming system report the EIG meals in a separate number apart from paid students/meals?</w:t>
                            </w:r>
                          </w:p>
                          <w:p w14:paraId="6F566DF1" w14:textId="77777777" w:rsidR="005B475D" w:rsidRPr="006B50EA" w:rsidRDefault="005B475D" w:rsidP="005B475D">
                            <w:pPr>
                              <w:pStyle w:val="ListParagraph"/>
                              <w:numPr>
                                <w:ilvl w:val="0"/>
                                <w:numId w:val="1"/>
                              </w:numPr>
                              <w:rPr>
                                <w:rFonts w:asciiTheme="minorHAnsi" w:hAnsiTheme="minorHAnsi" w:cstheme="minorHAnsi"/>
                              </w:rPr>
                            </w:pPr>
                            <w:r w:rsidRPr="006B50EA">
                              <w:rPr>
                                <w:rFonts w:asciiTheme="minorHAnsi" w:hAnsiTheme="minorHAnsi" w:cstheme="minorHAnsi"/>
                              </w:rPr>
                              <w:t>Are the EIG students/meals already accounted for in the total paid meals?</w:t>
                            </w:r>
                          </w:p>
                          <w:p w14:paraId="58D20126" w14:textId="77777777" w:rsidR="005B475D" w:rsidRDefault="005B475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3943F" id="_x0000_t202" coordsize="21600,21600" o:spt="202" path="m,l,21600r21600,l21600,xe">
                <v:stroke joinstyle="miter"/>
                <v:path gradientshapeok="t" o:connecttype="rect"/>
              </v:shapetype>
              <v:shape id="_x0000_s1026" type="#_x0000_t202" style="position:absolute;margin-left:0;margin-top:156pt;width:45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" fillcolor="#d8d8d8 [2732]" strokecolor="#d8d8d8 [2732]">
                <v:textbox style="mso-fit-shape-to-text:t">
                  <w:txbxContent>
                    <w:p w14:paraId="3AD51D6A" w14:textId="02A6F8CF" w:rsidR="005B475D" w:rsidRPr="005B475D" w:rsidRDefault="005B475D" w:rsidP="005B475D">
                      <w:pPr>
                        <w:spacing w:before="80"/>
                        <w:rPr>
                          <w:rFonts w:asciiTheme="majorHAnsi" w:hAnsiTheme="majorHAnsi" w:cstheme="majorHAnsi"/>
                          <w:b/>
                          <w:color w:val="14578C"/>
                          <w:sz w:val="26"/>
                          <w:szCs w:val="26"/>
                        </w:rPr>
                      </w:pPr>
                      <w:r>
                        <w:rPr>
                          <w:rFonts w:asciiTheme="majorHAnsi" w:hAnsiTheme="majorHAnsi" w:cstheme="majorHAnsi"/>
                          <w:b/>
                          <w:color w:val="14578C"/>
                          <w:sz w:val="26"/>
                          <w:szCs w:val="26"/>
                        </w:rPr>
                        <w:t>Entering a Claim in CNPweb:</w:t>
                      </w:r>
                    </w:p>
                    <w:p w14:paraId="42461EC8" w14:textId="77777777" w:rsidR="005B475D" w:rsidRPr="006B50EA" w:rsidRDefault="005B475D" w:rsidP="005B475D">
                      <w:pPr>
                        <w:ind w:left="900" w:hanging="900"/>
                        <w:rPr>
                          <w:rFonts w:asciiTheme="minorHAnsi" w:hAnsiTheme="minorHAnsi" w:cstheme="minorHAnsi"/>
                        </w:rPr>
                      </w:pPr>
                      <w:r w:rsidRPr="006B50EA">
                        <w:rPr>
                          <w:rFonts w:asciiTheme="minorHAnsi" w:hAnsiTheme="minorHAnsi" w:cstheme="minorHAnsi"/>
                          <w:b/>
                          <w:bCs/>
                        </w:rPr>
                        <w:t>Step 1</w:t>
                      </w:r>
                      <w:r w:rsidRPr="006B50EA">
                        <w:rPr>
                          <w:rFonts w:asciiTheme="minorHAnsi" w:hAnsiTheme="minorHAnsi" w:cstheme="minorHAnsi"/>
                        </w:rPr>
                        <w:t xml:space="preserve"> – Understand your counting and claiming system and how it tracks EIG students and their meals</w:t>
                      </w:r>
                      <w:r>
                        <w:rPr>
                          <w:rFonts w:asciiTheme="minorHAnsi" w:hAnsiTheme="minorHAnsi" w:cstheme="minorHAnsi"/>
                        </w:rPr>
                        <w:t>.</w:t>
                      </w:r>
                    </w:p>
                    <w:p w14:paraId="1717B008" w14:textId="77777777" w:rsidR="005B475D" w:rsidRPr="006B50EA" w:rsidRDefault="005B475D" w:rsidP="005B475D">
                      <w:pPr>
                        <w:pStyle w:val="ListParagraph"/>
                        <w:numPr>
                          <w:ilvl w:val="0"/>
                          <w:numId w:val="1"/>
                        </w:numPr>
                        <w:rPr>
                          <w:rFonts w:asciiTheme="minorHAnsi" w:hAnsiTheme="minorHAnsi" w:cstheme="minorHAnsi"/>
                        </w:rPr>
                      </w:pPr>
                      <w:r w:rsidRPr="006B50EA">
                        <w:rPr>
                          <w:rFonts w:asciiTheme="minorHAnsi" w:hAnsiTheme="minorHAnsi" w:cstheme="minorHAnsi"/>
                        </w:rPr>
                        <w:t xml:space="preserve">What system do you use and how are you tracking EIG meals? </w:t>
                      </w:r>
                    </w:p>
                    <w:p w14:paraId="02C8E06D" w14:textId="77777777" w:rsidR="005B475D" w:rsidRPr="006B50EA" w:rsidRDefault="005B475D" w:rsidP="005B475D">
                      <w:pPr>
                        <w:pStyle w:val="ListParagraph"/>
                        <w:pageBreakBefore/>
                        <w:numPr>
                          <w:ilvl w:val="0"/>
                          <w:numId w:val="1"/>
                        </w:numPr>
                        <w:rPr>
                          <w:rFonts w:asciiTheme="minorHAnsi" w:hAnsiTheme="minorHAnsi" w:cstheme="minorHAnsi"/>
                        </w:rPr>
                      </w:pPr>
                      <w:r w:rsidRPr="006B50EA">
                        <w:rPr>
                          <w:rFonts w:asciiTheme="minorHAnsi" w:hAnsiTheme="minorHAnsi" w:cstheme="minorHAnsi"/>
                        </w:rPr>
                        <w:t>Does the counting and claiming system report the EIG meals in a separate number apart from paid students/meals?</w:t>
                      </w:r>
                    </w:p>
                    <w:p w14:paraId="6F566DF1" w14:textId="77777777" w:rsidR="005B475D" w:rsidRPr="006B50EA" w:rsidRDefault="005B475D" w:rsidP="005B475D">
                      <w:pPr>
                        <w:pStyle w:val="ListParagraph"/>
                        <w:numPr>
                          <w:ilvl w:val="0"/>
                          <w:numId w:val="1"/>
                        </w:numPr>
                        <w:rPr>
                          <w:rFonts w:asciiTheme="minorHAnsi" w:hAnsiTheme="minorHAnsi" w:cstheme="minorHAnsi"/>
                        </w:rPr>
                      </w:pPr>
                      <w:r w:rsidRPr="006B50EA">
                        <w:rPr>
                          <w:rFonts w:asciiTheme="minorHAnsi" w:hAnsiTheme="minorHAnsi" w:cstheme="minorHAnsi"/>
                        </w:rPr>
                        <w:t>Are the EIG students/meals already accounted for in the total paid meals?</w:t>
                      </w:r>
                    </w:p>
                    <w:p w14:paraId="58D20126" w14:textId="77777777" w:rsidR="005B475D" w:rsidRDefault="005B475D"/>
                  </w:txbxContent>
                </v:textbox>
                <w10:wrap type="square" anchorx="margin"/>
              </v:shape>
            </w:pict>
          </mc:Fallback>
        </mc:AlternateContent>
      </w:r>
      <w:r w:rsidR="0055634D" w:rsidRPr="0055634D">
        <w:rPr>
          <w:rFonts w:ascii="Aptos" w:eastAsia="Aptos" w:hAnsi="Aptos" w:cs="Times New Roman"/>
          <w:noProof/>
          <w:kern w:val="2"/>
          <w:sz w:val="22"/>
          <w:szCs w:val="22"/>
          <w14:ligatures w14:val="standardContextual"/>
        </w:rPr>
        <w:drawing>
          <wp:inline distT="0" distB="0" distL="0" distR="0" wp14:anchorId="5476C125" wp14:editId="75968349">
            <wp:extent cx="5943600" cy="1797050"/>
            <wp:effectExtent l="38100" t="0" r="38100" b="0"/>
            <wp:docPr id="247773179" name="Diagram 1" descr="Reimbursement sni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05D786" w14:textId="3569883B" w:rsidR="005B475D" w:rsidRDefault="005B475D" w:rsidP="0055634D"/>
    <w:p w14:paraId="2262F34E" w14:textId="5D5FE0E4" w:rsidR="0055634D" w:rsidRDefault="0055634D" w:rsidP="0055634D">
      <w:r w:rsidRPr="00FA579C">
        <w:rPr>
          <w:rFonts w:asciiTheme="minorHAnsi" w:hAnsiTheme="minorHAnsi" w:cstheme="minorHAnsi"/>
          <w:i/>
          <w:noProof/>
        </w:rPr>
        <mc:AlternateContent>
          <mc:Choice Requires="wps">
            <w:drawing>
              <wp:inline distT="0" distB="0" distL="0" distR="0" wp14:anchorId="42436784" wp14:editId="736506A3">
                <wp:extent cx="5772150" cy="140462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2C6817C4" w14:textId="2BEBB45A" w:rsidR="0055634D" w:rsidRPr="006B50EA" w:rsidRDefault="0055634D" w:rsidP="0055634D">
                            <w:pPr>
                              <w:ind w:left="900" w:hanging="900"/>
                              <w:rPr>
                                <w:rFonts w:asciiTheme="minorHAnsi" w:hAnsiTheme="minorHAnsi" w:cstheme="minorHAnsi"/>
                              </w:rPr>
                            </w:pPr>
                            <w:r w:rsidRPr="006B50EA">
                              <w:rPr>
                                <w:rFonts w:asciiTheme="minorHAnsi" w:hAnsiTheme="minorHAnsi" w:cstheme="minorHAnsi"/>
                                <w:b/>
                                <w:bCs/>
                              </w:rPr>
                              <w:t>Step 2</w:t>
                            </w:r>
                            <w:r w:rsidRPr="006B50EA">
                              <w:rPr>
                                <w:rFonts w:asciiTheme="minorHAnsi" w:hAnsiTheme="minorHAnsi" w:cstheme="minorHAnsi"/>
                              </w:rPr>
                              <w:t xml:space="preserve"> – </w:t>
                            </w:r>
                            <w:r w:rsidR="005B475D">
                              <w:rPr>
                                <w:rFonts w:asciiTheme="minorHAnsi" w:hAnsiTheme="minorHAnsi" w:cstheme="minorHAnsi"/>
                              </w:rPr>
                              <w:t>A</w:t>
                            </w:r>
                            <w:r w:rsidRPr="006B50EA">
                              <w:rPr>
                                <w:rFonts w:asciiTheme="minorHAnsi" w:hAnsiTheme="minorHAnsi" w:cstheme="minorHAnsi"/>
                              </w:rPr>
                              <w:t>s with all claims for reimbursement, perform an edit check and verify that meal counts for the month are accurate</w:t>
                            </w:r>
                            <w:r w:rsidR="00920C70">
                              <w:rPr>
                                <w:rFonts w:asciiTheme="minorHAnsi" w:hAnsiTheme="minorHAnsi" w:cstheme="minorHAnsi"/>
                              </w:rPr>
                              <w:t>.</w:t>
                            </w:r>
                          </w:p>
                          <w:p w14:paraId="3064868E" w14:textId="77777777" w:rsidR="0055634D" w:rsidRPr="006B50EA" w:rsidRDefault="0055634D" w:rsidP="0055634D">
                            <w:pPr>
                              <w:rPr>
                                <w:rFonts w:asciiTheme="minorHAnsi" w:hAnsiTheme="minorHAnsi" w:cstheme="minorHAnsi"/>
                              </w:rPr>
                            </w:pPr>
                          </w:p>
                          <w:p w14:paraId="256E73D4" w14:textId="5E90502A" w:rsidR="00920C70" w:rsidRPr="006B50EA" w:rsidRDefault="0055634D" w:rsidP="0055634D">
                            <w:pPr>
                              <w:rPr>
                                <w:rFonts w:asciiTheme="minorHAnsi" w:hAnsiTheme="minorHAnsi" w:cstheme="minorHAnsi"/>
                              </w:rPr>
                            </w:pPr>
                            <w:r w:rsidRPr="006B50EA">
                              <w:rPr>
                                <w:rFonts w:asciiTheme="minorHAnsi" w:hAnsiTheme="minorHAnsi" w:cstheme="minorHAnsi"/>
                                <w:b/>
                                <w:bCs/>
                              </w:rPr>
                              <w:t>Step 3</w:t>
                            </w:r>
                            <w:r w:rsidRPr="006B50EA">
                              <w:rPr>
                                <w:rFonts w:asciiTheme="minorHAnsi" w:hAnsiTheme="minorHAnsi" w:cstheme="minorHAnsi"/>
                              </w:rPr>
                              <w:t xml:space="preserve"> – </w:t>
                            </w:r>
                            <w:r w:rsidR="005B475D">
                              <w:rPr>
                                <w:rFonts w:asciiTheme="minorHAnsi" w:hAnsiTheme="minorHAnsi" w:cstheme="minorHAnsi"/>
                              </w:rPr>
                              <w:t>E</w:t>
                            </w:r>
                            <w:r w:rsidRPr="006B50EA">
                              <w:rPr>
                                <w:rFonts w:asciiTheme="minorHAnsi" w:hAnsiTheme="minorHAnsi" w:cstheme="minorHAnsi"/>
                              </w:rPr>
                              <w:t xml:space="preserve">nter the claim for reimbursement by category in CNPweb </w:t>
                            </w:r>
                            <w:r w:rsidR="00920C70">
                              <w:rPr>
                                <w:rFonts w:asciiTheme="minorHAnsi" w:hAnsiTheme="minorHAnsi" w:cstheme="minorHAnsi"/>
                              </w:rPr>
                              <w:t>on lines 1,2, and 3</w:t>
                            </w:r>
                            <w:r w:rsidR="005B475D">
                              <w:rPr>
                                <w:rFonts w:asciiTheme="minorHAnsi" w:hAnsiTheme="minorHAnsi" w:cstheme="minorHAnsi"/>
                              </w:rPr>
                              <w:t>.</w:t>
                            </w:r>
                          </w:p>
                          <w:p w14:paraId="5BA18ACC" w14:textId="77777777" w:rsidR="00920C70" w:rsidRPr="00920C70" w:rsidRDefault="00920C70" w:rsidP="00920C70">
                            <w:pPr>
                              <w:rPr>
                                <w:rFonts w:ascii="Times New Roman" w:eastAsia="Times New Roman" w:hAnsi="Times New Roman" w:cs="Times New Roman"/>
                                <w:szCs w:val="24"/>
                              </w:rPr>
                            </w:pPr>
                            <w:r w:rsidRPr="00920C70">
                              <w:rPr>
                                <w:rFonts w:ascii="Times New Roman" w:eastAsia="Times New Roman" w:hAnsi="Times New Roman" w:cs="Times New Roman"/>
                                <w:noProof/>
                                <w:szCs w:val="24"/>
                              </w:rPr>
                              <w:drawing>
                                <wp:inline distT="0" distB="0" distL="0" distR="0" wp14:anchorId="5F569B0F" wp14:editId="786A1206">
                                  <wp:extent cx="4070350" cy="1003300"/>
                                  <wp:effectExtent l="0" t="0" r="6350" b="6350"/>
                                  <wp:docPr id="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0350" cy="1003300"/>
                                          </a:xfrm>
                                          <a:prstGeom prst="rect">
                                            <a:avLst/>
                                          </a:prstGeom>
                                          <a:noFill/>
                                          <a:ln>
                                            <a:noFill/>
                                          </a:ln>
                                        </pic:spPr>
                                      </pic:pic>
                                    </a:graphicData>
                                  </a:graphic>
                                </wp:inline>
                              </w:drawing>
                            </w:r>
                          </w:p>
                          <w:p w14:paraId="37CB7431" w14:textId="77777777" w:rsidR="0055634D" w:rsidRDefault="0055634D" w:rsidP="0055634D">
                            <w:pPr>
                              <w:rPr>
                                <w:rFonts w:asciiTheme="minorHAnsi" w:hAnsiTheme="minorHAnsi" w:cstheme="minorHAnsi"/>
                              </w:rPr>
                            </w:pPr>
                          </w:p>
                          <w:p w14:paraId="13355352" w14:textId="4D327441" w:rsidR="0055634D" w:rsidRDefault="0055634D" w:rsidP="0055634D">
                            <w:pPr>
                              <w:ind w:left="900" w:hanging="900"/>
                              <w:rPr>
                                <w:rFonts w:asciiTheme="minorHAnsi" w:hAnsiTheme="minorHAnsi" w:cstheme="minorHAnsi"/>
                              </w:rPr>
                            </w:pPr>
                            <w:r w:rsidRPr="006B50EA">
                              <w:rPr>
                                <w:rFonts w:asciiTheme="minorHAnsi" w:hAnsiTheme="minorHAnsi" w:cstheme="minorHAnsi"/>
                                <w:b/>
                                <w:bCs/>
                              </w:rPr>
                              <w:t>Step 4</w:t>
                            </w:r>
                            <w:r w:rsidRPr="006B50EA">
                              <w:rPr>
                                <w:rFonts w:asciiTheme="minorHAnsi" w:hAnsiTheme="minorHAnsi" w:cstheme="minorHAnsi"/>
                              </w:rPr>
                              <w:t xml:space="preserve"> – </w:t>
                            </w:r>
                            <w:r w:rsidR="00844840">
                              <w:rPr>
                                <w:rFonts w:asciiTheme="minorHAnsi" w:hAnsiTheme="minorHAnsi" w:cstheme="minorHAnsi"/>
                              </w:rPr>
                              <w:t>E</w:t>
                            </w:r>
                            <w:r w:rsidRPr="006B50EA">
                              <w:rPr>
                                <w:rFonts w:asciiTheme="minorHAnsi" w:hAnsiTheme="minorHAnsi" w:cstheme="minorHAnsi"/>
                              </w:rPr>
                              <w:t>nter the total number of meals served to students that qualify for EIG meals</w:t>
                            </w:r>
                            <w:r w:rsidR="00920C70">
                              <w:rPr>
                                <w:rFonts w:asciiTheme="minorHAnsi" w:hAnsiTheme="minorHAnsi" w:cstheme="minorHAnsi"/>
                              </w:rPr>
                              <w:t xml:space="preserve"> on line 8</w:t>
                            </w:r>
                            <w:r w:rsidRPr="006B50EA">
                              <w:rPr>
                                <w:rFonts w:asciiTheme="minorHAnsi" w:hAnsiTheme="minorHAnsi" w:cstheme="minorHAnsi"/>
                              </w:rPr>
                              <w:t xml:space="preserve">. </w:t>
                            </w:r>
                          </w:p>
                          <w:p w14:paraId="68135246" w14:textId="3F5454A3" w:rsidR="00920C70" w:rsidRPr="00920C70" w:rsidRDefault="00920C70" w:rsidP="00920C70">
                            <w:pPr>
                              <w:rPr>
                                <w:rFonts w:ascii="Times New Roman" w:eastAsia="Times New Roman" w:hAnsi="Times New Roman" w:cs="Times New Roman"/>
                                <w:szCs w:val="24"/>
                              </w:rPr>
                            </w:pPr>
                            <w:r w:rsidRPr="00920C70">
                              <w:rPr>
                                <w:rFonts w:ascii="Times New Roman" w:eastAsia="Times New Roman" w:hAnsi="Times New Roman" w:cs="Times New Roman"/>
                                <w:noProof/>
                                <w:szCs w:val="24"/>
                              </w:rPr>
                              <w:drawing>
                                <wp:inline distT="0" distB="0" distL="0" distR="0" wp14:anchorId="24CD03B1" wp14:editId="5DE16ECE">
                                  <wp:extent cx="3924300" cy="247650"/>
                                  <wp:effectExtent l="0" t="0" r="0" b="0"/>
                                  <wp:docPr id="1672865403" name="Picture 1" descr="Or E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5403" name="Picture 1" descr="Or E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47650"/>
                                          </a:xfrm>
                                          <a:prstGeom prst="rect">
                                            <a:avLst/>
                                          </a:prstGeom>
                                          <a:noFill/>
                                          <a:ln>
                                            <a:noFill/>
                                          </a:ln>
                                        </pic:spPr>
                                      </pic:pic>
                                    </a:graphicData>
                                  </a:graphic>
                                </wp:inline>
                              </w:drawing>
                            </w:r>
                          </w:p>
                          <w:p w14:paraId="61782990" w14:textId="77777777" w:rsidR="00920C70" w:rsidRPr="006B50EA" w:rsidRDefault="00920C70" w:rsidP="0055634D">
                            <w:pPr>
                              <w:ind w:left="900" w:hanging="900"/>
                              <w:rPr>
                                <w:rFonts w:asciiTheme="minorHAnsi" w:hAnsiTheme="minorHAnsi" w:cstheme="minorHAnsi"/>
                              </w:rPr>
                            </w:pPr>
                          </w:p>
                          <w:p w14:paraId="7FCA2A41" w14:textId="3EC65ACD" w:rsidR="0055634D" w:rsidRDefault="00920C70" w:rsidP="0055634D">
                            <w:pPr>
                              <w:rPr>
                                <w:rFonts w:asciiTheme="minorHAnsi" w:hAnsiTheme="minorHAnsi" w:cstheme="minorHAnsi"/>
                              </w:rPr>
                            </w:pPr>
                            <w:r w:rsidRPr="006B50EA">
                              <w:rPr>
                                <w:rFonts w:asciiTheme="minorHAnsi" w:hAnsiTheme="minorHAnsi" w:cstheme="minorHAnsi"/>
                              </w:rPr>
                              <w:t>As a reminder, these student’s meals will also be claimed in the ‘paid’ category</w:t>
                            </w:r>
                            <w:r>
                              <w:rPr>
                                <w:rFonts w:asciiTheme="minorHAnsi" w:hAnsiTheme="minorHAnsi" w:cstheme="minorHAnsi"/>
                              </w:rPr>
                              <w:t xml:space="preserve"> on line 1</w:t>
                            </w:r>
                            <w:r w:rsidRPr="006B50EA">
                              <w:rPr>
                                <w:rFonts w:asciiTheme="minorHAnsi" w:hAnsiTheme="minorHAnsi" w:cstheme="minorHAnsi"/>
                              </w:rPr>
                              <w:t xml:space="preserve">. They are accounted for twice, once in the paid </w:t>
                            </w:r>
                            <w:r>
                              <w:rPr>
                                <w:rFonts w:asciiTheme="minorHAnsi" w:hAnsiTheme="minorHAnsi" w:cstheme="minorHAnsi"/>
                              </w:rPr>
                              <w:t>line</w:t>
                            </w:r>
                            <w:r w:rsidRPr="006B50EA">
                              <w:rPr>
                                <w:rFonts w:asciiTheme="minorHAnsi" w:hAnsiTheme="minorHAnsi" w:cstheme="minorHAnsi"/>
                              </w:rPr>
                              <w:t xml:space="preserve"> and once in the Oregon</w:t>
                            </w:r>
                            <w:r>
                              <w:rPr>
                                <w:rFonts w:asciiTheme="minorHAnsi" w:hAnsiTheme="minorHAnsi" w:cstheme="minorHAnsi"/>
                              </w:rPr>
                              <w:t xml:space="preserve"> EIG line.</w:t>
                            </w:r>
                          </w:p>
                          <w:p w14:paraId="042547BD" w14:textId="77777777" w:rsidR="00920C70" w:rsidRPr="006B50EA" w:rsidRDefault="00920C70" w:rsidP="0055634D">
                            <w:pPr>
                              <w:rPr>
                                <w:rFonts w:asciiTheme="minorHAnsi" w:hAnsiTheme="minorHAnsi" w:cstheme="minorHAnsi"/>
                              </w:rPr>
                            </w:pPr>
                          </w:p>
                          <w:p w14:paraId="09C40C08" w14:textId="4D89C0FB" w:rsidR="0055634D" w:rsidRPr="006B50EA" w:rsidRDefault="0055634D" w:rsidP="0055634D">
                            <w:pPr>
                              <w:rPr>
                                <w:rFonts w:asciiTheme="minorHAnsi" w:hAnsiTheme="minorHAnsi" w:cstheme="minorHAnsi"/>
                              </w:rPr>
                            </w:pPr>
                            <w:r w:rsidRPr="00844840">
                              <w:rPr>
                                <w:rFonts w:asciiTheme="minorHAnsi" w:hAnsiTheme="minorHAnsi" w:cstheme="minorHAnsi"/>
                                <w:b/>
                                <w:bCs/>
                              </w:rPr>
                              <w:t>Tip</w:t>
                            </w:r>
                            <w:r w:rsidRPr="006B50EA">
                              <w:rPr>
                                <w:rFonts w:asciiTheme="minorHAnsi" w:hAnsiTheme="minorHAnsi" w:cstheme="minorHAnsi"/>
                              </w:rPr>
                              <w:t xml:space="preserve"> – Your Oregon EIG meal </w:t>
                            </w:r>
                            <w:r w:rsidR="00844840">
                              <w:rPr>
                                <w:rFonts w:asciiTheme="minorHAnsi" w:hAnsiTheme="minorHAnsi" w:cstheme="minorHAnsi"/>
                              </w:rPr>
                              <w:t>counts</w:t>
                            </w:r>
                            <w:r w:rsidRPr="006B50EA">
                              <w:rPr>
                                <w:rFonts w:asciiTheme="minorHAnsi" w:hAnsiTheme="minorHAnsi" w:cstheme="minorHAnsi"/>
                              </w:rPr>
                              <w:t xml:space="preserve"> must always be less than, or in rare cases equal to, the paid meal</w:t>
                            </w:r>
                            <w:r w:rsidR="00844840">
                              <w:rPr>
                                <w:rFonts w:asciiTheme="minorHAnsi" w:hAnsiTheme="minorHAnsi" w:cstheme="minorHAnsi"/>
                              </w:rPr>
                              <w:t xml:space="preserve"> counts.</w:t>
                            </w:r>
                          </w:p>
                        </w:txbxContent>
                      </wps:txbx>
                      <wps:bodyPr rot="0" vert="horz" wrap="square" lIns="91440" tIns="45720" rIns="91440" bIns="45720" anchor="t" anchorCtr="0">
                        <a:spAutoFit/>
                      </wps:bodyPr>
                    </wps:wsp>
                  </a:graphicData>
                </a:graphic>
              </wp:inline>
            </w:drawing>
          </mc:Choice>
          <mc:Fallback>
            <w:pict>
              <v:shape w14:anchorId="42436784" id="Text Box 2" o:spid="_x0000_s1027" type="#_x0000_t202" style="width:45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" fillcolor="#d8d8d8 [2732]" strokecolor="#d8d8d8 [2732]">
                <v:textbox style="mso-fit-shape-to-text:t">
                  <w:txbxContent>
                    <w:p w14:paraId="2C6817C4" w14:textId="2BEBB45A" w:rsidR="0055634D" w:rsidRPr="006B50EA" w:rsidRDefault="0055634D" w:rsidP="0055634D">
                      <w:pPr>
                        <w:ind w:left="900" w:hanging="900"/>
                        <w:rPr>
                          <w:rFonts w:asciiTheme="minorHAnsi" w:hAnsiTheme="minorHAnsi" w:cstheme="minorHAnsi"/>
                        </w:rPr>
                      </w:pPr>
                      <w:r w:rsidRPr="006B50EA">
                        <w:rPr>
                          <w:rFonts w:asciiTheme="minorHAnsi" w:hAnsiTheme="minorHAnsi" w:cstheme="minorHAnsi"/>
                          <w:b/>
                          <w:bCs/>
                        </w:rPr>
                        <w:t>Step 2</w:t>
                      </w:r>
                      <w:r w:rsidRPr="006B50EA">
                        <w:rPr>
                          <w:rFonts w:asciiTheme="minorHAnsi" w:hAnsiTheme="minorHAnsi" w:cstheme="minorHAnsi"/>
                        </w:rPr>
                        <w:t xml:space="preserve"> – </w:t>
                      </w:r>
                      <w:r w:rsidR="005B475D">
                        <w:rPr>
                          <w:rFonts w:asciiTheme="minorHAnsi" w:hAnsiTheme="minorHAnsi" w:cstheme="minorHAnsi"/>
                        </w:rPr>
                        <w:t>A</w:t>
                      </w:r>
                      <w:r w:rsidRPr="006B50EA">
                        <w:rPr>
                          <w:rFonts w:asciiTheme="minorHAnsi" w:hAnsiTheme="minorHAnsi" w:cstheme="minorHAnsi"/>
                        </w:rPr>
                        <w:t>s with all claims for reimbursement, perform an edit check and verify that meal counts for the month are accurate</w:t>
                      </w:r>
                      <w:r w:rsidR="00920C70">
                        <w:rPr>
                          <w:rFonts w:asciiTheme="minorHAnsi" w:hAnsiTheme="minorHAnsi" w:cstheme="minorHAnsi"/>
                        </w:rPr>
                        <w:t>.</w:t>
                      </w:r>
                    </w:p>
                    <w:p w14:paraId="3064868E" w14:textId="77777777" w:rsidR="0055634D" w:rsidRPr="006B50EA" w:rsidRDefault="0055634D" w:rsidP="0055634D">
                      <w:pPr>
                        <w:rPr>
                          <w:rFonts w:asciiTheme="minorHAnsi" w:hAnsiTheme="minorHAnsi" w:cstheme="minorHAnsi"/>
                        </w:rPr>
                      </w:pPr>
                    </w:p>
                    <w:p w14:paraId="256E73D4" w14:textId="5E90502A" w:rsidR="00920C70" w:rsidRPr="006B50EA" w:rsidRDefault="0055634D" w:rsidP="0055634D">
                      <w:pPr>
                        <w:rPr>
                          <w:rFonts w:asciiTheme="minorHAnsi" w:hAnsiTheme="minorHAnsi" w:cstheme="minorHAnsi"/>
                        </w:rPr>
                      </w:pPr>
                      <w:r w:rsidRPr="006B50EA">
                        <w:rPr>
                          <w:rFonts w:asciiTheme="minorHAnsi" w:hAnsiTheme="minorHAnsi" w:cstheme="minorHAnsi"/>
                          <w:b/>
                          <w:bCs/>
                        </w:rPr>
                        <w:t>Step 3</w:t>
                      </w:r>
                      <w:r w:rsidRPr="006B50EA">
                        <w:rPr>
                          <w:rFonts w:asciiTheme="minorHAnsi" w:hAnsiTheme="minorHAnsi" w:cstheme="minorHAnsi"/>
                        </w:rPr>
                        <w:t xml:space="preserve"> – </w:t>
                      </w:r>
                      <w:r w:rsidR="005B475D">
                        <w:rPr>
                          <w:rFonts w:asciiTheme="minorHAnsi" w:hAnsiTheme="minorHAnsi" w:cstheme="minorHAnsi"/>
                        </w:rPr>
                        <w:t>E</w:t>
                      </w:r>
                      <w:r w:rsidRPr="006B50EA">
                        <w:rPr>
                          <w:rFonts w:asciiTheme="minorHAnsi" w:hAnsiTheme="minorHAnsi" w:cstheme="minorHAnsi"/>
                        </w:rPr>
                        <w:t xml:space="preserve">nter the claim for reimbursement by category in CNPweb </w:t>
                      </w:r>
                      <w:r w:rsidR="00920C70">
                        <w:rPr>
                          <w:rFonts w:asciiTheme="minorHAnsi" w:hAnsiTheme="minorHAnsi" w:cstheme="minorHAnsi"/>
                        </w:rPr>
                        <w:t>on lines 1,2, and 3</w:t>
                      </w:r>
                      <w:r w:rsidR="005B475D">
                        <w:rPr>
                          <w:rFonts w:asciiTheme="minorHAnsi" w:hAnsiTheme="minorHAnsi" w:cstheme="minorHAnsi"/>
                        </w:rPr>
                        <w:t>.</w:t>
                      </w:r>
                    </w:p>
                    <w:p w14:paraId="5BA18ACC" w14:textId="77777777" w:rsidR="00920C70" w:rsidRPr="00920C70" w:rsidRDefault="00920C70" w:rsidP="00920C70">
                      <w:pPr>
                        <w:rPr>
                          <w:rFonts w:ascii="Times New Roman" w:eastAsia="Times New Roman" w:hAnsi="Times New Roman" w:cs="Times New Roman"/>
                          <w:szCs w:val="24"/>
                        </w:rPr>
                      </w:pPr>
                      <w:r w:rsidRPr="00920C70">
                        <w:rPr>
                          <w:rFonts w:ascii="Times New Roman" w:eastAsia="Times New Roman" w:hAnsi="Times New Roman" w:cs="Times New Roman"/>
                          <w:noProof/>
                          <w:szCs w:val="24"/>
                        </w:rPr>
                        <w:drawing>
                          <wp:inline distT="0" distB="0" distL="0" distR="0" wp14:anchorId="5F569B0F" wp14:editId="786A1206">
                            <wp:extent cx="4070350" cy="1003300"/>
                            <wp:effectExtent l="0" t="0" r="6350" b="6350"/>
                            <wp:docPr id="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0350" cy="1003300"/>
                                    </a:xfrm>
                                    <a:prstGeom prst="rect">
                                      <a:avLst/>
                                    </a:prstGeom>
                                    <a:noFill/>
                                    <a:ln>
                                      <a:noFill/>
                                    </a:ln>
                                  </pic:spPr>
                                </pic:pic>
                              </a:graphicData>
                            </a:graphic>
                          </wp:inline>
                        </w:drawing>
                      </w:r>
                    </w:p>
                    <w:p w14:paraId="37CB7431" w14:textId="77777777" w:rsidR="0055634D" w:rsidRDefault="0055634D" w:rsidP="0055634D">
                      <w:pPr>
                        <w:rPr>
                          <w:rFonts w:asciiTheme="minorHAnsi" w:hAnsiTheme="minorHAnsi" w:cstheme="minorHAnsi"/>
                        </w:rPr>
                      </w:pPr>
                    </w:p>
                    <w:p w14:paraId="13355352" w14:textId="4D327441" w:rsidR="0055634D" w:rsidRDefault="0055634D" w:rsidP="0055634D">
                      <w:pPr>
                        <w:ind w:left="900" w:hanging="900"/>
                        <w:rPr>
                          <w:rFonts w:asciiTheme="minorHAnsi" w:hAnsiTheme="minorHAnsi" w:cstheme="minorHAnsi"/>
                        </w:rPr>
                      </w:pPr>
                      <w:r w:rsidRPr="006B50EA">
                        <w:rPr>
                          <w:rFonts w:asciiTheme="minorHAnsi" w:hAnsiTheme="minorHAnsi" w:cstheme="minorHAnsi"/>
                          <w:b/>
                          <w:bCs/>
                        </w:rPr>
                        <w:t>Step 4</w:t>
                      </w:r>
                      <w:r w:rsidRPr="006B50EA">
                        <w:rPr>
                          <w:rFonts w:asciiTheme="minorHAnsi" w:hAnsiTheme="minorHAnsi" w:cstheme="minorHAnsi"/>
                        </w:rPr>
                        <w:t xml:space="preserve"> – </w:t>
                      </w:r>
                      <w:r w:rsidR="00844840">
                        <w:rPr>
                          <w:rFonts w:asciiTheme="minorHAnsi" w:hAnsiTheme="minorHAnsi" w:cstheme="minorHAnsi"/>
                        </w:rPr>
                        <w:t>E</w:t>
                      </w:r>
                      <w:r w:rsidRPr="006B50EA">
                        <w:rPr>
                          <w:rFonts w:asciiTheme="minorHAnsi" w:hAnsiTheme="minorHAnsi" w:cstheme="minorHAnsi"/>
                        </w:rPr>
                        <w:t>nter the total number of meals served to students that qualify for EIG meals</w:t>
                      </w:r>
                      <w:r w:rsidR="00920C70">
                        <w:rPr>
                          <w:rFonts w:asciiTheme="minorHAnsi" w:hAnsiTheme="minorHAnsi" w:cstheme="minorHAnsi"/>
                        </w:rPr>
                        <w:t xml:space="preserve"> on line 8</w:t>
                      </w:r>
                      <w:r w:rsidRPr="006B50EA">
                        <w:rPr>
                          <w:rFonts w:asciiTheme="minorHAnsi" w:hAnsiTheme="minorHAnsi" w:cstheme="minorHAnsi"/>
                        </w:rPr>
                        <w:t xml:space="preserve">. </w:t>
                      </w:r>
                    </w:p>
                    <w:p w14:paraId="68135246" w14:textId="3F5454A3" w:rsidR="00920C70" w:rsidRPr="00920C70" w:rsidRDefault="00920C70" w:rsidP="00920C70">
                      <w:pPr>
                        <w:rPr>
                          <w:rFonts w:ascii="Times New Roman" w:eastAsia="Times New Roman" w:hAnsi="Times New Roman" w:cs="Times New Roman"/>
                          <w:szCs w:val="24"/>
                        </w:rPr>
                      </w:pPr>
                      <w:r w:rsidRPr="00920C70">
                        <w:rPr>
                          <w:rFonts w:ascii="Times New Roman" w:eastAsia="Times New Roman" w:hAnsi="Times New Roman" w:cs="Times New Roman"/>
                          <w:noProof/>
                          <w:szCs w:val="24"/>
                        </w:rPr>
                        <w:drawing>
                          <wp:inline distT="0" distB="0" distL="0" distR="0" wp14:anchorId="24CD03B1" wp14:editId="5DE16ECE">
                            <wp:extent cx="3924300" cy="247650"/>
                            <wp:effectExtent l="0" t="0" r="0" b="0"/>
                            <wp:docPr id="1672865403" name="Picture 1" descr="Or E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5403" name="Picture 1" descr="Or E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47650"/>
                                    </a:xfrm>
                                    <a:prstGeom prst="rect">
                                      <a:avLst/>
                                    </a:prstGeom>
                                    <a:noFill/>
                                    <a:ln>
                                      <a:noFill/>
                                    </a:ln>
                                  </pic:spPr>
                                </pic:pic>
                              </a:graphicData>
                            </a:graphic>
                          </wp:inline>
                        </w:drawing>
                      </w:r>
                    </w:p>
                    <w:p w14:paraId="61782990" w14:textId="77777777" w:rsidR="00920C70" w:rsidRPr="006B50EA" w:rsidRDefault="00920C70" w:rsidP="0055634D">
                      <w:pPr>
                        <w:ind w:left="900" w:hanging="900"/>
                        <w:rPr>
                          <w:rFonts w:asciiTheme="minorHAnsi" w:hAnsiTheme="minorHAnsi" w:cstheme="minorHAnsi"/>
                        </w:rPr>
                      </w:pPr>
                    </w:p>
                    <w:p w14:paraId="7FCA2A41" w14:textId="3EC65ACD" w:rsidR="0055634D" w:rsidRDefault="00920C70" w:rsidP="0055634D">
                      <w:pPr>
                        <w:rPr>
                          <w:rFonts w:asciiTheme="minorHAnsi" w:hAnsiTheme="minorHAnsi" w:cstheme="minorHAnsi"/>
                        </w:rPr>
                      </w:pPr>
                      <w:r w:rsidRPr="006B50EA">
                        <w:rPr>
                          <w:rFonts w:asciiTheme="minorHAnsi" w:hAnsiTheme="minorHAnsi" w:cstheme="minorHAnsi"/>
                        </w:rPr>
                        <w:t>As a reminder, these student’s meals will also be claimed in the ‘paid’ category</w:t>
                      </w:r>
                      <w:r>
                        <w:rPr>
                          <w:rFonts w:asciiTheme="minorHAnsi" w:hAnsiTheme="minorHAnsi" w:cstheme="minorHAnsi"/>
                        </w:rPr>
                        <w:t xml:space="preserve"> on line 1</w:t>
                      </w:r>
                      <w:r w:rsidRPr="006B50EA">
                        <w:rPr>
                          <w:rFonts w:asciiTheme="minorHAnsi" w:hAnsiTheme="minorHAnsi" w:cstheme="minorHAnsi"/>
                        </w:rPr>
                        <w:t xml:space="preserve">. They are accounted for twice, once in the paid </w:t>
                      </w:r>
                      <w:r>
                        <w:rPr>
                          <w:rFonts w:asciiTheme="minorHAnsi" w:hAnsiTheme="minorHAnsi" w:cstheme="minorHAnsi"/>
                        </w:rPr>
                        <w:t>line</w:t>
                      </w:r>
                      <w:r w:rsidRPr="006B50EA">
                        <w:rPr>
                          <w:rFonts w:asciiTheme="minorHAnsi" w:hAnsiTheme="minorHAnsi" w:cstheme="minorHAnsi"/>
                        </w:rPr>
                        <w:t xml:space="preserve"> and once in the Oregon</w:t>
                      </w:r>
                      <w:r>
                        <w:rPr>
                          <w:rFonts w:asciiTheme="minorHAnsi" w:hAnsiTheme="minorHAnsi" w:cstheme="minorHAnsi"/>
                        </w:rPr>
                        <w:t xml:space="preserve"> EIG line.</w:t>
                      </w:r>
                    </w:p>
                    <w:p w14:paraId="042547BD" w14:textId="77777777" w:rsidR="00920C70" w:rsidRPr="006B50EA" w:rsidRDefault="00920C70" w:rsidP="0055634D">
                      <w:pPr>
                        <w:rPr>
                          <w:rFonts w:asciiTheme="minorHAnsi" w:hAnsiTheme="minorHAnsi" w:cstheme="minorHAnsi"/>
                        </w:rPr>
                      </w:pPr>
                    </w:p>
                    <w:p w14:paraId="09C40C08" w14:textId="4D89C0FB" w:rsidR="0055634D" w:rsidRPr="006B50EA" w:rsidRDefault="0055634D" w:rsidP="0055634D">
                      <w:pPr>
                        <w:rPr>
                          <w:rFonts w:asciiTheme="minorHAnsi" w:hAnsiTheme="minorHAnsi" w:cstheme="minorHAnsi"/>
                        </w:rPr>
                      </w:pPr>
                      <w:r w:rsidRPr="00844840">
                        <w:rPr>
                          <w:rFonts w:asciiTheme="minorHAnsi" w:hAnsiTheme="minorHAnsi" w:cstheme="minorHAnsi"/>
                          <w:b/>
                          <w:bCs/>
                        </w:rPr>
                        <w:t>Tip</w:t>
                      </w:r>
                      <w:r w:rsidRPr="006B50EA">
                        <w:rPr>
                          <w:rFonts w:asciiTheme="minorHAnsi" w:hAnsiTheme="minorHAnsi" w:cstheme="minorHAnsi"/>
                        </w:rPr>
                        <w:t xml:space="preserve"> – Your Oregon EIG meal </w:t>
                      </w:r>
                      <w:r w:rsidR="00844840">
                        <w:rPr>
                          <w:rFonts w:asciiTheme="minorHAnsi" w:hAnsiTheme="minorHAnsi" w:cstheme="minorHAnsi"/>
                        </w:rPr>
                        <w:t>counts</w:t>
                      </w:r>
                      <w:r w:rsidRPr="006B50EA">
                        <w:rPr>
                          <w:rFonts w:asciiTheme="minorHAnsi" w:hAnsiTheme="minorHAnsi" w:cstheme="minorHAnsi"/>
                        </w:rPr>
                        <w:t xml:space="preserve"> must always be less than, or in rare cases equal to, the paid meal</w:t>
                      </w:r>
                      <w:r w:rsidR="00844840">
                        <w:rPr>
                          <w:rFonts w:asciiTheme="minorHAnsi" w:hAnsiTheme="minorHAnsi" w:cstheme="minorHAnsi"/>
                        </w:rPr>
                        <w:t xml:space="preserve"> counts.</w:t>
                      </w:r>
                    </w:p>
                  </w:txbxContent>
                </v:textbox>
                <w10:anchorlock/>
              </v:shape>
            </w:pict>
          </mc:Fallback>
        </mc:AlternateContent>
      </w:r>
    </w:p>
    <w:p w14:paraId="70737C47" w14:textId="77777777" w:rsidR="0055634D" w:rsidRDefault="0055634D" w:rsidP="0055634D"/>
    <w:p w14:paraId="4A1A8D8C" w14:textId="77777777" w:rsidR="0055634D" w:rsidRPr="00FA4C14" w:rsidRDefault="0055634D" w:rsidP="0055634D">
      <w:pPr>
        <w:rPr>
          <w:rFonts w:asciiTheme="minorHAnsi" w:hAnsiTheme="minorHAnsi" w:cstheme="minorHAnsi"/>
          <w:szCs w:val="24"/>
        </w:rPr>
      </w:pPr>
      <w:r w:rsidRPr="00FA4C14">
        <w:rPr>
          <w:rFonts w:asciiTheme="minorHAnsi" w:hAnsiTheme="minorHAnsi" w:cstheme="minorHAnsi"/>
          <w:b/>
          <w:szCs w:val="24"/>
        </w:rPr>
        <w:t>Helpful Resources:</w:t>
      </w:r>
      <w:r w:rsidRPr="00FA4C14">
        <w:rPr>
          <w:rFonts w:asciiTheme="minorHAnsi" w:hAnsiTheme="minorHAnsi" w:cstheme="minorHAnsi"/>
          <w:szCs w:val="24"/>
        </w:rPr>
        <w:t xml:space="preserve"> </w:t>
      </w:r>
    </w:p>
    <w:p w14:paraId="77B50AFF" w14:textId="4F4B6EDB" w:rsidR="0055634D" w:rsidRPr="00FA4C14" w:rsidRDefault="0055634D" w:rsidP="0055634D">
      <w:pPr>
        <w:pStyle w:val="ListParagraph"/>
        <w:numPr>
          <w:ilvl w:val="0"/>
          <w:numId w:val="2"/>
        </w:numPr>
        <w:rPr>
          <w:rFonts w:asciiTheme="minorHAnsi" w:hAnsiTheme="minorHAnsi" w:cstheme="minorHAnsi"/>
          <w:szCs w:val="24"/>
        </w:rPr>
      </w:pPr>
      <w:hyperlink r:id="rId14" w:history="1">
        <w:r w:rsidRPr="00FA4C14">
          <w:rPr>
            <w:rStyle w:val="Hyperlink"/>
            <w:rFonts w:asciiTheme="minorHAnsi" w:hAnsiTheme="minorHAnsi" w:cstheme="minorHAnsi"/>
            <w:szCs w:val="24"/>
          </w:rPr>
          <w:t xml:space="preserve">Oregon EIG </w:t>
        </w:r>
        <w:proofErr w:type="gramStart"/>
        <w:r w:rsidRPr="00FA4C14">
          <w:rPr>
            <w:rStyle w:val="Hyperlink"/>
            <w:rFonts w:asciiTheme="minorHAnsi" w:hAnsiTheme="minorHAnsi" w:cstheme="minorHAnsi"/>
            <w:szCs w:val="24"/>
          </w:rPr>
          <w:t>at a Glance</w:t>
        </w:r>
        <w:proofErr w:type="gramEnd"/>
      </w:hyperlink>
    </w:p>
    <w:p w14:paraId="3CE70598" w14:textId="50B3FEFB" w:rsidR="0055634D" w:rsidRPr="00FA4C14" w:rsidRDefault="0055634D" w:rsidP="0055634D">
      <w:pPr>
        <w:pStyle w:val="ListParagraph"/>
        <w:numPr>
          <w:ilvl w:val="0"/>
          <w:numId w:val="2"/>
        </w:numPr>
        <w:rPr>
          <w:rFonts w:asciiTheme="minorHAnsi" w:hAnsiTheme="minorHAnsi" w:cstheme="minorHAnsi"/>
          <w:szCs w:val="24"/>
        </w:rPr>
      </w:pPr>
      <w:hyperlink r:id="rId15" w:history="1">
        <w:r w:rsidRPr="00FA4C14">
          <w:rPr>
            <w:rStyle w:val="Hyperlink"/>
            <w:rFonts w:asciiTheme="minorHAnsi" w:hAnsiTheme="minorHAnsi" w:cstheme="minorHAnsi"/>
            <w:szCs w:val="24"/>
          </w:rPr>
          <w:t xml:space="preserve">Meal Counting and Claiming Systems </w:t>
        </w:r>
        <w:proofErr w:type="gramStart"/>
        <w:r w:rsidRPr="00FA4C14">
          <w:rPr>
            <w:rStyle w:val="Hyperlink"/>
            <w:rFonts w:asciiTheme="minorHAnsi" w:hAnsiTheme="minorHAnsi" w:cstheme="minorHAnsi"/>
            <w:szCs w:val="24"/>
          </w:rPr>
          <w:t>at a Glance</w:t>
        </w:r>
        <w:proofErr w:type="gramEnd"/>
      </w:hyperlink>
    </w:p>
    <w:p w14:paraId="23710915" w14:textId="77777777" w:rsidR="0055634D" w:rsidRPr="00FA4C14" w:rsidRDefault="0055634D" w:rsidP="0055634D">
      <w:pPr>
        <w:pStyle w:val="ListParagraph"/>
        <w:numPr>
          <w:ilvl w:val="0"/>
          <w:numId w:val="2"/>
        </w:numPr>
        <w:rPr>
          <w:rFonts w:asciiTheme="minorHAnsi" w:hAnsiTheme="minorHAnsi" w:cstheme="minorHAnsi"/>
          <w:szCs w:val="24"/>
        </w:rPr>
      </w:pPr>
      <w:hyperlink r:id="rId16" w:history="1">
        <w:r w:rsidRPr="00FA4C14">
          <w:rPr>
            <w:rStyle w:val="Hyperlink"/>
            <w:rFonts w:asciiTheme="minorHAnsi" w:hAnsiTheme="minorHAnsi" w:cstheme="minorHAnsi"/>
            <w:szCs w:val="24"/>
          </w:rPr>
          <w:t>Application Processing for Oregon Expanded Income Guidelines</w:t>
        </w:r>
      </w:hyperlink>
    </w:p>
    <w:p w14:paraId="3A1695AC" w14:textId="3D4F33A4" w:rsidR="0055634D" w:rsidRPr="00FA4C14" w:rsidRDefault="0055634D" w:rsidP="0055634D">
      <w:pPr>
        <w:pStyle w:val="ListParagraph"/>
        <w:numPr>
          <w:ilvl w:val="0"/>
          <w:numId w:val="2"/>
        </w:numPr>
        <w:rPr>
          <w:rFonts w:asciiTheme="minorHAnsi" w:hAnsiTheme="minorHAnsi" w:cstheme="minorHAnsi"/>
          <w:szCs w:val="24"/>
        </w:rPr>
      </w:pPr>
      <w:hyperlink r:id="rId17" w:history="1">
        <w:r w:rsidRPr="00FA4C14">
          <w:rPr>
            <w:rStyle w:val="Hyperlink"/>
            <w:rFonts w:asciiTheme="minorHAnsi" w:hAnsiTheme="minorHAnsi" w:cstheme="minorHAnsi"/>
            <w:szCs w:val="24"/>
          </w:rPr>
          <w:t>SNP Manual Claim Instructions</w:t>
        </w:r>
      </w:hyperlink>
      <w:r w:rsidRPr="00FA4C14">
        <w:rPr>
          <w:rFonts w:asciiTheme="minorHAnsi" w:hAnsiTheme="minorHAnsi" w:cstheme="minorHAnsi"/>
          <w:szCs w:val="24"/>
        </w:rPr>
        <w:t xml:space="preserve"> </w:t>
      </w:r>
    </w:p>
    <w:p w14:paraId="7773E25A" w14:textId="46B85566" w:rsidR="0055634D" w:rsidRPr="00FA4C14" w:rsidRDefault="0055634D" w:rsidP="0055634D">
      <w:pPr>
        <w:ind w:left="360"/>
        <w:rPr>
          <w:rFonts w:asciiTheme="minorHAnsi" w:hAnsiTheme="minorHAnsi" w:cstheme="minorHAnsi"/>
          <w:szCs w:val="24"/>
        </w:rPr>
      </w:pPr>
    </w:p>
    <w:p w14:paraId="573DD09D" w14:textId="77777777" w:rsidR="0055634D" w:rsidRPr="00FA4C14" w:rsidRDefault="0055634D" w:rsidP="0055634D">
      <w:pPr>
        <w:rPr>
          <w:rFonts w:asciiTheme="minorHAnsi" w:hAnsiTheme="minorHAnsi" w:cstheme="minorHAnsi"/>
          <w:szCs w:val="24"/>
        </w:rPr>
      </w:pPr>
      <w:r w:rsidRPr="00FA4C14">
        <w:rPr>
          <w:rFonts w:asciiTheme="minorHAnsi" w:hAnsiTheme="minorHAnsi" w:cstheme="minorHAnsi"/>
          <w:b/>
          <w:szCs w:val="24"/>
        </w:rPr>
        <w:t>Regulatory Reference:</w:t>
      </w:r>
      <w:r w:rsidRPr="00FA4C14">
        <w:rPr>
          <w:rFonts w:asciiTheme="minorHAnsi" w:hAnsiTheme="minorHAnsi" w:cstheme="minorHAnsi"/>
          <w:szCs w:val="24"/>
        </w:rPr>
        <w:t xml:space="preserve"> </w:t>
      </w:r>
    </w:p>
    <w:p w14:paraId="2F30B963" w14:textId="4C9A191F" w:rsidR="0055634D" w:rsidRPr="00FA4C14" w:rsidRDefault="00FA4C14" w:rsidP="0055634D">
      <w:pPr>
        <w:rPr>
          <w:rFonts w:asciiTheme="minorHAnsi" w:hAnsiTheme="minorHAnsi" w:cstheme="minorHAnsi"/>
          <w:b/>
          <w:bCs/>
          <w:color w:val="333333"/>
          <w:szCs w:val="24"/>
          <w:shd w:val="clear" w:color="auto" w:fill="F5F5F5"/>
        </w:rPr>
      </w:pPr>
      <w:hyperlink r:id="rId18" w:history="1">
        <w:r w:rsidRPr="00FA4C14">
          <w:rPr>
            <w:rStyle w:val="Hyperlink"/>
            <w:rFonts w:asciiTheme="minorHAnsi" w:hAnsiTheme="minorHAnsi" w:cstheme="minorHAnsi"/>
            <w:szCs w:val="24"/>
          </w:rPr>
          <w:t>Oregon Administrative Rule</w:t>
        </w:r>
      </w:hyperlink>
      <w:r w:rsidRPr="00FA4C14">
        <w:rPr>
          <w:rStyle w:val="Strong"/>
          <w:rFonts w:asciiTheme="minorHAnsi" w:hAnsiTheme="minorHAnsi" w:cstheme="minorHAnsi"/>
          <w:color w:val="333333"/>
          <w:szCs w:val="24"/>
        </w:rPr>
        <w:t xml:space="preserve"> – </w:t>
      </w:r>
      <w:r w:rsidRPr="00FA4C14">
        <w:rPr>
          <w:rStyle w:val="Strong"/>
          <w:rFonts w:asciiTheme="minorHAnsi" w:hAnsiTheme="minorHAnsi" w:cstheme="minorHAnsi"/>
          <w:b w:val="0"/>
          <w:bCs w:val="0"/>
          <w:color w:val="333333"/>
          <w:szCs w:val="24"/>
        </w:rPr>
        <w:t>581-051-0615: Expanded Income Eligibility Group</w:t>
      </w:r>
      <w:r w:rsidRPr="00FA4C14">
        <w:rPr>
          <w:rStyle w:val="Strong"/>
          <w:rFonts w:asciiTheme="minorHAnsi" w:hAnsiTheme="minorHAnsi" w:cstheme="minorHAnsi"/>
          <w:b w:val="0"/>
          <w:bCs w:val="0"/>
          <w:color w:val="333333"/>
          <w:szCs w:val="24"/>
          <w:shd w:val="clear" w:color="auto" w:fill="F5F5F5"/>
        </w:rPr>
        <w:t xml:space="preserve"> Reimbursement Program</w:t>
      </w:r>
    </w:p>
    <w:p w14:paraId="7B44C82E" w14:textId="0648B026" w:rsidR="0055634D" w:rsidRPr="00FA4C14" w:rsidRDefault="00FA4C14" w:rsidP="0055634D">
      <w:pPr>
        <w:rPr>
          <w:rFonts w:asciiTheme="minorHAnsi" w:hAnsiTheme="minorHAnsi" w:cstheme="minorHAnsi"/>
          <w:szCs w:val="24"/>
        </w:rPr>
      </w:pPr>
      <w:hyperlink r:id="rId19" w:anchor="210.7" w:history="1">
        <w:r w:rsidRPr="00FA4C14">
          <w:rPr>
            <w:rStyle w:val="Hyperlink"/>
            <w:rFonts w:asciiTheme="minorHAnsi" w:hAnsiTheme="minorHAnsi" w:cstheme="minorHAnsi"/>
            <w:szCs w:val="24"/>
          </w:rPr>
          <w:t>Federal Regulation</w:t>
        </w:r>
      </w:hyperlink>
      <w:r w:rsidRPr="00FA4C14">
        <w:rPr>
          <w:rFonts w:asciiTheme="minorHAnsi" w:hAnsiTheme="minorHAnsi" w:cstheme="minorHAnsi"/>
          <w:szCs w:val="24"/>
        </w:rPr>
        <w:t xml:space="preserve"> – 7 CFR 210.7 – Reimbursement for School Food Authorities</w:t>
      </w:r>
    </w:p>
    <w:p w14:paraId="18C075EA" w14:textId="77777777" w:rsidR="0055634D" w:rsidRPr="00FA4C14" w:rsidRDefault="0055634D" w:rsidP="0055634D">
      <w:pPr>
        <w:rPr>
          <w:rFonts w:asciiTheme="minorHAnsi" w:hAnsiTheme="minorHAnsi" w:cstheme="minorHAnsi"/>
          <w:szCs w:val="24"/>
        </w:rPr>
      </w:pPr>
      <w:r w:rsidRPr="00FA4C14">
        <w:rPr>
          <w:rFonts w:asciiTheme="minorHAnsi" w:hAnsiTheme="minorHAnsi" w:cstheme="minorHAnsi"/>
          <w:szCs w:val="24"/>
        </w:rPr>
        <w:t>This institution is an equal opportunity provider.</w:t>
      </w:r>
    </w:p>
    <w:p w14:paraId="044AF15F" w14:textId="77777777" w:rsidR="0055634D" w:rsidRDefault="0055634D" w:rsidP="0055634D"/>
    <w:sectPr w:rsidR="0055634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F3DA" w14:textId="77777777" w:rsidR="0055634D" w:rsidRDefault="0055634D" w:rsidP="0055634D">
      <w:r>
        <w:separator/>
      </w:r>
    </w:p>
  </w:endnote>
  <w:endnote w:type="continuationSeparator" w:id="0">
    <w:p w14:paraId="48E35F3E" w14:textId="77777777" w:rsidR="0055634D" w:rsidRDefault="0055634D" w:rsidP="0055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A8AE" w14:textId="77777777" w:rsidR="003A0763" w:rsidRDefault="003A0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78A9" w14:textId="7FEB79A2" w:rsidR="003A0763" w:rsidRPr="003A0763" w:rsidRDefault="003A0763">
    <w:pPr>
      <w:pStyle w:val="Footer"/>
      <w:rPr>
        <w:i/>
        <w:iCs/>
      </w:rPr>
    </w:pPr>
    <w:r>
      <w:tab/>
    </w:r>
    <w:r>
      <w:tab/>
    </w:r>
    <w:r w:rsidRPr="003A0763">
      <w:rPr>
        <w:i/>
        <w:iCs/>
      </w:rPr>
      <w:t>September 4,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2713" w14:textId="77777777" w:rsidR="003A0763" w:rsidRDefault="003A0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1561" w14:textId="77777777" w:rsidR="0055634D" w:rsidRDefault="0055634D" w:rsidP="0055634D">
      <w:r>
        <w:separator/>
      </w:r>
    </w:p>
  </w:footnote>
  <w:footnote w:type="continuationSeparator" w:id="0">
    <w:p w14:paraId="76DB9CDB" w14:textId="77777777" w:rsidR="0055634D" w:rsidRDefault="0055634D" w:rsidP="0055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6C33" w14:textId="77777777" w:rsidR="003A0763" w:rsidRDefault="003A0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CCC" w14:textId="77777777" w:rsidR="0055634D" w:rsidRPr="006B7F2B" w:rsidRDefault="0055634D" w:rsidP="0055634D">
    <w:pPr>
      <w:pStyle w:val="Header"/>
      <w:jc w:val="center"/>
      <w:rPr>
        <w:rStyle w:val="TitleChar"/>
      </w:rPr>
    </w:pPr>
    <w:r w:rsidRPr="006B7F2B">
      <w:rPr>
        <w:rStyle w:val="TitleChar"/>
        <w:noProof/>
      </w:rPr>
      <w:drawing>
        <wp:anchor distT="0" distB="0" distL="114300" distR="114300" simplePos="0" relativeHeight="251659264" behindDoc="1" locked="0" layoutInCell="1" allowOverlap="1" wp14:anchorId="6F4DD839" wp14:editId="186CFF77">
          <wp:simplePos x="0" y="0"/>
          <wp:positionH relativeFrom="column">
            <wp:posOffset>-898525</wp:posOffset>
          </wp:positionH>
          <wp:positionV relativeFrom="paragraph">
            <wp:posOffset>-457200</wp:posOffset>
          </wp:positionV>
          <wp:extent cx="1033145" cy="1042670"/>
          <wp:effectExtent l="0" t="0" r="0" b="5080"/>
          <wp:wrapSquare wrapText="bothSides"/>
          <wp:docPr id="987356341" name="Picture 987356341"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tab/>
    </w:r>
    <w:r w:rsidRPr="00FA4C14">
      <w:rPr>
        <w:rStyle w:val="TitleChar"/>
        <w:noProof/>
        <w:color w:val="4472C4" w:themeColor="accent1"/>
      </w:rPr>
      <w:drawing>
        <wp:anchor distT="0" distB="0" distL="114300" distR="114300" simplePos="0" relativeHeight="251661312" behindDoc="1" locked="0" layoutInCell="1" allowOverlap="1" wp14:anchorId="696D9341" wp14:editId="2BB7203F">
          <wp:simplePos x="0" y="0"/>
          <wp:positionH relativeFrom="column">
            <wp:posOffset>-898525</wp:posOffset>
          </wp:positionH>
          <wp:positionV relativeFrom="paragraph">
            <wp:posOffset>-457200</wp:posOffset>
          </wp:positionV>
          <wp:extent cx="1033145" cy="1042670"/>
          <wp:effectExtent l="0" t="0" r="0" b="5080"/>
          <wp:wrapSquare wrapText="bothSides"/>
          <wp:docPr id="2139865026" name="Picture 2139865026"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FA4C14">
      <w:rPr>
        <w:rStyle w:val="TitleChar"/>
        <w:color w:val="4472C4" w:themeColor="accent1"/>
      </w:rPr>
      <w:t>School Nutrition Program At-A-Glance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5E96" w14:textId="77777777" w:rsidR="003A0763" w:rsidRDefault="003A0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AEC"/>
    <w:multiLevelType w:val="hybridMultilevel"/>
    <w:tmpl w:val="25BE2BF4"/>
    <w:lvl w:ilvl="0" w:tplc="7B3AD4C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06634">
    <w:abstractNumId w:val="0"/>
  </w:num>
  <w:num w:numId="2" w16cid:durableId="1912694484">
    <w:abstractNumId w:val="2"/>
  </w:num>
  <w:num w:numId="3" w16cid:durableId="124560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4D"/>
    <w:rsid w:val="00237208"/>
    <w:rsid w:val="00271EDD"/>
    <w:rsid w:val="003A0763"/>
    <w:rsid w:val="0055634D"/>
    <w:rsid w:val="005B475D"/>
    <w:rsid w:val="006D72FD"/>
    <w:rsid w:val="00844840"/>
    <w:rsid w:val="00884D0E"/>
    <w:rsid w:val="00920C70"/>
    <w:rsid w:val="00AE3D93"/>
    <w:rsid w:val="00DB4967"/>
    <w:rsid w:val="00FA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74DC"/>
  <w15:chartTrackingRefBased/>
  <w15:docId w15:val="{ABF1B3E6-0932-403C-9957-7D458A59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4D"/>
    <w:pPr>
      <w:spacing w:after="0" w:line="240" w:lineRule="auto"/>
    </w:pPr>
    <w:rPr>
      <w:rFonts w:ascii="Arial" w:hAnsi="Arial"/>
      <w:kern w:val="0"/>
      <w:sz w:val="24"/>
      <w:szCs w:val="20"/>
      <w14:ligatures w14:val="none"/>
    </w:rPr>
  </w:style>
  <w:style w:type="paragraph" w:styleId="Heading1">
    <w:name w:val="heading 1"/>
    <w:basedOn w:val="Normal"/>
    <w:next w:val="Normal"/>
    <w:link w:val="Heading1Char"/>
    <w:uiPriority w:val="9"/>
    <w:qFormat/>
    <w:rsid w:val="005563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75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34D"/>
    <w:pPr>
      <w:tabs>
        <w:tab w:val="center" w:pos="4680"/>
        <w:tab w:val="right" w:pos="9360"/>
      </w:tabs>
    </w:pPr>
  </w:style>
  <w:style w:type="character" w:customStyle="1" w:styleId="HeaderChar">
    <w:name w:val="Header Char"/>
    <w:basedOn w:val="DefaultParagraphFont"/>
    <w:link w:val="Header"/>
    <w:uiPriority w:val="99"/>
    <w:rsid w:val="0055634D"/>
  </w:style>
  <w:style w:type="paragraph" w:styleId="Footer">
    <w:name w:val="footer"/>
    <w:basedOn w:val="Normal"/>
    <w:link w:val="FooterChar"/>
    <w:uiPriority w:val="99"/>
    <w:unhideWhenUsed/>
    <w:rsid w:val="0055634D"/>
    <w:pPr>
      <w:tabs>
        <w:tab w:val="center" w:pos="4680"/>
        <w:tab w:val="right" w:pos="9360"/>
      </w:tabs>
    </w:pPr>
  </w:style>
  <w:style w:type="character" w:customStyle="1" w:styleId="FooterChar">
    <w:name w:val="Footer Char"/>
    <w:basedOn w:val="DefaultParagraphFont"/>
    <w:link w:val="Footer"/>
    <w:uiPriority w:val="99"/>
    <w:rsid w:val="0055634D"/>
  </w:style>
  <w:style w:type="paragraph" w:styleId="Title">
    <w:name w:val="Title"/>
    <w:basedOn w:val="Normal"/>
    <w:next w:val="Normal"/>
    <w:link w:val="TitleChar"/>
    <w:autoRedefine/>
    <w:uiPriority w:val="10"/>
    <w:qFormat/>
    <w:rsid w:val="0055634D"/>
    <w:pPr>
      <w:contextualSpacing/>
      <w:jc w:val="center"/>
    </w:pPr>
    <w:rPr>
      <w:rFonts w:asciiTheme="majorHAnsi" w:eastAsiaTheme="majorEastAsia" w:hAnsiTheme="majorHAnsi" w:cstheme="majorBidi"/>
      <w:color w:val="FFC000" w:themeColor="accent4"/>
      <w:sz w:val="56"/>
      <w:szCs w:val="56"/>
    </w:rPr>
  </w:style>
  <w:style w:type="character" w:customStyle="1" w:styleId="TitleChar">
    <w:name w:val="Title Char"/>
    <w:basedOn w:val="DefaultParagraphFont"/>
    <w:link w:val="Title"/>
    <w:uiPriority w:val="10"/>
    <w:rsid w:val="0055634D"/>
    <w:rPr>
      <w:rFonts w:asciiTheme="majorHAnsi" w:eastAsiaTheme="majorEastAsia" w:hAnsiTheme="majorHAnsi" w:cstheme="majorBidi"/>
      <w:color w:val="FFC000" w:themeColor="accent4"/>
      <w:kern w:val="0"/>
      <w:sz w:val="56"/>
      <w:szCs w:val="56"/>
      <w14:ligatures w14:val="none"/>
    </w:rPr>
  </w:style>
  <w:style w:type="character" w:customStyle="1" w:styleId="Heading1Char">
    <w:name w:val="Heading 1 Char"/>
    <w:basedOn w:val="DefaultParagraphFont"/>
    <w:link w:val="Heading1"/>
    <w:uiPriority w:val="9"/>
    <w:rsid w:val="0055634D"/>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link w:val="NoSpacingChar"/>
    <w:uiPriority w:val="1"/>
    <w:qFormat/>
    <w:rsid w:val="0055634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5634D"/>
    <w:rPr>
      <w:rFonts w:eastAsiaTheme="minorEastAsia"/>
      <w:kern w:val="0"/>
      <w14:ligatures w14:val="none"/>
    </w:rPr>
  </w:style>
  <w:style w:type="paragraph" w:styleId="ListParagraph">
    <w:name w:val="List Paragraph"/>
    <w:basedOn w:val="Normal"/>
    <w:uiPriority w:val="34"/>
    <w:rsid w:val="0055634D"/>
    <w:pPr>
      <w:ind w:left="720"/>
      <w:contextualSpacing/>
    </w:pPr>
  </w:style>
  <w:style w:type="character" w:styleId="Hyperlink">
    <w:name w:val="Hyperlink"/>
    <w:basedOn w:val="DefaultParagraphFont"/>
    <w:uiPriority w:val="99"/>
    <w:unhideWhenUsed/>
    <w:rsid w:val="0055634D"/>
    <w:rPr>
      <w:color w:val="0000FF"/>
      <w:u w:val="single"/>
    </w:rPr>
  </w:style>
  <w:style w:type="character" w:styleId="UnresolvedMention">
    <w:name w:val="Unresolved Mention"/>
    <w:basedOn w:val="DefaultParagraphFont"/>
    <w:uiPriority w:val="99"/>
    <w:semiHidden/>
    <w:unhideWhenUsed/>
    <w:rsid w:val="0055634D"/>
    <w:rPr>
      <w:color w:val="605E5C"/>
      <w:shd w:val="clear" w:color="auto" w:fill="E1DFDD"/>
    </w:rPr>
  </w:style>
  <w:style w:type="character" w:styleId="Strong">
    <w:name w:val="Strong"/>
    <w:basedOn w:val="DefaultParagraphFont"/>
    <w:uiPriority w:val="22"/>
    <w:qFormat/>
    <w:rsid w:val="00FA4C14"/>
    <w:rPr>
      <w:b/>
      <w:bCs/>
    </w:rPr>
  </w:style>
  <w:style w:type="character" w:customStyle="1" w:styleId="Heading2Char">
    <w:name w:val="Heading 2 Char"/>
    <w:basedOn w:val="DefaultParagraphFont"/>
    <w:link w:val="Heading2"/>
    <w:uiPriority w:val="9"/>
    <w:rsid w:val="005B475D"/>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AE3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4496">
      <w:bodyDiv w:val="1"/>
      <w:marLeft w:val="0"/>
      <w:marRight w:val="0"/>
      <w:marTop w:val="0"/>
      <w:marBottom w:val="0"/>
      <w:divBdr>
        <w:top w:val="none" w:sz="0" w:space="0" w:color="auto"/>
        <w:left w:val="none" w:sz="0" w:space="0" w:color="auto"/>
        <w:bottom w:val="none" w:sz="0" w:space="0" w:color="auto"/>
        <w:right w:val="none" w:sz="0" w:space="0" w:color="auto"/>
      </w:divBdr>
    </w:div>
    <w:div w:id="13781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hyperlink" Target="https://secure.sos.state.or.us/oard/viewSingleRule.action?ruleVrsnRsn=29123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www.oregon.gov/ode/students-and-family/childnutrition/SNP/Documents/SNP%20Manual%20Claim%20Instructions.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oregon.gov/ode/students-and-family/childnutrition/SNP/Documents/Oregon%20EIG%20Application%20Processing%20Guidance.pdf"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oregon.gov/ode/students-and-family/childnutrition/SNP/Documents/Meal%20Counting%20and%20Claiming%20Systems%20At%20a%20Glance.pdf" TargetMode="External"/><Relationship Id="rId23" Type="http://schemas.openxmlformats.org/officeDocument/2006/relationships/footer" Target="footer2.xml"/><Relationship Id="rId28" Type="http://schemas.openxmlformats.org/officeDocument/2006/relationships/customXml" Target="../customXml/item1.xml"/><Relationship Id="rId10" Type="http://schemas.openxmlformats.org/officeDocument/2006/relationships/diagramColors" Target="diagrams/colors1.xml"/><Relationship Id="rId19" Type="http://schemas.openxmlformats.org/officeDocument/2006/relationships/hyperlink" Target="https://www.ecfr.gov/current/title-7/subtitle-B/chapter-II/subchapter-A/part-210"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oregon.gov/ode/students-and-family/childnutrition/SNP/Documents/At%20A%20Glance%20Oregon%20Expanded%20Income%20Group%20Eligibility.pdf"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4208BF-098E-482D-882E-1943C4C08C1F}" type="doc">
      <dgm:prSet loTypeId="urn:microsoft.com/office/officeart/2005/8/layout/equation1" loCatId="relationship" qsTypeId="urn:microsoft.com/office/officeart/2005/8/quickstyle/simple3" qsCatId="simple" csTypeId="urn:microsoft.com/office/officeart/2005/8/colors/accent1_2" csCatId="accent1" phldr="1"/>
      <dgm:spPr/>
      <dgm:t>
        <a:bodyPr/>
        <a:lstStyle/>
        <a:p>
          <a:endParaRPr lang="en-US"/>
        </a:p>
      </dgm:t>
    </dgm:pt>
    <dgm:pt modelId="{FEA818E6-BE0A-4BDE-B146-43035CCD04C1}">
      <dgm:prSet phldrT="[Text]" custT="1"/>
      <dgm:spPr>
        <a:xfrm>
          <a:off x="999"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000" b="1">
              <a:solidFill>
                <a:sysClr val="windowText" lastClr="000000"/>
              </a:solidFill>
              <a:latin typeface="Aptos" panose="02110004020202020204"/>
              <a:ea typeface="+mn-ea"/>
              <a:cs typeface="+mn-cs"/>
            </a:rPr>
            <a:t>Federal paid reimbursement</a:t>
          </a:r>
        </a:p>
      </dgm:t>
    </dgm:pt>
    <dgm:pt modelId="{7E58F288-25B6-4916-ADF0-D9FB58E38326}" type="parTrans" cxnId="{8DD43298-0110-4925-BBC5-E905B8B465DD}">
      <dgm:prSet/>
      <dgm:spPr/>
      <dgm:t>
        <a:bodyPr/>
        <a:lstStyle/>
        <a:p>
          <a:endParaRPr lang="en-US"/>
        </a:p>
      </dgm:t>
    </dgm:pt>
    <dgm:pt modelId="{825EDAE5-CFF7-44B7-8824-16DE52C64823}" type="sibTrans" cxnId="{8DD43298-0110-4925-BBC5-E905B8B465DD}">
      <dgm:prSet/>
      <dgm:spPr>
        <a:xfrm>
          <a:off x="1433406" y="514324"/>
          <a:ext cx="768401" cy="768401"/>
        </a:xfrm>
        <a:prstGeom prst="mathPlus">
          <a:avLst/>
        </a:prstGeom>
        <a:gradFill rotWithShape="0">
          <a:gsLst>
            <a:gs pos="0">
              <a:srgbClr val="5B9BD5">
                <a:tint val="60000"/>
                <a:hueOff val="0"/>
                <a:satOff val="0"/>
                <a:lumOff val="0"/>
                <a:alphaOff val="0"/>
                <a:lumMod val="110000"/>
                <a:satMod val="105000"/>
                <a:tint val="67000"/>
              </a:srgbClr>
            </a:gs>
            <a:gs pos="50000">
              <a:srgbClr val="5B9BD5">
                <a:tint val="60000"/>
                <a:hueOff val="0"/>
                <a:satOff val="0"/>
                <a:lumOff val="0"/>
                <a:alphaOff val="0"/>
                <a:lumMod val="105000"/>
                <a:satMod val="103000"/>
                <a:tint val="73000"/>
              </a:srgbClr>
            </a:gs>
            <a:gs pos="100000">
              <a:srgbClr val="5B9BD5">
                <a:tint val="60000"/>
                <a:hueOff val="0"/>
                <a:satOff val="0"/>
                <a:lumOff val="0"/>
                <a:alphaOff val="0"/>
                <a:lumMod val="105000"/>
                <a:satMod val="109000"/>
                <a:tint val="81000"/>
              </a:srgbClr>
            </a:gs>
          </a:gsLst>
          <a:lin ang="5400000" scaled="0"/>
        </a:gradFill>
        <a:ln>
          <a:noFill/>
        </a:ln>
        <a:effectLst/>
      </dgm:spPr>
      <dgm:t>
        <a:bodyPr/>
        <a:lstStyle/>
        <a:p>
          <a:pPr>
            <a:buNone/>
          </a:pPr>
          <a:endParaRPr lang="en-US">
            <a:solidFill>
              <a:sysClr val="windowText" lastClr="000000"/>
            </a:solidFill>
            <a:latin typeface="Aptos" panose="02110004020202020204"/>
            <a:ea typeface="+mn-ea"/>
            <a:cs typeface="+mn-cs"/>
          </a:endParaRPr>
        </a:p>
      </dgm:t>
    </dgm:pt>
    <dgm:pt modelId="{1CEDB8BB-047F-4030-8BB5-1F6B1A1057F8}">
      <dgm:prSet phldrT="[Text]" custT="1"/>
      <dgm:spPr>
        <a:xfrm>
          <a:off x="2309384"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000" b="1">
              <a:solidFill>
                <a:sysClr val="windowText" lastClr="000000"/>
              </a:solidFill>
              <a:latin typeface="Aptos" panose="02110004020202020204"/>
              <a:ea typeface="+mn-ea"/>
              <a:cs typeface="+mn-cs"/>
            </a:rPr>
            <a:t>State supplemental funds</a:t>
          </a:r>
        </a:p>
      </dgm:t>
    </dgm:pt>
    <dgm:pt modelId="{34C36B62-FCB1-413C-883F-B7468AC6B3CA}" type="parTrans" cxnId="{9F70094F-E516-4CBE-96A7-450E5982DC3E}">
      <dgm:prSet/>
      <dgm:spPr/>
      <dgm:t>
        <a:bodyPr/>
        <a:lstStyle/>
        <a:p>
          <a:endParaRPr lang="en-US"/>
        </a:p>
      </dgm:t>
    </dgm:pt>
    <dgm:pt modelId="{0FCE38D8-0AC3-4BA6-8178-394868C1819A}" type="sibTrans" cxnId="{9F70094F-E516-4CBE-96A7-450E5982DC3E}">
      <dgm:prSet/>
      <dgm:spPr>
        <a:xfrm>
          <a:off x="3741791" y="514324"/>
          <a:ext cx="768401" cy="768401"/>
        </a:xfrm>
        <a:prstGeom prst="mathEqual">
          <a:avLst/>
        </a:prstGeom>
        <a:gradFill rotWithShape="0">
          <a:gsLst>
            <a:gs pos="0">
              <a:srgbClr val="5B9BD5">
                <a:tint val="60000"/>
                <a:hueOff val="0"/>
                <a:satOff val="0"/>
                <a:lumOff val="0"/>
                <a:alphaOff val="0"/>
                <a:lumMod val="110000"/>
                <a:satMod val="105000"/>
                <a:tint val="67000"/>
              </a:srgbClr>
            </a:gs>
            <a:gs pos="50000">
              <a:srgbClr val="5B9BD5">
                <a:tint val="60000"/>
                <a:hueOff val="0"/>
                <a:satOff val="0"/>
                <a:lumOff val="0"/>
                <a:alphaOff val="0"/>
                <a:lumMod val="105000"/>
                <a:satMod val="103000"/>
                <a:tint val="73000"/>
              </a:srgbClr>
            </a:gs>
            <a:gs pos="100000">
              <a:srgbClr val="5B9BD5">
                <a:tint val="60000"/>
                <a:hueOff val="0"/>
                <a:satOff val="0"/>
                <a:lumOff val="0"/>
                <a:alphaOff val="0"/>
                <a:lumMod val="105000"/>
                <a:satMod val="109000"/>
                <a:tint val="81000"/>
              </a:srgbClr>
            </a:gs>
          </a:gsLst>
          <a:lin ang="5400000" scaled="0"/>
        </a:gradFill>
        <a:ln>
          <a:noFill/>
        </a:ln>
        <a:effectLst/>
      </dgm:spPr>
      <dgm:t>
        <a:bodyPr/>
        <a:lstStyle/>
        <a:p>
          <a:pPr>
            <a:buNone/>
          </a:pPr>
          <a:endParaRPr lang="en-US">
            <a:solidFill>
              <a:sysClr val="windowText" lastClr="000000"/>
            </a:solidFill>
            <a:latin typeface="Aptos" panose="02110004020202020204"/>
            <a:ea typeface="+mn-ea"/>
            <a:cs typeface="+mn-cs"/>
          </a:endParaRPr>
        </a:p>
      </dgm:t>
    </dgm:pt>
    <dgm:pt modelId="{281F8B2B-8CAF-434F-B27C-2B206CE95817}">
      <dgm:prSet phldrT="[Text]"/>
      <dgm:spPr>
        <a:xfrm>
          <a:off x="4617769"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b="1">
              <a:solidFill>
                <a:sysClr val="windowText" lastClr="000000"/>
              </a:solidFill>
              <a:latin typeface="Aptos" panose="02110004020202020204"/>
              <a:ea typeface="+mn-ea"/>
              <a:cs typeface="+mn-cs"/>
            </a:rPr>
            <a:t>Oregon EIG reimbursment</a:t>
          </a:r>
        </a:p>
      </dgm:t>
    </dgm:pt>
    <dgm:pt modelId="{619BD6CF-61E2-4A24-9DA0-36C1192D62AC}" type="parTrans" cxnId="{2F8BD848-622F-4619-BE44-83253354A8FD}">
      <dgm:prSet/>
      <dgm:spPr/>
      <dgm:t>
        <a:bodyPr/>
        <a:lstStyle/>
        <a:p>
          <a:endParaRPr lang="en-US"/>
        </a:p>
      </dgm:t>
    </dgm:pt>
    <dgm:pt modelId="{FC4E8912-6C2E-42B7-AA79-D0C98FD4A466}" type="sibTrans" cxnId="{2F8BD848-622F-4619-BE44-83253354A8FD}">
      <dgm:prSet/>
      <dgm:spPr/>
      <dgm:t>
        <a:bodyPr/>
        <a:lstStyle/>
        <a:p>
          <a:endParaRPr lang="en-US"/>
        </a:p>
      </dgm:t>
    </dgm:pt>
    <dgm:pt modelId="{2EA81FCF-F20E-4AC3-83EA-41E9A2C506AD}" type="pres">
      <dgm:prSet presAssocID="{3C4208BF-098E-482D-882E-1943C4C08C1F}" presName="linearFlow" presStyleCnt="0">
        <dgm:presLayoutVars>
          <dgm:dir/>
          <dgm:resizeHandles val="exact"/>
        </dgm:presLayoutVars>
      </dgm:prSet>
      <dgm:spPr/>
    </dgm:pt>
    <dgm:pt modelId="{FF17507C-6571-4D43-A419-7FE12DCA05F3}" type="pres">
      <dgm:prSet presAssocID="{FEA818E6-BE0A-4BDE-B146-43035CCD04C1}" presName="node" presStyleLbl="node1" presStyleIdx="0" presStyleCnt="3">
        <dgm:presLayoutVars>
          <dgm:bulletEnabled val="1"/>
        </dgm:presLayoutVars>
      </dgm:prSet>
      <dgm:spPr/>
    </dgm:pt>
    <dgm:pt modelId="{2F9C2813-D8C3-48AB-B5CB-F91B5F812377}" type="pres">
      <dgm:prSet presAssocID="{825EDAE5-CFF7-44B7-8824-16DE52C64823}" presName="spacerL" presStyleCnt="0"/>
      <dgm:spPr/>
    </dgm:pt>
    <dgm:pt modelId="{68A64993-63E6-4121-A978-86489916E87C}" type="pres">
      <dgm:prSet presAssocID="{825EDAE5-CFF7-44B7-8824-16DE52C64823}" presName="sibTrans" presStyleLbl="sibTrans2D1" presStyleIdx="0" presStyleCnt="2"/>
      <dgm:spPr/>
    </dgm:pt>
    <dgm:pt modelId="{A531BEF7-6BAA-4FDD-A91A-B31CDB771128}" type="pres">
      <dgm:prSet presAssocID="{825EDAE5-CFF7-44B7-8824-16DE52C64823}" presName="spacerR" presStyleCnt="0"/>
      <dgm:spPr/>
    </dgm:pt>
    <dgm:pt modelId="{D500A3A4-372F-435B-AFEB-822897A2188B}" type="pres">
      <dgm:prSet presAssocID="{1CEDB8BB-047F-4030-8BB5-1F6B1A1057F8}" presName="node" presStyleLbl="node1" presStyleIdx="1" presStyleCnt="3">
        <dgm:presLayoutVars>
          <dgm:bulletEnabled val="1"/>
        </dgm:presLayoutVars>
      </dgm:prSet>
      <dgm:spPr/>
    </dgm:pt>
    <dgm:pt modelId="{BE605A02-4277-4C94-AA1F-E2D59D2B0188}" type="pres">
      <dgm:prSet presAssocID="{0FCE38D8-0AC3-4BA6-8178-394868C1819A}" presName="spacerL" presStyleCnt="0"/>
      <dgm:spPr/>
    </dgm:pt>
    <dgm:pt modelId="{AA5086D8-DBC1-44E0-A212-75D7FDC6F89D}" type="pres">
      <dgm:prSet presAssocID="{0FCE38D8-0AC3-4BA6-8178-394868C1819A}" presName="sibTrans" presStyleLbl="sibTrans2D1" presStyleIdx="1" presStyleCnt="2"/>
      <dgm:spPr/>
    </dgm:pt>
    <dgm:pt modelId="{0A5F4F37-672B-4D7C-B963-868E7CF2D790}" type="pres">
      <dgm:prSet presAssocID="{0FCE38D8-0AC3-4BA6-8178-394868C1819A}" presName="spacerR" presStyleCnt="0"/>
      <dgm:spPr/>
    </dgm:pt>
    <dgm:pt modelId="{180FE188-6F89-4FC6-B6C7-98B466ED715F}" type="pres">
      <dgm:prSet presAssocID="{281F8B2B-8CAF-434F-B27C-2B206CE95817}" presName="node" presStyleLbl="node1" presStyleIdx="2" presStyleCnt="3">
        <dgm:presLayoutVars>
          <dgm:bulletEnabled val="1"/>
        </dgm:presLayoutVars>
      </dgm:prSet>
      <dgm:spPr/>
    </dgm:pt>
  </dgm:ptLst>
  <dgm:cxnLst>
    <dgm:cxn modelId="{9716450A-3FE4-43C0-81C9-C83478ED2C5D}" type="presOf" srcId="{1CEDB8BB-047F-4030-8BB5-1F6B1A1057F8}" destId="{D500A3A4-372F-435B-AFEB-822897A2188B}" srcOrd="0" destOrd="0" presId="urn:microsoft.com/office/officeart/2005/8/layout/equation1"/>
    <dgm:cxn modelId="{88659E0C-6B91-48B3-97BA-EE67B315152A}" type="presOf" srcId="{3C4208BF-098E-482D-882E-1943C4C08C1F}" destId="{2EA81FCF-F20E-4AC3-83EA-41E9A2C506AD}" srcOrd="0" destOrd="0" presId="urn:microsoft.com/office/officeart/2005/8/layout/equation1"/>
    <dgm:cxn modelId="{FBE58024-DB37-4CB7-9AD6-6673EABE1446}" type="presOf" srcId="{281F8B2B-8CAF-434F-B27C-2B206CE95817}" destId="{180FE188-6F89-4FC6-B6C7-98B466ED715F}" srcOrd="0" destOrd="0" presId="urn:microsoft.com/office/officeart/2005/8/layout/equation1"/>
    <dgm:cxn modelId="{F3B4183A-64A8-447A-942B-1DD07F25989D}" type="presOf" srcId="{825EDAE5-CFF7-44B7-8824-16DE52C64823}" destId="{68A64993-63E6-4121-A978-86489916E87C}" srcOrd="0" destOrd="0" presId="urn:microsoft.com/office/officeart/2005/8/layout/equation1"/>
    <dgm:cxn modelId="{7ACDAD61-FC0C-4043-9EAD-86D565F872B2}" type="presOf" srcId="{0FCE38D8-0AC3-4BA6-8178-394868C1819A}" destId="{AA5086D8-DBC1-44E0-A212-75D7FDC6F89D}" srcOrd="0" destOrd="0" presId="urn:microsoft.com/office/officeart/2005/8/layout/equation1"/>
    <dgm:cxn modelId="{2F8BD848-622F-4619-BE44-83253354A8FD}" srcId="{3C4208BF-098E-482D-882E-1943C4C08C1F}" destId="{281F8B2B-8CAF-434F-B27C-2B206CE95817}" srcOrd="2" destOrd="0" parTransId="{619BD6CF-61E2-4A24-9DA0-36C1192D62AC}" sibTransId="{FC4E8912-6C2E-42B7-AA79-D0C98FD4A466}"/>
    <dgm:cxn modelId="{9F70094F-E516-4CBE-96A7-450E5982DC3E}" srcId="{3C4208BF-098E-482D-882E-1943C4C08C1F}" destId="{1CEDB8BB-047F-4030-8BB5-1F6B1A1057F8}" srcOrd="1" destOrd="0" parTransId="{34C36B62-FCB1-413C-883F-B7468AC6B3CA}" sibTransId="{0FCE38D8-0AC3-4BA6-8178-394868C1819A}"/>
    <dgm:cxn modelId="{25CD1995-883D-4963-B103-CC97A8C56ED0}" type="presOf" srcId="{FEA818E6-BE0A-4BDE-B146-43035CCD04C1}" destId="{FF17507C-6571-4D43-A419-7FE12DCA05F3}" srcOrd="0" destOrd="0" presId="urn:microsoft.com/office/officeart/2005/8/layout/equation1"/>
    <dgm:cxn modelId="{8DD43298-0110-4925-BBC5-E905B8B465DD}" srcId="{3C4208BF-098E-482D-882E-1943C4C08C1F}" destId="{FEA818E6-BE0A-4BDE-B146-43035CCD04C1}" srcOrd="0" destOrd="0" parTransId="{7E58F288-25B6-4916-ADF0-D9FB58E38326}" sibTransId="{825EDAE5-CFF7-44B7-8824-16DE52C64823}"/>
    <dgm:cxn modelId="{7CC25577-BF78-4C0A-9E8B-6CA0CC4A64DE}" type="presParOf" srcId="{2EA81FCF-F20E-4AC3-83EA-41E9A2C506AD}" destId="{FF17507C-6571-4D43-A419-7FE12DCA05F3}" srcOrd="0" destOrd="0" presId="urn:microsoft.com/office/officeart/2005/8/layout/equation1"/>
    <dgm:cxn modelId="{E8F120B1-1484-444B-886B-E59615C8E8F1}" type="presParOf" srcId="{2EA81FCF-F20E-4AC3-83EA-41E9A2C506AD}" destId="{2F9C2813-D8C3-48AB-B5CB-F91B5F812377}" srcOrd="1" destOrd="0" presId="urn:microsoft.com/office/officeart/2005/8/layout/equation1"/>
    <dgm:cxn modelId="{1ED95017-9EF8-4FBB-81F4-E559C260B44A}" type="presParOf" srcId="{2EA81FCF-F20E-4AC3-83EA-41E9A2C506AD}" destId="{68A64993-63E6-4121-A978-86489916E87C}" srcOrd="2" destOrd="0" presId="urn:microsoft.com/office/officeart/2005/8/layout/equation1"/>
    <dgm:cxn modelId="{F8F6E6EF-0CA3-46C2-A003-3944A87060EA}" type="presParOf" srcId="{2EA81FCF-F20E-4AC3-83EA-41E9A2C506AD}" destId="{A531BEF7-6BAA-4FDD-A91A-B31CDB771128}" srcOrd="3" destOrd="0" presId="urn:microsoft.com/office/officeart/2005/8/layout/equation1"/>
    <dgm:cxn modelId="{2847C33C-4D76-4E03-B4DA-04E821256CD8}" type="presParOf" srcId="{2EA81FCF-F20E-4AC3-83EA-41E9A2C506AD}" destId="{D500A3A4-372F-435B-AFEB-822897A2188B}" srcOrd="4" destOrd="0" presId="urn:microsoft.com/office/officeart/2005/8/layout/equation1"/>
    <dgm:cxn modelId="{CE89C005-A2D7-472B-80B0-99DF8BF20435}" type="presParOf" srcId="{2EA81FCF-F20E-4AC3-83EA-41E9A2C506AD}" destId="{BE605A02-4277-4C94-AA1F-E2D59D2B0188}" srcOrd="5" destOrd="0" presId="urn:microsoft.com/office/officeart/2005/8/layout/equation1"/>
    <dgm:cxn modelId="{C74443BD-8161-402A-9E49-06BAFA7B277A}" type="presParOf" srcId="{2EA81FCF-F20E-4AC3-83EA-41E9A2C506AD}" destId="{AA5086D8-DBC1-44E0-A212-75D7FDC6F89D}" srcOrd="6" destOrd="0" presId="urn:microsoft.com/office/officeart/2005/8/layout/equation1"/>
    <dgm:cxn modelId="{290A114F-1C95-4D9B-B0BB-7F2B2ED7F2F5}" type="presParOf" srcId="{2EA81FCF-F20E-4AC3-83EA-41E9A2C506AD}" destId="{0A5F4F37-672B-4D7C-B963-868E7CF2D790}" srcOrd="7" destOrd="0" presId="urn:microsoft.com/office/officeart/2005/8/layout/equation1"/>
    <dgm:cxn modelId="{77118979-C3CB-474D-9CDF-E56C0185F131}" type="presParOf" srcId="{2EA81FCF-F20E-4AC3-83EA-41E9A2C506AD}" destId="{180FE188-6F89-4FC6-B6C7-98B466ED715F}" srcOrd="8" destOrd="0" presId="urn:microsoft.com/office/officeart/2005/8/layout/equati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17507C-6571-4D43-A419-7FE12DCA05F3}">
      <dsp:nvSpPr>
        <dsp:cNvPr id="0" name=""/>
        <dsp:cNvSpPr/>
      </dsp:nvSpPr>
      <dsp:spPr>
        <a:xfrm>
          <a:off x="999"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Aptos" panose="02110004020202020204"/>
              <a:ea typeface="+mn-ea"/>
              <a:cs typeface="+mn-cs"/>
            </a:rPr>
            <a:t>Federal paid reimbursement</a:t>
          </a:r>
        </a:p>
      </dsp:txBody>
      <dsp:txXfrm>
        <a:off x="195016" y="430126"/>
        <a:ext cx="936796" cy="936796"/>
      </dsp:txXfrm>
    </dsp:sp>
    <dsp:sp modelId="{68A64993-63E6-4121-A978-86489916E87C}">
      <dsp:nvSpPr>
        <dsp:cNvPr id="0" name=""/>
        <dsp:cNvSpPr/>
      </dsp:nvSpPr>
      <dsp:spPr>
        <a:xfrm>
          <a:off x="1433406" y="514324"/>
          <a:ext cx="768401" cy="768401"/>
        </a:xfrm>
        <a:prstGeom prst="mathPlus">
          <a:avLst/>
        </a:prstGeom>
        <a:gradFill rotWithShape="0">
          <a:gsLst>
            <a:gs pos="0">
              <a:srgbClr val="5B9BD5">
                <a:tint val="60000"/>
                <a:hueOff val="0"/>
                <a:satOff val="0"/>
                <a:lumOff val="0"/>
                <a:alphaOff val="0"/>
                <a:lumMod val="110000"/>
                <a:satMod val="105000"/>
                <a:tint val="67000"/>
              </a:srgbClr>
            </a:gs>
            <a:gs pos="50000">
              <a:srgbClr val="5B9BD5">
                <a:tint val="60000"/>
                <a:hueOff val="0"/>
                <a:satOff val="0"/>
                <a:lumOff val="0"/>
                <a:alphaOff val="0"/>
                <a:lumMod val="105000"/>
                <a:satMod val="103000"/>
                <a:tint val="73000"/>
              </a:srgbClr>
            </a:gs>
            <a:gs pos="100000">
              <a:srgbClr val="5B9BD5">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solidFill>
            <a:latin typeface="Aptos" panose="02110004020202020204"/>
            <a:ea typeface="+mn-ea"/>
            <a:cs typeface="+mn-cs"/>
          </a:endParaRPr>
        </a:p>
      </dsp:txBody>
      <dsp:txXfrm>
        <a:off x="1535258" y="808161"/>
        <a:ext cx="564697" cy="180727"/>
      </dsp:txXfrm>
    </dsp:sp>
    <dsp:sp modelId="{D500A3A4-372F-435B-AFEB-822897A2188B}">
      <dsp:nvSpPr>
        <dsp:cNvPr id="0" name=""/>
        <dsp:cNvSpPr/>
      </dsp:nvSpPr>
      <dsp:spPr>
        <a:xfrm>
          <a:off x="2309384"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Aptos" panose="02110004020202020204"/>
              <a:ea typeface="+mn-ea"/>
              <a:cs typeface="+mn-cs"/>
            </a:rPr>
            <a:t>State supplemental funds</a:t>
          </a:r>
        </a:p>
      </dsp:txBody>
      <dsp:txXfrm>
        <a:off x="2503401" y="430126"/>
        <a:ext cx="936796" cy="936796"/>
      </dsp:txXfrm>
    </dsp:sp>
    <dsp:sp modelId="{AA5086D8-DBC1-44E0-A212-75D7FDC6F89D}">
      <dsp:nvSpPr>
        <dsp:cNvPr id="0" name=""/>
        <dsp:cNvSpPr/>
      </dsp:nvSpPr>
      <dsp:spPr>
        <a:xfrm>
          <a:off x="3741791" y="514324"/>
          <a:ext cx="768401" cy="768401"/>
        </a:xfrm>
        <a:prstGeom prst="mathEqual">
          <a:avLst/>
        </a:prstGeom>
        <a:gradFill rotWithShape="0">
          <a:gsLst>
            <a:gs pos="0">
              <a:srgbClr val="5B9BD5">
                <a:tint val="60000"/>
                <a:hueOff val="0"/>
                <a:satOff val="0"/>
                <a:lumOff val="0"/>
                <a:alphaOff val="0"/>
                <a:lumMod val="110000"/>
                <a:satMod val="105000"/>
                <a:tint val="67000"/>
              </a:srgbClr>
            </a:gs>
            <a:gs pos="50000">
              <a:srgbClr val="5B9BD5">
                <a:tint val="60000"/>
                <a:hueOff val="0"/>
                <a:satOff val="0"/>
                <a:lumOff val="0"/>
                <a:alphaOff val="0"/>
                <a:lumMod val="105000"/>
                <a:satMod val="103000"/>
                <a:tint val="73000"/>
              </a:srgbClr>
            </a:gs>
            <a:gs pos="100000">
              <a:srgbClr val="5B9BD5">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solidFill>
            <a:latin typeface="Aptos" panose="02110004020202020204"/>
            <a:ea typeface="+mn-ea"/>
            <a:cs typeface="+mn-cs"/>
          </a:endParaRPr>
        </a:p>
      </dsp:txBody>
      <dsp:txXfrm>
        <a:off x="3843643" y="672615"/>
        <a:ext cx="564697" cy="451819"/>
      </dsp:txXfrm>
    </dsp:sp>
    <dsp:sp modelId="{180FE188-6F89-4FC6-B6C7-98B466ED715F}">
      <dsp:nvSpPr>
        <dsp:cNvPr id="0" name=""/>
        <dsp:cNvSpPr/>
      </dsp:nvSpPr>
      <dsp:spPr>
        <a:xfrm>
          <a:off x="4617769" y="236109"/>
          <a:ext cx="1324830" cy="132483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Aptos" panose="02110004020202020204"/>
              <a:ea typeface="+mn-ea"/>
              <a:cs typeface="+mn-cs"/>
            </a:rPr>
            <a:t>Oregon EIG reimbursment</a:t>
          </a:r>
        </a:p>
      </dsp:txBody>
      <dsp:txXfrm>
        <a:off x="4811786" y="430126"/>
        <a:ext cx="936796" cy="93679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2025-09-09T15:39:27+00:00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472A78-B5B7-4C21-A705-4FE4B680F2DA}"/>
</file>

<file path=customXml/itemProps2.xml><?xml version="1.0" encoding="utf-8"?>
<ds:datastoreItem xmlns:ds="http://schemas.openxmlformats.org/officeDocument/2006/customXml" ds:itemID="{AEA60AFB-9F23-4B30-AF22-5E6BE3D95634}"/>
</file>

<file path=customXml/itemProps3.xml><?xml version="1.0" encoding="utf-8"?>
<ds:datastoreItem xmlns:ds="http://schemas.openxmlformats.org/officeDocument/2006/customXml" ds:itemID="{D7D0557D-B139-4325-A8A0-CCB4E60B50C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ALLRAN Laura * ODE</cp:lastModifiedBy>
  <cp:revision>6</cp:revision>
  <dcterms:created xsi:type="dcterms:W3CDTF">2024-03-15T15:23:00Z</dcterms:created>
  <dcterms:modified xsi:type="dcterms:W3CDTF">2025-09-03T20:53:00Z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2024-03-15T15:49:26Z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3fb2ed7b-0933-4fdd-a5cb-382a20d4d8a1</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