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3CDE" w14:textId="7B2B91E4" w:rsidR="00B00F77" w:rsidRDefault="00D13DED" w:rsidP="006B7F2B">
      <w:pPr>
        <w:pStyle w:val="Heading1"/>
      </w:pPr>
      <w:r>
        <w:t xml:space="preserve">Topic: </w:t>
      </w:r>
      <w:r w:rsidR="0077450F">
        <w:t xml:space="preserve">Fluid </w:t>
      </w:r>
      <w:r w:rsidR="000A511D">
        <w:t>Milk and</w:t>
      </w:r>
      <w:r w:rsidR="0077450F">
        <w:t xml:space="preserve"> Fluid</w:t>
      </w:r>
      <w:r w:rsidR="000A511D">
        <w:t xml:space="preserve"> Milk Substitutes</w:t>
      </w:r>
    </w:p>
    <w:p w14:paraId="21480457" w14:textId="77777777" w:rsidR="006B7F2B" w:rsidRPr="0026187E" w:rsidRDefault="006B7F2B" w:rsidP="006B7F2B">
      <w:pPr>
        <w:rPr>
          <w:sz w:val="20"/>
        </w:rPr>
      </w:pPr>
    </w:p>
    <w:p w14:paraId="62DB4276" w14:textId="44675F6D" w:rsidR="00D13DED" w:rsidRPr="004C2009" w:rsidRDefault="00D13DED" w:rsidP="006B7F2B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Overv</w:t>
      </w:r>
      <w:r w:rsidR="001411A0"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iew</w:t>
      </w:r>
      <w:r w:rsidR="00BD5DFA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:</w:t>
      </w:r>
    </w:p>
    <w:p w14:paraId="6291A235" w14:textId="42094152" w:rsidR="00371ED7" w:rsidRPr="00667704" w:rsidRDefault="009145DA" w:rsidP="00667704">
      <w:pPr>
        <w:rPr>
          <w:rFonts w:asciiTheme="minorHAnsi" w:hAnsiTheme="minorHAnsi" w:cstheme="minorHAnsi"/>
          <w:b/>
        </w:rPr>
      </w:pPr>
      <w:r w:rsidRPr="00910723">
        <w:rPr>
          <w:rFonts w:asciiTheme="majorHAnsi" w:hAnsiTheme="majorHAnsi" w:cstheme="majorHAnsi"/>
          <w:b/>
          <w:noProof/>
          <w:color w:val="9F2065" w:themeColor="accen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38176" wp14:editId="03EEFD20">
                <wp:simplePos x="0" y="0"/>
                <wp:positionH relativeFrom="margin">
                  <wp:posOffset>-25400</wp:posOffset>
                </wp:positionH>
                <wp:positionV relativeFrom="paragraph">
                  <wp:posOffset>883285</wp:posOffset>
                </wp:positionV>
                <wp:extent cx="5958205" cy="6724650"/>
                <wp:effectExtent l="0" t="0" r="4445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205" cy="6724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B7E8" w14:textId="23813497" w:rsidR="005777D5" w:rsidRPr="005777D5" w:rsidRDefault="005777D5" w:rsidP="00D82900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 w:rsidRPr="005777D5">
                              <w:rPr>
                                <w:b/>
                              </w:rPr>
                              <w:t>Requirements</w:t>
                            </w:r>
                            <w:r w:rsidRPr="004C2009">
                              <w:rPr>
                                <w:b/>
                                <w:color w:val="14578C" w:themeColor="accent6" w:themeShade="BF"/>
                              </w:rPr>
                              <w:t>:</w:t>
                            </w:r>
                          </w:p>
                          <w:p w14:paraId="235122D0" w14:textId="49DC717C" w:rsidR="000A511D" w:rsidRPr="000A511D" w:rsidRDefault="000A511D" w:rsidP="00D829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Schools </w:t>
                            </w:r>
                            <w:r w:rsidRPr="000A511D">
                              <w:rPr>
                                <w:rFonts w:asciiTheme="minorHAnsi" w:hAnsiTheme="minorHAnsi" w:cstheme="minorHAnsi"/>
                              </w:rPr>
                              <w:t>must offer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at least two </w:t>
                            </w:r>
                            <w:r w:rsidR="0077450F">
                              <w:rPr>
                                <w:rFonts w:asciiTheme="minorHAnsi" w:hAnsiTheme="minorHAnsi" w:cstheme="minorHAnsi"/>
                              </w:rPr>
                              <w:t xml:space="preserve">fluid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milk choices at breakfast and lunch.</w:t>
                            </w:r>
                          </w:p>
                          <w:p w14:paraId="64381ED0" w14:textId="5DD12DA0" w:rsidR="00E44F24" w:rsidRPr="000A511D" w:rsidRDefault="000A511D" w:rsidP="000A51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All fluid milk must be pasteurized</w:t>
                            </w:r>
                            <w:r w:rsidR="00E44F24" w:rsidRPr="000A511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CD01C75" w14:textId="0C7F77EE" w:rsidR="00DA2896" w:rsidRPr="009145DA" w:rsidRDefault="000A511D" w:rsidP="00DA289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All milk must be fat-free or low-fat (1%)</w:t>
                            </w:r>
                            <w:r w:rsidR="00D205B6">
                              <w:rPr>
                                <w:rFonts w:asciiTheme="minorHAnsi" w:hAnsiTheme="minorHAnsi" w:cstheme="minorHAnsi"/>
                              </w:rPr>
                              <w:t xml:space="preserve"> and may be flavored or unflavored</w:t>
                            </w:r>
                            <w:r w:rsidR="00DA2896">
                              <w:rPr>
                                <w:rFonts w:asciiTheme="minorHAnsi" w:hAnsiTheme="minorHAnsi" w:cstheme="minorHAnsi"/>
                              </w:rPr>
                              <w:t>, provided unflavored milk is offered at each meal service</w:t>
                            </w:r>
                          </w:p>
                          <w:p w14:paraId="421AC09E" w14:textId="70425845" w:rsidR="005777D5" w:rsidRDefault="000A511D" w:rsidP="00D829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Low-fat or f</w:t>
                            </w:r>
                            <w:r w:rsidR="00371ED7">
                              <w:rPr>
                                <w:rFonts w:asciiTheme="minorHAnsi" w:hAnsiTheme="minorHAnsi" w:cstheme="minorHAnsi"/>
                              </w:rPr>
                              <w:t>at-free lactose-free and reduced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-lactose milk may also be offered</w:t>
                            </w:r>
                            <w:r w:rsidR="00E44F24" w:rsidRPr="005D0AC3">
                              <w:rPr>
                                <w:rFonts w:asciiTheme="minorHAnsi" w:hAnsiTheme="minorHAnsi" w:cstheme="minorHAnsi"/>
                                <w:cap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D4998D1" w14:textId="77777777" w:rsidR="00823FC5" w:rsidRPr="005777D5" w:rsidRDefault="00823FC5" w:rsidP="00823FC5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Milk Substitute </w:t>
                            </w:r>
                            <w:r w:rsidRPr="005777D5">
                              <w:rPr>
                                <w:b/>
                              </w:rPr>
                              <w:t>Requirements</w:t>
                            </w:r>
                            <w:r w:rsidRPr="004C2009">
                              <w:rPr>
                                <w:b/>
                                <w:color w:val="14578C" w:themeColor="accent6" w:themeShade="BF"/>
                              </w:rPr>
                              <w:t>:</w:t>
                            </w:r>
                          </w:p>
                          <w:p w14:paraId="0B7881D1" w14:textId="7F3B1B5C" w:rsidR="00823FC5" w:rsidRPr="00A1301F" w:rsidRDefault="00BD62B2" w:rsidP="00823F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Students with</w:t>
                            </w:r>
                            <w:r w:rsidR="00823FC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7450F">
                              <w:rPr>
                                <w:rFonts w:asciiTheme="minorHAnsi" w:hAnsiTheme="minorHAnsi" w:cstheme="minorHAnsi"/>
                              </w:rPr>
                              <w:t xml:space="preserve"> a </w:t>
                            </w:r>
                            <w:hyperlink r:id="rId8" w:anchor="8cdbfd25-f3be-477d-b61a-f77439e80aa9" w:history="1">
                              <w:r w:rsidR="00823FC5" w:rsidRPr="00A1301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Medical Statement to Request Special Meals and/or Accommodations</w:t>
                              </w:r>
                            </w:hyperlink>
                            <w:r w:rsidR="00823FC5">
                              <w:rPr>
                                <w:rFonts w:asciiTheme="minorHAnsi" w:hAnsiTheme="minorHAnsi" w:cstheme="minorHAnsi"/>
                              </w:rPr>
                              <w:t xml:space="preserve"> signed by a medical authority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must be provided with their requested </w:t>
                            </w:r>
                            <w:r w:rsidR="0077450F">
                              <w:rPr>
                                <w:rFonts w:asciiTheme="minorHAnsi" w:hAnsiTheme="minorHAnsi" w:cstheme="minorHAnsi"/>
                              </w:rPr>
                              <w:t xml:space="preserve">fluid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milk substitute. This can include non-creditable or non-nutritionally equivalent </w:t>
                            </w:r>
                            <w:r w:rsidR="0077450F">
                              <w:rPr>
                                <w:rFonts w:asciiTheme="minorHAnsi" w:hAnsiTheme="minorHAnsi" w:cstheme="minorHAnsi"/>
                              </w:rPr>
                              <w:t xml:space="preserve">fluid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milk substitutes</w:t>
                            </w:r>
                            <w:r w:rsidR="00823FC5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2918D404" w14:textId="6DAE2D73" w:rsidR="00823FC5" w:rsidRPr="00575212" w:rsidRDefault="00BD62B2" w:rsidP="00823F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Depending on the SFA’s policies, students who have a </w:t>
                            </w:r>
                            <w:hyperlink r:id="rId9" w:history="1">
                              <w:r w:rsidR="00724E8A" w:rsidRPr="00724E8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Meal Preference Request Form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may be provided with a </w:t>
                            </w:r>
                            <w:r w:rsidR="00D839C1">
                              <w:rPr>
                                <w:rFonts w:asciiTheme="minorHAnsi" w:hAnsiTheme="minorHAnsi" w:cstheme="minorHAnsi"/>
                              </w:rPr>
                              <w:t>fluid milk substitute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that meets nutritional equivalency to the nutritional guidelines. </w:t>
                            </w:r>
                            <w:r w:rsidR="00887B81">
                              <w:rPr>
                                <w:rFonts w:asciiTheme="minorHAnsi" w:hAnsiTheme="minorHAnsi" w:cstheme="minorHAnsi"/>
                              </w:rPr>
                              <w:t xml:space="preserve">Non-medical meal accommodations may include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cultural,</w:t>
                            </w:r>
                            <w:r w:rsidR="00887B81">
                              <w:rPr>
                                <w:rFonts w:asciiTheme="minorHAnsi" w:hAnsiTheme="minorHAnsi" w:cstheme="minorHAnsi"/>
                              </w:rPr>
                              <w:t xml:space="preserve"> religious, lifestyle, or personal preferences.</w:t>
                            </w:r>
                          </w:p>
                          <w:p w14:paraId="388A73EC" w14:textId="6072E7DE" w:rsidR="00823FC5" w:rsidRDefault="00DA2896" w:rsidP="00BD62B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SFA’s </w:t>
                            </w:r>
                            <w:r w:rsidR="00823FC5">
                              <w:rPr>
                                <w:rFonts w:asciiTheme="minorHAnsi" w:hAnsiTheme="minorHAnsi" w:cstheme="minorHAnsi"/>
                              </w:rPr>
                              <w:t xml:space="preserve">must inform the state agency if it chooses to offer fluid milk substitutes other than for students with disabilities. This is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reported </w:t>
                            </w:r>
                            <w:r w:rsidR="00823FC5">
                              <w:rPr>
                                <w:rFonts w:asciiTheme="minorHAnsi" w:hAnsiTheme="minorHAnsi" w:cstheme="minorHAnsi"/>
                              </w:rPr>
                              <w:t>in CNPweb on the sponsor information sheet, line 69.</w:t>
                            </w:r>
                          </w:p>
                          <w:p w14:paraId="68656343" w14:textId="77777777" w:rsidR="00BD62B2" w:rsidRPr="00BD62B2" w:rsidRDefault="00BD62B2" w:rsidP="00BD62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SFA’s who choose to provide a non-nutritionally equivalent milk substitute without a medical statement must not claim the meals for reimbursement.</w:t>
                            </w:r>
                          </w:p>
                          <w:p w14:paraId="0A32F8AF" w14:textId="4E1273C9" w:rsidR="00823FC5" w:rsidRPr="00D839C1" w:rsidRDefault="00823FC5" w:rsidP="001A59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839C1">
                              <w:rPr>
                                <w:rFonts w:asciiTheme="minorHAnsi" w:hAnsiTheme="minorHAnsi" w:cstheme="minorHAnsi"/>
                              </w:rPr>
                              <w:t xml:space="preserve">Nondairy beverages </w:t>
                            </w:r>
                            <w:r w:rsidR="00724E8A" w:rsidRPr="00D839C1">
                              <w:rPr>
                                <w:rFonts w:asciiTheme="minorHAnsi" w:hAnsiTheme="minorHAnsi" w:cstheme="minorHAnsi"/>
                              </w:rPr>
                              <w:t xml:space="preserve">offered as milk </w:t>
                            </w:r>
                            <w:r w:rsidR="00BD5DFA" w:rsidRPr="00D839C1">
                              <w:rPr>
                                <w:rFonts w:asciiTheme="minorHAnsi" w:hAnsiTheme="minorHAnsi" w:cstheme="minorHAnsi"/>
                              </w:rPr>
                              <w:t>substitutions</w:t>
                            </w:r>
                            <w:r w:rsidR="00724E8A" w:rsidRPr="00D839C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D839C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must </w:t>
                            </w:r>
                            <w:r w:rsidRPr="00D839C1">
                              <w:rPr>
                                <w:rFonts w:asciiTheme="minorHAnsi" w:hAnsiTheme="minorHAnsi" w:cstheme="minorHAnsi"/>
                              </w:rPr>
                              <w:t>meet the following nutritional guideli</w:t>
                            </w:r>
                            <w:r w:rsidRPr="001A59E4">
                              <w:rPr>
                                <w:rFonts w:asciiTheme="minorHAnsi" w:hAnsiTheme="minorHAnsi" w:cstheme="minorHAnsi"/>
                              </w:rPr>
                              <w:t>nes: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695" w:type="dxa"/>
                              <w:tblLook w:val="04A0" w:firstRow="1" w:lastRow="0" w:firstColumn="1" w:lastColumn="0" w:noHBand="0" w:noVBand="1"/>
                              <w:tblCaption w:val="Nutrient Table"/>
                              <w:tblDescription w:val="Table that displayd nutrient requirements for milk substitutes."/>
                            </w:tblPr>
                            <w:tblGrid>
                              <w:gridCol w:w="2025"/>
                              <w:gridCol w:w="2025"/>
                            </w:tblGrid>
                            <w:tr w:rsidR="00823FC5" w:rsidRPr="00575212" w14:paraId="4B27B6A6" w14:textId="77777777" w:rsidTr="00371ED7">
                              <w:trPr>
                                <w:tblHeader/>
                              </w:trPr>
                              <w:tc>
                                <w:tcPr>
                                  <w:tcW w:w="20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7B0EF0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</w:pPr>
                                  <w:r w:rsidRPr="0057521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  <w:t>Nutrient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F90452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</w:pPr>
                                  <w:r w:rsidRPr="0057521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  <w:t xml:space="preserve">Per Cup (8 </w:t>
                                  </w:r>
                                  <w:proofErr w:type="spellStart"/>
                                  <w:r w:rsidRPr="0057521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  <w:t>fl</w:t>
                                  </w:r>
                                  <w:proofErr w:type="spellEnd"/>
                                  <w:r w:rsidRPr="0057521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  <w:t xml:space="preserve"> oz)</w:t>
                                  </w:r>
                                </w:p>
                              </w:tc>
                            </w:tr>
                            <w:tr w:rsidR="00823FC5" w:rsidRPr="00575212" w14:paraId="05CC1796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4D96D7B2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7521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2EDD95E4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7521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276 mg</w:t>
                                  </w:r>
                                </w:p>
                              </w:tc>
                            </w:tr>
                            <w:tr w:rsidR="00823FC5" w:rsidRPr="00575212" w14:paraId="147DA9D3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01B17B1C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10CC9BB2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8 g</w:t>
                                  </w:r>
                                </w:p>
                              </w:tc>
                            </w:tr>
                            <w:tr w:rsidR="00823FC5" w:rsidRPr="00575212" w14:paraId="4C688557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33E8C9F0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Vitamin A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0497BE34" w14:textId="786B7279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500 IU</w:t>
                                  </w:r>
                                  <w:r w:rsidR="001A59E4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(150 mcg)</w:t>
                                  </w:r>
                                </w:p>
                              </w:tc>
                            </w:tr>
                            <w:tr w:rsidR="00823FC5" w:rsidRPr="00575212" w14:paraId="27FB5413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60D03A23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Vitamin D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2F534142" w14:textId="18F3C678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100 IU</w:t>
                                  </w:r>
                                  <w:r w:rsidR="001A59E4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(2.5</w:t>
                                  </w:r>
                                  <w:r w:rsidR="00264B3A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mcg)</w:t>
                                  </w:r>
                                </w:p>
                              </w:tc>
                            </w:tr>
                            <w:tr w:rsidR="00823FC5" w:rsidRPr="00575212" w14:paraId="7A781781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6FD5213C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Magnesium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5E68EDCF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24 mg</w:t>
                                  </w:r>
                                </w:p>
                              </w:tc>
                            </w:tr>
                            <w:tr w:rsidR="00823FC5" w:rsidRPr="00575212" w14:paraId="45C438C6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6C2AB2FC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Phosphorus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3D2168F4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222 mg</w:t>
                                  </w:r>
                                </w:p>
                              </w:tc>
                            </w:tr>
                            <w:tr w:rsidR="00823FC5" w:rsidRPr="00575212" w14:paraId="6EDDA108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13C2DF7F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Potassium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3604BD44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349 mg</w:t>
                                  </w:r>
                                </w:p>
                              </w:tc>
                            </w:tr>
                            <w:tr w:rsidR="00823FC5" w:rsidRPr="00575212" w14:paraId="05B8D31B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4777AD1C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Riboflavin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5538F917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0.44 mg</w:t>
                                  </w:r>
                                </w:p>
                              </w:tc>
                            </w:tr>
                            <w:tr w:rsidR="00823FC5" w:rsidRPr="00575212" w14:paraId="722CF209" w14:textId="77777777" w:rsidTr="00371ED7"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1E876DEE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Vitamin B-12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Align w:val="center"/>
                                </w:tcPr>
                                <w:p w14:paraId="4C910300" w14:textId="77777777" w:rsidR="00823FC5" w:rsidRPr="00575212" w:rsidRDefault="00823FC5" w:rsidP="00823FC5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1.1 mcg</w:t>
                                  </w:r>
                                </w:p>
                              </w:tc>
                            </w:tr>
                          </w:tbl>
                          <w:p w14:paraId="6A489358" w14:textId="33B71A11" w:rsidR="00823FC5" w:rsidRPr="00823FC5" w:rsidRDefault="00823FC5" w:rsidP="00815E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7704">
                              <w:rPr>
                                <w:rFonts w:asciiTheme="minorHAnsi" w:hAnsiTheme="minorHAnsi" w:cstheme="minorHAnsi"/>
                              </w:rPr>
                              <w:t>Milk substitutions must be documented on production records.</w:t>
                            </w:r>
                            <w:r w:rsidR="00A70F76" w:rsidRPr="0066770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8176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-2pt;margin-top:69.55pt;width:469.15pt;height:5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" fillcolor="#d8d8d8 [2732]" stroked="f" strokeweight=".5pt">
                <v:textbox inset=",7.2pt,,0">
                  <w:txbxContent>
                    <w:p w14:paraId="524CB7E8" w14:textId="23813497" w:rsidR="005777D5" w:rsidRPr="005777D5" w:rsidRDefault="005777D5" w:rsidP="00D82900">
                      <w:pPr>
                        <w:pStyle w:val="Heading2"/>
                        <w:rPr>
                          <w:b/>
                        </w:rPr>
                      </w:pPr>
                      <w:r w:rsidRPr="005777D5">
                        <w:rPr>
                          <w:b/>
                        </w:rPr>
                        <w:t>Requirements</w:t>
                      </w:r>
                      <w:r w:rsidRPr="004C2009">
                        <w:rPr>
                          <w:b/>
                          <w:color w:val="14578C" w:themeColor="accent6" w:themeShade="BF"/>
                        </w:rPr>
                        <w:t>:</w:t>
                      </w:r>
                    </w:p>
                    <w:p w14:paraId="235122D0" w14:textId="49DC717C" w:rsidR="000A511D" w:rsidRPr="000A511D" w:rsidRDefault="000A511D" w:rsidP="00D829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Schools </w:t>
                      </w:r>
                      <w:r w:rsidRPr="000A511D">
                        <w:rPr>
                          <w:rFonts w:asciiTheme="minorHAnsi" w:hAnsiTheme="minorHAnsi" w:cstheme="minorHAnsi"/>
                        </w:rPr>
                        <w:t>must offer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at least two </w:t>
                      </w:r>
                      <w:r w:rsidR="0077450F">
                        <w:rPr>
                          <w:rFonts w:asciiTheme="minorHAnsi" w:hAnsiTheme="minorHAnsi" w:cstheme="minorHAnsi"/>
                        </w:rPr>
                        <w:t xml:space="preserve">fluid </w:t>
                      </w:r>
                      <w:r>
                        <w:rPr>
                          <w:rFonts w:asciiTheme="minorHAnsi" w:hAnsiTheme="minorHAnsi" w:cstheme="minorHAnsi"/>
                        </w:rPr>
                        <w:t>milk choices at breakfast and lunch.</w:t>
                      </w:r>
                    </w:p>
                    <w:p w14:paraId="64381ED0" w14:textId="5DD12DA0" w:rsidR="00E44F24" w:rsidRPr="000A511D" w:rsidRDefault="000A511D" w:rsidP="000A51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All fluid milk must be pasteurized</w:t>
                      </w:r>
                      <w:r w:rsidR="00E44F24" w:rsidRPr="000A511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3CD01C75" w14:textId="0C7F77EE" w:rsidR="00DA2896" w:rsidRPr="009145DA" w:rsidRDefault="000A511D" w:rsidP="00DA289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All milk must be fat-free or low-fat (1%)</w:t>
                      </w:r>
                      <w:r w:rsidR="00D205B6">
                        <w:rPr>
                          <w:rFonts w:asciiTheme="minorHAnsi" w:hAnsiTheme="minorHAnsi" w:cstheme="minorHAnsi"/>
                        </w:rPr>
                        <w:t xml:space="preserve"> and may be flavored or unflavored</w:t>
                      </w:r>
                      <w:r w:rsidR="00DA2896">
                        <w:rPr>
                          <w:rFonts w:asciiTheme="minorHAnsi" w:hAnsiTheme="minorHAnsi" w:cstheme="minorHAnsi"/>
                        </w:rPr>
                        <w:t>, provided unflavored milk is offered at each meal service</w:t>
                      </w:r>
                    </w:p>
                    <w:p w14:paraId="421AC09E" w14:textId="70425845" w:rsidR="005777D5" w:rsidRDefault="000A511D" w:rsidP="00D829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Low-fat or f</w:t>
                      </w:r>
                      <w:r w:rsidR="00371ED7">
                        <w:rPr>
                          <w:rFonts w:asciiTheme="minorHAnsi" w:hAnsiTheme="minorHAnsi" w:cstheme="minorHAnsi"/>
                        </w:rPr>
                        <w:t>at-free lactose-free and reduced</w:t>
                      </w:r>
                      <w:r>
                        <w:rPr>
                          <w:rFonts w:asciiTheme="minorHAnsi" w:hAnsiTheme="minorHAnsi" w:cstheme="minorHAnsi"/>
                        </w:rPr>
                        <w:t>-lactose milk may also be offered</w:t>
                      </w:r>
                      <w:r w:rsidR="00E44F24" w:rsidRPr="005D0AC3">
                        <w:rPr>
                          <w:rFonts w:asciiTheme="minorHAnsi" w:hAnsiTheme="minorHAnsi" w:cstheme="minorHAnsi"/>
                          <w:caps/>
                          <w:sz w:val="26"/>
                          <w:szCs w:val="26"/>
                        </w:rPr>
                        <w:t>.</w:t>
                      </w:r>
                    </w:p>
                    <w:p w14:paraId="7D4998D1" w14:textId="77777777" w:rsidR="00823FC5" w:rsidRPr="005777D5" w:rsidRDefault="00823FC5" w:rsidP="00823FC5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Milk Substitute </w:t>
                      </w:r>
                      <w:r w:rsidRPr="005777D5">
                        <w:rPr>
                          <w:b/>
                        </w:rPr>
                        <w:t>Requirements</w:t>
                      </w:r>
                      <w:r w:rsidRPr="004C2009">
                        <w:rPr>
                          <w:b/>
                          <w:color w:val="14578C" w:themeColor="accent6" w:themeShade="BF"/>
                        </w:rPr>
                        <w:t>:</w:t>
                      </w:r>
                    </w:p>
                    <w:p w14:paraId="0B7881D1" w14:textId="7F3B1B5C" w:rsidR="00823FC5" w:rsidRPr="00A1301F" w:rsidRDefault="00BD62B2" w:rsidP="00823F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Students with</w:t>
                      </w:r>
                      <w:r w:rsidR="00823F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77450F">
                        <w:rPr>
                          <w:rFonts w:asciiTheme="minorHAnsi" w:hAnsiTheme="minorHAnsi" w:cstheme="minorHAnsi"/>
                        </w:rPr>
                        <w:t xml:space="preserve"> a </w:t>
                      </w:r>
                      <w:hyperlink r:id="rId10" w:anchor="8cdbfd25-f3be-477d-b61a-f77439e80aa9" w:history="1">
                        <w:r w:rsidR="00823FC5" w:rsidRPr="00A1301F">
                          <w:rPr>
                            <w:rStyle w:val="Hyperlink"/>
                            <w:rFonts w:asciiTheme="minorHAnsi" w:hAnsiTheme="minorHAnsi" w:cstheme="minorHAnsi"/>
                          </w:rPr>
                          <w:t>Medical Statement to Request Special Meals and/or Accommodations</w:t>
                        </w:r>
                      </w:hyperlink>
                      <w:r w:rsidR="00823FC5">
                        <w:rPr>
                          <w:rFonts w:asciiTheme="minorHAnsi" w:hAnsiTheme="minorHAnsi" w:cstheme="minorHAnsi"/>
                        </w:rPr>
                        <w:t xml:space="preserve"> signed by a medical authority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must be provided with their requested </w:t>
                      </w:r>
                      <w:r w:rsidR="0077450F">
                        <w:rPr>
                          <w:rFonts w:asciiTheme="minorHAnsi" w:hAnsiTheme="minorHAnsi" w:cstheme="minorHAnsi"/>
                        </w:rPr>
                        <w:t xml:space="preserve">fluid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milk substitute. This can include non-creditable or non-nutritionally equivalent </w:t>
                      </w:r>
                      <w:r w:rsidR="0077450F">
                        <w:rPr>
                          <w:rFonts w:asciiTheme="minorHAnsi" w:hAnsiTheme="minorHAnsi" w:cstheme="minorHAnsi"/>
                        </w:rPr>
                        <w:t xml:space="preserve">fluid </w:t>
                      </w:r>
                      <w:r>
                        <w:rPr>
                          <w:rFonts w:asciiTheme="minorHAnsi" w:hAnsiTheme="minorHAnsi" w:cstheme="minorHAnsi"/>
                        </w:rPr>
                        <w:t>milk substitutes</w:t>
                      </w:r>
                      <w:r w:rsidR="00823FC5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2918D404" w14:textId="6DAE2D73" w:rsidR="00823FC5" w:rsidRPr="00575212" w:rsidRDefault="00BD62B2" w:rsidP="00823F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Depending on the SFA’s policies, students who have a </w:t>
                      </w:r>
                      <w:hyperlink r:id="rId11" w:history="1">
                        <w:r w:rsidR="00724E8A" w:rsidRPr="00724E8A">
                          <w:rPr>
                            <w:rStyle w:val="Hyperlink"/>
                            <w:rFonts w:asciiTheme="minorHAnsi" w:hAnsiTheme="minorHAnsi" w:cstheme="minorHAnsi"/>
                          </w:rPr>
                          <w:t>Meal Preference Request Form</w:t>
                        </w:r>
                      </w:hyperlink>
                      <w:r>
                        <w:rPr>
                          <w:rFonts w:asciiTheme="minorHAnsi" w:hAnsiTheme="minorHAnsi" w:cstheme="minorHAnsi"/>
                        </w:rPr>
                        <w:t xml:space="preserve"> may be provided with a </w:t>
                      </w:r>
                      <w:r w:rsidR="00D839C1">
                        <w:rPr>
                          <w:rFonts w:asciiTheme="minorHAnsi" w:hAnsiTheme="minorHAnsi" w:cstheme="minorHAnsi"/>
                        </w:rPr>
                        <w:t>fluid milk substitute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that meets nutritional equivalency to the nutritional guidelines. </w:t>
                      </w:r>
                      <w:r w:rsidR="00887B81">
                        <w:rPr>
                          <w:rFonts w:asciiTheme="minorHAnsi" w:hAnsiTheme="minorHAnsi" w:cstheme="minorHAnsi"/>
                        </w:rPr>
                        <w:t xml:space="preserve">Non-medical meal accommodations may include </w:t>
                      </w:r>
                      <w:r>
                        <w:rPr>
                          <w:rFonts w:asciiTheme="minorHAnsi" w:hAnsiTheme="minorHAnsi" w:cstheme="minorHAnsi"/>
                        </w:rPr>
                        <w:t>cultural,</w:t>
                      </w:r>
                      <w:r w:rsidR="00887B81">
                        <w:rPr>
                          <w:rFonts w:asciiTheme="minorHAnsi" w:hAnsiTheme="minorHAnsi" w:cstheme="minorHAnsi"/>
                        </w:rPr>
                        <w:t xml:space="preserve"> religious, lifestyle, or personal preferences.</w:t>
                      </w:r>
                    </w:p>
                    <w:p w14:paraId="388A73EC" w14:textId="6072E7DE" w:rsidR="00823FC5" w:rsidRDefault="00DA2896" w:rsidP="00BD62B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SFA’s </w:t>
                      </w:r>
                      <w:r w:rsidR="00823FC5">
                        <w:rPr>
                          <w:rFonts w:asciiTheme="minorHAnsi" w:hAnsiTheme="minorHAnsi" w:cstheme="minorHAnsi"/>
                        </w:rPr>
                        <w:t xml:space="preserve">must inform the state agency if it chooses to offer fluid milk substitutes other than for students with disabilities. This is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reported </w:t>
                      </w:r>
                      <w:r w:rsidR="00823FC5">
                        <w:rPr>
                          <w:rFonts w:asciiTheme="minorHAnsi" w:hAnsiTheme="minorHAnsi" w:cstheme="minorHAnsi"/>
                        </w:rPr>
                        <w:t>in CNPweb on the sponsor information sheet, line 69.</w:t>
                      </w:r>
                    </w:p>
                    <w:p w14:paraId="68656343" w14:textId="77777777" w:rsidR="00BD62B2" w:rsidRPr="00BD62B2" w:rsidRDefault="00BD62B2" w:rsidP="00BD62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SFA’s who choose to provide a non-nutritionally equivalent milk substitute without a medical statement must not claim the meals for reimbursement.</w:t>
                      </w:r>
                    </w:p>
                    <w:p w14:paraId="0A32F8AF" w14:textId="4E1273C9" w:rsidR="00823FC5" w:rsidRPr="00D839C1" w:rsidRDefault="00823FC5" w:rsidP="001A59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D839C1">
                        <w:rPr>
                          <w:rFonts w:asciiTheme="minorHAnsi" w:hAnsiTheme="minorHAnsi" w:cstheme="minorHAnsi"/>
                        </w:rPr>
                        <w:t xml:space="preserve">Nondairy beverages </w:t>
                      </w:r>
                      <w:r w:rsidR="00724E8A" w:rsidRPr="00D839C1">
                        <w:rPr>
                          <w:rFonts w:asciiTheme="minorHAnsi" w:hAnsiTheme="minorHAnsi" w:cstheme="minorHAnsi"/>
                        </w:rPr>
                        <w:t xml:space="preserve">offered as milk </w:t>
                      </w:r>
                      <w:r w:rsidR="00BD5DFA" w:rsidRPr="00D839C1">
                        <w:rPr>
                          <w:rFonts w:asciiTheme="minorHAnsi" w:hAnsiTheme="minorHAnsi" w:cstheme="minorHAnsi"/>
                        </w:rPr>
                        <w:t>substitutions</w:t>
                      </w:r>
                      <w:r w:rsidR="00724E8A" w:rsidRPr="00D839C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D839C1">
                        <w:rPr>
                          <w:rFonts w:asciiTheme="minorHAnsi" w:hAnsiTheme="minorHAnsi" w:cstheme="minorHAnsi"/>
                          <w:b/>
                        </w:rPr>
                        <w:t xml:space="preserve">must </w:t>
                      </w:r>
                      <w:r w:rsidRPr="00D839C1">
                        <w:rPr>
                          <w:rFonts w:asciiTheme="minorHAnsi" w:hAnsiTheme="minorHAnsi" w:cstheme="minorHAnsi"/>
                        </w:rPr>
                        <w:t>meet the following nutritional guideli</w:t>
                      </w:r>
                      <w:r w:rsidRPr="001A59E4">
                        <w:rPr>
                          <w:rFonts w:asciiTheme="minorHAnsi" w:hAnsiTheme="minorHAnsi" w:cstheme="minorHAnsi"/>
                        </w:rPr>
                        <w:t>nes:</w:t>
                      </w:r>
                    </w:p>
                    <w:tbl>
                      <w:tblPr>
                        <w:tblStyle w:val="TableGrid"/>
                        <w:tblW w:w="0" w:type="auto"/>
                        <w:tblInd w:w="2695" w:type="dxa"/>
                        <w:tblLook w:val="04A0" w:firstRow="1" w:lastRow="0" w:firstColumn="1" w:lastColumn="0" w:noHBand="0" w:noVBand="1"/>
                        <w:tblCaption w:val="Nutrient Table"/>
                        <w:tblDescription w:val="Table that displayd nutrient requirements for milk substitutes."/>
                      </w:tblPr>
                      <w:tblGrid>
                        <w:gridCol w:w="2025"/>
                        <w:gridCol w:w="2025"/>
                      </w:tblGrid>
                      <w:tr w:rsidR="00823FC5" w:rsidRPr="00575212" w14:paraId="4B27B6A6" w14:textId="77777777" w:rsidTr="00371ED7">
                        <w:trPr>
                          <w:tblHeader/>
                        </w:trPr>
                        <w:tc>
                          <w:tcPr>
                            <w:tcW w:w="202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07B0EF0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57521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Nutrient</w:t>
                            </w:r>
                          </w:p>
                        </w:tc>
                        <w:tc>
                          <w:tcPr>
                            <w:tcW w:w="202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F90452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57521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Per Cup (8 </w:t>
                            </w:r>
                            <w:proofErr w:type="spellStart"/>
                            <w:r w:rsidRPr="0057521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fl</w:t>
                            </w:r>
                            <w:proofErr w:type="spellEnd"/>
                            <w:r w:rsidRPr="0057521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oz)</w:t>
                            </w:r>
                          </w:p>
                        </w:tc>
                      </w:tr>
                      <w:tr w:rsidR="00823FC5" w:rsidRPr="00575212" w14:paraId="05CC1796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4D96D7B2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7521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2EDD95E4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7521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276 mg</w:t>
                            </w:r>
                          </w:p>
                        </w:tc>
                      </w:tr>
                      <w:tr w:rsidR="00823FC5" w:rsidRPr="00575212" w14:paraId="147DA9D3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01B17B1C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10CC9BB2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8 g</w:t>
                            </w:r>
                          </w:p>
                        </w:tc>
                      </w:tr>
                      <w:tr w:rsidR="00823FC5" w:rsidRPr="00575212" w14:paraId="4C688557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33E8C9F0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Vitamin A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0497BE34" w14:textId="786B7279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500 IU</w:t>
                            </w:r>
                            <w:r w:rsidR="001A59E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(150 mcg)</w:t>
                            </w:r>
                          </w:p>
                        </w:tc>
                      </w:tr>
                      <w:tr w:rsidR="00823FC5" w:rsidRPr="00575212" w14:paraId="27FB5413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60D03A23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Vitamin D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2F534142" w14:textId="18F3C678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100 IU</w:t>
                            </w:r>
                            <w:r w:rsidR="001A59E4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(2.5</w:t>
                            </w:r>
                            <w:r w:rsidR="00264B3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mcg)</w:t>
                            </w:r>
                          </w:p>
                        </w:tc>
                      </w:tr>
                      <w:tr w:rsidR="00823FC5" w:rsidRPr="00575212" w14:paraId="7A781781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6FD5213C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Magnesium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5E68EDCF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24 mg</w:t>
                            </w:r>
                          </w:p>
                        </w:tc>
                      </w:tr>
                      <w:tr w:rsidR="00823FC5" w:rsidRPr="00575212" w14:paraId="45C438C6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6C2AB2FC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Phosphorus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3D2168F4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222 mg</w:t>
                            </w:r>
                          </w:p>
                        </w:tc>
                      </w:tr>
                      <w:tr w:rsidR="00823FC5" w:rsidRPr="00575212" w14:paraId="6EDDA108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13C2DF7F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Potassium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3604BD44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349 mg</w:t>
                            </w:r>
                          </w:p>
                        </w:tc>
                      </w:tr>
                      <w:tr w:rsidR="00823FC5" w:rsidRPr="00575212" w14:paraId="05B8D31B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4777AD1C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Riboflavin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5538F917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0.44 mg</w:t>
                            </w:r>
                          </w:p>
                        </w:tc>
                      </w:tr>
                      <w:tr w:rsidR="00823FC5" w:rsidRPr="00575212" w14:paraId="722CF209" w14:textId="77777777" w:rsidTr="00371ED7">
                        <w:tc>
                          <w:tcPr>
                            <w:tcW w:w="2025" w:type="dxa"/>
                            <w:vAlign w:val="center"/>
                          </w:tcPr>
                          <w:p w14:paraId="1E876DEE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Vitamin B-12</w:t>
                            </w:r>
                          </w:p>
                        </w:tc>
                        <w:tc>
                          <w:tcPr>
                            <w:tcW w:w="2025" w:type="dxa"/>
                            <w:vAlign w:val="center"/>
                          </w:tcPr>
                          <w:p w14:paraId="4C910300" w14:textId="77777777" w:rsidR="00823FC5" w:rsidRPr="00575212" w:rsidRDefault="00823FC5" w:rsidP="00823FC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1.1 mcg</w:t>
                            </w:r>
                          </w:p>
                        </w:tc>
                      </w:tr>
                    </w:tbl>
                    <w:p w14:paraId="6A489358" w14:textId="33B71A11" w:rsidR="00823FC5" w:rsidRPr="00823FC5" w:rsidRDefault="00823FC5" w:rsidP="00815E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667704">
                        <w:rPr>
                          <w:rFonts w:asciiTheme="minorHAnsi" w:hAnsiTheme="minorHAnsi" w:cstheme="minorHAnsi"/>
                        </w:rPr>
                        <w:t>Milk substitutions must be documented on production records.</w:t>
                      </w:r>
                      <w:r w:rsidR="00A70F76" w:rsidRPr="0066770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05B6">
        <w:rPr>
          <w:rFonts w:asciiTheme="minorHAnsi" w:hAnsiTheme="minorHAnsi"/>
        </w:rPr>
        <w:t>School Food Authorities (SFA</w:t>
      </w:r>
      <w:r w:rsidR="000A511D">
        <w:rPr>
          <w:rFonts w:asciiTheme="minorHAnsi" w:hAnsiTheme="minorHAnsi"/>
        </w:rPr>
        <w:t>s</w:t>
      </w:r>
      <w:r w:rsidR="00D205B6">
        <w:rPr>
          <w:rFonts w:asciiTheme="minorHAnsi" w:hAnsiTheme="minorHAnsi"/>
        </w:rPr>
        <w:t>)</w:t>
      </w:r>
      <w:r w:rsidR="000A511D">
        <w:rPr>
          <w:rFonts w:asciiTheme="minorHAnsi" w:hAnsiTheme="minorHAnsi"/>
        </w:rPr>
        <w:t xml:space="preserve"> participating in the National School Lunch Program (NSLP) and the School Breakfast Program (SPB) must offer students a variety of fluid milk, including at leas</w:t>
      </w:r>
      <w:r w:rsidR="006938C7">
        <w:rPr>
          <w:rFonts w:asciiTheme="minorHAnsi" w:hAnsiTheme="minorHAnsi"/>
        </w:rPr>
        <w:t>t</w:t>
      </w:r>
      <w:r w:rsidR="000A511D">
        <w:rPr>
          <w:rFonts w:asciiTheme="minorHAnsi" w:hAnsiTheme="minorHAnsi"/>
        </w:rPr>
        <w:t xml:space="preserve"> two different choices</w:t>
      </w:r>
      <w:r w:rsidR="006B7F2B" w:rsidRPr="009145DA">
        <w:rPr>
          <w:rFonts w:asciiTheme="minorHAnsi" w:hAnsiTheme="minorHAnsi"/>
        </w:rPr>
        <w:t>.</w:t>
      </w:r>
      <w:r w:rsidR="000A511D" w:rsidRPr="009145DA">
        <w:rPr>
          <w:rFonts w:asciiTheme="minorHAnsi" w:hAnsiTheme="minorHAnsi"/>
        </w:rPr>
        <w:t xml:space="preserve"> </w:t>
      </w:r>
      <w:r w:rsidRPr="009145DA">
        <w:rPr>
          <w:rFonts w:ascii="Segoe UI" w:hAnsi="Segoe UI" w:cs="Segoe UI"/>
          <w:color w:val="242424"/>
          <w:sz w:val="21"/>
          <w:szCs w:val="21"/>
        </w:rPr>
        <w:t xml:space="preserve">If a child has a milk preference other than </w:t>
      </w:r>
      <w:r w:rsidR="00D839C1">
        <w:rPr>
          <w:rFonts w:ascii="Segoe UI" w:hAnsi="Segoe UI" w:cs="Segoe UI"/>
          <w:color w:val="242424"/>
          <w:sz w:val="21"/>
          <w:szCs w:val="21"/>
        </w:rPr>
        <w:t>fluid</w:t>
      </w:r>
      <w:r w:rsidRPr="009145DA">
        <w:rPr>
          <w:rFonts w:ascii="Segoe UI" w:hAnsi="Segoe UI" w:cs="Segoe UI"/>
          <w:color w:val="242424"/>
          <w:sz w:val="21"/>
          <w:szCs w:val="21"/>
        </w:rPr>
        <w:t xml:space="preserve"> milk, the SFA can offer a nutritionally equivalent substitute to </w:t>
      </w:r>
      <w:r w:rsidR="00D839C1">
        <w:rPr>
          <w:rFonts w:ascii="Segoe UI" w:hAnsi="Segoe UI" w:cs="Segoe UI"/>
          <w:color w:val="242424"/>
          <w:sz w:val="21"/>
          <w:szCs w:val="21"/>
        </w:rPr>
        <w:t>fluid</w:t>
      </w:r>
      <w:r w:rsidRPr="009145DA">
        <w:rPr>
          <w:rFonts w:ascii="Segoe UI" w:hAnsi="Segoe UI" w:cs="Segoe UI"/>
          <w:color w:val="242424"/>
          <w:sz w:val="21"/>
          <w:szCs w:val="21"/>
        </w:rPr>
        <w:t xml:space="preserve"> milk, but is not required to.</w:t>
      </w:r>
    </w:p>
    <w:p w14:paraId="3C921D2E" w14:textId="77777777" w:rsidR="009145DA" w:rsidRDefault="009145DA" w:rsidP="005B6A53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</w:p>
    <w:p w14:paraId="3E17EBEE" w14:textId="0594E7ED" w:rsidR="00E933BA" w:rsidRPr="00371ED7" w:rsidRDefault="00910723" w:rsidP="005B6A53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371ED7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Helpful </w:t>
      </w:r>
      <w:r w:rsidR="00E933BA" w:rsidRPr="00371ED7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R</w:t>
      </w:r>
      <w:r w:rsidR="005B6A53" w:rsidRPr="00371ED7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esources: </w:t>
      </w:r>
    </w:p>
    <w:p w14:paraId="7E22CCB1" w14:textId="02715F43" w:rsidR="00A70F76" w:rsidRPr="001A59E4" w:rsidRDefault="00F973A5" w:rsidP="00E933BA">
      <w:pPr>
        <w:pStyle w:val="ListParagraph"/>
        <w:numPr>
          <w:ilvl w:val="0"/>
          <w:numId w:val="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2" w:history="1">
        <w:r w:rsidR="00371ED7">
          <w:rPr>
            <w:rStyle w:val="Hyperlink"/>
            <w:rFonts w:asciiTheme="minorHAnsi" w:hAnsiTheme="minorHAnsi" w:cstheme="minorHAnsi"/>
          </w:rPr>
          <w:t>ODE CNP Child Nutrition Program Meal Accommodations and Modifications webpage</w:t>
        </w:r>
      </w:hyperlink>
    </w:p>
    <w:p w14:paraId="52604E60" w14:textId="2D0B912B" w:rsidR="00BE71B7" w:rsidRPr="009145DA" w:rsidRDefault="00F973A5" w:rsidP="00E933BA">
      <w:pPr>
        <w:pStyle w:val="ListParagraph"/>
        <w:numPr>
          <w:ilvl w:val="0"/>
          <w:numId w:val="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3" w:history="1">
        <w:r w:rsidR="00BE71B7" w:rsidRPr="00BE71B7">
          <w:rPr>
            <w:rStyle w:val="Hyperlink"/>
            <w:rFonts w:asciiTheme="minorHAnsi" w:hAnsiTheme="minorHAnsi" w:cstheme="minorHAnsi"/>
          </w:rPr>
          <w:t>Meeting Meal Accommodations Requirements Video</w:t>
        </w:r>
      </w:hyperlink>
    </w:p>
    <w:p w14:paraId="7E085F38" w14:textId="0BBBAA80" w:rsidR="00724E8A" w:rsidRPr="00A70F76" w:rsidRDefault="00F973A5" w:rsidP="00E933B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hyperlink r:id="rId14" w:history="1">
        <w:r w:rsidR="00724E8A" w:rsidRPr="00724E8A">
          <w:rPr>
            <w:rStyle w:val="Hyperlink"/>
            <w:rFonts w:asciiTheme="minorHAnsi" w:hAnsiTheme="minorHAnsi" w:cstheme="minorHAnsi"/>
          </w:rPr>
          <w:t xml:space="preserve">USDA </w:t>
        </w:r>
        <w:r w:rsidR="0077450F">
          <w:rPr>
            <w:rStyle w:val="Hyperlink"/>
            <w:rFonts w:asciiTheme="minorHAnsi" w:hAnsiTheme="minorHAnsi" w:cstheme="minorHAnsi"/>
          </w:rPr>
          <w:t xml:space="preserve">Fluid </w:t>
        </w:r>
        <w:r w:rsidR="00724E8A" w:rsidRPr="00724E8A">
          <w:rPr>
            <w:rStyle w:val="Hyperlink"/>
            <w:rFonts w:asciiTheme="minorHAnsi" w:hAnsiTheme="minorHAnsi" w:cstheme="minorHAnsi"/>
          </w:rPr>
          <w:t>Milk Tip Sheet</w:t>
        </w:r>
      </w:hyperlink>
    </w:p>
    <w:p w14:paraId="44CE210B" w14:textId="32D67305" w:rsidR="00724E8A" w:rsidRPr="00514837" w:rsidRDefault="00724E8A" w:rsidP="00A70F76">
      <w:pPr>
        <w:pStyle w:val="ListParagraph"/>
        <w:rPr>
          <w:rFonts w:asciiTheme="minorHAnsi" w:hAnsiTheme="minorHAnsi" w:cstheme="minorHAnsi"/>
        </w:rPr>
      </w:pPr>
    </w:p>
    <w:p w14:paraId="33112536" w14:textId="77777777" w:rsidR="00E933BA" w:rsidRPr="00371ED7" w:rsidRDefault="00910723" w:rsidP="00E933BA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371ED7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Regulatory </w:t>
      </w:r>
      <w:r w:rsidR="005B6A53" w:rsidRPr="00371ED7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Reference: </w:t>
      </w:r>
    </w:p>
    <w:p w14:paraId="24EC91D6" w14:textId="08533707" w:rsidR="00910723" w:rsidRDefault="00F973A5" w:rsidP="00A70F7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hyperlink r:id="rId15" w:anchor="210.10" w:history="1">
        <w:r w:rsidR="00A70F76" w:rsidRPr="00A70F76">
          <w:rPr>
            <w:rStyle w:val="Hyperlink"/>
            <w:rFonts w:asciiTheme="minorHAnsi" w:hAnsiTheme="minorHAnsi" w:cstheme="minorHAnsi"/>
          </w:rPr>
          <w:t>7 CFR 210.10</w:t>
        </w:r>
      </w:hyperlink>
    </w:p>
    <w:p w14:paraId="7B72B3D3" w14:textId="1D9FD784" w:rsidR="00A70F76" w:rsidRDefault="00F973A5" w:rsidP="00A70F7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hyperlink r:id="rId16" w:history="1">
        <w:r w:rsidR="00A70F76" w:rsidRPr="00A70F76">
          <w:rPr>
            <w:rStyle w:val="Hyperlink"/>
            <w:rFonts w:asciiTheme="minorHAnsi" w:hAnsiTheme="minorHAnsi" w:cstheme="minorHAnsi"/>
          </w:rPr>
          <w:t>SP 07-2</w:t>
        </w:r>
        <w:r w:rsidR="00541BF8">
          <w:rPr>
            <w:rStyle w:val="Hyperlink"/>
            <w:rFonts w:asciiTheme="minorHAnsi" w:hAnsiTheme="minorHAnsi" w:cstheme="minorHAnsi"/>
          </w:rPr>
          <w:t>0</w:t>
        </w:r>
        <w:r w:rsidR="00A70F76" w:rsidRPr="00A70F76">
          <w:rPr>
            <w:rStyle w:val="Hyperlink"/>
            <w:rFonts w:asciiTheme="minorHAnsi" w:hAnsiTheme="minorHAnsi" w:cstheme="minorHAnsi"/>
          </w:rPr>
          <w:t>10 Q &amp; As; Milk Substitution for Children with Medical or Special Dietary Needs (Non-Disability)</w:t>
        </w:r>
      </w:hyperlink>
    </w:p>
    <w:p w14:paraId="513BFF4A" w14:textId="77777777" w:rsidR="00A70F76" w:rsidRPr="00A70F76" w:rsidRDefault="00A70F76" w:rsidP="00A70F76">
      <w:pPr>
        <w:pStyle w:val="ListParagraph"/>
        <w:rPr>
          <w:rFonts w:asciiTheme="minorHAnsi" w:hAnsiTheme="minorHAnsi" w:cstheme="minorHAnsi"/>
        </w:rPr>
      </w:pPr>
    </w:p>
    <w:p w14:paraId="22A37AD6" w14:textId="072E889B" w:rsidR="006A639E" w:rsidRPr="004C2009" w:rsidRDefault="00F973A5" w:rsidP="00A46EDE">
      <w:pPr>
        <w:rPr>
          <w:rFonts w:ascii="Calibri" w:hAnsi="Calibri" w:cs="Calibri"/>
          <w:szCs w:val="24"/>
        </w:rPr>
      </w:pPr>
      <w:r w:rsidRPr="006A639E">
        <w:rPr>
          <w:rFonts w:ascii="Calibri" w:hAnsi="Calibri" w:cs="Calibri"/>
          <w:i/>
          <w:noProof/>
          <w:color w:val="1B75BC" w:themeColor="accent1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68DE13D" wp14:editId="1AC6AAE3">
                <wp:simplePos x="0" y="0"/>
                <wp:positionH relativeFrom="margin">
                  <wp:align>left</wp:align>
                </wp:positionH>
                <wp:positionV relativeFrom="paragraph">
                  <wp:posOffset>379730</wp:posOffset>
                </wp:positionV>
                <wp:extent cx="5961380" cy="1404620"/>
                <wp:effectExtent l="0" t="0" r="2032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241B" w14:textId="77777777" w:rsidR="00A46EDE" w:rsidRPr="006A639E" w:rsidRDefault="00A46EDE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639E">
                              <w:rPr>
                                <w:rFonts w:asciiTheme="minorHAnsi" w:hAnsiTheme="minorHAnsi" w:cstheme="minorHAnsi"/>
                                <w:b/>
                              </w:rPr>
                              <w:t>Acronym Reference</w:t>
                            </w: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C2009">
                              <w:rPr>
                                <w:rFonts w:asciiTheme="minorHAnsi" w:hAnsiTheme="minorHAnsi" w:cstheme="minorHAnsi"/>
                                <w:b/>
                              </w:rPr>
                              <w:t>and Definitions</w:t>
                            </w:r>
                          </w:p>
                          <w:p w14:paraId="02DFF18F" w14:textId="68737236" w:rsidR="00A46EDE" w:rsidRDefault="00CA7877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-CFR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Code of Federal Regulation</w:t>
                            </w:r>
                          </w:p>
                          <w:p w14:paraId="6E247205" w14:textId="450C061F" w:rsidR="00A46EDE" w:rsidRDefault="00A46EDE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>-ODE CNP</w:t>
                            </w: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Oregon Department Education Child Nutrition Program </w:t>
                            </w:r>
                          </w:p>
                          <w:p w14:paraId="7953AC59" w14:textId="01607C00" w:rsidR="00D205B6" w:rsidRDefault="00D205B6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-SFA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School Food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DE13D" id="Text Box 2" o:spid="_x0000_s1027" type="#_x0000_t202" style="position:absolute;margin-left:0;margin-top:29.9pt;width:469.4pt;height:110.6pt;z-index:2516669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" fillcolor="#d8d8d8 [2732]" strokecolor="white [3212]">
                <v:textbox style="mso-fit-shape-to-text:t">
                  <w:txbxContent>
                    <w:p w14:paraId="3172241B" w14:textId="77777777" w:rsidR="00A46EDE" w:rsidRPr="006A639E" w:rsidRDefault="00A46EDE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639E">
                        <w:rPr>
                          <w:rFonts w:asciiTheme="minorHAnsi" w:hAnsiTheme="minorHAnsi" w:cstheme="minorHAnsi"/>
                          <w:b/>
                        </w:rPr>
                        <w:t>Acronym Reference</w:t>
                      </w:r>
                      <w:r w:rsidRPr="006A639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C2009">
                        <w:rPr>
                          <w:rFonts w:asciiTheme="minorHAnsi" w:hAnsiTheme="minorHAnsi" w:cstheme="minorHAnsi"/>
                          <w:b/>
                        </w:rPr>
                        <w:t>and Definitions</w:t>
                      </w:r>
                    </w:p>
                    <w:p w14:paraId="02DFF18F" w14:textId="68737236" w:rsidR="00A46EDE" w:rsidRDefault="00CA7877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-CFR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Code of Federal Regulation</w:t>
                      </w:r>
                    </w:p>
                    <w:p w14:paraId="6E247205" w14:textId="450C061F" w:rsidR="00A46EDE" w:rsidRDefault="00A46EDE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639E">
                        <w:rPr>
                          <w:rFonts w:asciiTheme="minorHAnsi" w:hAnsiTheme="minorHAnsi" w:cstheme="minorHAnsi"/>
                        </w:rPr>
                        <w:t>-ODE CNP</w:t>
                      </w:r>
                      <w:r w:rsidRPr="006A639E">
                        <w:rPr>
                          <w:rFonts w:asciiTheme="minorHAnsi" w:hAnsiTheme="minorHAnsi" w:cstheme="minorHAnsi"/>
                        </w:rPr>
                        <w:tab/>
                        <w:t xml:space="preserve">Oregon Department Education Child Nutrition Program </w:t>
                      </w:r>
                    </w:p>
                    <w:p w14:paraId="7953AC59" w14:textId="01607C00" w:rsidR="00D205B6" w:rsidRDefault="00D205B6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-SFA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School Food Authority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39E" w:rsidRPr="004C2009">
        <w:rPr>
          <w:rFonts w:ascii="Calibri" w:hAnsi="Calibri" w:cs="Calibri"/>
          <w:szCs w:val="24"/>
        </w:rPr>
        <w:t>This institution is an equal opportunity provider.</w:t>
      </w:r>
    </w:p>
    <w:p w14:paraId="74AC3124" w14:textId="36A586BB" w:rsidR="00A46EDE" w:rsidRDefault="00A46EDE" w:rsidP="00A46EDE">
      <w:pPr>
        <w:rPr>
          <w:rFonts w:ascii="Calibri" w:hAnsi="Calibri" w:cs="Calibri"/>
          <w:color w:val="9F2065" w:themeColor="accent2"/>
          <w:szCs w:val="24"/>
        </w:rPr>
      </w:pPr>
    </w:p>
    <w:p w14:paraId="6177F05F" w14:textId="77846115" w:rsidR="00F973A5" w:rsidRDefault="00F973A5" w:rsidP="00F973A5">
      <w:pPr>
        <w:pStyle w:val="Heading1"/>
        <w:spacing w:before="0"/>
        <w:jc w:val="center"/>
      </w:pPr>
      <w:r>
        <w:rPr>
          <w:sz w:val="20"/>
        </w:rPr>
        <w:t>The Washington Office of Superintendent of Public Instruction created this document. The Oregon Department of Education modified the document to apply to Oregon.</w:t>
      </w:r>
    </w:p>
    <w:p w14:paraId="0CE62446" w14:textId="2CAE657F" w:rsidR="00A46EDE" w:rsidRPr="006A639E" w:rsidRDefault="00A46EDE" w:rsidP="00A46EDE">
      <w:pPr>
        <w:rPr>
          <w:rFonts w:ascii="Calibri" w:hAnsi="Calibri" w:cs="Calibri"/>
          <w:color w:val="9F2065" w:themeColor="accent2"/>
          <w:szCs w:val="24"/>
        </w:rPr>
      </w:pPr>
      <w:bookmarkStart w:id="0" w:name="_GoBack"/>
      <w:bookmarkEnd w:id="0"/>
    </w:p>
    <w:sectPr w:rsidR="00A46EDE" w:rsidRPr="006A639E" w:rsidSect="0026187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53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8BD89" w14:textId="77777777" w:rsidR="00E74910" w:rsidRDefault="00E74910" w:rsidP="006B7F2B">
      <w:r>
        <w:separator/>
      </w:r>
    </w:p>
  </w:endnote>
  <w:endnote w:type="continuationSeparator" w:id="0">
    <w:p w14:paraId="439EA5AC" w14:textId="77777777" w:rsidR="00E74910" w:rsidRDefault="00E74910" w:rsidP="006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91B7" w14:textId="77777777" w:rsidR="00DD14B6" w:rsidRDefault="00DD1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3CC9" w14:textId="6C6192D9" w:rsidR="006A639E" w:rsidRPr="006A639E" w:rsidRDefault="006A639E" w:rsidP="006A639E">
    <w:pPr>
      <w:rPr>
        <w:rFonts w:ascii="Calibri" w:hAnsi="Calibri" w:cs="Calibri"/>
        <w:i/>
        <w:color w:val="1B75BC" w:themeColor="accent1"/>
        <w:szCs w:val="24"/>
      </w:rPr>
    </w:pPr>
    <w:r w:rsidRPr="006A639E">
      <w:rPr>
        <w:rFonts w:ascii="Calibri" w:hAnsi="Calibri" w:cs="Calibri"/>
        <w:i/>
        <w:color w:val="1B75BC" w:themeColor="accent1"/>
        <w:szCs w:val="24"/>
      </w:rPr>
      <w:t xml:space="preserve">Oregon Department of Education Child Nutrition Programs </w:t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</w:r>
    <w:r w:rsidR="00DF513B">
      <w:rPr>
        <w:rFonts w:ascii="Calibri" w:hAnsi="Calibri" w:cs="Calibri"/>
        <w:i/>
        <w:color w:val="1B75BC" w:themeColor="accent1"/>
        <w:szCs w:val="24"/>
      </w:rPr>
      <w:t>February 2023</w:t>
    </w:r>
  </w:p>
  <w:p w14:paraId="111EAC83" w14:textId="77777777" w:rsidR="006A639E" w:rsidRDefault="006A6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A413D" w14:textId="77777777" w:rsidR="00DD14B6" w:rsidRDefault="00DD1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A6A0" w14:textId="77777777" w:rsidR="00E74910" w:rsidRDefault="00E74910" w:rsidP="006B7F2B">
      <w:r>
        <w:separator/>
      </w:r>
    </w:p>
  </w:footnote>
  <w:footnote w:type="continuationSeparator" w:id="0">
    <w:p w14:paraId="3FEB6694" w14:textId="77777777" w:rsidR="00E74910" w:rsidRDefault="00E74910" w:rsidP="006B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A049" w14:textId="77777777" w:rsidR="00DD14B6" w:rsidRDefault="00DD1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557B" w14:textId="58F6849D" w:rsidR="006B7F2B" w:rsidRPr="00EC5D23" w:rsidRDefault="001F091D" w:rsidP="00EC5D23">
    <w:pPr>
      <w:pStyle w:val="Header"/>
      <w:rPr>
        <w:rStyle w:val="IntenseEmphasis"/>
      </w:rPr>
    </w:pPr>
    <w:r>
      <w:rPr>
        <w:rStyle w:val="IntenseEmphasis"/>
      </w:rPr>
      <w:t>Milk/Milk Substitutes</w:t>
    </w:r>
    <w:r w:rsidR="006A639E">
      <w:rPr>
        <w:rStyle w:val="IntenseEmphasis"/>
      </w:rPr>
      <w:tab/>
    </w:r>
    <w:r w:rsidR="006A639E">
      <w:rPr>
        <w:rStyle w:val="IntenseEmphasis"/>
      </w:rPr>
      <w:tab/>
    </w:r>
    <w:r w:rsidR="006B7F2B" w:rsidRPr="00EC5D23">
      <w:rPr>
        <w:rStyle w:val="IntenseEmphasis"/>
      </w:rPr>
      <w:t>School Nutrition Program At-A-Glance</w:t>
    </w:r>
  </w:p>
  <w:p w14:paraId="185D009D" w14:textId="77777777" w:rsidR="006B7F2B" w:rsidRPr="006B7F2B" w:rsidRDefault="00EC5D23" w:rsidP="006B7F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B0F88" wp14:editId="1F4FAF72">
              <wp:simplePos x="0" y="0"/>
              <wp:positionH relativeFrom="column">
                <wp:posOffset>-95416</wp:posOffset>
              </wp:positionH>
              <wp:positionV relativeFrom="paragraph">
                <wp:posOffset>59221</wp:posOffset>
              </wp:positionV>
              <wp:extent cx="6057900" cy="0"/>
              <wp:effectExtent l="0" t="0" r="19050" b="19050"/>
              <wp:wrapNone/>
              <wp:docPr id="6" name="Straight Connector 6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A9B32" id="Straight Connector 6" o:spid="_x0000_s1026" alt="Title: Straight Line - Description: Decorative Straight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" strokecolor="#1b75bc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1B25" w14:textId="77777777" w:rsidR="00EC5D23" w:rsidRPr="006B7F2B" w:rsidRDefault="00EC5D23" w:rsidP="00EC5D23">
    <w:pPr>
      <w:pStyle w:val="Header"/>
      <w:jc w:val="center"/>
      <w:rPr>
        <w:rStyle w:val="TitleChar"/>
      </w:rPr>
    </w:pPr>
    <w:r w:rsidRPr="006B7F2B">
      <w:rPr>
        <w:rStyle w:val="TitleChar"/>
        <w:noProof/>
      </w:rPr>
      <w:drawing>
        <wp:anchor distT="0" distB="0" distL="114300" distR="114300" simplePos="0" relativeHeight="251662336" behindDoc="1" locked="0" layoutInCell="1" allowOverlap="1" wp14:anchorId="4F0A767D" wp14:editId="5F707D96">
          <wp:simplePos x="0" y="0"/>
          <wp:positionH relativeFrom="column">
            <wp:posOffset>-898525</wp:posOffset>
          </wp:positionH>
          <wp:positionV relativeFrom="paragraph">
            <wp:posOffset>-457200</wp:posOffset>
          </wp:positionV>
          <wp:extent cx="1033145" cy="1042670"/>
          <wp:effectExtent l="0" t="0" r="0" b="5080"/>
          <wp:wrapSquare wrapText="bothSides"/>
          <wp:docPr id="29" name="Picture 29" descr="Graduation cap Oregon Department of Education 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ODE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F2B">
      <w:rPr>
        <w:rStyle w:val="TitleChar"/>
      </w:rPr>
      <w:t>School Nutrition Program At-A-Glance</w:t>
    </w:r>
  </w:p>
  <w:p w14:paraId="17052200" w14:textId="77777777" w:rsidR="00EC5D23" w:rsidRDefault="00EC5D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EDE12" wp14:editId="78EA5F08">
              <wp:simplePos x="0" y="0"/>
              <wp:positionH relativeFrom="column">
                <wp:posOffset>39756</wp:posOffset>
              </wp:positionH>
              <wp:positionV relativeFrom="paragraph">
                <wp:posOffset>70568</wp:posOffset>
              </wp:positionV>
              <wp:extent cx="5876013" cy="0"/>
              <wp:effectExtent l="0" t="0" r="29845" b="19050"/>
              <wp:wrapNone/>
              <wp:docPr id="8" name="Straight Connector 8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0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5EF93" id="Straight Connector 8" o:spid="_x0000_s1026" alt="Title: Straight Line - Description: Decorative straight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55pt" to="465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" strokecolor="#1b75bc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E159D"/>
    <w:multiLevelType w:val="hybridMultilevel"/>
    <w:tmpl w:val="B49C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19C7"/>
    <w:multiLevelType w:val="hybridMultilevel"/>
    <w:tmpl w:val="57CA69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63450"/>
    <w:multiLevelType w:val="hybridMultilevel"/>
    <w:tmpl w:val="3788C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02D"/>
    <w:multiLevelType w:val="multilevel"/>
    <w:tmpl w:val="96B8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1331A"/>
    <w:multiLevelType w:val="hybridMultilevel"/>
    <w:tmpl w:val="335CD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840BD"/>
    <w:multiLevelType w:val="hybridMultilevel"/>
    <w:tmpl w:val="9E04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43672"/>
    <w:multiLevelType w:val="hybridMultilevel"/>
    <w:tmpl w:val="E5D26C32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18435B1"/>
    <w:multiLevelType w:val="hybridMultilevel"/>
    <w:tmpl w:val="A9E2D22E"/>
    <w:lvl w:ilvl="0" w:tplc="B9C41E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B75BC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A0759"/>
    <w:multiLevelType w:val="hybridMultilevel"/>
    <w:tmpl w:val="4EF0BC5E"/>
    <w:lvl w:ilvl="0" w:tplc="CFE41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F4203"/>
    <w:multiLevelType w:val="hybridMultilevel"/>
    <w:tmpl w:val="667647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E797E"/>
    <w:multiLevelType w:val="hybridMultilevel"/>
    <w:tmpl w:val="34421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330C7"/>
    <w:multiLevelType w:val="multilevel"/>
    <w:tmpl w:val="FAA6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2B"/>
    <w:rsid w:val="0009345E"/>
    <w:rsid w:val="000A511D"/>
    <w:rsid w:val="000C14A2"/>
    <w:rsid w:val="000D36B7"/>
    <w:rsid w:val="000E7BC7"/>
    <w:rsid w:val="00107F87"/>
    <w:rsid w:val="001411A0"/>
    <w:rsid w:val="0016287F"/>
    <w:rsid w:val="001A59E4"/>
    <w:rsid w:val="001F091D"/>
    <w:rsid w:val="0022037B"/>
    <w:rsid w:val="00223DAF"/>
    <w:rsid w:val="0026187E"/>
    <w:rsid w:val="002631CE"/>
    <w:rsid w:val="00264B3A"/>
    <w:rsid w:val="00295954"/>
    <w:rsid w:val="002B7707"/>
    <w:rsid w:val="002C4509"/>
    <w:rsid w:val="002D37BB"/>
    <w:rsid w:val="002F1535"/>
    <w:rsid w:val="00346621"/>
    <w:rsid w:val="00353198"/>
    <w:rsid w:val="00371ED7"/>
    <w:rsid w:val="003A5E26"/>
    <w:rsid w:val="003F6983"/>
    <w:rsid w:val="004024D8"/>
    <w:rsid w:val="004159AA"/>
    <w:rsid w:val="00465BAE"/>
    <w:rsid w:val="004B38C1"/>
    <w:rsid w:val="004C2009"/>
    <w:rsid w:val="004E382F"/>
    <w:rsid w:val="005110C4"/>
    <w:rsid w:val="00514837"/>
    <w:rsid w:val="00541BF8"/>
    <w:rsid w:val="00575212"/>
    <w:rsid w:val="005777D5"/>
    <w:rsid w:val="00585198"/>
    <w:rsid w:val="005A4765"/>
    <w:rsid w:val="005B6A53"/>
    <w:rsid w:val="005D0AC3"/>
    <w:rsid w:val="006227BD"/>
    <w:rsid w:val="00626E5E"/>
    <w:rsid w:val="00667704"/>
    <w:rsid w:val="006938C7"/>
    <w:rsid w:val="006A639E"/>
    <w:rsid w:val="006B7F2B"/>
    <w:rsid w:val="00712E0C"/>
    <w:rsid w:val="00722519"/>
    <w:rsid w:val="00724E8A"/>
    <w:rsid w:val="0077450F"/>
    <w:rsid w:val="00823FC5"/>
    <w:rsid w:val="00871D17"/>
    <w:rsid w:val="00887B81"/>
    <w:rsid w:val="008A6E8B"/>
    <w:rsid w:val="00910723"/>
    <w:rsid w:val="009145DA"/>
    <w:rsid w:val="00937D5B"/>
    <w:rsid w:val="00A1287D"/>
    <w:rsid w:val="00A1301F"/>
    <w:rsid w:val="00A25CC9"/>
    <w:rsid w:val="00A46EDE"/>
    <w:rsid w:val="00A70F76"/>
    <w:rsid w:val="00AB351A"/>
    <w:rsid w:val="00AD1307"/>
    <w:rsid w:val="00B00F77"/>
    <w:rsid w:val="00B01343"/>
    <w:rsid w:val="00B3764B"/>
    <w:rsid w:val="00B56B6A"/>
    <w:rsid w:val="00B60464"/>
    <w:rsid w:val="00BD5DFA"/>
    <w:rsid w:val="00BD62B2"/>
    <w:rsid w:val="00BE71B7"/>
    <w:rsid w:val="00C26B6D"/>
    <w:rsid w:val="00C67510"/>
    <w:rsid w:val="00CA7877"/>
    <w:rsid w:val="00CB3A7E"/>
    <w:rsid w:val="00CB56F4"/>
    <w:rsid w:val="00D07E3F"/>
    <w:rsid w:val="00D13DED"/>
    <w:rsid w:val="00D205B6"/>
    <w:rsid w:val="00D30210"/>
    <w:rsid w:val="00D82900"/>
    <w:rsid w:val="00D839C1"/>
    <w:rsid w:val="00DA2896"/>
    <w:rsid w:val="00DD14B6"/>
    <w:rsid w:val="00DD212E"/>
    <w:rsid w:val="00DF513B"/>
    <w:rsid w:val="00E44F24"/>
    <w:rsid w:val="00E70EDF"/>
    <w:rsid w:val="00E73AC0"/>
    <w:rsid w:val="00E74910"/>
    <w:rsid w:val="00E933BA"/>
    <w:rsid w:val="00EA7EDA"/>
    <w:rsid w:val="00EC5D23"/>
    <w:rsid w:val="00F973A5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5D4074E"/>
  <w15:chartTrackingRefBased/>
  <w15:docId w15:val="{2ABF5A31-32D6-4DEB-B732-CE59F905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7E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B7F2B"/>
    <w:pPr>
      <w:contextualSpacing/>
      <w:jc w:val="center"/>
    </w:pPr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2B"/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2B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2B"/>
    <w:rPr>
      <w:rFonts w:ascii="Arial" w:hAnsi="Arial"/>
      <w:sz w:val="24"/>
      <w:szCs w:val="20"/>
    </w:rPr>
  </w:style>
  <w:style w:type="paragraph" w:styleId="NoSpacing">
    <w:name w:val="No Spacing"/>
    <w:link w:val="NoSpacingChar"/>
    <w:uiPriority w:val="1"/>
    <w:qFormat/>
    <w:rsid w:val="005777D5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77D5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rsid w:val="00577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777D5"/>
    <w:rPr>
      <w:color w:val="0000FF"/>
      <w:u w:val="single"/>
    </w:rPr>
  </w:style>
  <w:style w:type="paragraph" w:customStyle="1" w:styleId="text-align-center">
    <w:name w:val="text-align-center"/>
    <w:basedOn w:val="Normal"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777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C5D23"/>
    <w:rPr>
      <w:i/>
      <w:iCs/>
      <w:color w:val="1B75BC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4837"/>
    <w:rPr>
      <w:color w:val="21AAE8" w:themeColor="followedHyperlink"/>
      <w:u w:val="single"/>
    </w:rPr>
  </w:style>
  <w:style w:type="table" w:styleId="TableGrid">
    <w:name w:val="Table Grid"/>
    <w:basedOn w:val="TableNormal"/>
    <w:uiPriority w:val="59"/>
    <w:rsid w:val="0057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childnutrition/Pages/MealAccommodationsandModifications.aspx" TargetMode="External"/><Relationship Id="rId13" Type="http://schemas.openxmlformats.org/officeDocument/2006/relationships/hyperlink" Target="https://www.youtube.com/watch?v=oYz4AcndelM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oregon.gov/ode/students-and-family/childnutrition/Pages/MealAccommodationsandModifications.aspx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fns.usda.gov/cn/qas-milk-substitution-children-medical-or-special-dietary-need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de/students-and-family/childnutrition/Documents/Meal%20Preference%20Request%20Form_Final_ENG_print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cfr.gov/current/title-7/subtitle-B/chapter-II/subchapter-A/part-2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regon.gov/ode/students-and-family/childnutrition/Pages/MealAccommodationsandModifications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tudents-and-family/childnutrition/Documents/Meal%20Preference%20Request%20Form_Final_ENG_print.pdf" TargetMode="External"/><Relationship Id="rId14" Type="http://schemas.openxmlformats.org/officeDocument/2006/relationships/hyperlink" Target="https://fns-prod.azureedge.us/sites/default/files/resource-files/Milk_TipSheet.pdf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2023-03-30T15:34:22+00:00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EDB023-8CC2-4C20-BCFA-C758BC9E0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2629A-2262-4264-947C-04132C0E8854}"/>
</file>

<file path=customXml/itemProps3.xml><?xml version="1.0" encoding="utf-8"?>
<ds:datastoreItem xmlns:ds="http://schemas.openxmlformats.org/officeDocument/2006/customXml" ds:itemID="{71C29691-BB37-46AF-91B3-0A5D105E7194}"/>
</file>

<file path=customXml/itemProps4.xml><?xml version="1.0" encoding="utf-8"?>
<ds:datastoreItem xmlns:ds="http://schemas.openxmlformats.org/officeDocument/2006/customXml" ds:itemID="{0088053A-F368-4609-85C0-94E0FDB94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SCOTT Tamara L * ODE</cp:lastModifiedBy>
  <cp:revision>23</cp:revision>
  <dcterms:created xsi:type="dcterms:W3CDTF">2022-01-07T18:40:00Z</dcterms:created>
  <dcterms:modified xsi:type="dcterms:W3CDTF">2023-03-28T21:31:00Z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