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3CDE" w14:textId="52E1D96D" w:rsidR="00B00F77" w:rsidRDefault="00D13DED" w:rsidP="006B7F2B">
      <w:pPr>
        <w:pStyle w:val="Heading1"/>
      </w:pPr>
      <w:r>
        <w:t xml:space="preserve">Topic: </w:t>
      </w:r>
      <w:r w:rsidR="000560C9">
        <w:t>Paid Lunch Equity</w:t>
      </w:r>
      <w:r w:rsidR="0040157E">
        <w:t xml:space="preserve"> (PLE)</w:t>
      </w:r>
    </w:p>
    <w:p w14:paraId="21480457" w14:textId="77777777" w:rsidR="006B7F2B" w:rsidRPr="0026187E" w:rsidRDefault="006B7F2B" w:rsidP="006B7F2B">
      <w:pPr>
        <w:rPr>
          <w:sz w:val="20"/>
        </w:rPr>
      </w:pPr>
    </w:p>
    <w:p w14:paraId="62DB4276" w14:textId="5E57AD94" w:rsidR="00D13DED" w:rsidRPr="004C2009" w:rsidRDefault="00D13DED" w:rsidP="006B7F2B">
      <w:pPr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</w:pPr>
      <w:r w:rsidRPr="004C2009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Overv</w:t>
      </w:r>
      <w:r w:rsidR="001411A0" w:rsidRPr="004C2009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iew</w:t>
      </w:r>
      <w:r w:rsidR="00DA5B43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:</w:t>
      </w:r>
    </w:p>
    <w:p w14:paraId="1091A64D" w14:textId="4F81B537" w:rsidR="006B7F2B" w:rsidRDefault="00B11A14" w:rsidP="006B7F2B">
      <w:pPr>
        <w:rPr>
          <w:rFonts w:asciiTheme="minorHAnsi" w:hAnsiTheme="minorHAnsi"/>
        </w:rPr>
      </w:pPr>
      <w:r>
        <w:rPr>
          <w:rFonts w:asciiTheme="minorHAnsi" w:hAnsiTheme="minorHAnsi"/>
        </w:rPr>
        <w:t>School Food Authorities (SFA</w:t>
      </w:r>
      <w:r w:rsidR="000560C9">
        <w:rPr>
          <w:rFonts w:asciiTheme="minorHAnsi" w:hAnsiTheme="minorHAnsi"/>
        </w:rPr>
        <w:t>s</w:t>
      </w:r>
      <w:r>
        <w:rPr>
          <w:rFonts w:asciiTheme="minorHAnsi" w:hAnsiTheme="minorHAnsi"/>
        </w:rPr>
        <w:t>)</w:t>
      </w:r>
      <w:r w:rsidR="000560C9">
        <w:rPr>
          <w:rFonts w:asciiTheme="minorHAnsi" w:hAnsiTheme="minorHAnsi"/>
        </w:rPr>
        <w:t xml:space="preserve"> participating in the NSLP must ensure sufficient funds are provided to the nonprofit school food service account for meals served to student</w:t>
      </w:r>
      <w:r w:rsidR="00302498">
        <w:rPr>
          <w:rFonts w:asciiTheme="minorHAnsi" w:hAnsiTheme="minorHAnsi"/>
        </w:rPr>
        <w:t>s</w:t>
      </w:r>
      <w:r w:rsidR="000560C9">
        <w:rPr>
          <w:rFonts w:asciiTheme="minorHAnsi" w:hAnsiTheme="minorHAnsi"/>
        </w:rPr>
        <w:t xml:space="preserve"> no</w:t>
      </w:r>
      <w:r w:rsidR="00302498">
        <w:rPr>
          <w:rFonts w:asciiTheme="minorHAnsi" w:hAnsiTheme="minorHAnsi"/>
        </w:rPr>
        <w:t>t</w:t>
      </w:r>
      <w:r w:rsidR="000560C9">
        <w:rPr>
          <w:rFonts w:asciiTheme="minorHAnsi" w:hAnsiTheme="minorHAnsi"/>
        </w:rPr>
        <w:t xml:space="preserve"> eligible for free or reduced-price meals. This requirement may be met through the prices charged for ‘paid’ meals or through other non</w:t>
      </w:r>
      <w:r w:rsidR="00302498">
        <w:rPr>
          <w:rFonts w:asciiTheme="minorHAnsi" w:hAnsiTheme="minorHAnsi"/>
        </w:rPr>
        <w:t>-</w:t>
      </w:r>
      <w:r w:rsidR="000560C9">
        <w:rPr>
          <w:rFonts w:asciiTheme="minorHAnsi" w:hAnsiTheme="minorHAnsi"/>
        </w:rPr>
        <w:t>federal sources provided to the nonprofit school food service account.</w:t>
      </w:r>
    </w:p>
    <w:p w14:paraId="3EA58DFF" w14:textId="50D3C019" w:rsidR="0026187E" w:rsidRPr="0026187E" w:rsidRDefault="000560C9" w:rsidP="00E933BA">
      <w:pPr>
        <w:rPr>
          <w:i/>
        </w:rPr>
      </w:pPr>
      <w:r w:rsidRPr="00910723">
        <w:rPr>
          <w:rFonts w:asciiTheme="majorHAnsi" w:hAnsiTheme="majorHAnsi" w:cstheme="majorHAnsi"/>
          <w:b/>
          <w:noProof/>
          <w:color w:val="9F2065" w:themeColor="accent2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38176" wp14:editId="46E10715">
                <wp:simplePos x="0" y="0"/>
                <wp:positionH relativeFrom="margin">
                  <wp:align>right</wp:align>
                </wp:positionH>
                <wp:positionV relativeFrom="paragraph">
                  <wp:posOffset>77841</wp:posOffset>
                </wp:positionV>
                <wp:extent cx="5958205" cy="2570480"/>
                <wp:effectExtent l="0" t="0" r="4445" b="1270"/>
                <wp:wrapSquare wrapText="bothSides"/>
                <wp:docPr id="200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205" cy="2570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CB7E8" w14:textId="23813497" w:rsidR="005777D5" w:rsidRPr="005777D5" w:rsidRDefault="005777D5" w:rsidP="00D82900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 w:rsidRPr="005777D5">
                              <w:rPr>
                                <w:b/>
                              </w:rPr>
                              <w:t>Requirements</w:t>
                            </w:r>
                            <w:r w:rsidRPr="004C2009">
                              <w:rPr>
                                <w:b/>
                                <w:color w:val="14578C" w:themeColor="accent6" w:themeShade="BF"/>
                              </w:rPr>
                              <w:t>:</w:t>
                            </w:r>
                          </w:p>
                          <w:p w14:paraId="067498E8" w14:textId="03BFBA37" w:rsidR="00E44F24" w:rsidRPr="000560C9" w:rsidRDefault="00B11A14" w:rsidP="000560C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aps/>
                                <w:color w:val="1B75BC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SF</w:t>
                            </w:r>
                            <w:r w:rsidR="00E44F24">
                              <w:rPr>
                                <w:rFonts w:asciiTheme="minorHAnsi" w:hAnsiTheme="minorHAnsi" w:cstheme="minorHAnsi"/>
                              </w:rPr>
                              <w:t xml:space="preserve">As </w:t>
                            </w:r>
                            <w:r w:rsidR="000560C9">
                              <w:rPr>
                                <w:rFonts w:asciiTheme="minorHAnsi" w:hAnsiTheme="minorHAnsi" w:cstheme="minorHAnsi"/>
                              </w:rPr>
                              <w:t>must annually review paid lunch prices by completing the USDA Paid Lunch Equity tool</w:t>
                            </w:r>
                            <w:r w:rsidR="00E44F24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421AC09E" w14:textId="3EDC852C" w:rsidR="005777D5" w:rsidRPr="000560C9" w:rsidRDefault="000560C9" w:rsidP="00D8290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caps/>
                                <w:color w:val="1B75BC" w:themeColor="accen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When the average paid lunch price is less than the difference between the free and paid federal reimbursement rate, the </w:t>
                            </w:r>
                            <w:r w:rsidR="00B11A14">
                              <w:rPr>
                                <w:rFonts w:asciiTheme="minorHAnsi" w:hAnsiTheme="minorHAnsi" w:cstheme="minorHAnsi"/>
                              </w:rPr>
                              <w:t>SF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A must take action by:</w:t>
                            </w:r>
                          </w:p>
                          <w:p w14:paraId="734F63E2" w14:textId="3CAAED13" w:rsidR="000560C9" w:rsidRDefault="000560C9" w:rsidP="000560C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0560C9">
                              <w:rPr>
                                <w:rFonts w:asciiTheme="minorHAnsi" w:hAnsiTheme="minorHAnsi" w:cstheme="minorHAnsi"/>
                              </w:rPr>
                              <w:t>Increasing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the prices charged for paid lunch meals, or;</w:t>
                            </w:r>
                          </w:p>
                          <w:p w14:paraId="41652218" w14:textId="3E11D479" w:rsidR="000560C9" w:rsidRPr="004501B9" w:rsidRDefault="000560C9" w:rsidP="004501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Providing non-federal funding sources to the nonprofit school food service account.</w:t>
                            </w:r>
                            <w:r w:rsidR="004501B9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4501B9">
                              <w:rPr>
                                <w:rFonts w:asciiTheme="minorHAnsi" w:hAnsiTheme="minorHAnsi" w:cstheme="minorHAnsi"/>
                              </w:rPr>
                              <w:t>Non-federal sources may include:</w:t>
                            </w:r>
                          </w:p>
                          <w:p w14:paraId="4F621393" w14:textId="669ABD4D" w:rsidR="000560C9" w:rsidRDefault="000560C9" w:rsidP="004501B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Per-meal non-federal reimbursement for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any paid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meal</w:t>
                            </w:r>
                          </w:p>
                          <w:p w14:paraId="595D174D" w14:textId="3A852B9A" w:rsidR="000560C9" w:rsidRDefault="000560C9" w:rsidP="004501B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Any funds provided by organizations for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any paid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meal</w:t>
                            </w:r>
                          </w:p>
                          <w:p w14:paraId="21E68F42" w14:textId="131A93DE" w:rsidR="000560C9" w:rsidRDefault="000560C9" w:rsidP="004501B9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Any proportion attributable to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paid meals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from direct payments made from school district funds to support lunch service.</w:t>
                            </w:r>
                          </w:p>
                          <w:p w14:paraId="48072F04" w14:textId="77777777" w:rsidR="000560C9" w:rsidRPr="000560C9" w:rsidRDefault="000560C9" w:rsidP="000560C9">
                            <w:pPr>
                              <w:pStyle w:val="ListParagraph"/>
                              <w:ind w:left="180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75C3A0E" w14:textId="77777777" w:rsidR="00E933BA" w:rsidRPr="00E44F24" w:rsidRDefault="00E44F24" w:rsidP="00C83C2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aps/>
                                <w:color w:val="1B75BC" w:themeColor="accent1"/>
                                <w:sz w:val="26"/>
                                <w:szCs w:val="26"/>
                              </w:rPr>
                            </w:pPr>
                            <w:r w:rsidRPr="00E44F24">
                              <w:rPr>
                                <w:rFonts w:asciiTheme="minorHAnsi" w:hAnsiTheme="minorHAnsi" w:cstheme="minorHAnsi"/>
                              </w:rPr>
                              <w:t>LEAs must provide a copy of the food safety inspection reports to members of the public upon request</w:t>
                            </w:r>
                            <w:r w:rsidRPr="005D0AC3">
                              <w:rPr>
                                <w:rFonts w:asciiTheme="minorHAnsi" w:hAnsiTheme="minorHAnsi" w:cstheme="minorHAnsi"/>
                                <w:caps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38176" id="_x0000_t202" coordsize="21600,21600" o:spt="202" path="m,l,21600r21600,l21600,xe">
                <v:stroke joinstyle="miter"/>
                <v:path gradientshapeok="t" o:connecttype="rect"/>
              </v:shapetype>
              <v:shape id="Text Box 200" o:spid="_x0000_s1026" type="#_x0000_t202" style="position:absolute;margin-left:417.95pt;margin-top:6.15pt;width:469.15pt;height:202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" fillcolor="#d8d8d8 [2732]" stroked="f" strokeweight=".5pt">
                <v:textbox inset=",7.2pt,,0">
                  <w:txbxContent>
                    <w:p w14:paraId="524CB7E8" w14:textId="23813497" w:rsidR="005777D5" w:rsidRPr="005777D5" w:rsidRDefault="005777D5" w:rsidP="00D82900">
                      <w:pPr>
                        <w:pStyle w:val="Heading2"/>
                        <w:rPr>
                          <w:b/>
                        </w:rPr>
                      </w:pPr>
                      <w:r w:rsidRPr="005777D5">
                        <w:rPr>
                          <w:b/>
                        </w:rPr>
                        <w:t>Requirements</w:t>
                      </w:r>
                      <w:r w:rsidRPr="004C2009">
                        <w:rPr>
                          <w:b/>
                          <w:color w:val="14578C" w:themeColor="accent6" w:themeShade="BF"/>
                        </w:rPr>
                        <w:t>:</w:t>
                      </w:r>
                    </w:p>
                    <w:p w14:paraId="067498E8" w14:textId="03BFBA37" w:rsidR="00E44F24" w:rsidRPr="000560C9" w:rsidRDefault="00B11A14" w:rsidP="000560C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aps/>
                          <w:color w:val="1B75BC" w:themeColor="accen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SF</w:t>
                      </w:r>
                      <w:r w:rsidR="00E44F24">
                        <w:rPr>
                          <w:rFonts w:asciiTheme="minorHAnsi" w:hAnsiTheme="minorHAnsi" w:cstheme="minorHAnsi"/>
                        </w:rPr>
                        <w:t xml:space="preserve">As </w:t>
                      </w:r>
                      <w:r w:rsidR="000560C9">
                        <w:rPr>
                          <w:rFonts w:asciiTheme="minorHAnsi" w:hAnsiTheme="minorHAnsi" w:cstheme="minorHAnsi"/>
                        </w:rPr>
                        <w:t>must annually review paid lunch prices by completing the USDA Paid Lunch Equity tool</w:t>
                      </w:r>
                      <w:r w:rsidR="00E44F24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421AC09E" w14:textId="3EDC852C" w:rsidR="005777D5" w:rsidRPr="000560C9" w:rsidRDefault="000560C9" w:rsidP="00D82900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caps/>
                          <w:color w:val="1B75BC" w:themeColor="accent1"/>
                          <w:sz w:val="26"/>
                          <w:szCs w:val="26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When the average paid lunch price is less than the difference between the free and paid federal reimbursement rate, the </w:t>
                      </w:r>
                      <w:r w:rsidR="00B11A14">
                        <w:rPr>
                          <w:rFonts w:asciiTheme="minorHAnsi" w:hAnsiTheme="minorHAnsi" w:cstheme="minorHAnsi"/>
                        </w:rPr>
                        <w:t>SF</w:t>
                      </w:r>
                      <w:r>
                        <w:rPr>
                          <w:rFonts w:asciiTheme="minorHAnsi" w:hAnsiTheme="minorHAnsi" w:cstheme="minorHAnsi"/>
                        </w:rPr>
                        <w:t>A must take action by:</w:t>
                      </w:r>
                    </w:p>
                    <w:p w14:paraId="734F63E2" w14:textId="3CAAED13" w:rsidR="000560C9" w:rsidRDefault="000560C9" w:rsidP="000560C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0560C9">
                        <w:rPr>
                          <w:rFonts w:asciiTheme="minorHAnsi" w:hAnsiTheme="minorHAnsi" w:cstheme="minorHAnsi"/>
                        </w:rPr>
                        <w:t>Increasing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the prices charged for paid lunch meals, or;</w:t>
                      </w:r>
                    </w:p>
                    <w:p w14:paraId="41652218" w14:textId="3E11D479" w:rsidR="000560C9" w:rsidRPr="004501B9" w:rsidRDefault="000560C9" w:rsidP="004501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Providing non-federal funding sources to the nonprofit school food service account.</w:t>
                      </w:r>
                      <w:r w:rsidR="004501B9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4501B9">
                        <w:rPr>
                          <w:rFonts w:asciiTheme="minorHAnsi" w:hAnsiTheme="minorHAnsi" w:cstheme="minorHAnsi"/>
                        </w:rPr>
                        <w:t>Non-federal sources may include:</w:t>
                      </w:r>
                    </w:p>
                    <w:p w14:paraId="4F621393" w14:textId="669ABD4D" w:rsidR="000560C9" w:rsidRDefault="000560C9" w:rsidP="004501B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Per-meal non-federal reimbursement for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any paid </w:t>
                      </w:r>
                      <w:r>
                        <w:rPr>
                          <w:rFonts w:asciiTheme="minorHAnsi" w:hAnsiTheme="minorHAnsi" w:cstheme="minorHAnsi"/>
                        </w:rPr>
                        <w:t>meal</w:t>
                      </w:r>
                    </w:p>
                    <w:p w14:paraId="595D174D" w14:textId="3A852B9A" w:rsidR="000560C9" w:rsidRDefault="000560C9" w:rsidP="004501B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Any funds provided by organizations for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any paid </w:t>
                      </w:r>
                      <w:r>
                        <w:rPr>
                          <w:rFonts w:asciiTheme="minorHAnsi" w:hAnsiTheme="minorHAnsi" w:cstheme="minorHAnsi"/>
                        </w:rPr>
                        <w:t>meal</w:t>
                      </w:r>
                    </w:p>
                    <w:p w14:paraId="21E68F42" w14:textId="131A93DE" w:rsidR="000560C9" w:rsidRDefault="000560C9" w:rsidP="004501B9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Any proportion attributable to 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>paid meals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from direct payments made from school district funds to support lunch service.</w:t>
                      </w:r>
                    </w:p>
                    <w:p w14:paraId="48072F04" w14:textId="77777777" w:rsidR="000560C9" w:rsidRPr="000560C9" w:rsidRDefault="000560C9" w:rsidP="000560C9">
                      <w:pPr>
                        <w:pStyle w:val="ListParagraph"/>
                        <w:ind w:left="1800"/>
                        <w:rPr>
                          <w:rFonts w:asciiTheme="minorHAnsi" w:hAnsiTheme="minorHAnsi" w:cstheme="minorHAnsi"/>
                        </w:rPr>
                      </w:pPr>
                    </w:p>
                    <w:p w14:paraId="175C3A0E" w14:textId="77777777" w:rsidR="00E933BA" w:rsidRPr="00E44F24" w:rsidRDefault="00E44F24" w:rsidP="00C83C2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aps/>
                          <w:color w:val="1B75BC" w:themeColor="accent1"/>
                          <w:sz w:val="26"/>
                          <w:szCs w:val="26"/>
                        </w:rPr>
                      </w:pPr>
                      <w:r w:rsidRPr="00E44F24">
                        <w:rPr>
                          <w:rFonts w:asciiTheme="minorHAnsi" w:hAnsiTheme="minorHAnsi" w:cstheme="minorHAnsi"/>
                        </w:rPr>
                        <w:t>LEAs must provide a copy of the food safety inspection reports to members of the public upon request</w:t>
                      </w:r>
                      <w:r w:rsidRPr="005D0AC3">
                        <w:rPr>
                          <w:rFonts w:asciiTheme="minorHAnsi" w:hAnsiTheme="minorHAnsi" w:cstheme="minorHAnsi"/>
                          <w:caps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45480D" w14:textId="2A6E0724" w:rsidR="005B6A53" w:rsidRPr="00302498" w:rsidRDefault="0024254C" w:rsidP="005B6A53">
      <w:pPr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</w:pPr>
      <w:r w:rsidRPr="00302498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Steps to completing the P</w:t>
      </w:r>
      <w:r w:rsidR="0040157E" w:rsidRPr="00302498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aid Lunch Equity tool:</w:t>
      </w:r>
    </w:p>
    <w:p w14:paraId="0D740995" w14:textId="09331D20" w:rsidR="00DA5B43" w:rsidRDefault="00F242F2" w:rsidP="0040157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Locate</w:t>
      </w:r>
      <w:r w:rsidR="00DA5B43">
        <w:rPr>
          <w:rFonts w:asciiTheme="minorHAnsi" w:hAnsiTheme="minorHAnsi" w:cstheme="minorHAnsi"/>
        </w:rPr>
        <w:t xml:space="preserve"> your last completed PLE tool.</w:t>
      </w:r>
    </w:p>
    <w:p w14:paraId="74D270BB" w14:textId="64AAF489" w:rsidR="0040157E" w:rsidRDefault="0040157E" w:rsidP="0040157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Gather the required data:</w:t>
      </w:r>
    </w:p>
    <w:p w14:paraId="2CEA0173" w14:textId="41336F9F" w:rsidR="00E44F24" w:rsidRDefault="0040157E" w:rsidP="0040157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weighted average price requirement from the previous year. Find this in your last years completed PLE tool, in the SYXXX-XX report tab.</w:t>
      </w:r>
    </w:p>
    <w:p w14:paraId="6D4DFCDA" w14:textId="5CBA26CD" w:rsidR="0040157E" w:rsidRDefault="0040157E" w:rsidP="0040157E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7B31E477" wp14:editId="29F94817">
            <wp:extent cx="4372585" cy="1143160"/>
            <wp:effectExtent l="0" t="0" r="0" b="0"/>
            <wp:docPr id="2" name="Picture 2" descr="Paid Lunch Equity picture of Section 1 Weighted Averabge Paid Price Requirements with 0.00 circled in r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8C8ED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585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F64A8" w14:textId="2972EB6A" w:rsidR="0040157E" w:rsidRDefault="0040157E" w:rsidP="0040157E">
      <w:pPr>
        <w:pStyle w:val="ListParagraph"/>
        <w:ind w:left="1440"/>
        <w:rPr>
          <w:rFonts w:asciiTheme="minorHAnsi" w:hAnsiTheme="minorHAnsi" w:cstheme="minorHAnsi"/>
        </w:rPr>
      </w:pPr>
    </w:p>
    <w:p w14:paraId="38BE07A4" w14:textId="0C9ECF00" w:rsidR="0040157E" w:rsidRDefault="0040157E" w:rsidP="0040157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plan to increase paid lunch prices you will need:</w:t>
      </w:r>
    </w:p>
    <w:p w14:paraId="4377D877" w14:textId="29F1D36D" w:rsidR="0040157E" w:rsidRDefault="0040157E" w:rsidP="0040157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paid lunch prices for October of the previous school year; and</w:t>
      </w:r>
    </w:p>
    <w:p w14:paraId="0E6A0FBA" w14:textId="78110200" w:rsidR="0040157E" w:rsidRDefault="0040157E" w:rsidP="0040157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Number of paid lunches served at each paid lunch price in October of the previous school year.</w:t>
      </w:r>
    </w:p>
    <w:p w14:paraId="3F86A7FF" w14:textId="1B86A835" w:rsidR="0040157E" w:rsidRDefault="0040157E" w:rsidP="0040157E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you plan to contribute non-federal funds, you will need:</w:t>
      </w:r>
    </w:p>
    <w:p w14:paraId="17EFA923" w14:textId="6FD0C165" w:rsidR="0040157E" w:rsidRDefault="0040157E" w:rsidP="0040157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total number of paid lunches served in the previous year; and</w:t>
      </w:r>
    </w:p>
    <w:p w14:paraId="369834E1" w14:textId="06A4DEED" w:rsidR="0040157E" w:rsidRDefault="0040157E" w:rsidP="0040157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total dollar amount of non-federal contributions from all of the previous school years.</w:t>
      </w:r>
    </w:p>
    <w:p w14:paraId="7E08D94D" w14:textId="70EB0284" w:rsidR="0040157E" w:rsidRDefault="0040157E" w:rsidP="0040157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Access the USDA PLE t</w:t>
      </w:r>
      <w:r w:rsidR="002379AF">
        <w:rPr>
          <w:rFonts w:asciiTheme="minorHAnsi" w:hAnsiTheme="minorHAnsi" w:cstheme="minorHAnsi"/>
        </w:rPr>
        <w:t>ool for the current school year</w:t>
      </w:r>
    </w:p>
    <w:p w14:paraId="0290BCF1" w14:textId="01172BDE" w:rsidR="0040157E" w:rsidRDefault="0040157E" w:rsidP="0040157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first tab of the tool includes detailed instructions on how to use the tool. Print these instructions to reference as you complete the tool.</w:t>
      </w:r>
    </w:p>
    <w:p w14:paraId="70FA8909" w14:textId="1F3A58C3" w:rsidR="002379AF" w:rsidRDefault="002379AF" w:rsidP="002379A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Complete the PLE tool</w:t>
      </w:r>
    </w:p>
    <w:p w14:paraId="24CE956E" w14:textId="77777777" w:rsidR="002379AF" w:rsidRDefault="002379AF" w:rsidP="002379A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Enter the information into orange cells only, all other cells are protected and auto populate as needed.</w:t>
      </w:r>
    </w:p>
    <w:p w14:paraId="24476186" w14:textId="04F16EC0" w:rsidR="002379AF" w:rsidRDefault="002379AF" w:rsidP="002379AF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Retain a copy of your completed PLE tool for use during subsequent years and review during Administrative Reviews.</w:t>
      </w:r>
    </w:p>
    <w:p w14:paraId="3D3279B7" w14:textId="76989169" w:rsidR="00E142CF" w:rsidRPr="00E142CF" w:rsidRDefault="00E142CF" w:rsidP="00E142CF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242F2">
        <w:rPr>
          <w:rFonts w:asciiTheme="minorHAnsi" w:hAnsiTheme="minorHAnsi" w:cstheme="minorHAnsi"/>
        </w:rPr>
        <w:t>If a funds transfer is needed, keep d</w:t>
      </w:r>
      <w:r>
        <w:rPr>
          <w:rFonts w:asciiTheme="minorHAnsi" w:hAnsiTheme="minorHAnsi" w:cstheme="minorHAnsi"/>
        </w:rPr>
        <w:t>ocument</w:t>
      </w:r>
      <w:r w:rsidR="00F242F2">
        <w:rPr>
          <w:rFonts w:asciiTheme="minorHAnsi" w:hAnsiTheme="minorHAnsi" w:cstheme="minorHAnsi"/>
        </w:rPr>
        <w:t>ation of any</w:t>
      </w:r>
      <w:r>
        <w:rPr>
          <w:rFonts w:asciiTheme="minorHAnsi" w:hAnsiTheme="minorHAnsi" w:cstheme="minorHAnsi"/>
        </w:rPr>
        <w:t xml:space="preserve"> internal transfer of funds from a general fund account to the Nutrition </w:t>
      </w:r>
      <w:r w:rsidR="00323F6B">
        <w:rPr>
          <w:rFonts w:asciiTheme="minorHAnsi" w:hAnsiTheme="minorHAnsi" w:cstheme="minorHAnsi"/>
        </w:rPr>
        <w:t>fund a</w:t>
      </w:r>
      <w:r>
        <w:rPr>
          <w:rFonts w:asciiTheme="minorHAnsi" w:hAnsiTheme="minorHAnsi" w:cstheme="minorHAnsi"/>
        </w:rPr>
        <w:t>ccount by</w:t>
      </w:r>
      <w:r w:rsidR="0092492E">
        <w:rPr>
          <w:rFonts w:asciiTheme="minorHAnsi" w:hAnsiTheme="minorHAnsi" w:cstheme="minorHAnsi"/>
        </w:rPr>
        <w:t xml:space="preserve"> specifically</w:t>
      </w:r>
      <w:r>
        <w:rPr>
          <w:rFonts w:asciiTheme="minorHAnsi" w:hAnsiTheme="minorHAnsi" w:cstheme="minorHAnsi"/>
        </w:rPr>
        <w:t xml:space="preserve"> identifying transfer of funds per PLE requirements, this document may be requested during on-site review.</w:t>
      </w:r>
    </w:p>
    <w:p w14:paraId="7786D5E9" w14:textId="0AC9422F" w:rsidR="00E142CF" w:rsidRDefault="00E142CF" w:rsidP="00E142CF">
      <w:pPr>
        <w:pStyle w:val="ListParagraph"/>
        <w:ind w:left="1440"/>
        <w:rPr>
          <w:rFonts w:asciiTheme="minorHAnsi" w:hAnsiTheme="minorHAnsi" w:cstheme="minorHAnsi"/>
        </w:rPr>
      </w:pPr>
    </w:p>
    <w:p w14:paraId="3E17EBEE" w14:textId="3E6B848D" w:rsidR="00E933BA" w:rsidRPr="00D144E3" w:rsidRDefault="00910723" w:rsidP="005B6A53">
      <w:pPr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</w:pPr>
      <w:r w:rsidRPr="00D144E3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 xml:space="preserve">Helpful </w:t>
      </w:r>
      <w:r w:rsidR="00E933BA" w:rsidRPr="00D144E3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>R</w:t>
      </w:r>
      <w:r w:rsidR="005B6A53" w:rsidRPr="00D144E3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 xml:space="preserve">esources: </w:t>
      </w:r>
    </w:p>
    <w:p w14:paraId="3DC8E745" w14:textId="77DFB229" w:rsidR="002379AF" w:rsidRPr="00D144E3" w:rsidRDefault="00924360" w:rsidP="002379AF">
      <w:pPr>
        <w:pStyle w:val="ListParagraph"/>
        <w:numPr>
          <w:ilvl w:val="0"/>
          <w:numId w:val="26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hyperlink r:id="rId9" w:history="1">
        <w:r w:rsidR="002379AF" w:rsidRPr="00302498">
          <w:rPr>
            <w:rStyle w:val="Hyperlink"/>
            <w:rFonts w:asciiTheme="minorHAnsi" w:hAnsiTheme="minorHAnsi" w:cstheme="minorHAnsi"/>
          </w:rPr>
          <w:t>Current year PLE tool and instructions</w:t>
        </w:r>
      </w:hyperlink>
    </w:p>
    <w:p w14:paraId="5BC2C248" w14:textId="77777777" w:rsidR="00D144E3" w:rsidRPr="002379AF" w:rsidRDefault="00D144E3" w:rsidP="00D144E3">
      <w:pPr>
        <w:pStyle w:val="ListParagraph"/>
        <w:rPr>
          <w:rFonts w:asciiTheme="minorHAnsi" w:hAnsiTheme="minorHAnsi" w:cstheme="minorHAnsi"/>
        </w:rPr>
      </w:pPr>
    </w:p>
    <w:p w14:paraId="33112536" w14:textId="77777777" w:rsidR="00E933BA" w:rsidRPr="00D144E3" w:rsidRDefault="00910723" w:rsidP="00E933BA">
      <w:pPr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</w:pPr>
      <w:r w:rsidRPr="00D144E3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 xml:space="preserve">Regulatory </w:t>
      </w:r>
      <w:r w:rsidR="005B6A53" w:rsidRPr="00D144E3">
        <w:rPr>
          <w:rFonts w:asciiTheme="majorHAnsi" w:hAnsiTheme="majorHAnsi" w:cstheme="majorHAnsi"/>
          <w:b/>
          <w:color w:val="14578C" w:themeColor="accent6" w:themeShade="BF"/>
          <w:sz w:val="26"/>
          <w:szCs w:val="26"/>
        </w:rPr>
        <w:t xml:space="preserve">Reference: </w:t>
      </w:r>
    </w:p>
    <w:p w14:paraId="24EC91D6" w14:textId="74ECD23B" w:rsidR="00910723" w:rsidRPr="00F242F2" w:rsidRDefault="00924360" w:rsidP="002379AF">
      <w:pPr>
        <w:pStyle w:val="ListParagraph"/>
        <w:numPr>
          <w:ilvl w:val="0"/>
          <w:numId w:val="25"/>
        </w:numPr>
        <w:rPr>
          <w:rStyle w:val="Hyperlink"/>
          <w:rFonts w:asciiTheme="minorHAnsi" w:hAnsiTheme="minorHAnsi" w:cstheme="minorHAnsi"/>
          <w:color w:val="auto"/>
          <w:u w:val="none"/>
        </w:rPr>
      </w:pPr>
      <w:hyperlink r:id="rId10" w:anchor="210.14" w:history="1">
        <w:r w:rsidR="002379AF" w:rsidRPr="002379AF">
          <w:rPr>
            <w:rStyle w:val="Hyperlink"/>
            <w:rFonts w:asciiTheme="minorHAnsi" w:hAnsiTheme="minorHAnsi" w:cstheme="minorHAnsi"/>
          </w:rPr>
          <w:t>7 CFR 210.14</w:t>
        </w:r>
      </w:hyperlink>
      <w:r w:rsidR="001C0584">
        <w:rPr>
          <w:rStyle w:val="Hyperlink"/>
          <w:rFonts w:asciiTheme="minorHAnsi" w:hAnsiTheme="minorHAnsi" w:cstheme="minorHAnsi"/>
        </w:rPr>
        <w:t xml:space="preserve"> </w:t>
      </w:r>
    </w:p>
    <w:p w14:paraId="3C4A254F" w14:textId="77777777" w:rsidR="00F242F2" w:rsidRPr="002379AF" w:rsidRDefault="00F242F2" w:rsidP="00F242F2">
      <w:pPr>
        <w:pStyle w:val="ListParagraph"/>
        <w:rPr>
          <w:rFonts w:asciiTheme="minorHAnsi" w:hAnsiTheme="minorHAnsi" w:cstheme="minorHAnsi"/>
        </w:rPr>
      </w:pPr>
    </w:p>
    <w:p w14:paraId="22A37AD6" w14:textId="4D06DC5C" w:rsidR="006A639E" w:rsidRPr="004C2009" w:rsidRDefault="00924360" w:rsidP="00A46EDE">
      <w:pPr>
        <w:rPr>
          <w:rFonts w:ascii="Calibri" w:hAnsi="Calibri" w:cs="Calibri"/>
          <w:szCs w:val="24"/>
        </w:rPr>
      </w:pPr>
      <w:r w:rsidRPr="006A639E">
        <w:rPr>
          <w:rFonts w:ascii="Calibri" w:hAnsi="Calibri" w:cs="Calibri"/>
          <w:i/>
          <w:noProof/>
          <w:color w:val="1B75BC" w:themeColor="accent1"/>
          <w:szCs w:val="24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68DE13D" wp14:editId="1B40A2AB">
                <wp:simplePos x="0" y="0"/>
                <wp:positionH relativeFrom="margin">
                  <wp:align>left</wp:align>
                </wp:positionH>
                <wp:positionV relativeFrom="paragraph">
                  <wp:posOffset>372441</wp:posOffset>
                </wp:positionV>
                <wp:extent cx="5961380" cy="1404620"/>
                <wp:effectExtent l="0" t="0" r="20320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2241B" w14:textId="77777777" w:rsidR="00A46EDE" w:rsidRPr="006A639E" w:rsidRDefault="00A46EDE" w:rsidP="00A46ED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bookmarkStart w:id="0" w:name="_GoBack"/>
                            <w:r w:rsidRPr="006A639E">
                              <w:rPr>
                                <w:rFonts w:asciiTheme="minorHAnsi" w:hAnsiTheme="minorHAnsi" w:cstheme="minorHAnsi"/>
                                <w:b/>
                              </w:rPr>
                              <w:t>Acronym Reference</w:t>
                            </w:r>
                            <w:r w:rsidRPr="006A639E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4C2009">
                              <w:rPr>
                                <w:rFonts w:asciiTheme="minorHAnsi" w:hAnsiTheme="minorHAnsi" w:cstheme="minorHAnsi"/>
                                <w:b/>
                              </w:rPr>
                              <w:t>and Definitions</w:t>
                            </w:r>
                          </w:p>
                          <w:p w14:paraId="02DFF18F" w14:textId="0FCBD12B" w:rsidR="00A46EDE" w:rsidRDefault="00CA7877" w:rsidP="00A46ED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-CFR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ab/>
                              <w:t>Code of Federal Regulation</w:t>
                            </w:r>
                          </w:p>
                          <w:p w14:paraId="6E247205" w14:textId="491287D0" w:rsidR="00A46EDE" w:rsidRDefault="00A46EDE" w:rsidP="00A46ED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A639E">
                              <w:rPr>
                                <w:rFonts w:asciiTheme="minorHAnsi" w:hAnsiTheme="minorHAnsi" w:cstheme="minorHAnsi"/>
                              </w:rPr>
                              <w:t>-ODE CNP</w:t>
                            </w:r>
                            <w:r w:rsidRPr="006A639E">
                              <w:rPr>
                                <w:rFonts w:asciiTheme="minorHAnsi" w:hAnsiTheme="minorHAnsi" w:cstheme="minorHAnsi"/>
                              </w:rPr>
                              <w:tab/>
                              <w:t xml:space="preserve">Oregon Department Education Child Nutrition Program 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8DE1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9.35pt;width:469.4pt;height:110.6pt;z-index:2516669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" fillcolor="#d8d8d8 [2732]">
                <v:textbox style="mso-fit-shape-to-text:t">
                  <w:txbxContent>
                    <w:p w14:paraId="3172241B" w14:textId="77777777" w:rsidR="00A46EDE" w:rsidRPr="006A639E" w:rsidRDefault="00A46EDE" w:rsidP="00A46EDE">
                      <w:pPr>
                        <w:rPr>
                          <w:rFonts w:asciiTheme="minorHAnsi" w:hAnsiTheme="minorHAnsi" w:cstheme="minorHAnsi"/>
                        </w:rPr>
                      </w:pPr>
                      <w:bookmarkStart w:id="1" w:name="_GoBack"/>
                      <w:r w:rsidRPr="006A639E">
                        <w:rPr>
                          <w:rFonts w:asciiTheme="minorHAnsi" w:hAnsiTheme="minorHAnsi" w:cstheme="minorHAnsi"/>
                          <w:b/>
                        </w:rPr>
                        <w:t>Acronym Reference</w:t>
                      </w:r>
                      <w:r w:rsidRPr="006A639E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4C2009">
                        <w:rPr>
                          <w:rFonts w:asciiTheme="minorHAnsi" w:hAnsiTheme="minorHAnsi" w:cstheme="minorHAnsi"/>
                          <w:b/>
                        </w:rPr>
                        <w:t>and Definitions</w:t>
                      </w:r>
                    </w:p>
                    <w:p w14:paraId="02DFF18F" w14:textId="0FCBD12B" w:rsidR="00A46EDE" w:rsidRDefault="00CA7877" w:rsidP="00A46ED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-CFR </w:t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</w:rPr>
                        <w:tab/>
                        <w:t>Code of Federal Regulation</w:t>
                      </w:r>
                    </w:p>
                    <w:p w14:paraId="6E247205" w14:textId="491287D0" w:rsidR="00A46EDE" w:rsidRDefault="00A46EDE" w:rsidP="00A46EDE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6A639E">
                        <w:rPr>
                          <w:rFonts w:asciiTheme="minorHAnsi" w:hAnsiTheme="minorHAnsi" w:cstheme="minorHAnsi"/>
                        </w:rPr>
                        <w:t>-ODE CNP</w:t>
                      </w:r>
                      <w:r w:rsidRPr="006A639E">
                        <w:rPr>
                          <w:rFonts w:asciiTheme="minorHAnsi" w:hAnsiTheme="minorHAnsi" w:cstheme="minorHAnsi"/>
                        </w:rPr>
                        <w:tab/>
                        <w:t xml:space="preserve">Oregon Department Education Child Nutrition Program 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639E" w:rsidRPr="004C2009">
        <w:rPr>
          <w:rFonts w:ascii="Calibri" w:hAnsi="Calibri" w:cs="Calibri"/>
          <w:szCs w:val="24"/>
        </w:rPr>
        <w:t>This institution is an equal opportunity provider.</w:t>
      </w:r>
    </w:p>
    <w:p w14:paraId="0A387773" w14:textId="288808C0" w:rsidR="00E142CF" w:rsidRDefault="00E142CF" w:rsidP="00A46EDE">
      <w:pPr>
        <w:rPr>
          <w:rFonts w:ascii="Calibri" w:hAnsi="Calibri" w:cs="Calibri"/>
          <w:color w:val="9F2065" w:themeColor="accent2"/>
          <w:szCs w:val="24"/>
        </w:rPr>
      </w:pPr>
    </w:p>
    <w:p w14:paraId="4B72D3E9" w14:textId="47193EEB" w:rsidR="00924360" w:rsidRDefault="00924360" w:rsidP="00924360">
      <w:pPr>
        <w:pStyle w:val="Heading1"/>
        <w:spacing w:before="0"/>
        <w:jc w:val="center"/>
      </w:pPr>
      <w:r>
        <w:rPr>
          <w:sz w:val="20"/>
        </w:rPr>
        <w:t>The Washington Office of Superintendent of Public Instruction created this document. The Oregon Department of Education modified the document to apply to Oregon.</w:t>
      </w:r>
    </w:p>
    <w:p w14:paraId="0CE62446" w14:textId="0AA091D2" w:rsidR="00A46EDE" w:rsidRPr="006A639E" w:rsidRDefault="00A46EDE" w:rsidP="00A46EDE">
      <w:pPr>
        <w:rPr>
          <w:rFonts w:ascii="Calibri" w:hAnsi="Calibri" w:cs="Calibri"/>
          <w:color w:val="9F2065" w:themeColor="accent2"/>
          <w:szCs w:val="24"/>
        </w:rPr>
      </w:pPr>
    </w:p>
    <w:sectPr w:rsidR="00A46EDE" w:rsidRPr="006A639E" w:rsidSect="002618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530" w:right="14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8BD89" w14:textId="77777777" w:rsidR="00E74910" w:rsidRDefault="00E74910" w:rsidP="006B7F2B">
      <w:r>
        <w:separator/>
      </w:r>
    </w:p>
  </w:endnote>
  <w:endnote w:type="continuationSeparator" w:id="0">
    <w:p w14:paraId="439EA5AC" w14:textId="77777777" w:rsidR="00E74910" w:rsidRDefault="00E74910" w:rsidP="006B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94D98" w14:textId="77777777" w:rsidR="004E7EC8" w:rsidRDefault="004E7E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E3CC9" w14:textId="51E7F017" w:rsidR="006A639E" w:rsidRPr="006A639E" w:rsidRDefault="006A639E" w:rsidP="006A639E">
    <w:pPr>
      <w:rPr>
        <w:rFonts w:ascii="Calibri" w:hAnsi="Calibri" w:cs="Calibri"/>
        <w:i/>
        <w:color w:val="1B75BC" w:themeColor="accent1"/>
        <w:szCs w:val="24"/>
      </w:rPr>
    </w:pPr>
    <w:r w:rsidRPr="006A639E">
      <w:rPr>
        <w:rFonts w:ascii="Calibri" w:hAnsi="Calibri" w:cs="Calibri"/>
        <w:i/>
        <w:color w:val="1B75BC" w:themeColor="accent1"/>
        <w:szCs w:val="24"/>
      </w:rPr>
      <w:t xml:space="preserve">Oregon Department of Education Child Nutrition Programs </w:t>
    </w:r>
    <w:r>
      <w:rPr>
        <w:rFonts w:ascii="Calibri" w:hAnsi="Calibri" w:cs="Calibri"/>
        <w:i/>
        <w:color w:val="1B75BC" w:themeColor="accent1"/>
        <w:szCs w:val="24"/>
      </w:rPr>
      <w:tab/>
    </w:r>
    <w:r>
      <w:rPr>
        <w:rFonts w:ascii="Calibri" w:hAnsi="Calibri" w:cs="Calibri"/>
        <w:i/>
        <w:color w:val="1B75BC" w:themeColor="accent1"/>
        <w:szCs w:val="24"/>
      </w:rPr>
      <w:tab/>
    </w:r>
    <w:r>
      <w:rPr>
        <w:rFonts w:ascii="Calibri" w:hAnsi="Calibri" w:cs="Calibri"/>
        <w:i/>
        <w:color w:val="1B75BC" w:themeColor="accent1"/>
        <w:szCs w:val="24"/>
      </w:rPr>
      <w:tab/>
      <w:t xml:space="preserve">          </w:t>
    </w:r>
    <w:r w:rsidR="004E7EC8">
      <w:rPr>
        <w:rFonts w:ascii="Calibri" w:hAnsi="Calibri" w:cs="Calibri"/>
        <w:i/>
        <w:color w:val="1B75BC" w:themeColor="accent1"/>
        <w:szCs w:val="24"/>
      </w:rPr>
      <w:t>January 2023</w:t>
    </w:r>
  </w:p>
  <w:p w14:paraId="111EAC83" w14:textId="77777777" w:rsidR="006A639E" w:rsidRDefault="006A63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D0945" w14:textId="77777777" w:rsidR="004E7EC8" w:rsidRDefault="004E7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A6A0" w14:textId="77777777" w:rsidR="00E74910" w:rsidRDefault="00E74910" w:rsidP="006B7F2B">
      <w:r>
        <w:separator/>
      </w:r>
    </w:p>
  </w:footnote>
  <w:footnote w:type="continuationSeparator" w:id="0">
    <w:p w14:paraId="3FEB6694" w14:textId="77777777" w:rsidR="00E74910" w:rsidRDefault="00E74910" w:rsidP="006B7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4B585" w14:textId="77777777" w:rsidR="004E7EC8" w:rsidRDefault="004E7E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5557B" w14:textId="78825F79" w:rsidR="006B7F2B" w:rsidRPr="00EC5D23" w:rsidRDefault="00E648D5" w:rsidP="00EC5D23">
    <w:pPr>
      <w:pStyle w:val="Header"/>
      <w:rPr>
        <w:rStyle w:val="IntenseEmphasis"/>
      </w:rPr>
    </w:pPr>
    <w:r>
      <w:rPr>
        <w:rStyle w:val="IntenseEmphasis"/>
      </w:rPr>
      <w:t>Paid Lunch Equity</w:t>
    </w:r>
    <w:r w:rsidR="006A639E">
      <w:rPr>
        <w:rStyle w:val="IntenseEmphasis"/>
      </w:rPr>
      <w:tab/>
    </w:r>
    <w:r w:rsidR="006A639E">
      <w:rPr>
        <w:rStyle w:val="IntenseEmphasis"/>
      </w:rPr>
      <w:tab/>
    </w:r>
    <w:r w:rsidR="006B7F2B" w:rsidRPr="00EC5D23">
      <w:rPr>
        <w:rStyle w:val="IntenseEmphasis"/>
      </w:rPr>
      <w:t>School Nutrition Program At-A-Glance</w:t>
    </w:r>
  </w:p>
  <w:p w14:paraId="185D009D" w14:textId="77777777" w:rsidR="006B7F2B" w:rsidRPr="006B7F2B" w:rsidRDefault="00EC5D23" w:rsidP="006B7F2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BB0F88" wp14:editId="1F4FAF72">
              <wp:simplePos x="0" y="0"/>
              <wp:positionH relativeFrom="column">
                <wp:posOffset>-95416</wp:posOffset>
              </wp:positionH>
              <wp:positionV relativeFrom="paragraph">
                <wp:posOffset>59221</wp:posOffset>
              </wp:positionV>
              <wp:extent cx="6057900" cy="0"/>
              <wp:effectExtent l="0" t="0" r="19050" b="19050"/>
              <wp:wrapNone/>
              <wp:docPr id="6" name="Straight Connector 6" descr="Decorative Straight Line" title="Straight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1A9B32" id="Straight Connector 6" o:spid="_x0000_s1026" alt="Title: Straight Line - Description: Decorative Straight Line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4.65pt" to="469.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" strokecolor="#1b75bc [3204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1B25" w14:textId="77777777" w:rsidR="00EC5D23" w:rsidRPr="006B7F2B" w:rsidRDefault="00EC5D23" w:rsidP="00EC5D23">
    <w:pPr>
      <w:pStyle w:val="Header"/>
      <w:jc w:val="center"/>
      <w:rPr>
        <w:rStyle w:val="TitleChar"/>
      </w:rPr>
    </w:pPr>
    <w:r w:rsidRPr="006B7F2B">
      <w:rPr>
        <w:rStyle w:val="TitleChar"/>
        <w:noProof/>
      </w:rPr>
      <w:drawing>
        <wp:anchor distT="0" distB="0" distL="114300" distR="114300" simplePos="0" relativeHeight="251662336" behindDoc="1" locked="0" layoutInCell="1" allowOverlap="1" wp14:anchorId="4F0A767D" wp14:editId="5F707D96">
          <wp:simplePos x="0" y="0"/>
          <wp:positionH relativeFrom="column">
            <wp:posOffset>-898525</wp:posOffset>
          </wp:positionH>
          <wp:positionV relativeFrom="paragraph">
            <wp:posOffset>-457200</wp:posOffset>
          </wp:positionV>
          <wp:extent cx="1033145" cy="1042670"/>
          <wp:effectExtent l="0" t="0" r="0" b="5080"/>
          <wp:wrapSquare wrapText="bothSides"/>
          <wp:docPr id="29" name="Picture 29" descr="Graduation cap Oregon Department of Education 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mall ODE Logo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104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7F2B">
      <w:rPr>
        <w:rStyle w:val="TitleChar"/>
      </w:rPr>
      <w:t>School Nutrition Program At-A-Glance</w:t>
    </w:r>
  </w:p>
  <w:p w14:paraId="17052200" w14:textId="77777777" w:rsidR="00EC5D23" w:rsidRDefault="00EC5D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8EDE12" wp14:editId="78EA5F08">
              <wp:simplePos x="0" y="0"/>
              <wp:positionH relativeFrom="column">
                <wp:posOffset>39756</wp:posOffset>
              </wp:positionH>
              <wp:positionV relativeFrom="paragraph">
                <wp:posOffset>70568</wp:posOffset>
              </wp:positionV>
              <wp:extent cx="5876013" cy="0"/>
              <wp:effectExtent l="0" t="0" r="29845" b="19050"/>
              <wp:wrapNone/>
              <wp:docPr id="8" name="Straight Connector 8" descr="Decorative straight line" title="Straight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6013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665EF93" id="Straight Connector 8" o:spid="_x0000_s1026" alt="Title: Straight Line - Description: Decorative straight line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15pt,5.55pt" to="465.8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" strokecolor="#1b75bc [3204]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DFAF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53DA2"/>
    <w:multiLevelType w:val="hybridMultilevel"/>
    <w:tmpl w:val="5B1EEFE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76561B"/>
    <w:multiLevelType w:val="hybridMultilevel"/>
    <w:tmpl w:val="1D8E229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95E159D"/>
    <w:multiLevelType w:val="hybridMultilevel"/>
    <w:tmpl w:val="B49C3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61D08"/>
    <w:multiLevelType w:val="hybridMultilevel"/>
    <w:tmpl w:val="0860991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6202B0"/>
    <w:multiLevelType w:val="hybridMultilevel"/>
    <w:tmpl w:val="A6F492D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1E16924"/>
    <w:multiLevelType w:val="hybridMultilevel"/>
    <w:tmpl w:val="8A14C7F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B63450"/>
    <w:multiLevelType w:val="hybridMultilevel"/>
    <w:tmpl w:val="3788C3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3402D"/>
    <w:multiLevelType w:val="multilevel"/>
    <w:tmpl w:val="96B8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0A4EFD"/>
    <w:multiLevelType w:val="hybridMultilevel"/>
    <w:tmpl w:val="20E659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91791"/>
    <w:multiLevelType w:val="hybridMultilevel"/>
    <w:tmpl w:val="9E64F93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4840BD"/>
    <w:multiLevelType w:val="hybridMultilevel"/>
    <w:tmpl w:val="927A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43672"/>
    <w:multiLevelType w:val="hybridMultilevel"/>
    <w:tmpl w:val="E5D26C32"/>
    <w:lvl w:ilvl="0" w:tplc="040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414E1B61"/>
    <w:multiLevelType w:val="hybridMultilevel"/>
    <w:tmpl w:val="0A3E49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8435B1"/>
    <w:multiLevelType w:val="hybridMultilevel"/>
    <w:tmpl w:val="FD1818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134F"/>
    <w:multiLevelType w:val="hybridMultilevel"/>
    <w:tmpl w:val="BED0EA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E23429"/>
    <w:multiLevelType w:val="hybridMultilevel"/>
    <w:tmpl w:val="882437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252B5"/>
    <w:multiLevelType w:val="hybridMultilevel"/>
    <w:tmpl w:val="715EA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4F4203"/>
    <w:multiLevelType w:val="hybridMultilevel"/>
    <w:tmpl w:val="667647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91246F"/>
    <w:multiLevelType w:val="hybridMultilevel"/>
    <w:tmpl w:val="CA8856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5A5318"/>
    <w:multiLevelType w:val="hybridMultilevel"/>
    <w:tmpl w:val="0A3E49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2E797E"/>
    <w:multiLevelType w:val="hybridMultilevel"/>
    <w:tmpl w:val="34421D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1330C7"/>
    <w:multiLevelType w:val="multilevel"/>
    <w:tmpl w:val="FAA6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5"/>
  </w:num>
  <w:num w:numId="6">
    <w:abstractNumId w:val="9"/>
  </w:num>
  <w:num w:numId="7">
    <w:abstractNumId w:val="23"/>
  </w:num>
  <w:num w:numId="8">
    <w:abstractNumId w:val="4"/>
  </w:num>
  <w:num w:numId="9">
    <w:abstractNumId w:val="22"/>
  </w:num>
  <w:num w:numId="10">
    <w:abstractNumId w:val="8"/>
  </w:num>
  <w:num w:numId="11">
    <w:abstractNumId w:val="13"/>
  </w:num>
  <w:num w:numId="12">
    <w:abstractNumId w:val="12"/>
  </w:num>
  <w:num w:numId="13">
    <w:abstractNumId w:val="19"/>
  </w:num>
  <w:num w:numId="14">
    <w:abstractNumId w:val="16"/>
  </w:num>
  <w:num w:numId="15">
    <w:abstractNumId w:val="5"/>
  </w:num>
  <w:num w:numId="16">
    <w:abstractNumId w:val="11"/>
  </w:num>
  <w:num w:numId="17">
    <w:abstractNumId w:val="18"/>
  </w:num>
  <w:num w:numId="18">
    <w:abstractNumId w:val="6"/>
  </w:num>
  <w:num w:numId="19">
    <w:abstractNumId w:val="2"/>
  </w:num>
  <w:num w:numId="20">
    <w:abstractNumId w:val="14"/>
  </w:num>
  <w:num w:numId="21">
    <w:abstractNumId w:val="7"/>
  </w:num>
  <w:num w:numId="22">
    <w:abstractNumId w:val="3"/>
  </w:num>
  <w:num w:numId="23">
    <w:abstractNumId w:val="21"/>
  </w:num>
  <w:num w:numId="24">
    <w:abstractNumId w:val="20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2B"/>
    <w:rsid w:val="000560C9"/>
    <w:rsid w:val="00057FE7"/>
    <w:rsid w:val="0009345E"/>
    <w:rsid w:val="000C14A2"/>
    <w:rsid w:val="000D36B7"/>
    <w:rsid w:val="000E7BC7"/>
    <w:rsid w:val="001411A0"/>
    <w:rsid w:val="0016287F"/>
    <w:rsid w:val="001C0584"/>
    <w:rsid w:val="0022037B"/>
    <w:rsid w:val="00223DAF"/>
    <w:rsid w:val="002379AF"/>
    <w:rsid w:val="0024254C"/>
    <w:rsid w:val="0026187E"/>
    <w:rsid w:val="00295954"/>
    <w:rsid w:val="002B7707"/>
    <w:rsid w:val="002C4509"/>
    <w:rsid w:val="002D37BB"/>
    <w:rsid w:val="002F1535"/>
    <w:rsid w:val="00302498"/>
    <w:rsid w:val="00323F6B"/>
    <w:rsid w:val="00346621"/>
    <w:rsid w:val="003A5E26"/>
    <w:rsid w:val="003F6983"/>
    <w:rsid w:val="0040157E"/>
    <w:rsid w:val="004024D8"/>
    <w:rsid w:val="004159AA"/>
    <w:rsid w:val="004501B9"/>
    <w:rsid w:val="00465BAE"/>
    <w:rsid w:val="004B38C1"/>
    <w:rsid w:val="004C2009"/>
    <w:rsid w:val="004E7EC8"/>
    <w:rsid w:val="005110C4"/>
    <w:rsid w:val="00514837"/>
    <w:rsid w:val="005777D5"/>
    <w:rsid w:val="00585198"/>
    <w:rsid w:val="00586B93"/>
    <w:rsid w:val="005B6A53"/>
    <w:rsid w:val="005D0AC3"/>
    <w:rsid w:val="00604697"/>
    <w:rsid w:val="006A639E"/>
    <w:rsid w:val="006B7F2B"/>
    <w:rsid w:val="00712E0C"/>
    <w:rsid w:val="00725024"/>
    <w:rsid w:val="00871D17"/>
    <w:rsid w:val="008F7063"/>
    <w:rsid w:val="00910723"/>
    <w:rsid w:val="00924360"/>
    <w:rsid w:val="0092492E"/>
    <w:rsid w:val="009B3E5F"/>
    <w:rsid w:val="00A1287D"/>
    <w:rsid w:val="00A25CC9"/>
    <w:rsid w:val="00A46EDE"/>
    <w:rsid w:val="00AB351A"/>
    <w:rsid w:val="00AD1307"/>
    <w:rsid w:val="00AD275D"/>
    <w:rsid w:val="00B00F77"/>
    <w:rsid w:val="00B01343"/>
    <w:rsid w:val="00B11A14"/>
    <w:rsid w:val="00B257BE"/>
    <w:rsid w:val="00B3764B"/>
    <w:rsid w:val="00B56B6A"/>
    <w:rsid w:val="00B60464"/>
    <w:rsid w:val="00BE231F"/>
    <w:rsid w:val="00C26B6D"/>
    <w:rsid w:val="00CA7877"/>
    <w:rsid w:val="00CB3A7E"/>
    <w:rsid w:val="00CB56F4"/>
    <w:rsid w:val="00D07E3F"/>
    <w:rsid w:val="00D13DED"/>
    <w:rsid w:val="00D144E3"/>
    <w:rsid w:val="00D30210"/>
    <w:rsid w:val="00D82900"/>
    <w:rsid w:val="00DA5B43"/>
    <w:rsid w:val="00DD212E"/>
    <w:rsid w:val="00E142CF"/>
    <w:rsid w:val="00E44F24"/>
    <w:rsid w:val="00E648D5"/>
    <w:rsid w:val="00E70EDF"/>
    <w:rsid w:val="00E73AC0"/>
    <w:rsid w:val="00E74910"/>
    <w:rsid w:val="00E933BA"/>
    <w:rsid w:val="00EC5D23"/>
    <w:rsid w:val="00F242F2"/>
    <w:rsid w:val="00F4742C"/>
    <w:rsid w:val="00F7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5D4074E"/>
  <w15:chartTrackingRefBased/>
  <w15:docId w15:val="{2ABF5A31-32D6-4DEB-B732-CE59F905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A7E"/>
    <w:pPr>
      <w:spacing w:after="0" w:line="240" w:lineRule="auto"/>
    </w:pPr>
    <w:rPr>
      <w:rFonts w:ascii="Arial" w:hAnsi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A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A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3A5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Name">
    <w:name w:val="Header Name"/>
    <w:basedOn w:val="Normal"/>
    <w:qFormat/>
    <w:rsid w:val="00CB3A7E"/>
    <w:pPr>
      <w:spacing w:after="80"/>
      <w:jc w:val="right"/>
    </w:pPr>
    <w:rPr>
      <w:rFonts w:ascii="Palatino Linotype" w:hAnsi="Palatino Linotype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B3A7E"/>
    <w:rPr>
      <w:rFonts w:asciiTheme="majorHAnsi" w:eastAsiaTheme="majorEastAsia" w:hAnsiTheme="majorHAnsi" w:cstheme="majorBidi"/>
      <w:color w:val="14578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3A7E"/>
    <w:rPr>
      <w:rFonts w:asciiTheme="majorHAnsi" w:eastAsiaTheme="majorEastAsia" w:hAnsiTheme="majorHAnsi" w:cstheme="majorBidi"/>
      <w:color w:val="14578C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A7E"/>
    <w:rPr>
      <w:rFonts w:asciiTheme="majorHAnsi" w:eastAsiaTheme="majorEastAsia" w:hAnsiTheme="majorHAnsi" w:cstheme="majorBidi"/>
      <w:color w:val="0D3A5D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unhideWhenUsed/>
    <w:qFormat/>
    <w:rsid w:val="00CB3A7E"/>
    <w:pPr>
      <w:spacing w:after="100"/>
      <w:ind w:left="360" w:hanging="360"/>
      <w:contextualSpacing/>
    </w:pPr>
    <w:rPr>
      <w:rFonts w:asciiTheme="minorHAnsi" w:hAnsiTheme="minorHAnsi"/>
      <w:sz w:val="21"/>
      <w:szCs w:val="21"/>
    </w:rPr>
  </w:style>
  <w:style w:type="paragraph" w:styleId="ListBullet2">
    <w:name w:val="List Bullet 2"/>
    <w:basedOn w:val="Normal"/>
    <w:uiPriority w:val="99"/>
    <w:unhideWhenUsed/>
    <w:qFormat/>
    <w:rsid w:val="00CB3A7E"/>
    <w:pPr>
      <w:numPr>
        <w:numId w:val="4"/>
      </w:numPr>
      <w:spacing w:after="100"/>
      <w:contextualSpacing/>
    </w:pPr>
    <w:rPr>
      <w:rFonts w:asciiTheme="minorHAnsi" w:hAnsiTheme="minorHAnsi"/>
      <w:sz w:val="21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B7F2B"/>
    <w:pPr>
      <w:contextualSpacing/>
      <w:jc w:val="center"/>
    </w:pPr>
    <w:rPr>
      <w:rFonts w:asciiTheme="majorHAnsi" w:eastAsiaTheme="majorEastAsia" w:hAnsiTheme="majorHAnsi" w:cstheme="majorBidi"/>
      <w:color w:val="72C9F1" w:themeColor="accent4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F2B"/>
    <w:rPr>
      <w:rFonts w:asciiTheme="majorHAnsi" w:eastAsiaTheme="majorEastAsia" w:hAnsiTheme="majorHAnsi" w:cstheme="majorBidi"/>
      <w:color w:val="72C9F1" w:themeColor="accent4"/>
      <w:sz w:val="56"/>
      <w:szCs w:val="56"/>
    </w:rPr>
  </w:style>
  <w:style w:type="character" w:styleId="Strong">
    <w:name w:val="Strong"/>
    <w:basedOn w:val="DefaultParagraphFont"/>
    <w:uiPriority w:val="99"/>
    <w:qFormat/>
    <w:rsid w:val="00CB3A7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B7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F2B"/>
    <w:rPr>
      <w:rFonts w:ascii="Arial" w:hAnsi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B7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F2B"/>
    <w:rPr>
      <w:rFonts w:ascii="Arial" w:hAnsi="Arial"/>
      <w:sz w:val="24"/>
      <w:szCs w:val="20"/>
    </w:rPr>
  </w:style>
  <w:style w:type="paragraph" w:styleId="NoSpacing">
    <w:name w:val="No Spacing"/>
    <w:link w:val="NoSpacingChar"/>
    <w:uiPriority w:val="1"/>
    <w:qFormat/>
    <w:rsid w:val="005777D5"/>
    <w:pPr>
      <w:spacing w:after="0" w:line="240" w:lineRule="auto"/>
    </w:pPr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777D5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rsid w:val="005777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777D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5777D5"/>
    <w:rPr>
      <w:color w:val="0000FF"/>
      <w:u w:val="single"/>
    </w:rPr>
  </w:style>
  <w:style w:type="paragraph" w:customStyle="1" w:styleId="text-align-center">
    <w:name w:val="text-align-center"/>
    <w:basedOn w:val="Normal"/>
    <w:rsid w:val="005777D5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5777D5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EC5D23"/>
    <w:rPr>
      <w:i/>
      <w:iCs/>
      <w:color w:val="1B75BC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D30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21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21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21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21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14837"/>
    <w:rPr>
      <w:color w:val="21AAE8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cfr.gov/current/title-7/subtitle-B/chapter-II/subchapter-A/part-210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www.oregon.gov/ode/students-and-family/childnutrition/SNP/Pages/Resource-Management.aspx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DE">
  <a:themeElements>
    <a:clrScheme name="ODE">
      <a:dk1>
        <a:sysClr val="windowText" lastClr="000000"/>
      </a:dk1>
      <a:lt1>
        <a:sysClr val="window" lastClr="FFFFFF"/>
      </a:lt1>
      <a:dk2>
        <a:srgbClr val="344654"/>
      </a:dk2>
      <a:lt2>
        <a:srgbClr val="E2F4FC"/>
      </a:lt2>
      <a:accent1>
        <a:srgbClr val="1B75BC"/>
      </a:accent1>
      <a:accent2>
        <a:srgbClr val="9F2065"/>
      </a:accent2>
      <a:accent3>
        <a:srgbClr val="E26B2A"/>
      </a:accent3>
      <a:accent4>
        <a:srgbClr val="72C9F1"/>
      </a:accent4>
      <a:accent5>
        <a:srgbClr val="408740"/>
      </a:accent5>
      <a:accent6>
        <a:srgbClr val="1B75BC"/>
      </a:accent6>
      <a:hlink>
        <a:srgbClr val="C45BA3"/>
      </a:hlink>
      <a:folHlink>
        <a:srgbClr val="21AAE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2023-03-30T15:34:22+00:00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F522F6-A07F-4013-9E65-BCC8538673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33E0B4-80DF-4E3E-8286-048A0BB0B932}"/>
</file>

<file path=customXml/itemProps3.xml><?xml version="1.0" encoding="utf-8"?>
<ds:datastoreItem xmlns:ds="http://schemas.openxmlformats.org/officeDocument/2006/customXml" ds:itemID="{6D60C6A2-7F82-44A3-BEDA-B90BF4D451F9}"/>
</file>

<file path=customXml/itemProps4.xml><?xml version="1.0" encoding="utf-8"?>
<ds:datastoreItem xmlns:ds="http://schemas.openxmlformats.org/officeDocument/2006/customXml" ds:itemID="{5F9A3360-85DF-43F7-B842-0A87FF8236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FLEENER Michelle * ODE</dc:creator>
  <cp:keywords/>
  <dc:description/>
  <cp:lastModifiedBy>SCOTT Tamara L * ODE</cp:lastModifiedBy>
  <cp:revision>22</cp:revision>
  <dcterms:created xsi:type="dcterms:W3CDTF">2022-01-07T21:38:00Z</dcterms:created>
  <dcterms:modified xsi:type="dcterms:W3CDTF">2023-03-28T21:37:00Z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