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0CC237" w14:textId="6AE005CE" w:rsidR="00E2525C" w:rsidRDefault="00EC7102" w:rsidP="00E2525C">
      <w:pPr>
        <w:rPr>
          <w:sz w:val="24"/>
          <w:szCs w:val="24"/>
        </w:rPr>
      </w:pPr>
      <w:r>
        <w:rPr>
          <w:sz w:val="24"/>
          <w:szCs w:val="24"/>
        </w:rPr>
        <w:t>April 24</w:t>
      </w:r>
      <w:r w:rsidR="00E2525C" w:rsidRPr="00CD55D7">
        <w:rPr>
          <w:sz w:val="24"/>
          <w:szCs w:val="24"/>
        </w:rPr>
        <w:t>, 20</w:t>
      </w:r>
      <w:r w:rsidR="00083068">
        <w:rPr>
          <w:sz w:val="24"/>
          <w:szCs w:val="24"/>
        </w:rPr>
        <w:t>23</w:t>
      </w:r>
    </w:p>
    <w:p w14:paraId="1083AF45" w14:textId="77777777" w:rsidR="00E2525C" w:rsidRPr="0076755B" w:rsidRDefault="00E2525C" w:rsidP="00E2525C">
      <w:pPr>
        <w:rPr>
          <w:sz w:val="12"/>
          <w:szCs w:val="12"/>
        </w:rPr>
      </w:pPr>
    </w:p>
    <w:p w14:paraId="26E7A423" w14:textId="77777777" w:rsidR="00E2525C" w:rsidRDefault="00E2525C" w:rsidP="00E2525C">
      <w:pPr>
        <w:rPr>
          <w:sz w:val="24"/>
          <w:szCs w:val="24"/>
        </w:rPr>
      </w:pPr>
      <w:r>
        <w:rPr>
          <w:sz w:val="24"/>
          <w:szCs w:val="24"/>
        </w:rPr>
        <w:t>TO:</w:t>
      </w:r>
      <w:r>
        <w:rPr>
          <w:sz w:val="24"/>
          <w:szCs w:val="24"/>
        </w:rPr>
        <w:tab/>
      </w:r>
      <w:r w:rsidR="00247892">
        <w:rPr>
          <w:sz w:val="24"/>
          <w:szCs w:val="24"/>
        </w:rPr>
        <w:t>School Food Authorities participating in the National School Lunch Program</w:t>
      </w:r>
    </w:p>
    <w:p w14:paraId="1F90A3CA" w14:textId="086F69E7" w:rsidR="00E2525C" w:rsidRDefault="00E2525C" w:rsidP="00E2525C">
      <w:pPr>
        <w:rPr>
          <w:sz w:val="24"/>
          <w:szCs w:val="24"/>
        </w:rPr>
      </w:pPr>
      <w:r>
        <w:rPr>
          <w:sz w:val="24"/>
          <w:szCs w:val="24"/>
        </w:rPr>
        <w:t>RE:</w:t>
      </w:r>
      <w:r>
        <w:rPr>
          <w:sz w:val="24"/>
          <w:szCs w:val="24"/>
        </w:rPr>
        <w:tab/>
      </w:r>
      <w:r w:rsidR="00C100E5">
        <w:rPr>
          <w:sz w:val="24"/>
          <w:szCs w:val="24"/>
        </w:rPr>
        <w:t xml:space="preserve">Revised - </w:t>
      </w:r>
      <w:r w:rsidRPr="00083068">
        <w:rPr>
          <w:b/>
          <w:sz w:val="24"/>
          <w:szCs w:val="24"/>
        </w:rPr>
        <w:t>SY 20</w:t>
      </w:r>
      <w:r w:rsidR="00083068" w:rsidRPr="00083068">
        <w:rPr>
          <w:b/>
          <w:sz w:val="24"/>
          <w:szCs w:val="24"/>
        </w:rPr>
        <w:t xml:space="preserve">23-24 </w:t>
      </w:r>
      <w:r w:rsidRPr="00083068">
        <w:rPr>
          <w:b/>
          <w:sz w:val="24"/>
          <w:szCs w:val="24"/>
        </w:rPr>
        <w:t>Paid Lunch Equity (PLE) Tool</w:t>
      </w:r>
    </w:p>
    <w:p w14:paraId="0AE84464" w14:textId="77777777" w:rsidR="00E2525C" w:rsidRDefault="00E2525C" w:rsidP="00E2525C">
      <w:pPr>
        <w:rPr>
          <w:b/>
          <w:sz w:val="24"/>
          <w:szCs w:val="24"/>
        </w:rPr>
      </w:pPr>
      <w:r>
        <w:rPr>
          <w:sz w:val="24"/>
          <w:szCs w:val="24"/>
        </w:rPr>
        <w:tab/>
      </w:r>
      <w:r>
        <w:rPr>
          <w:b/>
          <w:sz w:val="24"/>
          <w:szCs w:val="24"/>
        </w:rPr>
        <w:t xml:space="preserve">Action Required: Submit PLE Tool or Exemption Request </w:t>
      </w:r>
    </w:p>
    <w:p w14:paraId="0B947929" w14:textId="6C1331FD" w:rsidR="00493F54" w:rsidRDefault="00E2525C" w:rsidP="00E2525C">
      <w:pPr>
        <w:rPr>
          <w:b/>
          <w:sz w:val="24"/>
          <w:szCs w:val="24"/>
        </w:rPr>
      </w:pPr>
      <w:r>
        <w:rPr>
          <w:b/>
          <w:sz w:val="24"/>
          <w:szCs w:val="24"/>
        </w:rPr>
        <w:tab/>
        <w:t xml:space="preserve">Due: </w:t>
      </w:r>
      <w:r w:rsidR="00EC7102">
        <w:rPr>
          <w:b/>
          <w:sz w:val="24"/>
          <w:szCs w:val="24"/>
        </w:rPr>
        <w:t>May 19</w:t>
      </w:r>
      <w:r>
        <w:rPr>
          <w:b/>
          <w:sz w:val="24"/>
          <w:szCs w:val="24"/>
        </w:rPr>
        <w:t>, 20</w:t>
      </w:r>
      <w:r w:rsidR="00083068">
        <w:rPr>
          <w:b/>
          <w:sz w:val="24"/>
          <w:szCs w:val="24"/>
        </w:rPr>
        <w:t>23</w:t>
      </w:r>
    </w:p>
    <w:p w14:paraId="59F8E2A6" w14:textId="77777777" w:rsidR="00247892" w:rsidRPr="00247892" w:rsidRDefault="00B02008" w:rsidP="00083068">
      <w:pPr>
        <w:spacing w:after="0"/>
        <w:rPr>
          <w:rFonts w:cstheme="minorHAnsi"/>
          <w:color w:val="000000"/>
          <w:sz w:val="24"/>
          <w:szCs w:val="24"/>
        </w:rPr>
      </w:pPr>
      <w:r w:rsidRPr="00B02008">
        <w:rPr>
          <w:sz w:val="24"/>
          <w:szCs w:val="24"/>
        </w:rPr>
        <w:t xml:space="preserve">School Food Authorities (SFAs) participating in the NSLP must ensure sufficient funds are provided to the nonprofit school food service account for meals served to students not eligible for free or reduced-price meals. </w:t>
      </w:r>
      <w:r w:rsidR="00247892" w:rsidRPr="00B02008">
        <w:rPr>
          <w:rFonts w:cstheme="minorHAnsi"/>
          <w:color w:val="000000" w:themeColor="text1"/>
          <w:sz w:val="24"/>
          <w:szCs w:val="24"/>
          <w:shd w:val="clear" w:color="auto" w:fill="FFFFFF"/>
        </w:rPr>
        <w:t xml:space="preserve">Per </w:t>
      </w:r>
      <w:hyperlink r:id="rId11" w:anchor="p-210.14(e)" w:history="1">
        <w:r w:rsidR="00247892" w:rsidRPr="00B02008">
          <w:rPr>
            <w:rStyle w:val="Hyperlink"/>
            <w:rFonts w:cstheme="minorHAnsi"/>
            <w:sz w:val="24"/>
            <w:szCs w:val="24"/>
            <w:shd w:val="clear" w:color="auto" w:fill="FFFFFF"/>
          </w:rPr>
          <w:t xml:space="preserve"> 7 CFR 210.14(</w:t>
        </w:r>
        <w:proofErr w:type="gramStart"/>
        <w:r w:rsidR="00247892" w:rsidRPr="00B02008">
          <w:rPr>
            <w:rStyle w:val="Hyperlink"/>
            <w:rFonts w:cstheme="minorHAnsi"/>
            <w:sz w:val="24"/>
            <w:szCs w:val="24"/>
            <w:shd w:val="clear" w:color="auto" w:fill="FFFFFF"/>
          </w:rPr>
          <w:t>e )</w:t>
        </w:r>
        <w:proofErr w:type="gramEnd"/>
      </w:hyperlink>
      <w:r w:rsidR="00247892">
        <w:rPr>
          <w:rFonts w:cstheme="minorHAnsi"/>
          <w:color w:val="333333"/>
          <w:sz w:val="24"/>
          <w:szCs w:val="24"/>
          <w:shd w:val="clear" w:color="auto" w:fill="FFFFFF"/>
        </w:rPr>
        <w:t xml:space="preserve"> </w:t>
      </w:r>
      <w:r w:rsidR="00177846" w:rsidRPr="00247892">
        <w:rPr>
          <w:rFonts w:cstheme="minorHAnsi"/>
          <w:color w:val="000000"/>
          <w:sz w:val="24"/>
          <w:szCs w:val="24"/>
        </w:rPr>
        <w:t xml:space="preserve">School Food Authorities (SFA’s) </w:t>
      </w:r>
      <w:r w:rsidR="00083068" w:rsidRPr="00247892">
        <w:rPr>
          <w:rFonts w:cstheme="minorHAnsi"/>
          <w:color w:val="000000"/>
          <w:sz w:val="24"/>
          <w:szCs w:val="24"/>
        </w:rPr>
        <w:t xml:space="preserve">are required to </w:t>
      </w:r>
      <w:r w:rsidR="00177846" w:rsidRPr="00247892">
        <w:rPr>
          <w:rFonts w:cstheme="minorHAnsi"/>
          <w:color w:val="000000"/>
          <w:sz w:val="24"/>
          <w:szCs w:val="24"/>
        </w:rPr>
        <w:t>establish prices</w:t>
      </w:r>
      <w:r w:rsidR="00083068" w:rsidRPr="00247892">
        <w:rPr>
          <w:rFonts w:cstheme="minorHAnsi"/>
          <w:color w:val="000000"/>
          <w:sz w:val="24"/>
          <w:szCs w:val="24"/>
        </w:rPr>
        <w:t xml:space="preserve"> for paid </w:t>
      </w:r>
      <w:r w:rsidR="00177846" w:rsidRPr="00247892">
        <w:rPr>
          <w:rFonts w:cstheme="minorHAnsi"/>
          <w:color w:val="000000"/>
          <w:sz w:val="24"/>
          <w:szCs w:val="24"/>
        </w:rPr>
        <w:t>lunches</w:t>
      </w:r>
      <w:r w:rsidR="00083068" w:rsidRPr="00247892">
        <w:rPr>
          <w:rFonts w:cstheme="minorHAnsi"/>
          <w:color w:val="000000"/>
          <w:sz w:val="24"/>
          <w:szCs w:val="24"/>
        </w:rPr>
        <w:t xml:space="preserve"> at a price that is, on average, equal to the difference between free meal reimbursement and the paid meal reimbursement.  This </w:t>
      </w:r>
      <w:r w:rsidR="00247892">
        <w:rPr>
          <w:rFonts w:cstheme="minorHAnsi"/>
          <w:color w:val="000000"/>
          <w:sz w:val="24"/>
          <w:szCs w:val="24"/>
        </w:rPr>
        <w:t xml:space="preserve">requirement is referred to as </w:t>
      </w:r>
      <w:r w:rsidR="00247892" w:rsidRPr="00247892">
        <w:rPr>
          <w:rFonts w:cstheme="minorHAnsi"/>
          <w:color w:val="000000"/>
          <w:sz w:val="24"/>
          <w:szCs w:val="24"/>
        </w:rPr>
        <w:t>Paid Lunch Equity</w:t>
      </w:r>
      <w:r w:rsidR="00083068" w:rsidRPr="00247892">
        <w:rPr>
          <w:rFonts w:cstheme="minorHAnsi"/>
          <w:color w:val="000000"/>
          <w:sz w:val="24"/>
          <w:szCs w:val="24"/>
        </w:rPr>
        <w:t xml:space="preserve">.  </w:t>
      </w:r>
    </w:p>
    <w:p w14:paraId="3C1BE275" w14:textId="77777777" w:rsidR="00247892" w:rsidRPr="00247892" w:rsidRDefault="00247892" w:rsidP="00083068">
      <w:pPr>
        <w:spacing w:after="0"/>
        <w:rPr>
          <w:rFonts w:cstheme="minorHAnsi"/>
          <w:color w:val="000000"/>
          <w:sz w:val="24"/>
          <w:szCs w:val="24"/>
        </w:rPr>
      </w:pPr>
    </w:p>
    <w:p w14:paraId="14CB686A" w14:textId="77777777" w:rsidR="00247892" w:rsidRPr="007F1DB3" w:rsidRDefault="00B02008" w:rsidP="00247892">
      <w:pPr>
        <w:pStyle w:val="NoSpacing"/>
        <w:rPr>
          <w:rFonts w:asciiTheme="minorHAnsi" w:eastAsia="Times New Roman" w:hAnsiTheme="minorHAnsi" w:cstheme="minorHAnsi"/>
          <w:sz w:val="24"/>
          <w:szCs w:val="24"/>
          <w:lang w:bidi="en-US"/>
        </w:rPr>
      </w:pPr>
      <w:r w:rsidRPr="00016130">
        <w:rPr>
          <w:rFonts w:asciiTheme="minorHAnsi" w:eastAsia="Times New Roman" w:hAnsiTheme="minorHAnsi" w:cstheme="minorHAnsi"/>
          <w:iCs/>
          <w:color w:val="000000" w:themeColor="text1"/>
          <w:sz w:val="24"/>
          <w:szCs w:val="24"/>
        </w:rPr>
        <w:t xml:space="preserve">In </w:t>
      </w:r>
      <w:hyperlink r:id="rId12" w:history="1">
        <w:r w:rsidRPr="00016130">
          <w:rPr>
            <w:rStyle w:val="Hyperlink"/>
            <w:rFonts w:asciiTheme="minorHAnsi" w:eastAsia="Times New Roman" w:hAnsiTheme="minorHAnsi" w:cstheme="minorHAnsi"/>
            <w:iCs/>
            <w:sz w:val="24"/>
            <w:szCs w:val="24"/>
          </w:rPr>
          <w:t xml:space="preserve">USDA Memo </w:t>
        </w:r>
        <w:r w:rsidR="00247892" w:rsidRPr="00016130">
          <w:rPr>
            <w:rStyle w:val="Hyperlink"/>
            <w:rFonts w:asciiTheme="minorHAnsi" w:eastAsia="Times New Roman" w:hAnsiTheme="minorHAnsi" w:cstheme="minorHAnsi"/>
            <w:iCs/>
            <w:sz w:val="24"/>
            <w:szCs w:val="24"/>
          </w:rPr>
          <w:t>SP 06-2023 Consolidated Appropriations Act, 2023: Effect on Child Nutrition Programs</w:t>
        </w:r>
      </w:hyperlink>
      <w:r w:rsidR="00247892" w:rsidRPr="007F1DB3">
        <w:rPr>
          <w:rFonts w:asciiTheme="minorHAnsi" w:eastAsia="Times New Roman" w:hAnsiTheme="minorHAnsi" w:cstheme="minorHAnsi"/>
          <w:sz w:val="24"/>
          <w:szCs w:val="24"/>
        </w:rPr>
        <w:t>, published on March 3, 2023</w:t>
      </w:r>
      <w:r w:rsidR="00247892" w:rsidRPr="007F1DB3">
        <w:rPr>
          <w:rFonts w:asciiTheme="minorHAnsi" w:eastAsia="Times New Roman" w:hAnsiTheme="minorHAnsi" w:cstheme="minorHAnsi"/>
          <w:sz w:val="24"/>
          <w:szCs w:val="24"/>
          <w:lang w:bidi="en-US"/>
        </w:rPr>
        <w:t xml:space="preserve">, </w:t>
      </w:r>
      <w:r>
        <w:rPr>
          <w:rFonts w:asciiTheme="minorHAnsi" w:eastAsia="Times New Roman" w:hAnsiTheme="minorHAnsi" w:cstheme="minorHAnsi"/>
          <w:sz w:val="24"/>
          <w:szCs w:val="24"/>
          <w:lang w:bidi="en-US"/>
        </w:rPr>
        <w:t xml:space="preserve">USDA </w:t>
      </w:r>
      <w:r w:rsidR="00247892" w:rsidRPr="007F1DB3">
        <w:rPr>
          <w:rFonts w:asciiTheme="minorHAnsi" w:eastAsia="Times New Roman" w:hAnsiTheme="minorHAnsi" w:cstheme="minorHAnsi"/>
          <w:sz w:val="24"/>
          <w:szCs w:val="24"/>
          <w:lang w:bidi="en-US"/>
        </w:rPr>
        <w:t xml:space="preserve">announced that in Section 752 </w:t>
      </w:r>
      <w:r w:rsidR="00247892" w:rsidRPr="007F1DB3">
        <w:rPr>
          <w:rFonts w:asciiTheme="minorHAnsi" w:hAnsiTheme="minorHAnsi" w:cstheme="minorHAnsi"/>
          <w:sz w:val="24"/>
          <w:szCs w:val="24"/>
        </w:rPr>
        <w:t xml:space="preserve">of Division A of the Appropriations Act, </w:t>
      </w:r>
      <w:r w:rsidR="00247892" w:rsidRPr="007F1DB3">
        <w:rPr>
          <w:rFonts w:asciiTheme="minorHAnsi" w:eastAsia="Times New Roman" w:hAnsiTheme="minorHAnsi" w:cstheme="minorHAnsi"/>
          <w:sz w:val="24"/>
          <w:szCs w:val="24"/>
          <w:lang w:bidi="en-US"/>
        </w:rPr>
        <w:t>Congress provide</w:t>
      </w:r>
      <w:r>
        <w:rPr>
          <w:rFonts w:asciiTheme="minorHAnsi" w:eastAsia="Times New Roman" w:hAnsiTheme="minorHAnsi" w:cstheme="minorHAnsi"/>
          <w:sz w:val="24"/>
          <w:szCs w:val="24"/>
          <w:lang w:bidi="en-US"/>
        </w:rPr>
        <w:t>d</w:t>
      </w:r>
      <w:r w:rsidR="00247892" w:rsidRPr="007F1DB3">
        <w:rPr>
          <w:rFonts w:asciiTheme="minorHAnsi" w:eastAsia="Times New Roman" w:hAnsiTheme="minorHAnsi" w:cstheme="minorHAnsi"/>
          <w:sz w:val="24"/>
          <w:szCs w:val="24"/>
          <w:lang w:bidi="en-US"/>
        </w:rPr>
        <w:t xml:space="preserve"> an exception to the PLE requirements for SY 2023-2024. It stated that</w:t>
      </w:r>
      <w:r w:rsidR="00247892" w:rsidRPr="007F1DB3">
        <w:rPr>
          <w:rFonts w:asciiTheme="minorHAnsi" w:hAnsiTheme="minorHAnsi" w:cstheme="minorHAnsi"/>
          <w:sz w:val="24"/>
          <w:szCs w:val="24"/>
          <w:lang w:bidi="en-US"/>
        </w:rPr>
        <w:t xml:space="preserve"> only SFAs that had a negative balance in the nonprofit school food service account as of June 30, 2022, shall </w:t>
      </w:r>
      <w:r w:rsidR="00247892" w:rsidRPr="007F1DB3">
        <w:rPr>
          <w:rFonts w:asciiTheme="minorHAnsi" w:eastAsia="Times New Roman" w:hAnsiTheme="minorHAnsi" w:cstheme="minorHAnsi"/>
          <w:sz w:val="24"/>
          <w:szCs w:val="24"/>
          <w:lang w:bidi="en-US"/>
        </w:rPr>
        <w:t xml:space="preserve">be required to establish prices for paid lunches according to the PLE provisions in </w:t>
      </w:r>
      <w:r w:rsidR="0087798D">
        <w:rPr>
          <w:rFonts w:asciiTheme="minorHAnsi" w:eastAsia="Times New Roman" w:hAnsiTheme="minorHAnsi" w:cstheme="minorHAnsi"/>
          <w:sz w:val="24"/>
          <w:szCs w:val="24"/>
          <w:lang w:bidi="en-US"/>
        </w:rPr>
        <w:t xml:space="preserve">the </w:t>
      </w:r>
      <w:r w:rsidR="00247892" w:rsidRPr="007F1DB3">
        <w:rPr>
          <w:rFonts w:asciiTheme="minorHAnsi" w:eastAsia="Times New Roman" w:hAnsiTheme="minorHAnsi" w:cstheme="minorHAnsi"/>
          <w:sz w:val="24"/>
          <w:szCs w:val="24"/>
          <w:lang w:bidi="en-US"/>
        </w:rPr>
        <w:t xml:space="preserve">National School Lunch Program regulations at </w:t>
      </w:r>
      <w:hyperlink r:id="rId13" w:anchor="p-210.14(e)">
        <w:r w:rsidR="00247892" w:rsidRPr="007F1DB3">
          <w:rPr>
            <w:rStyle w:val="Hyperlink"/>
            <w:rFonts w:asciiTheme="minorHAnsi" w:eastAsia="Times New Roman" w:hAnsiTheme="minorHAnsi" w:cstheme="minorHAnsi"/>
            <w:sz w:val="24"/>
            <w:szCs w:val="24"/>
            <w:lang w:bidi="en-US"/>
          </w:rPr>
          <w:t>7 CFR 210.14(e)</w:t>
        </w:r>
      </w:hyperlink>
      <w:r w:rsidR="00247892" w:rsidRPr="007F1DB3">
        <w:rPr>
          <w:rFonts w:asciiTheme="minorHAnsi" w:eastAsia="Times New Roman" w:hAnsiTheme="minorHAnsi" w:cstheme="minorHAnsi"/>
          <w:sz w:val="24"/>
          <w:szCs w:val="24"/>
          <w:lang w:bidi="en-US"/>
        </w:rPr>
        <w:t xml:space="preserve">. Therefore, the guidance that follows is separated into two categories: SFAs that qualify for the exemption and SFAs that do not qualify for the exemption. </w:t>
      </w:r>
    </w:p>
    <w:p w14:paraId="5A71700A" w14:textId="77777777" w:rsidR="00247892" w:rsidRDefault="00247892" w:rsidP="00247892">
      <w:pPr>
        <w:pStyle w:val="NoSpacing"/>
        <w:rPr>
          <w:rFonts w:asciiTheme="minorHAnsi" w:eastAsia="Times New Roman" w:hAnsiTheme="minorHAnsi" w:cstheme="minorHAnsi"/>
          <w:sz w:val="24"/>
          <w:szCs w:val="24"/>
          <w:lang w:bidi="en-US"/>
        </w:rPr>
      </w:pPr>
    </w:p>
    <w:p w14:paraId="4CE41F0D" w14:textId="77777777" w:rsidR="007F1DB3" w:rsidRPr="007F1DB3" w:rsidRDefault="007F1DB3" w:rsidP="007F1DB3">
      <w:pPr>
        <w:pStyle w:val="NoSpacing"/>
        <w:rPr>
          <w:rFonts w:asciiTheme="minorHAnsi" w:eastAsia="Times New Roman" w:hAnsiTheme="minorHAnsi" w:cstheme="minorHAnsi"/>
          <w:b/>
          <w:bCs/>
          <w:sz w:val="24"/>
          <w:szCs w:val="24"/>
          <w:lang w:bidi="en-US"/>
        </w:rPr>
      </w:pPr>
      <w:r w:rsidRPr="007F1DB3">
        <w:rPr>
          <w:rFonts w:asciiTheme="minorHAnsi" w:eastAsia="Times New Roman" w:hAnsiTheme="minorHAnsi" w:cstheme="minorHAnsi"/>
          <w:b/>
          <w:bCs/>
          <w:sz w:val="24"/>
          <w:szCs w:val="24"/>
          <w:u w:val="single"/>
          <w:lang w:bidi="en-US"/>
        </w:rPr>
        <w:t>SFAs Qualifying for the SY 2023-2024 PLE Exemption</w:t>
      </w:r>
    </w:p>
    <w:p w14:paraId="66881362" w14:textId="1F2D157C" w:rsidR="007F1DB3" w:rsidRPr="007F1DB3" w:rsidRDefault="007F1DB3" w:rsidP="007F1DB3">
      <w:pPr>
        <w:pStyle w:val="NoSpacing"/>
        <w:rPr>
          <w:rFonts w:eastAsia="Times New Roman" w:cs="Calibri"/>
          <w:color w:val="B04D18" w:themeColor="accent3" w:themeShade="BF"/>
          <w:sz w:val="24"/>
          <w:szCs w:val="24"/>
          <w:lang w:bidi="en-US"/>
        </w:rPr>
      </w:pPr>
      <w:r w:rsidRPr="007F1DB3">
        <w:rPr>
          <w:rFonts w:eastAsia="Times New Roman" w:cs="Calibri"/>
          <w:sz w:val="24"/>
          <w:szCs w:val="24"/>
          <w:lang w:bidi="en-US"/>
        </w:rPr>
        <w:t xml:space="preserve">For SY 2023-2024, SFAs with a positive or zero balance in the nonprofit school food service account as of June 30, </w:t>
      </w:r>
      <w:bookmarkStart w:id="0" w:name="_Int_DnfOeVu6"/>
      <w:r w:rsidRPr="007F1DB3">
        <w:rPr>
          <w:rFonts w:eastAsia="Times New Roman" w:cs="Calibri"/>
          <w:sz w:val="24"/>
          <w:szCs w:val="24"/>
          <w:lang w:bidi="en-US"/>
        </w:rPr>
        <w:t>2022</w:t>
      </w:r>
      <w:bookmarkEnd w:id="0"/>
      <w:r w:rsidRPr="007F1DB3">
        <w:rPr>
          <w:rFonts w:eastAsia="Times New Roman" w:cs="Calibri"/>
          <w:sz w:val="24"/>
          <w:szCs w:val="24"/>
          <w:lang w:bidi="en-US"/>
        </w:rPr>
        <w:t xml:space="preserve">, </w:t>
      </w:r>
      <w:r>
        <w:rPr>
          <w:rFonts w:eastAsia="Times New Roman" w:cs="Calibri"/>
          <w:sz w:val="24"/>
          <w:szCs w:val="24"/>
          <w:lang w:bidi="en-US"/>
        </w:rPr>
        <w:t>intending to implement the</w:t>
      </w:r>
      <w:r w:rsidRPr="007F1DB3">
        <w:rPr>
          <w:rFonts w:eastAsia="Times New Roman" w:cs="Calibri"/>
          <w:sz w:val="24"/>
          <w:szCs w:val="24"/>
          <w:lang w:bidi="en-US"/>
        </w:rPr>
        <w:t xml:space="preserve"> exemption from PLE pricing requirements must communicate this intent to ODE</w:t>
      </w:r>
      <w:r>
        <w:rPr>
          <w:rFonts w:eastAsia="Times New Roman" w:cs="Calibri"/>
          <w:sz w:val="24"/>
          <w:szCs w:val="24"/>
          <w:lang w:bidi="en-US"/>
        </w:rPr>
        <w:t xml:space="preserve"> Child Nutrition Programs by completing this </w:t>
      </w:r>
      <w:r w:rsidR="00752533" w:rsidRPr="00EC7102">
        <w:rPr>
          <w:rFonts w:eastAsia="Times New Roman" w:cs="Calibri"/>
          <w:sz w:val="24"/>
          <w:szCs w:val="24"/>
          <w:lang w:bidi="en-US"/>
        </w:rPr>
        <w:t xml:space="preserve">online </w:t>
      </w:r>
      <w:hyperlink r:id="rId14" w:history="1">
        <w:r w:rsidR="00752533" w:rsidRPr="00EC7102">
          <w:rPr>
            <w:rStyle w:val="Hyperlink"/>
            <w:rFonts w:eastAsia="Times New Roman" w:cs="Calibri"/>
            <w:sz w:val="24"/>
            <w:szCs w:val="24"/>
            <w:lang w:bidi="en-US"/>
          </w:rPr>
          <w:t>Paid Lunch Equity Reporting Form</w:t>
        </w:r>
      </w:hyperlink>
      <w:r w:rsidRPr="00EC7102">
        <w:rPr>
          <w:rFonts w:eastAsia="Times New Roman" w:cs="Calibri"/>
          <w:sz w:val="24"/>
          <w:szCs w:val="24"/>
          <w:lang w:bidi="en-US"/>
        </w:rPr>
        <w:t>.</w:t>
      </w:r>
      <w:r>
        <w:rPr>
          <w:rFonts w:eastAsia="Times New Roman" w:cs="Calibri"/>
          <w:sz w:val="24"/>
          <w:szCs w:val="24"/>
          <w:lang w:bidi="en-US"/>
        </w:rPr>
        <w:t xml:space="preserve">  To complete this </w:t>
      </w:r>
      <w:r w:rsidR="00752533">
        <w:rPr>
          <w:rFonts w:eastAsia="Times New Roman" w:cs="Calibri"/>
          <w:sz w:val="24"/>
          <w:szCs w:val="24"/>
          <w:lang w:bidi="en-US"/>
        </w:rPr>
        <w:t xml:space="preserve">form, </w:t>
      </w:r>
      <w:r>
        <w:rPr>
          <w:rFonts w:eastAsia="Times New Roman" w:cs="Calibri"/>
          <w:sz w:val="24"/>
          <w:szCs w:val="24"/>
          <w:lang w:bidi="en-US"/>
        </w:rPr>
        <w:t>SFA’s will be required to provide the balance of the nonprofit food service account as of June 30, 2022.</w:t>
      </w:r>
    </w:p>
    <w:p w14:paraId="0D5C7264" w14:textId="77777777" w:rsidR="00247892" w:rsidRDefault="00247892" w:rsidP="00247892">
      <w:pPr>
        <w:pStyle w:val="NoSpacing"/>
        <w:rPr>
          <w:rFonts w:asciiTheme="minorHAnsi" w:eastAsia="Times New Roman" w:hAnsiTheme="minorHAnsi" w:cstheme="minorHAnsi"/>
          <w:sz w:val="24"/>
          <w:szCs w:val="24"/>
          <w:lang w:bidi="en-US"/>
        </w:rPr>
      </w:pPr>
    </w:p>
    <w:p w14:paraId="2E9D2D5D" w14:textId="77777777" w:rsidR="007F1DB3" w:rsidRPr="00B575B2" w:rsidRDefault="007F1DB3" w:rsidP="007F1DB3">
      <w:pPr>
        <w:pStyle w:val="NoSpacing"/>
        <w:rPr>
          <w:rFonts w:asciiTheme="minorHAnsi" w:eastAsia="Times New Roman" w:hAnsiTheme="minorHAnsi" w:cstheme="minorHAnsi"/>
          <w:b/>
          <w:bCs/>
          <w:sz w:val="24"/>
          <w:szCs w:val="24"/>
          <w:u w:val="single"/>
          <w:lang w:bidi="en-US"/>
        </w:rPr>
      </w:pPr>
      <w:r w:rsidRPr="00B575B2">
        <w:rPr>
          <w:rFonts w:asciiTheme="minorHAnsi" w:eastAsia="Times New Roman" w:hAnsiTheme="minorHAnsi" w:cstheme="minorHAnsi"/>
          <w:b/>
          <w:bCs/>
          <w:sz w:val="24"/>
          <w:szCs w:val="24"/>
          <w:u w:val="single"/>
          <w:lang w:bidi="en-US"/>
        </w:rPr>
        <w:t>SFAs Not Qualifying for the SY 2023-2024 PLE Exemption</w:t>
      </w:r>
    </w:p>
    <w:p w14:paraId="5EE203C1" w14:textId="19EC3BCB" w:rsidR="007F1DB3" w:rsidRPr="007F1DB3" w:rsidRDefault="007F1DB3" w:rsidP="007F1DB3">
      <w:pPr>
        <w:pStyle w:val="NoSpacing"/>
        <w:rPr>
          <w:rFonts w:asciiTheme="minorHAnsi" w:eastAsia="Times New Roman" w:hAnsiTheme="minorHAnsi" w:cstheme="minorHAnsi"/>
          <w:sz w:val="24"/>
          <w:szCs w:val="24"/>
          <w:lang w:bidi="en-US"/>
        </w:rPr>
      </w:pPr>
      <w:r w:rsidRPr="007F1DB3">
        <w:rPr>
          <w:rFonts w:asciiTheme="minorHAnsi" w:eastAsia="Times New Roman" w:hAnsiTheme="minorHAnsi" w:cstheme="minorHAnsi"/>
          <w:sz w:val="24"/>
          <w:szCs w:val="24"/>
          <w:lang w:bidi="en-US"/>
        </w:rPr>
        <w:t xml:space="preserve">SFAs that had a negative balance in the nonprofit school food service account as of June 30, 2022, must follow PLE requirements according to </w:t>
      </w:r>
      <w:hyperlink r:id="rId15" w:anchor="p-210.14(e)">
        <w:r w:rsidRPr="007F1DB3">
          <w:rPr>
            <w:rStyle w:val="Hyperlink"/>
            <w:rFonts w:asciiTheme="minorHAnsi" w:eastAsia="Times New Roman" w:hAnsiTheme="minorHAnsi" w:cstheme="minorHAnsi"/>
            <w:sz w:val="24"/>
            <w:szCs w:val="24"/>
            <w:lang w:bidi="en-US"/>
          </w:rPr>
          <w:t>7 CFR 210.14(e)</w:t>
        </w:r>
      </w:hyperlink>
      <w:r w:rsidRPr="007F1DB3">
        <w:rPr>
          <w:rFonts w:asciiTheme="minorHAnsi" w:eastAsia="Times New Roman" w:hAnsiTheme="minorHAnsi" w:cstheme="minorHAnsi"/>
          <w:sz w:val="24"/>
          <w:szCs w:val="24"/>
          <w:lang w:bidi="en-US"/>
        </w:rPr>
        <w:t xml:space="preserve"> when establishing their paid lunch prices for SY 2023-2024. SFAs m</w:t>
      </w:r>
      <w:r w:rsidR="00B575B2">
        <w:rPr>
          <w:rFonts w:asciiTheme="minorHAnsi" w:eastAsia="Times New Roman" w:hAnsiTheme="minorHAnsi" w:cstheme="minorHAnsi"/>
          <w:sz w:val="24"/>
          <w:szCs w:val="24"/>
          <w:lang w:bidi="en-US"/>
        </w:rPr>
        <w:t xml:space="preserve">ust use the </w:t>
      </w:r>
      <w:hyperlink r:id="rId16" w:history="1">
        <w:r w:rsidR="00B575B2" w:rsidRPr="00C100E5">
          <w:rPr>
            <w:rStyle w:val="Hyperlink"/>
            <w:rFonts w:asciiTheme="minorHAnsi" w:eastAsia="Times New Roman" w:hAnsiTheme="minorHAnsi" w:cstheme="minorHAnsi"/>
            <w:sz w:val="24"/>
            <w:szCs w:val="24"/>
            <w:lang w:bidi="en-US"/>
          </w:rPr>
          <w:t>USDA’s</w:t>
        </w:r>
        <w:r w:rsidRPr="00C100E5">
          <w:rPr>
            <w:rStyle w:val="Hyperlink"/>
            <w:rFonts w:asciiTheme="minorHAnsi" w:eastAsia="Times New Roman" w:hAnsiTheme="minorHAnsi" w:cstheme="minorHAnsi"/>
            <w:sz w:val="24"/>
            <w:szCs w:val="24"/>
            <w:lang w:bidi="en-US"/>
          </w:rPr>
          <w:t xml:space="preserve"> SY 2023-2024 PLE </w:t>
        </w:r>
        <w:r w:rsidR="00C100E5" w:rsidRPr="00C100E5">
          <w:rPr>
            <w:rStyle w:val="Hyperlink"/>
            <w:rFonts w:asciiTheme="minorHAnsi" w:eastAsia="Times New Roman" w:hAnsiTheme="minorHAnsi" w:cstheme="minorHAnsi"/>
            <w:sz w:val="24"/>
            <w:szCs w:val="24"/>
            <w:lang w:bidi="en-US"/>
          </w:rPr>
          <w:t>T</w:t>
        </w:r>
        <w:r w:rsidRPr="00C100E5">
          <w:rPr>
            <w:rStyle w:val="Hyperlink"/>
            <w:rFonts w:asciiTheme="minorHAnsi" w:eastAsia="Times New Roman" w:hAnsiTheme="minorHAnsi" w:cstheme="minorHAnsi"/>
            <w:sz w:val="24"/>
            <w:szCs w:val="24"/>
            <w:lang w:bidi="en-US"/>
          </w:rPr>
          <w:t>ool</w:t>
        </w:r>
      </w:hyperlink>
      <w:r w:rsidRPr="007F1DB3">
        <w:rPr>
          <w:rFonts w:asciiTheme="minorHAnsi" w:eastAsia="Times New Roman" w:hAnsiTheme="minorHAnsi" w:cstheme="minorHAnsi"/>
          <w:sz w:val="24"/>
          <w:szCs w:val="24"/>
          <w:lang w:bidi="en-US"/>
        </w:rPr>
        <w:t xml:space="preserve"> to determine the</w:t>
      </w:r>
      <w:r w:rsidR="00016130">
        <w:rPr>
          <w:rFonts w:asciiTheme="minorHAnsi" w:eastAsia="Times New Roman" w:hAnsiTheme="minorHAnsi" w:cstheme="minorHAnsi"/>
          <w:sz w:val="24"/>
          <w:szCs w:val="24"/>
          <w:lang w:bidi="en-US"/>
        </w:rPr>
        <w:t xml:space="preserve"> </w:t>
      </w:r>
      <w:r w:rsidRPr="007F1DB3">
        <w:rPr>
          <w:rFonts w:asciiTheme="minorHAnsi" w:eastAsia="Times New Roman" w:hAnsiTheme="minorHAnsi" w:cstheme="minorHAnsi"/>
          <w:sz w:val="24"/>
          <w:szCs w:val="24"/>
          <w:lang w:bidi="en-US"/>
        </w:rPr>
        <w:t>required paid lunch prices.</w:t>
      </w:r>
    </w:p>
    <w:p w14:paraId="1FB6DB15" w14:textId="77777777" w:rsidR="00B575B2" w:rsidRPr="00B575B2" w:rsidRDefault="00B575B2" w:rsidP="00B575B2">
      <w:pPr>
        <w:pStyle w:val="NoSpacing"/>
        <w:rPr>
          <w:rFonts w:asciiTheme="minorHAnsi" w:eastAsia="Times New Roman" w:hAnsiTheme="minorHAnsi" w:cstheme="minorHAnsi"/>
          <w:bCs/>
          <w:sz w:val="24"/>
          <w:szCs w:val="24"/>
          <w:lang w:bidi="en-US"/>
        </w:rPr>
      </w:pPr>
      <w:r w:rsidRPr="00B575B2">
        <w:rPr>
          <w:rFonts w:asciiTheme="minorHAnsi" w:eastAsia="Times New Roman" w:hAnsiTheme="minorHAnsi" w:cstheme="minorHAnsi"/>
          <w:bCs/>
          <w:sz w:val="24"/>
          <w:szCs w:val="24"/>
          <w:lang w:bidi="en-US"/>
        </w:rPr>
        <w:lastRenderedPageBreak/>
        <w:t>In the PLE tool</w:t>
      </w:r>
      <w:r>
        <w:rPr>
          <w:rFonts w:asciiTheme="minorHAnsi" w:eastAsia="Times New Roman" w:hAnsiTheme="minorHAnsi" w:cstheme="minorHAnsi"/>
          <w:bCs/>
          <w:sz w:val="24"/>
          <w:szCs w:val="24"/>
          <w:lang w:bidi="en-US"/>
        </w:rPr>
        <w:t xml:space="preserve"> </w:t>
      </w:r>
      <w:r w:rsidRPr="00B575B2">
        <w:rPr>
          <w:rFonts w:asciiTheme="minorHAnsi" w:eastAsia="Times New Roman" w:hAnsiTheme="minorHAnsi" w:cstheme="minorHAnsi"/>
          <w:bCs/>
          <w:sz w:val="24"/>
          <w:szCs w:val="24"/>
          <w:lang w:bidi="en-US"/>
        </w:rPr>
        <w:t xml:space="preserve">SFAs may use the prices </w:t>
      </w:r>
      <w:r w:rsidRPr="00B575B2">
        <w:rPr>
          <w:rFonts w:asciiTheme="minorHAnsi" w:eastAsia="Times New Roman" w:hAnsiTheme="minorHAnsi" w:cstheme="minorHAnsi"/>
          <w:bCs/>
          <w:sz w:val="24"/>
          <w:szCs w:val="24"/>
          <w:u w:val="single"/>
          <w:lang w:bidi="en-US"/>
        </w:rPr>
        <w:t>last</w:t>
      </w:r>
      <w:r w:rsidRPr="00B575B2">
        <w:rPr>
          <w:rFonts w:asciiTheme="minorHAnsi" w:eastAsia="Times New Roman" w:hAnsiTheme="minorHAnsi" w:cstheme="minorHAnsi"/>
          <w:bCs/>
          <w:sz w:val="24"/>
          <w:szCs w:val="24"/>
          <w:lang w:bidi="en-US"/>
        </w:rPr>
        <w:t xml:space="preserve"> charged </w:t>
      </w:r>
      <w:r w:rsidR="0087798D">
        <w:rPr>
          <w:rFonts w:asciiTheme="minorHAnsi" w:eastAsia="Times New Roman" w:hAnsiTheme="minorHAnsi" w:cstheme="minorHAnsi"/>
          <w:bCs/>
          <w:sz w:val="24"/>
          <w:szCs w:val="24"/>
          <w:lang w:bidi="en-US"/>
        </w:rPr>
        <w:t xml:space="preserve">to </w:t>
      </w:r>
      <w:r w:rsidRPr="00B575B2">
        <w:rPr>
          <w:rFonts w:asciiTheme="minorHAnsi" w:eastAsia="Times New Roman" w:hAnsiTheme="minorHAnsi" w:cstheme="minorHAnsi"/>
          <w:bCs/>
          <w:sz w:val="24"/>
          <w:szCs w:val="24"/>
          <w:lang w:bidi="en-US"/>
        </w:rPr>
        <w:t xml:space="preserve">students as the basis for their SY 2023-2024 paid lunch price calculation, even if those prices were charged during a year the SFA was not required to comply with PLE requirements. </w:t>
      </w:r>
      <w:r w:rsidRPr="00B575B2">
        <w:rPr>
          <w:rFonts w:asciiTheme="minorHAnsi" w:eastAsia="Times New Roman" w:hAnsiTheme="minorHAnsi" w:cstheme="minorHAnsi"/>
          <w:sz w:val="24"/>
          <w:szCs w:val="24"/>
          <w:lang w:bidi="en-US"/>
        </w:rPr>
        <w:t xml:space="preserve">For example, SFAs that received flexibility under the PLE waiver during SY 2022-2023 or that were exempt based on the FY 2022 Appropriations Act </w:t>
      </w:r>
      <w:r>
        <w:rPr>
          <w:rFonts w:asciiTheme="minorHAnsi" w:eastAsia="Times New Roman" w:hAnsiTheme="minorHAnsi" w:cstheme="minorHAnsi"/>
          <w:sz w:val="24"/>
          <w:szCs w:val="24"/>
          <w:lang w:bidi="en-US"/>
        </w:rPr>
        <w:t>may use</w:t>
      </w:r>
      <w:r w:rsidRPr="00B575B2">
        <w:rPr>
          <w:rFonts w:asciiTheme="minorHAnsi" w:eastAsia="Times New Roman" w:hAnsiTheme="minorHAnsi" w:cstheme="minorHAnsi"/>
          <w:sz w:val="24"/>
          <w:szCs w:val="24"/>
          <w:lang w:bidi="en-US"/>
        </w:rPr>
        <w:t xml:space="preserve"> prices charged during SY 2022-2023 to determine their PLE requirement for SY 2023-2024.  </w:t>
      </w:r>
    </w:p>
    <w:p w14:paraId="44FF718C" w14:textId="77777777" w:rsidR="00B575B2" w:rsidRDefault="00B575B2" w:rsidP="00247892">
      <w:pPr>
        <w:pStyle w:val="NoSpacing"/>
        <w:rPr>
          <w:rFonts w:asciiTheme="minorHAnsi" w:eastAsia="Times New Roman" w:hAnsiTheme="minorHAnsi" w:cstheme="minorHAnsi"/>
          <w:b/>
          <w:bCs/>
          <w:sz w:val="24"/>
          <w:szCs w:val="24"/>
          <w:u w:val="single"/>
          <w:lang w:bidi="en-US"/>
        </w:rPr>
      </w:pPr>
    </w:p>
    <w:p w14:paraId="16B3D530" w14:textId="77777777" w:rsidR="00B02008" w:rsidRDefault="00B02008" w:rsidP="00247892">
      <w:pPr>
        <w:pStyle w:val="NoSpacing"/>
        <w:rPr>
          <w:rFonts w:cs="Calibri"/>
          <w:color w:val="000000" w:themeColor="text1"/>
          <w:sz w:val="24"/>
          <w:szCs w:val="24"/>
        </w:rPr>
      </w:pPr>
      <w:r w:rsidRPr="001C15AA">
        <w:rPr>
          <w:rFonts w:cs="Calibri"/>
          <w:color w:val="000000"/>
          <w:sz w:val="24"/>
          <w:szCs w:val="24"/>
        </w:rPr>
        <w:t>S</w:t>
      </w:r>
      <w:r>
        <w:rPr>
          <w:rFonts w:cs="Calibri"/>
          <w:color w:val="000000"/>
          <w:sz w:val="24"/>
          <w:szCs w:val="24"/>
        </w:rPr>
        <w:t>chool Food Authorities</w:t>
      </w:r>
      <w:r w:rsidR="0087798D">
        <w:rPr>
          <w:rFonts w:cs="Calibri"/>
          <w:color w:val="000000"/>
          <w:sz w:val="24"/>
          <w:szCs w:val="24"/>
        </w:rPr>
        <w:t xml:space="preserve"> </w:t>
      </w:r>
      <w:r w:rsidRPr="001C15AA">
        <w:rPr>
          <w:rFonts w:cs="Calibri"/>
          <w:color w:val="000000"/>
          <w:sz w:val="24"/>
          <w:szCs w:val="24"/>
        </w:rPr>
        <w:t xml:space="preserve">that currently charge less than the amount needed to create paid lunch equity </w:t>
      </w:r>
      <w:r w:rsidR="0087798D">
        <w:rPr>
          <w:rFonts w:cs="Calibri"/>
          <w:color w:val="000000"/>
          <w:sz w:val="24"/>
          <w:szCs w:val="24"/>
        </w:rPr>
        <w:t>can meet the PLE requirement in one of three ways</w:t>
      </w:r>
      <w:r>
        <w:rPr>
          <w:rFonts w:cs="Calibri"/>
          <w:color w:val="000000" w:themeColor="text1"/>
          <w:sz w:val="24"/>
          <w:szCs w:val="24"/>
        </w:rPr>
        <w:t>:</w:t>
      </w:r>
    </w:p>
    <w:p w14:paraId="0C06574D" w14:textId="77777777" w:rsidR="00B02008" w:rsidRDefault="00B02008" w:rsidP="00B02008">
      <w:pPr>
        <w:numPr>
          <w:ilvl w:val="0"/>
          <w:numId w:val="13"/>
        </w:numPr>
        <w:spacing w:after="0"/>
        <w:contextualSpacing/>
        <w:rPr>
          <w:rFonts w:cstheme="minorHAnsi"/>
          <w:sz w:val="24"/>
          <w:szCs w:val="20"/>
        </w:rPr>
      </w:pPr>
      <w:r w:rsidRPr="00B02008">
        <w:rPr>
          <w:rFonts w:cstheme="minorHAnsi"/>
          <w:sz w:val="24"/>
          <w:szCs w:val="20"/>
        </w:rPr>
        <w:t>Increas</w:t>
      </w:r>
      <w:r w:rsidR="0087798D">
        <w:rPr>
          <w:rFonts w:cstheme="minorHAnsi"/>
          <w:sz w:val="24"/>
          <w:szCs w:val="20"/>
        </w:rPr>
        <w:t xml:space="preserve">ing </w:t>
      </w:r>
      <w:r w:rsidRPr="00B02008">
        <w:rPr>
          <w:rFonts w:cstheme="minorHAnsi"/>
          <w:sz w:val="24"/>
          <w:szCs w:val="20"/>
        </w:rPr>
        <w:t>prices charged for paid lunch meals</w:t>
      </w:r>
    </w:p>
    <w:p w14:paraId="6A4FD5AC" w14:textId="77777777" w:rsidR="00B02008" w:rsidRDefault="00B02008" w:rsidP="00B02008">
      <w:pPr>
        <w:numPr>
          <w:ilvl w:val="0"/>
          <w:numId w:val="13"/>
        </w:numPr>
        <w:spacing w:after="0"/>
        <w:contextualSpacing/>
        <w:rPr>
          <w:rFonts w:cstheme="minorHAnsi"/>
          <w:sz w:val="24"/>
          <w:szCs w:val="20"/>
        </w:rPr>
      </w:pPr>
      <w:r>
        <w:rPr>
          <w:rFonts w:cstheme="minorHAnsi"/>
          <w:sz w:val="24"/>
          <w:szCs w:val="20"/>
        </w:rPr>
        <w:t xml:space="preserve"> </w:t>
      </w:r>
      <w:r w:rsidRPr="00B02008">
        <w:rPr>
          <w:rFonts w:cstheme="minorHAnsi"/>
          <w:sz w:val="24"/>
          <w:szCs w:val="20"/>
        </w:rPr>
        <w:t>Providing non-federal funding sources to the nonprofit school food service account</w:t>
      </w:r>
      <w:r w:rsidR="0087798D">
        <w:rPr>
          <w:rFonts w:cstheme="minorHAnsi"/>
          <w:sz w:val="24"/>
          <w:szCs w:val="20"/>
        </w:rPr>
        <w:t xml:space="preserve"> in the amount indication in the PLE tool; or</w:t>
      </w:r>
    </w:p>
    <w:p w14:paraId="13C52A3D" w14:textId="11D4AFE9" w:rsidR="00B02008" w:rsidRDefault="00B02008" w:rsidP="0087798D">
      <w:pPr>
        <w:numPr>
          <w:ilvl w:val="0"/>
          <w:numId w:val="13"/>
        </w:numPr>
        <w:spacing w:after="0"/>
        <w:contextualSpacing/>
        <w:rPr>
          <w:rFonts w:cstheme="minorHAnsi"/>
          <w:sz w:val="24"/>
          <w:szCs w:val="20"/>
        </w:rPr>
      </w:pPr>
      <w:r>
        <w:rPr>
          <w:rFonts w:cstheme="minorHAnsi"/>
          <w:sz w:val="24"/>
          <w:szCs w:val="20"/>
        </w:rPr>
        <w:t xml:space="preserve">A combination of paid meal price increases and </w:t>
      </w:r>
      <w:r w:rsidR="0087798D">
        <w:rPr>
          <w:rFonts w:cstheme="minorHAnsi"/>
          <w:sz w:val="24"/>
          <w:szCs w:val="20"/>
        </w:rPr>
        <w:t xml:space="preserve">contribution of </w:t>
      </w:r>
      <w:r>
        <w:rPr>
          <w:rFonts w:cstheme="minorHAnsi"/>
          <w:sz w:val="24"/>
          <w:szCs w:val="20"/>
        </w:rPr>
        <w:t>nonfederal fund</w:t>
      </w:r>
      <w:r w:rsidR="0087798D">
        <w:rPr>
          <w:rFonts w:cstheme="minorHAnsi"/>
          <w:sz w:val="24"/>
          <w:szCs w:val="20"/>
        </w:rPr>
        <w:t>s</w:t>
      </w:r>
      <w:r>
        <w:rPr>
          <w:rFonts w:cstheme="minorHAnsi"/>
          <w:sz w:val="24"/>
          <w:szCs w:val="20"/>
        </w:rPr>
        <w:t>.</w:t>
      </w:r>
    </w:p>
    <w:p w14:paraId="0DF21837" w14:textId="77777777" w:rsidR="00016130" w:rsidRDefault="00016130" w:rsidP="00432CB6">
      <w:pPr>
        <w:spacing w:after="0"/>
        <w:contextualSpacing/>
        <w:rPr>
          <w:rFonts w:cstheme="minorHAnsi"/>
          <w:sz w:val="24"/>
          <w:szCs w:val="20"/>
        </w:rPr>
      </w:pPr>
    </w:p>
    <w:p w14:paraId="1B97B659" w14:textId="499CFDFA" w:rsidR="00016130" w:rsidRPr="0087798D" w:rsidRDefault="00016130" w:rsidP="00432CB6">
      <w:pPr>
        <w:spacing w:after="0"/>
        <w:contextualSpacing/>
        <w:rPr>
          <w:rFonts w:cstheme="minorHAnsi"/>
          <w:sz w:val="24"/>
          <w:szCs w:val="20"/>
        </w:rPr>
      </w:pPr>
      <w:r>
        <w:rPr>
          <w:rFonts w:cstheme="minorHAnsi"/>
          <w:sz w:val="24"/>
          <w:szCs w:val="20"/>
        </w:rPr>
        <w:t>School Food Authorities who are not eligible for the PLE requirement exemption must submit the completed U</w:t>
      </w:r>
      <w:r w:rsidR="00C100E5">
        <w:rPr>
          <w:rFonts w:cstheme="minorHAnsi"/>
          <w:sz w:val="24"/>
          <w:szCs w:val="20"/>
        </w:rPr>
        <w:t xml:space="preserve">SDA School Year </w:t>
      </w:r>
      <w:hyperlink r:id="rId17" w:history="1">
        <w:r w:rsidR="00C100E5" w:rsidRPr="00C100E5">
          <w:rPr>
            <w:rStyle w:val="Hyperlink"/>
            <w:rFonts w:cstheme="minorHAnsi"/>
            <w:sz w:val="24"/>
            <w:szCs w:val="20"/>
          </w:rPr>
          <w:t>2023 -2024 PLE T</w:t>
        </w:r>
        <w:r w:rsidRPr="00C100E5">
          <w:rPr>
            <w:rStyle w:val="Hyperlink"/>
            <w:rFonts w:cstheme="minorHAnsi"/>
            <w:sz w:val="24"/>
            <w:szCs w:val="20"/>
          </w:rPr>
          <w:t>ool</w:t>
        </w:r>
      </w:hyperlink>
      <w:r>
        <w:rPr>
          <w:rFonts w:cstheme="minorHAnsi"/>
          <w:sz w:val="24"/>
          <w:szCs w:val="20"/>
        </w:rPr>
        <w:t xml:space="preserve"> to ODE CNP.  The completed tool must be </w:t>
      </w:r>
      <w:r w:rsidR="00752533">
        <w:rPr>
          <w:rFonts w:cstheme="minorHAnsi"/>
          <w:sz w:val="24"/>
          <w:szCs w:val="20"/>
        </w:rPr>
        <w:t xml:space="preserve">uploaded to this </w:t>
      </w:r>
      <w:r w:rsidR="00752533" w:rsidRPr="00EC7102">
        <w:rPr>
          <w:rFonts w:cstheme="minorHAnsi"/>
          <w:sz w:val="24"/>
          <w:szCs w:val="20"/>
        </w:rPr>
        <w:t xml:space="preserve">online </w:t>
      </w:r>
      <w:hyperlink r:id="rId18" w:history="1">
        <w:r w:rsidR="00752533" w:rsidRPr="00EC7102">
          <w:rPr>
            <w:rStyle w:val="Hyperlink"/>
            <w:rFonts w:cstheme="minorHAnsi"/>
            <w:sz w:val="24"/>
            <w:szCs w:val="20"/>
          </w:rPr>
          <w:t>P</w:t>
        </w:r>
        <w:r w:rsidR="00432CB6" w:rsidRPr="00EC7102">
          <w:rPr>
            <w:rStyle w:val="Hyperlink"/>
            <w:rFonts w:cstheme="minorHAnsi"/>
            <w:sz w:val="24"/>
            <w:szCs w:val="20"/>
          </w:rPr>
          <w:t>aid Lunch Equity</w:t>
        </w:r>
        <w:r w:rsidR="00752533" w:rsidRPr="00EC7102">
          <w:rPr>
            <w:rStyle w:val="Hyperlink"/>
            <w:rFonts w:cstheme="minorHAnsi"/>
            <w:sz w:val="24"/>
            <w:szCs w:val="20"/>
          </w:rPr>
          <w:t xml:space="preserve"> Reporting Form</w:t>
        </w:r>
      </w:hyperlink>
      <w:r w:rsidR="00752533">
        <w:rPr>
          <w:rFonts w:cstheme="minorHAnsi"/>
          <w:sz w:val="24"/>
          <w:szCs w:val="20"/>
        </w:rPr>
        <w:t>.</w:t>
      </w:r>
    </w:p>
    <w:p w14:paraId="263B28EF" w14:textId="77777777" w:rsidR="00B02008" w:rsidRDefault="00B02008" w:rsidP="00247892">
      <w:pPr>
        <w:pStyle w:val="NoSpacing"/>
        <w:rPr>
          <w:rFonts w:cs="Calibri"/>
          <w:color w:val="000000"/>
          <w:sz w:val="24"/>
          <w:szCs w:val="24"/>
        </w:rPr>
      </w:pPr>
    </w:p>
    <w:p w14:paraId="469E1FEE" w14:textId="77777777" w:rsidR="00083068" w:rsidRDefault="00083068" w:rsidP="00083068">
      <w:pPr>
        <w:spacing w:after="0"/>
        <w:rPr>
          <w:rFonts w:cs="Calibri"/>
          <w:color w:val="000000"/>
          <w:sz w:val="24"/>
          <w:szCs w:val="24"/>
        </w:rPr>
      </w:pPr>
      <w:r w:rsidRPr="001C15AA">
        <w:rPr>
          <w:rFonts w:cs="Calibri"/>
          <w:color w:val="000000"/>
          <w:sz w:val="24"/>
          <w:szCs w:val="24"/>
        </w:rPr>
        <w:t xml:space="preserve">Please refer to </w:t>
      </w:r>
      <w:hyperlink r:id="rId19" w:history="1">
        <w:r w:rsidR="00016130" w:rsidRPr="00016130">
          <w:rPr>
            <w:rStyle w:val="Hyperlink"/>
            <w:rFonts w:cs="Calibri"/>
            <w:sz w:val="24"/>
            <w:szCs w:val="24"/>
          </w:rPr>
          <w:t>Paid Lunch Equity at A Glance</w:t>
        </w:r>
      </w:hyperlink>
      <w:r w:rsidR="00016130">
        <w:rPr>
          <w:rFonts w:cs="Calibri"/>
          <w:color w:val="000000"/>
          <w:sz w:val="24"/>
          <w:szCs w:val="24"/>
        </w:rPr>
        <w:t xml:space="preserve"> and the </w:t>
      </w:r>
      <w:r w:rsidR="00752533">
        <w:rPr>
          <w:rFonts w:cs="Calibri"/>
          <w:color w:val="000000"/>
          <w:sz w:val="24"/>
          <w:szCs w:val="24"/>
        </w:rPr>
        <w:t>i</w:t>
      </w:r>
      <w:r w:rsidR="00016130">
        <w:rPr>
          <w:rFonts w:cs="Calibri"/>
          <w:color w:val="000000"/>
          <w:sz w:val="24"/>
          <w:szCs w:val="24"/>
        </w:rPr>
        <w:t xml:space="preserve">nstructions provided in the USDA PLE tool for specific information. </w:t>
      </w:r>
      <w:r w:rsidRPr="001C15AA">
        <w:rPr>
          <w:rFonts w:cs="Calibri"/>
          <w:color w:val="000000"/>
          <w:sz w:val="24"/>
          <w:szCs w:val="24"/>
        </w:rPr>
        <w:t xml:space="preserve">Please contact </w:t>
      </w:r>
      <w:r w:rsidR="00016130">
        <w:rPr>
          <w:rFonts w:cs="Calibri"/>
          <w:color w:val="000000"/>
          <w:sz w:val="24"/>
          <w:szCs w:val="24"/>
        </w:rPr>
        <w:t xml:space="preserve">your </w:t>
      </w:r>
      <w:hyperlink r:id="rId20" w:history="1">
        <w:r w:rsidR="00016130" w:rsidRPr="00752533">
          <w:rPr>
            <w:rStyle w:val="Hyperlink"/>
            <w:rFonts w:cs="Calibri"/>
            <w:sz w:val="24"/>
            <w:szCs w:val="24"/>
          </w:rPr>
          <w:t>assigned specialist</w:t>
        </w:r>
      </w:hyperlink>
      <w:r w:rsidR="00016130">
        <w:rPr>
          <w:rFonts w:cs="Calibri"/>
          <w:color w:val="000000"/>
          <w:sz w:val="24"/>
          <w:szCs w:val="24"/>
        </w:rPr>
        <w:t xml:space="preserve"> if you have any questions.</w:t>
      </w:r>
      <w:r w:rsidR="00016130" w:rsidDel="00016130">
        <w:rPr>
          <w:rFonts w:cs="Calibri"/>
          <w:color w:val="000000"/>
          <w:sz w:val="24"/>
          <w:szCs w:val="24"/>
        </w:rPr>
        <w:t xml:space="preserve"> </w:t>
      </w:r>
    </w:p>
    <w:p w14:paraId="3B3BD5C3" w14:textId="77777777" w:rsidR="00432CB6" w:rsidRDefault="00432CB6" w:rsidP="00083068">
      <w:pPr>
        <w:spacing w:after="0"/>
        <w:rPr>
          <w:rFonts w:cs="Calibri"/>
          <w:color w:val="000000"/>
          <w:sz w:val="24"/>
          <w:szCs w:val="24"/>
        </w:rPr>
      </w:pPr>
    </w:p>
    <w:p w14:paraId="01846DB0" w14:textId="77777777" w:rsidR="00432CB6" w:rsidRDefault="00432CB6" w:rsidP="00083068">
      <w:pPr>
        <w:spacing w:after="0"/>
        <w:rPr>
          <w:rFonts w:cs="Calibri"/>
          <w:sz w:val="24"/>
          <w:szCs w:val="24"/>
        </w:rPr>
      </w:pPr>
    </w:p>
    <w:p w14:paraId="5070B63A" w14:textId="77777777" w:rsidR="00016130" w:rsidRPr="00432CB6" w:rsidRDefault="00016130" w:rsidP="00752533">
      <w:pPr>
        <w:spacing w:after="0"/>
        <w:rPr>
          <w:rFonts w:eastAsia="Calibri" w:cs="Arial"/>
          <w:noProof/>
          <w:color w:val="000000"/>
          <w:sz w:val="24"/>
          <w:szCs w:val="24"/>
        </w:rPr>
      </w:pPr>
      <w:r w:rsidRPr="00432CB6">
        <w:rPr>
          <w:rFonts w:eastAsia="Calibri" w:cs="Arial"/>
          <w:noProof/>
          <w:color w:val="000000"/>
          <w:sz w:val="24"/>
          <w:szCs w:val="24"/>
        </w:rPr>
        <w:t>Thank you,</w:t>
      </w:r>
    </w:p>
    <w:p w14:paraId="0F0BBF3E" w14:textId="77777777" w:rsidR="00016130" w:rsidRPr="00432CB6" w:rsidRDefault="00016130" w:rsidP="00016130">
      <w:pPr>
        <w:rPr>
          <w:rFonts w:cstheme="minorHAnsi"/>
          <w:color w:val="000000" w:themeColor="text1"/>
          <w:sz w:val="24"/>
          <w:szCs w:val="24"/>
        </w:rPr>
      </w:pPr>
      <w:r w:rsidRPr="00432CB6">
        <w:rPr>
          <w:rFonts w:cs="Calibri"/>
          <w:noProof/>
          <w:color w:val="000000"/>
          <w:sz w:val="24"/>
          <w:szCs w:val="24"/>
        </w:rPr>
        <w:drawing>
          <wp:inline distT="0" distB="0" distL="0" distR="0" wp14:anchorId="642B123C" wp14:editId="560A49DB">
            <wp:extent cx="2204543" cy="409575"/>
            <wp:effectExtent l="0" t="0" r="5715" b="0"/>
            <wp:docPr id="2" name="Picture 2" descr="\\odefs\OSS\Nutrition\~Personnel\Signatures\Fleener.jpg" title="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defs\OSS\Nutrition\~Personnel\Signatures\Fleener.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94726" cy="426330"/>
                    </a:xfrm>
                    <a:prstGeom prst="rect">
                      <a:avLst/>
                    </a:prstGeom>
                    <a:noFill/>
                    <a:ln>
                      <a:noFill/>
                    </a:ln>
                  </pic:spPr>
                </pic:pic>
              </a:graphicData>
            </a:graphic>
          </wp:inline>
        </w:drawing>
      </w:r>
    </w:p>
    <w:p w14:paraId="50B4693E" w14:textId="77777777" w:rsidR="00016130" w:rsidRPr="00432CB6" w:rsidRDefault="00016130" w:rsidP="00EC7102">
      <w:pPr>
        <w:pStyle w:val="NoSpacing"/>
      </w:pPr>
      <w:r w:rsidRPr="00432CB6">
        <w:t xml:space="preserve">Michelle </w:t>
      </w:r>
      <w:proofErr w:type="spellStart"/>
      <w:r w:rsidRPr="00432CB6">
        <w:t>Fleener</w:t>
      </w:r>
      <w:proofErr w:type="spellEnd"/>
    </w:p>
    <w:p w14:paraId="34364072" w14:textId="77777777" w:rsidR="00016130" w:rsidRPr="00432CB6" w:rsidRDefault="00016130" w:rsidP="00EC7102">
      <w:pPr>
        <w:pStyle w:val="NoSpacing"/>
      </w:pPr>
      <w:r w:rsidRPr="00432CB6">
        <w:t>Manager, School Nutrition Team</w:t>
      </w:r>
    </w:p>
    <w:p w14:paraId="205335D9" w14:textId="77777777" w:rsidR="00016130" w:rsidRPr="00432CB6" w:rsidRDefault="00016130" w:rsidP="00EC7102">
      <w:pPr>
        <w:pStyle w:val="NoSpacing"/>
      </w:pPr>
      <w:r w:rsidRPr="00432CB6">
        <w:t>Child Nutrition Programs</w:t>
      </w:r>
    </w:p>
    <w:p w14:paraId="334596E8" w14:textId="77777777" w:rsidR="00016130" w:rsidRPr="00432CB6" w:rsidRDefault="00016130" w:rsidP="00EC7102">
      <w:pPr>
        <w:pStyle w:val="NoSpacing"/>
      </w:pPr>
      <w:r w:rsidRPr="00432CB6">
        <w:t>Office of Child Nutrition, Research, Accountability, Fingerprinting and Transportation</w:t>
      </w:r>
    </w:p>
    <w:p w14:paraId="0FBB0A4A" w14:textId="77777777" w:rsidR="00016130" w:rsidRDefault="00016130" w:rsidP="00016130">
      <w:pPr>
        <w:rPr>
          <w:sz w:val="22"/>
          <w:szCs w:val="22"/>
        </w:rPr>
      </w:pPr>
    </w:p>
    <w:p w14:paraId="158681B7" w14:textId="3C5F0859" w:rsidR="00277DA1" w:rsidRPr="00605B79" w:rsidRDefault="006C3EAE" w:rsidP="00A758C3">
      <w:r w:rsidRPr="006C3EAE">
        <w:t>"</w:t>
      </w:r>
      <w:r w:rsidRPr="006C3EAE">
        <w:rPr>
          <w:sz w:val="18"/>
          <w:szCs w:val="18"/>
        </w:rPr>
        <w:t>K:\~Memos\_SNP\2022-2023\Paid Lunch Equity Memo - SY 2023-2</w:t>
      </w:r>
      <w:bookmarkStart w:id="1" w:name="_GoBack"/>
      <w:bookmarkEnd w:id="1"/>
      <w:r w:rsidRPr="006C3EAE">
        <w:rPr>
          <w:sz w:val="18"/>
          <w:szCs w:val="18"/>
        </w:rPr>
        <w:t>024.docx</w:t>
      </w:r>
      <w:r w:rsidRPr="006C3EAE">
        <w:t>"</w:t>
      </w:r>
    </w:p>
    <w:sectPr w:rsidR="00277DA1" w:rsidRPr="00605B79" w:rsidSect="00A758C3">
      <w:headerReference w:type="default" r:id="rId22"/>
      <w:footerReference w:type="default" r:id="rId23"/>
      <w:headerReference w:type="first" r:id="rId24"/>
      <w:footerReference w:type="first" r:id="rId25"/>
      <w:pgSz w:w="12240" w:h="15840"/>
      <w:pgMar w:top="1060" w:right="1440" w:bottom="1350" w:left="1440" w:header="103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EF5591" w14:textId="77777777" w:rsidR="00805567" w:rsidRDefault="00805567" w:rsidP="00CE459D">
      <w:pPr>
        <w:spacing w:after="0"/>
      </w:pPr>
      <w:r>
        <w:separator/>
      </w:r>
    </w:p>
  </w:endnote>
  <w:endnote w:type="continuationSeparator" w:id="0">
    <w:p w14:paraId="5371B424" w14:textId="77777777" w:rsidR="00805567" w:rsidRDefault="00805567" w:rsidP="00CE45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C2038" w14:textId="77777777" w:rsidR="00B321D1" w:rsidRDefault="00B321D1" w:rsidP="00B321D1">
    <w:pPr>
      <w:pStyle w:val="Header"/>
      <w:jc w:val="right"/>
    </w:pPr>
  </w:p>
  <w:p w14:paraId="657CD650" w14:textId="77777777" w:rsidR="0026344F" w:rsidRDefault="00B25F74" w:rsidP="00B321D1">
    <w:pPr>
      <w:pStyle w:val="Header"/>
      <w:jc w:val="right"/>
    </w:pPr>
    <w:r>
      <w:rPr>
        <w:noProof/>
      </w:rPr>
      <mc:AlternateContent>
        <mc:Choice Requires="wps">
          <w:drawing>
            <wp:anchor distT="45720" distB="45720" distL="114300" distR="114300" simplePos="0" relativeHeight="251659264" behindDoc="0" locked="1" layoutInCell="1" allowOverlap="1" wp14:anchorId="0DEFDD85" wp14:editId="4611E240">
              <wp:simplePos x="0" y="0"/>
              <wp:positionH relativeFrom="column">
                <wp:posOffset>38100</wp:posOffset>
              </wp:positionH>
              <wp:positionV relativeFrom="page">
                <wp:posOffset>9296400</wp:posOffset>
              </wp:positionV>
              <wp:extent cx="6189980" cy="4724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14:paraId="4BC02A9E" w14:textId="77777777" w:rsidR="00B321D1" w:rsidRDefault="00456699" w:rsidP="00B25F74">
                          <w:pPr>
                            <w:pStyle w:val="Header"/>
                            <w:jc w:val="center"/>
                          </w:pPr>
                          <w:r w:rsidRPr="00456699">
                            <w:rPr>
                              <w:b/>
                              <w:sz w:val="24"/>
                              <w:szCs w:val="24"/>
                            </w:rPr>
                            <w:t>Oregon Department of Education</w:t>
                          </w:r>
                          <w:r>
                            <w:br/>
                          </w:r>
                          <w:r w:rsidR="00B321D1">
                            <w:t>25</w:t>
                          </w:r>
                          <w:r w:rsidR="00EC4BF6">
                            <w:t xml:space="preserve">5 Capitol St NE, Salem, OR </w:t>
                          </w:r>
                          <w:proofErr w:type="gramStart"/>
                          <w:r w:rsidR="00EC4BF6">
                            <w:t>97310</w:t>
                          </w:r>
                          <w:r w:rsidR="00B25F74">
                            <w:t xml:space="preserve">  |</w:t>
                          </w:r>
                          <w:proofErr w:type="gramEnd"/>
                          <w:r w:rsidR="00B25F74">
                            <w:t xml:space="preserve">  </w:t>
                          </w:r>
                          <w:r w:rsidR="00B321D1">
                            <w:t xml:space="preserve">Voice: 503-947-5600 </w:t>
                          </w:r>
                          <w:r w:rsidR="00B25F74">
                            <w:t xml:space="preserve"> </w:t>
                          </w:r>
                          <w:r w:rsidR="00B321D1">
                            <w:t>|</w:t>
                          </w:r>
                          <w:r w:rsidR="00B25F74">
                            <w:t xml:space="preserve"> </w:t>
                          </w:r>
                          <w:r w:rsidR="00B321D1">
                            <w:t>Fax: 503-378-5156</w:t>
                          </w:r>
                          <w:r w:rsidR="00B25F74">
                            <w:t xml:space="preserve">  |  www.oregon.gov/ode</w:t>
                          </w:r>
                        </w:p>
                        <w:p w14:paraId="262FC5A5" w14:textId="77777777" w:rsidR="00B321D1" w:rsidRDefault="00B321D1"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pt;margin-top:732pt;width:487.4pt;height:37.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" filled="f" stroked="f">
              <v:textbox>
                <w:txbxContent>
                  <w:p w:rsidR="00B321D1" w:rsidRDefault="00456699" w:rsidP="00B25F74">
                    <w:pPr>
                      <w:pStyle w:val="Header"/>
                      <w:jc w:val="center"/>
                    </w:pPr>
                    <w:r w:rsidRPr="00456699">
                      <w:rPr>
                        <w:b/>
                        <w:sz w:val="24"/>
                        <w:szCs w:val="24"/>
                      </w:rPr>
                      <w:t>Oregon Department of Education</w:t>
                    </w:r>
                    <w:r>
                      <w:br/>
                    </w:r>
                    <w:r w:rsidR="00B321D1">
                      <w:t>25</w:t>
                    </w:r>
                    <w:r w:rsidR="00EC4BF6">
                      <w:t>5 Capitol St NE, Salem, OR 97310</w:t>
                    </w:r>
                    <w:r w:rsidR="00B25F74">
                      <w:t xml:space="preserve">  |  </w:t>
                    </w:r>
                    <w:r w:rsidR="00B321D1">
                      <w:t xml:space="preserve">Voice: 503-947-5600 </w:t>
                    </w:r>
                    <w:r w:rsidR="00B25F74">
                      <w:t xml:space="preserve"> </w:t>
                    </w:r>
                    <w:r w:rsidR="00B321D1">
                      <w:t>|</w:t>
                    </w:r>
                    <w:r w:rsidR="00B25F74">
                      <w:t xml:space="preserve"> </w:t>
                    </w:r>
                    <w:r w:rsidR="00B321D1">
                      <w:t>Fax: 503-378-5156</w:t>
                    </w:r>
                    <w:r w:rsidR="00B25F74">
                      <w:t xml:space="preserve">  |  www.oregon.gov/ode</w:t>
                    </w:r>
                  </w:p>
                  <w:p w:rsidR="00B321D1" w:rsidRDefault="00B321D1" w:rsidP="00B25F74">
                    <w:pPr>
                      <w:jc w:val="center"/>
                    </w:pPr>
                  </w:p>
                </w:txbxContent>
              </v:textbox>
              <w10:wrap type="squar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251D3" w14:textId="77777777" w:rsidR="00277DA1" w:rsidRDefault="00277DA1">
    <w:pPr>
      <w:pStyle w:val="Footer"/>
    </w:pPr>
    <w:r>
      <w:rPr>
        <w:noProof/>
      </w:rPr>
      <mc:AlternateContent>
        <mc:Choice Requires="wps">
          <w:drawing>
            <wp:anchor distT="45720" distB="45720" distL="114300" distR="114300" simplePos="0" relativeHeight="251673600" behindDoc="0" locked="1" layoutInCell="1" allowOverlap="1" wp14:anchorId="02EAA4F9" wp14:editId="7EC7A2DE">
              <wp:simplePos x="0" y="0"/>
              <wp:positionH relativeFrom="column">
                <wp:posOffset>36830</wp:posOffset>
              </wp:positionH>
              <wp:positionV relativeFrom="page">
                <wp:posOffset>9455150</wp:posOffset>
              </wp:positionV>
              <wp:extent cx="6190488" cy="310896"/>
              <wp:effectExtent l="0" t="0" r="0" b="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488" cy="310896"/>
                      </a:xfrm>
                      <a:prstGeom prst="rect">
                        <a:avLst/>
                      </a:prstGeom>
                      <a:noFill/>
                      <a:ln w="9525">
                        <a:noFill/>
                        <a:miter lim="800000"/>
                        <a:headEnd/>
                        <a:tailEnd/>
                      </a:ln>
                    </wps:spPr>
                    <wps:txbx>
                      <w:txbxContent>
                        <w:p w14:paraId="0B85161B" w14:textId="77777777" w:rsidR="00277DA1" w:rsidRDefault="00277DA1" w:rsidP="00277DA1">
                          <w:pPr>
                            <w:pStyle w:val="Header"/>
                            <w:jc w:val="center"/>
                          </w:pPr>
                          <w:r>
                            <w:t>25</w:t>
                          </w:r>
                          <w:r w:rsidR="00EC4BF6">
                            <w:t xml:space="preserve">5 Capitol St NE, Salem, OR </w:t>
                          </w:r>
                          <w:proofErr w:type="gramStart"/>
                          <w:r w:rsidR="00EC4BF6">
                            <w:t>97310</w:t>
                          </w:r>
                          <w:r>
                            <w:t xml:space="preserve">  |</w:t>
                          </w:r>
                          <w:proofErr w:type="gramEnd"/>
                          <w:r>
                            <w:t xml:space="preserve">  Voice: 503-947-5600  | Fax: 503-378-5156  |  www.oregon.gov/ode</w:t>
                          </w:r>
                        </w:p>
                        <w:p w14:paraId="0BADC0F6" w14:textId="77777777" w:rsidR="00277DA1" w:rsidRDefault="00277DA1"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C5AFE6" id="_x0000_t202" coordsize="21600,21600" o:spt="202" path="m,l,21600r21600,l21600,xe">
              <v:stroke joinstyle="miter"/>
              <v:path gradientshapeok="t" o:connecttype="rect"/>
            </v:shapetype>
            <v:shape id="_x0000_s1031" type="#_x0000_t202" style="position:absolute;margin-left:2.9pt;margin-top:744.5pt;width:487.45pt;height:24.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" filled="f" stroked="f">
              <v:textbox>
                <w:txbxContent>
                  <w:p w:rsidR="00277DA1" w:rsidRDefault="00277DA1" w:rsidP="00277DA1">
                    <w:pPr>
                      <w:pStyle w:val="Header"/>
                      <w:jc w:val="center"/>
                    </w:pPr>
                    <w:r>
                      <w:t>25</w:t>
                    </w:r>
                    <w:r w:rsidR="00EC4BF6">
                      <w:t>5 Capitol St NE, Salem, OR 97310</w:t>
                    </w:r>
                    <w:r>
                      <w:t xml:space="preserve">  |  Voice: 503-947-5600  | Fax: 503-378-5156  |  www.oregon.gov/ode</w:t>
                    </w:r>
                  </w:p>
                  <w:p w:rsidR="00277DA1" w:rsidRDefault="00277DA1" w:rsidP="00277DA1">
                    <w:pPr>
                      <w:jc w:val="center"/>
                    </w:pPr>
                  </w:p>
                </w:txbxContent>
              </v:textbox>
              <w10:wrap type="squar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E44941" w14:textId="77777777" w:rsidR="00805567" w:rsidRDefault="00805567" w:rsidP="00CE459D">
      <w:pPr>
        <w:spacing w:after="0"/>
      </w:pPr>
      <w:r>
        <w:separator/>
      </w:r>
    </w:p>
  </w:footnote>
  <w:footnote w:type="continuationSeparator" w:id="0">
    <w:p w14:paraId="55DCD6F6" w14:textId="77777777" w:rsidR="00805567" w:rsidRDefault="00805567" w:rsidP="00CE45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B65AF" w14:textId="77777777" w:rsidR="0026344F" w:rsidRDefault="0026344F" w:rsidP="0026344F">
    <w:pPr>
      <w:pStyle w:val="Header"/>
      <w:tabs>
        <w:tab w:val="clear" w:pos="9360"/>
      </w:tabs>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74442" w14:textId="333ADBFC" w:rsidR="00277DA1" w:rsidRPr="0054305C" w:rsidRDefault="00FA5CA9" w:rsidP="00B1325A">
    <w:pPr>
      <w:pStyle w:val="Header"/>
      <w:tabs>
        <w:tab w:val="clear" w:pos="9360"/>
      </w:tabs>
    </w:pPr>
    <w:r>
      <w:rPr>
        <w:noProof/>
      </w:rPr>
      <w:drawing>
        <wp:anchor distT="0" distB="0" distL="114300" distR="114300" simplePos="0" relativeHeight="251657215" behindDoc="1" locked="0" layoutInCell="1" allowOverlap="1" wp14:anchorId="55A3FC2A" wp14:editId="353D8614">
          <wp:simplePos x="0" y="0"/>
          <wp:positionH relativeFrom="column">
            <wp:posOffset>3758504</wp:posOffset>
          </wp:positionH>
          <wp:positionV relativeFrom="paragraph">
            <wp:posOffset>-283936</wp:posOffset>
          </wp:positionV>
          <wp:extent cx="2914003" cy="1138454"/>
          <wp:effectExtent l="0" t="0" r="0" b="0"/>
          <wp:wrapNone/>
          <wp:docPr id="9" name="Picture 9" descr="ODE Icon" title="ODE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
                    <a:extLst>
                      <a:ext uri="{BEBA8EAE-BF5A-486C-A8C5-ECC9F3942E4B}">
                        <a14:imgProps xmlns:a14="http://schemas.microsoft.com/office/drawing/2010/main">
                          <a14:imgLayer r:embed="rId2">
                            <a14:imgEffect>
                              <a14:sharpenSoften amount="-3000"/>
                            </a14:imgEffect>
                            <a14:imgEffect>
                              <a14:colorTemperature colorTemp="6300"/>
                            </a14:imgEffect>
                          </a14:imgLayer>
                        </a14:imgProps>
                      </a:ext>
                      <a:ext uri="{28A0092B-C50C-407E-A947-70E740481C1C}">
                        <a14:useLocalDpi xmlns:a14="http://schemas.microsoft.com/office/drawing/2010/main" val="0"/>
                      </a:ext>
                    </a:extLst>
                  </a:blip>
                  <a:stretch>
                    <a:fillRect/>
                  </a:stretch>
                </pic:blipFill>
                <pic:spPr>
                  <a:xfrm>
                    <a:off x="0" y="0"/>
                    <a:ext cx="2914003" cy="1138454"/>
                  </a:xfrm>
                  <a:prstGeom prst="rect">
                    <a:avLst/>
                  </a:prstGeom>
                </pic:spPr>
              </pic:pic>
            </a:graphicData>
          </a:graphic>
        </wp:anchor>
      </w:drawing>
    </w:r>
    <w:r>
      <w:rPr>
        <w:noProof/>
      </w:rPr>
      <mc:AlternateContent>
        <mc:Choice Requires="wps">
          <w:drawing>
            <wp:anchor distT="0" distB="0" distL="114300" distR="114300" simplePos="0" relativeHeight="251658239" behindDoc="1" locked="0" layoutInCell="1" allowOverlap="1" wp14:anchorId="74161CB9" wp14:editId="2788EADF">
              <wp:simplePos x="0" y="0"/>
              <wp:positionH relativeFrom="column">
                <wp:posOffset>3618411</wp:posOffset>
              </wp:positionH>
              <wp:positionV relativeFrom="paragraph">
                <wp:posOffset>613554</wp:posOffset>
              </wp:positionV>
              <wp:extent cx="2864538" cy="428390"/>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4538" cy="428390"/>
                      </a:xfrm>
                      <a:prstGeom prst="rect">
                        <a:avLst/>
                      </a:prstGeom>
                      <a:noFill/>
                      <a:ln w="9525">
                        <a:noFill/>
                        <a:miter lim="800000"/>
                        <a:headEnd/>
                        <a:tailEnd/>
                      </a:ln>
                    </wps:spPr>
                    <wps:txbx>
                      <w:txbxContent>
                        <w:p w14:paraId="413ABC04" w14:textId="77777777" w:rsidR="00943448" w:rsidRPr="00943448" w:rsidRDefault="00943448" w:rsidP="00943448">
                          <w:pPr>
                            <w:spacing w:after="40"/>
                            <w:jc w:val="right"/>
                            <w:rPr>
                              <w:rFonts w:asciiTheme="majorHAnsi" w:hAnsiTheme="majorHAnsi"/>
                              <w:i/>
                              <w:color w:val="1B75BC" w:themeColor="accent1"/>
                              <w:sz w:val="27"/>
                              <w:szCs w:val="27"/>
                            </w:rPr>
                          </w:pPr>
                          <w:r w:rsidRPr="00943448">
                            <w:rPr>
                              <w:rFonts w:asciiTheme="majorHAnsi" w:hAnsiTheme="majorHAnsi"/>
                              <w:i/>
                              <w:color w:val="1B75BC" w:themeColor="accent1"/>
                              <w:sz w:val="27"/>
                              <w:szCs w:val="27"/>
                            </w:rPr>
                            <w:t>Oregon achieves . . . together!</w:t>
                          </w:r>
                        </w:p>
                      </w:txbxContent>
                    </wps:txbx>
                    <wps:bodyPr rot="0" vert="horz" wrap="square" lIns="91440" tIns="45720" rIns="91440" bIns="45720" anchor="t" anchorCtr="0">
                      <a:noAutofit/>
                    </wps:bodyPr>
                  </wps:wsp>
                </a:graphicData>
              </a:graphic>
            </wp:anchor>
          </w:drawing>
        </mc:Choice>
        <mc:Fallback>
          <w:pict>
            <v:shapetype w14:anchorId="74161CB9" id="_x0000_t202" coordsize="21600,21600" o:spt="202" path="m,l,21600r21600,l21600,xe">
              <v:stroke joinstyle="miter"/>
              <v:path gradientshapeok="t" o:connecttype="rect"/>
            </v:shapetype>
            <v:shape id="_x0000_s1027" type="#_x0000_t202" style="position:absolute;margin-left:284.9pt;margin-top:48.3pt;width:225.55pt;height:33.7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" filled="f" stroked="f">
              <v:textbox>
                <w:txbxContent>
                  <w:p w14:paraId="413ABC04" w14:textId="77777777" w:rsidR="00943448" w:rsidRPr="00943448" w:rsidRDefault="00943448" w:rsidP="00943448">
                    <w:pPr>
                      <w:spacing w:after="40"/>
                      <w:jc w:val="right"/>
                      <w:rPr>
                        <w:rFonts w:asciiTheme="majorHAnsi" w:hAnsiTheme="majorHAnsi"/>
                        <w:i/>
                        <w:color w:val="1B75BC" w:themeColor="accent1"/>
                        <w:sz w:val="27"/>
                        <w:szCs w:val="27"/>
                      </w:rPr>
                    </w:pPr>
                    <w:r w:rsidRPr="00943448">
                      <w:rPr>
                        <w:rFonts w:asciiTheme="majorHAnsi" w:hAnsiTheme="majorHAnsi"/>
                        <w:i/>
                        <w:color w:val="1B75BC" w:themeColor="accent1"/>
                        <w:sz w:val="27"/>
                        <w:szCs w:val="27"/>
                      </w:rPr>
                      <w:t>Oregon achieves . . . together!</w:t>
                    </w:r>
                  </w:p>
                </w:txbxContent>
              </v:textbox>
            </v:shape>
          </w:pict>
        </mc:Fallback>
      </mc:AlternateContent>
    </w:r>
    <w:r w:rsidR="00805567">
      <w:rPr>
        <w:noProof/>
      </w:rPr>
      <w:drawing>
        <wp:anchor distT="0" distB="0" distL="114300" distR="114300" simplePos="0" relativeHeight="251682816" behindDoc="1" locked="0" layoutInCell="1" allowOverlap="1" wp14:anchorId="37218E29" wp14:editId="091979FA">
          <wp:simplePos x="0" y="0"/>
          <wp:positionH relativeFrom="column">
            <wp:posOffset>-450376</wp:posOffset>
          </wp:positionH>
          <wp:positionV relativeFrom="paragraph">
            <wp:posOffset>-292622</wp:posOffset>
          </wp:positionV>
          <wp:extent cx="2468880" cy="804545"/>
          <wp:effectExtent l="0" t="0" r="7620" b="0"/>
          <wp:wrapNone/>
          <wp:docPr id="4" name="Picture 4" descr="Tina Kotek, Governor" title="State of Oreg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68880" cy="804545"/>
                  </a:xfrm>
                  <a:prstGeom prst="rect">
                    <a:avLst/>
                  </a:prstGeom>
                  <a:noFill/>
                </pic:spPr>
              </pic:pic>
            </a:graphicData>
          </a:graphic>
        </wp:anchor>
      </w:drawing>
    </w:r>
    <w:r w:rsidR="0054305C" w:rsidRPr="0054305C">
      <w:rPr>
        <w:noProof/>
        <w:sz w:val="22"/>
        <w:szCs w:val="22"/>
      </w:rPr>
      <mc:AlternateContent>
        <mc:Choice Requires="wps">
          <w:drawing>
            <wp:anchor distT="0" distB="0" distL="114300" distR="114300" simplePos="0" relativeHeight="251676672" behindDoc="0" locked="0" layoutInCell="1" allowOverlap="1" wp14:anchorId="47CF9B9B" wp14:editId="461C4512">
              <wp:simplePos x="0" y="0"/>
              <wp:positionH relativeFrom="column">
                <wp:posOffset>857250</wp:posOffset>
              </wp:positionH>
              <wp:positionV relativeFrom="page">
                <wp:posOffset>520700</wp:posOffset>
              </wp:positionV>
              <wp:extent cx="5524500" cy="17780"/>
              <wp:effectExtent l="0" t="0" r="0" b="1270"/>
              <wp:wrapNone/>
              <wp:docPr id="227" name="Rectangle 227" descr="Icons, state of Oregon and ODE" title="State of Oregon and ODE Letterhead"/>
              <wp:cNvGraphicFramePr/>
              <a:graphic xmlns:a="http://schemas.openxmlformats.org/drawingml/2006/main">
                <a:graphicData uri="http://schemas.microsoft.com/office/word/2010/wordprocessingShape">
                  <wps:wsp>
                    <wps:cNvSpPr/>
                    <wps:spPr>
                      <a:xfrm>
                        <a:off x="0" y="0"/>
                        <a:ext cx="5524500" cy="1778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A73D002" id="Rectangle 227" o:spid="_x0000_s1026" alt="Title: State of Oregon and ODE Letterhead - Description: Icons, state of Oregon and ODE" style="position:absolute;margin-left:67.5pt;margin-top:41pt;width:435pt;height:1.4pt;z-index:25167667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" fillcolor="black [3213]" stroked="f" strokeweight="1pt">
              <w10:wrap anchory="page"/>
            </v:rect>
          </w:pict>
        </mc:Fallback>
      </mc:AlternateContent>
    </w:r>
    <w:r w:rsidR="0054305C" w:rsidRPr="0054305C">
      <w:rPr>
        <w:noProof/>
        <w:sz w:val="22"/>
        <w:szCs w:val="22"/>
      </w:rPr>
      <mc:AlternateContent>
        <mc:Choice Requires="wps">
          <w:drawing>
            <wp:anchor distT="0" distB="0" distL="114300" distR="114300" simplePos="0" relativeHeight="251677696" behindDoc="0" locked="0" layoutInCell="1" allowOverlap="1" wp14:anchorId="1C6213D4" wp14:editId="66A0BCE6">
              <wp:simplePos x="0" y="0"/>
              <wp:positionH relativeFrom="column">
                <wp:posOffset>450850</wp:posOffset>
              </wp:positionH>
              <wp:positionV relativeFrom="page">
                <wp:posOffset>520700</wp:posOffset>
              </wp:positionV>
              <wp:extent cx="137160" cy="17780"/>
              <wp:effectExtent l="0" t="0" r="0" b="1270"/>
              <wp:wrapNone/>
              <wp:docPr id="228" name="Rectangle 228" descr="Icons, state of Oregon and ODE" title="State of Oregon and ODE Letterhead"/>
              <wp:cNvGraphicFramePr/>
              <a:graphic xmlns:a="http://schemas.openxmlformats.org/drawingml/2006/main">
                <a:graphicData uri="http://schemas.microsoft.com/office/word/2010/wordprocessingShape">
                  <wps:wsp>
                    <wps:cNvSpPr/>
                    <wps:spPr>
                      <a:xfrm>
                        <a:off x="0" y="0"/>
                        <a:ext cx="137160" cy="1778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D498B" id="Rectangle 228" o:spid="_x0000_s1026" alt="Title: State of Oregon and ODE Letterhead - Description: Icons, state of Oregon and ODE" style="position:absolute;margin-left:35.5pt;margin-top:41pt;width:10.8pt;height:1.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" fillcolor="black [3213]" stroked="f" strokeweight="1pt">
              <w10:wrap anchory="page"/>
            </v:rect>
          </w:pict>
        </mc:Fallback>
      </mc:AlternateContent>
    </w:r>
    <w:r w:rsidR="0054305C" w:rsidRPr="0054305C">
      <w:rPr>
        <w:noProof/>
        <w:sz w:val="22"/>
        <w:szCs w:val="22"/>
      </w:rPr>
      <mc:AlternateContent>
        <mc:Choice Requires="wps">
          <w:drawing>
            <wp:anchor distT="45720" distB="45720" distL="114300" distR="114300" simplePos="0" relativeHeight="251678720" behindDoc="1" locked="1" layoutInCell="1" allowOverlap="1" wp14:anchorId="725E8A9A" wp14:editId="38FEF096">
              <wp:simplePos x="0" y="0"/>
              <wp:positionH relativeFrom="column">
                <wp:posOffset>3105150</wp:posOffset>
              </wp:positionH>
              <wp:positionV relativeFrom="page">
                <wp:posOffset>234950</wp:posOffset>
              </wp:positionV>
              <wp:extent cx="3354705" cy="1781175"/>
              <wp:effectExtent l="0" t="0" r="0" b="0"/>
              <wp:wrapTopAndBottom/>
              <wp:docPr id="229" name="Text Box 2" descr="ODE Icon" title="ODE Letter head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4705" cy="1781175"/>
                      </a:xfrm>
                      <a:prstGeom prst="rect">
                        <a:avLst/>
                      </a:prstGeom>
                      <a:noFill/>
                      <a:ln w="9525">
                        <a:noFill/>
                        <a:miter lim="800000"/>
                        <a:headEnd/>
                        <a:tailEnd/>
                      </a:ln>
                    </wps:spPr>
                    <wps:txbx>
                      <w:txbxContent>
                        <w:p w14:paraId="4746C2C9" w14:textId="77777777" w:rsidR="0054305C" w:rsidRPr="00F00A00" w:rsidRDefault="00271356" w:rsidP="00394A58">
                          <w:pPr>
                            <w:spacing w:after="0"/>
                            <w:jc w:val="right"/>
                            <w:rPr>
                              <w:rFonts w:cstheme="minorHAnsi"/>
                              <w:b/>
                              <w:sz w:val="22"/>
                              <w:szCs w:val="22"/>
                            </w:rPr>
                          </w:pPr>
                          <w:r>
                            <w:rPr>
                              <w:rFonts w:cstheme="minorHAnsi"/>
                              <w:b/>
                              <w:sz w:val="22"/>
                              <w:szCs w:val="22"/>
                            </w:rPr>
                            <w:t>Colt Gill</w:t>
                          </w:r>
                        </w:p>
                        <w:p w14:paraId="00AB82F9" w14:textId="77777777" w:rsidR="0054305C" w:rsidRPr="00F00A00" w:rsidRDefault="00A758C3" w:rsidP="0054305C">
                          <w:pPr>
                            <w:pStyle w:val="HeaderName"/>
                            <w:spacing w:after="0"/>
                            <w:rPr>
                              <w:rFonts w:asciiTheme="minorHAnsi" w:hAnsiTheme="minorHAnsi" w:cstheme="minorHAnsi"/>
                            </w:rPr>
                          </w:pPr>
                          <w:r>
                            <w:rPr>
                              <w:rFonts w:asciiTheme="minorHAnsi" w:hAnsiTheme="minorHAnsi" w:cstheme="minorHAnsi"/>
                            </w:rPr>
                            <w:t>Director of the Department of Education</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725E8A9A" id="_x0000_s1028" type="#_x0000_t202" alt="Title: ODE Letter head  - Description: ODE Icon" style="position:absolute;margin-left:244.5pt;margin-top:18.5pt;width:264.15pt;height:140.25pt;z-index:-2516377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" filled="f" stroked="f">
              <v:textbox>
                <w:txbxContent>
                  <w:p w14:paraId="4746C2C9" w14:textId="77777777" w:rsidR="0054305C" w:rsidRPr="00F00A00" w:rsidRDefault="00271356" w:rsidP="00394A58">
                    <w:pPr>
                      <w:spacing w:after="0"/>
                      <w:jc w:val="right"/>
                      <w:rPr>
                        <w:rFonts w:cstheme="minorHAnsi"/>
                        <w:b/>
                        <w:sz w:val="22"/>
                        <w:szCs w:val="22"/>
                      </w:rPr>
                    </w:pPr>
                    <w:r>
                      <w:rPr>
                        <w:rFonts w:cstheme="minorHAnsi"/>
                        <w:b/>
                        <w:sz w:val="22"/>
                        <w:szCs w:val="22"/>
                      </w:rPr>
                      <w:t>Colt Gill</w:t>
                    </w:r>
                  </w:p>
                  <w:p w14:paraId="00AB82F9" w14:textId="77777777" w:rsidR="0054305C" w:rsidRPr="00F00A00" w:rsidRDefault="00A758C3" w:rsidP="0054305C">
                    <w:pPr>
                      <w:pStyle w:val="HeaderName"/>
                      <w:spacing w:after="0"/>
                      <w:rPr>
                        <w:rFonts w:asciiTheme="minorHAnsi" w:hAnsiTheme="minorHAnsi" w:cstheme="minorHAnsi"/>
                      </w:rPr>
                    </w:pPr>
                    <w:r>
                      <w:rPr>
                        <w:rFonts w:asciiTheme="minorHAnsi" w:hAnsiTheme="minorHAnsi" w:cstheme="minorHAnsi"/>
                      </w:rPr>
                      <w:t>Director of the Department of Education</w:t>
                    </w:r>
                  </w:p>
                </w:txbxContent>
              </v:textbox>
              <w10:wrap type="topAndBottom" anchory="page"/>
              <w10:anchorlock/>
            </v:shape>
          </w:pict>
        </mc:Fallback>
      </mc:AlternateContent>
    </w:r>
    <w:r w:rsidR="001A7726" w:rsidRPr="00AD74FA">
      <w:rPr>
        <w:noProof/>
      </w:rPr>
      <mc:AlternateContent>
        <mc:Choice Requires="wps">
          <w:drawing>
            <wp:anchor distT="0" distB="182880" distL="114300" distR="114300" simplePos="0" relativeHeight="251681792" behindDoc="1" locked="1" layoutInCell="1" allowOverlap="1" wp14:anchorId="5CC149E6" wp14:editId="50E75ED0">
              <wp:simplePos x="0" y="0"/>
              <wp:positionH relativeFrom="column">
                <wp:posOffset>-425450</wp:posOffset>
              </wp:positionH>
              <wp:positionV relativeFrom="page">
                <wp:posOffset>2051050</wp:posOffset>
              </wp:positionV>
              <wp:extent cx="6858000" cy="0"/>
              <wp:effectExtent l="0" t="0" r="19050" b="19050"/>
              <wp:wrapNone/>
              <wp:docPr id="6" name="Straight Connector 6" descr="Connector underline image" title="Connector underline"/>
              <wp:cNvGraphicFramePr/>
              <a:graphic xmlns:a="http://schemas.openxmlformats.org/drawingml/2006/main">
                <a:graphicData uri="http://schemas.microsoft.com/office/word/2010/wordprocessingShape">
                  <wps:wsp>
                    <wps:cNvCnPr/>
                    <wps:spPr>
                      <a:xfrm>
                        <a:off x="0" y="0"/>
                        <a:ext cx="6858000" cy="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D11B78" id="Straight Connector 6" o:spid="_x0000_s1026" alt="Title: Connector underline - Description: Connector underline image" style="position:absolute;z-index:-251634688;visibility:visible;mso-wrap-style:square;mso-width-percent:0;mso-height-percent:0;mso-wrap-distance-left:9pt;mso-wrap-distance-top:0;mso-wrap-distance-right:9pt;mso-wrap-distance-bottom:14.4pt;mso-position-horizontal:absolute;mso-position-horizontal-relative:text;mso-position-vertical:absolute;mso-position-vertical-relative:page;mso-width-percent:0;mso-height-percent:0;mso-width-relative:margin;mso-height-relative:margin" from="-33.5pt,161.5pt" to="506.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" strokecolor="#1b75bc [3204]" strokeweight=".5pt">
              <v:stroke joinstyle="miter"/>
              <w10:wrap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28A8D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AA2C8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E3076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09ABC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6E2407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6E20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4A0F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64270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FAFB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153DA2"/>
    <w:multiLevelType w:val="hybridMultilevel"/>
    <w:tmpl w:val="5B1EEFE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69220E8"/>
    <w:multiLevelType w:val="hybridMultilevel"/>
    <w:tmpl w:val="278E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8435B1"/>
    <w:multiLevelType w:val="hybridMultilevel"/>
    <w:tmpl w:val="FD1818D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6252B5"/>
    <w:multiLevelType w:val="hybridMultilevel"/>
    <w:tmpl w:val="715EA8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6"/>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567"/>
    <w:rsid w:val="00016130"/>
    <w:rsid w:val="00083068"/>
    <w:rsid w:val="000C5F65"/>
    <w:rsid w:val="000D3C77"/>
    <w:rsid w:val="000E1ACF"/>
    <w:rsid w:val="00177846"/>
    <w:rsid w:val="001A7726"/>
    <w:rsid w:val="00246BF6"/>
    <w:rsid w:val="00247892"/>
    <w:rsid w:val="0026344F"/>
    <w:rsid w:val="00271356"/>
    <w:rsid w:val="00277DA1"/>
    <w:rsid w:val="00280989"/>
    <w:rsid w:val="002825E3"/>
    <w:rsid w:val="00394A58"/>
    <w:rsid w:val="00432CB6"/>
    <w:rsid w:val="00456699"/>
    <w:rsid w:val="0047086C"/>
    <w:rsid w:val="00493F54"/>
    <w:rsid w:val="00532EC4"/>
    <w:rsid w:val="0054305C"/>
    <w:rsid w:val="005B22AD"/>
    <w:rsid w:val="005B6F2B"/>
    <w:rsid w:val="005F2534"/>
    <w:rsid w:val="005F4DC7"/>
    <w:rsid w:val="00605B79"/>
    <w:rsid w:val="00651E2C"/>
    <w:rsid w:val="00655A8A"/>
    <w:rsid w:val="006C3EAE"/>
    <w:rsid w:val="00752533"/>
    <w:rsid w:val="007F1DB3"/>
    <w:rsid w:val="00805567"/>
    <w:rsid w:val="0087798D"/>
    <w:rsid w:val="0089190A"/>
    <w:rsid w:val="008D7961"/>
    <w:rsid w:val="00901D2D"/>
    <w:rsid w:val="00943448"/>
    <w:rsid w:val="00965306"/>
    <w:rsid w:val="00A758C3"/>
    <w:rsid w:val="00AB0805"/>
    <w:rsid w:val="00AE1357"/>
    <w:rsid w:val="00B00C83"/>
    <w:rsid w:val="00B02008"/>
    <w:rsid w:val="00B1325A"/>
    <w:rsid w:val="00B25F74"/>
    <w:rsid w:val="00B321D1"/>
    <w:rsid w:val="00B34DEF"/>
    <w:rsid w:val="00B575B2"/>
    <w:rsid w:val="00B837FB"/>
    <w:rsid w:val="00C100E5"/>
    <w:rsid w:val="00C4690C"/>
    <w:rsid w:val="00C56DC0"/>
    <w:rsid w:val="00CA2B57"/>
    <w:rsid w:val="00CC294C"/>
    <w:rsid w:val="00CD732C"/>
    <w:rsid w:val="00CE459D"/>
    <w:rsid w:val="00D76049"/>
    <w:rsid w:val="00DA52CE"/>
    <w:rsid w:val="00DC7D58"/>
    <w:rsid w:val="00E2525C"/>
    <w:rsid w:val="00EA1437"/>
    <w:rsid w:val="00EC329F"/>
    <w:rsid w:val="00EC4BF6"/>
    <w:rsid w:val="00EC7102"/>
    <w:rsid w:val="00F00A00"/>
    <w:rsid w:val="00F01A54"/>
    <w:rsid w:val="00FA5CA9"/>
    <w:rsid w:val="00FF3F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7ABD6F5F"/>
  <w15:chartTrackingRefBased/>
  <w15:docId w15:val="{F69A1AA3-9CF4-4EC8-81A1-53D45BD1E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05C"/>
    <w:pPr>
      <w:spacing w:after="100" w:line="240" w:lineRule="auto"/>
    </w:pPr>
  </w:style>
  <w:style w:type="paragraph" w:styleId="Heading1">
    <w:name w:val="heading 1"/>
    <w:basedOn w:val="Normal"/>
    <w:next w:val="Normal"/>
    <w:link w:val="Heading1Char"/>
    <w:uiPriority w:val="9"/>
    <w:qFormat/>
    <w:rsid w:val="000E1ACF"/>
    <w:pPr>
      <w:keepNext/>
      <w:keepLines/>
      <w:spacing w:before="240" w:after="0"/>
      <w:outlineLvl w:val="0"/>
    </w:pPr>
    <w:rPr>
      <w:rFonts w:asciiTheme="majorHAnsi" w:eastAsiaTheme="majorEastAsia" w:hAnsiTheme="majorHAnsi" w:cstheme="majorBidi"/>
      <w:color w:val="14578C" w:themeColor="accent1" w:themeShade="BF"/>
      <w:sz w:val="32"/>
      <w:szCs w:val="32"/>
    </w:rPr>
  </w:style>
  <w:style w:type="paragraph" w:styleId="Heading2">
    <w:name w:val="heading 2"/>
    <w:basedOn w:val="Normal"/>
    <w:next w:val="Normal"/>
    <w:link w:val="Heading2Char"/>
    <w:uiPriority w:val="9"/>
    <w:unhideWhenUsed/>
    <w:qFormat/>
    <w:rsid w:val="000E1ACF"/>
    <w:pPr>
      <w:keepNext/>
      <w:keepLines/>
      <w:spacing w:before="40" w:after="0"/>
      <w:outlineLvl w:val="1"/>
    </w:pPr>
    <w:rPr>
      <w:rFonts w:asciiTheme="majorHAnsi" w:eastAsiaTheme="majorEastAsia" w:hAnsiTheme="majorHAnsi" w:cstheme="majorBidi"/>
      <w:color w:val="14578C"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C5F65"/>
    <w:pPr>
      <w:spacing w:after="0"/>
      <w:contextualSpacing/>
    </w:pPr>
    <w:rPr>
      <w:rFonts w:asciiTheme="majorHAnsi" w:eastAsiaTheme="majorEastAsia" w:hAnsiTheme="majorHAnsi" w:cstheme="majorBidi"/>
      <w:color w:val="72C9F1" w:themeColor="accent4"/>
      <w:sz w:val="96"/>
      <w:szCs w:val="96"/>
    </w:rPr>
  </w:style>
  <w:style w:type="character" w:customStyle="1" w:styleId="TitleChar">
    <w:name w:val="Title Char"/>
    <w:basedOn w:val="DefaultParagraphFont"/>
    <w:link w:val="Title"/>
    <w:uiPriority w:val="10"/>
    <w:rsid w:val="000C5F65"/>
    <w:rPr>
      <w:rFonts w:asciiTheme="majorHAnsi" w:eastAsiaTheme="majorEastAsia" w:hAnsiTheme="majorHAnsi" w:cstheme="majorBidi"/>
      <w:color w:val="72C9F1" w:themeColor="accent4"/>
      <w:sz w:val="96"/>
      <w:szCs w:val="96"/>
    </w:rPr>
  </w:style>
  <w:style w:type="character" w:customStyle="1" w:styleId="Heading1Char">
    <w:name w:val="Heading 1 Char"/>
    <w:basedOn w:val="DefaultParagraphFont"/>
    <w:link w:val="Heading1"/>
    <w:uiPriority w:val="9"/>
    <w:rsid w:val="000E1ACF"/>
    <w:rPr>
      <w:rFonts w:asciiTheme="majorHAnsi" w:eastAsiaTheme="majorEastAsia" w:hAnsiTheme="majorHAnsi" w:cstheme="majorBidi"/>
      <w:color w:val="14578C" w:themeColor="accent1" w:themeShade="BF"/>
      <w:sz w:val="32"/>
      <w:szCs w:val="32"/>
    </w:rPr>
  </w:style>
  <w:style w:type="character" w:customStyle="1" w:styleId="Heading2Char">
    <w:name w:val="Heading 2 Char"/>
    <w:basedOn w:val="DefaultParagraphFont"/>
    <w:link w:val="Heading2"/>
    <w:uiPriority w:val="9"/>
    <w:rsid w:val="000E1ACF"/>
    <w:rPr>
      <w:rFonts w:asciiTheme="majorHAnsi" w:eastAsiaTheme="majorEastAsia" w:hAnsiTheme="majorHAnsi" w:cstheme="majorBidi"/>
      <w:color w:val="14578C" w:themeColor="accent1" w:themeShade="BF"/>
      <w:sz w:val="26"/>
      <w:szCs w:val="26"/>
    </w:rPr>
  </w:style>
  <w:style w:type="paragraph" w:styleId="ListParagraph">
    <w:name w:val="List Paragraph"/>
    <w:basedOn w:val="Normal"/>
    <w:uiPriority w:val="34"/>
    <w:rsid w:val="000E1ACF"/>
    <w:pPr>
      <w:ind w:left="720"/>
      <w:contextualSpacing/>
    </w:pPr>
  </w:style>
  <w:style w:type="paragraph" w:styleId="ListBullet">
    <w:name w:val="List Bullet"/>
    <w:basedOn w:val="Normal"/>
    <w:uiPriority w:val="99"/>
    <w:unhideWhenUsed/>
    <w:qFormat/>
    <w:rsid w:val="000E1ACF"/>
    <w:pPr>
      <w:numPr>
        <w:numId w:val="2"/>
      </w:numPr>
      <w:contextualSpacing/>
    </w:pPr>
  </w:style>
  <w:style w:type="paragraph" w:styleId="ListBullet2">
    <w:name w:val="List Bullet 2"/>
    <w:basedOn w:val="Normal"/>
    <w:uiPriority w:val="99"/>
    <w:unhideWhenUsed/>
    <w:qFormat/>
    <w:rsid w:val="000E1ACF"/>
    <w:pPr>
      <w:numPr>
        <w:numId w:val="3"/>
      </w:numPr>
      <w:contextualSpacing/>
    </w:pPr>
  </w:style>
  <w:style w:type="paragraph" w:styleId="List">
    <w:name w:val="List"/>
    <w:basedOn w:val="Normal"/>
    <w:uiPriority w:val="99"/>
    <w:semiHidden/>
    <w:unhideWhenUsed/>
    <w:rsid w:val="000E1ACF"/>
    <w:pPr>
      <w:ind w:left="360" w:hanging="360"/>
      <w:contextualSpacing/>
    </w:pPr>
  </w:style>
  <w:style w:type="paragraph" w:styleId="Header">
    <w:name w:val="header"/>
    <w:basedOn w:val="Normal"/>
    <w:link w:val="HeaderChar"/>
    <w:uiPriority w:val="99"/>
    <w:unhideWhenUsed/>
    <w:rsid w:val="00CE459D"/>
    <w:pPr>
      <w:tabs>
        <w:tab w:val="center" w:pos="4680"/>
        <w:tab w:val="right" w:pos="9360"/>
      </w:tabs>
      <w:spacing w:after="0"/>
    </w:pPr>
  </w:style>
  <w:style w:type="character" w:customStyle="1" w:styleId="HeaderChar">
    <w:name w:val="Header Char"/>
    <w:basedOn w:val="DefaultParagraphFont"/>
    <w:link w:val="Header"/>
    <w:uiPriority w:val="99"/>
    <w:rsid w:val="00CE459D"/>
  </w:style>
  <w:style w:type="paragraph" w:styleId="Footer">
    <w:name w:val="footer"/>
    <w:basedOn w:val="Normal"/>
    <w:link w:val="FooterChar"/>
    <w:uiPriority w:val="99"/>
    <w:unhideWhenUsed/>
    <w:rsid w:val="00CE459D"/>
    <w:pPr>
      <w:tabs>
        <w:tab w:val="center" w:pos="4680"/>
        <w:tab w:val="right" w:pos="9360"/>
      </w:tabs>
      <w:spacing w:after="0"/>
    </w:pPr>
  </w:style>
  <w:style w:type="character" w:customStyle="1" w:styleId="FooterChar">
    <w:name w:val="Footer Char"/>
    <w:basedOn w:val="DefaultParagraphFont"/>
    <w:link w:val="Footer"/>
    <w:uiPriority w:val="99"/>
    <w:rsid w:val="00CE459D"/>
  </w:style>
  <w:style w:type="character" w:styleId="Strong">
    <w:name w:val="Strong"/>
    <w:basedOn w:val="DefaultParagraphFont"/>
    <w:uiPriority w:val="99"/>
    <w:qFormat/>
    <w:rsid w:val="00277DA1"/>
    <w:rPr>
      <w:b/>
      <w:bCs/>
    </w:rPr>
  </w:style>
  <w:style w:type="paragraph" w:customStyle="1" w:styleId="Body">
    <w:name w:val="Body"/>
    <w:basedOn w:val="Normal"/>
    <w:uiPriority w:val="99"/>
    <w:rsid w:val="0054305C"/>
    <w:pPr>
      <w:spacing w:after="0"/>
      <w:jc w:val="right"/>
    </w:pPr>
    <w:rPr>
      <w:rFonts w:ascii="Palatino Linotype" w:hAnsi="Palatino Linotype"/>
      <w:sz w:val="22"/>
      <w:szCs w:val="22"/>
    </w:rPr>
  </w:style>
  <w:style w:type="paragraph" w:customStyle="1" w:styleId="HeaderName">
    <w:name w:val="Header Name"/>
    <w:basedOn w:val="Normal"/>
    <w:qFormat/>
    <w:rsid w:val="0054305C"/>
    <w:pPr>
      <w:spacing w:after="80"/>
      <w:jc w:val="right"/>
    </w:pPr>
    <w:rPr>
      <w:rFonts w:ascii="Palatino Linotype" w:hAnsi="Palatino Linotype"/>
      <w:sz w:val="22"/>
      <w:szCs w:val="22"/>
    </w:rPr>
  </w:style>
  <w:style w:type="character" w:styleId="Hyperlink">
    <w:name w:val="Hyperlink"/>
    <w:uiPriority w:val="99"/>
    <w:unhideWhenUsed/>
    <w:rsid w:val="00E2525C"/>
    <w:rPr>
      <w:color w:val="0000FF"/>
      <w:u w:val="single"/>
    </w:rPr>
  </w:style>
  <w:style w:type="character" w:styleId="FollowedHyperlink">
    <w:name w:val="FollowedHyperlink"/>
    <w:basedOn w:val="DefaultParagraphFont"/>
    <w:uiPriority w:val="99"/>
    <w:semiHidden/>
    <w:unhideWhenUsed/>
    <w:rsid w:val="00177846"/>
    <w:rPr>
      <w:color w:val="21AAE8" w:themeColor="followedHyperlink"/>
      <w:u w:val="single"/>
    </w:rPr>
  </w:style>
  <w:style w:type="paragraph" w:styleId="NoSpacing">
    <w:name w:val="No Spacing"/>
    <w:uiPriority w:val="1"/>
    <w:qFormat/>
    <w:rsid w:val="00247892"/>
    <w:pPr>
      <w:spacing w:after="0" w:line="240" w:lineRule="auto"/>
    </w:pPr>
    <w:rPr>
      <w:rFonts w:ascii="Calibri" w:eastAsia="Calibri" w:hAnsi="Calibri" w:cs="Times New Roman"/>
      <w:sz w:val="22"/>
      <w:szCs w:val="22"/>
    </w:rPr>
  </w:style>
  <w:style w:type="paragraph" w:styleId="FootnoteText">
    <w:name w:val="footnote text"/>
    <w:basedOn w:val="Normal"/>
    <w:link w:val="FootnoteTextChar"/>
    <w:uiPriority w:val="99"/>
    <w:semiHidden/>
    <w:unhideWhenUsed/>
    <w:rsid w:val="00B575B2"/>
    <w:pPr>
      <w:spacing w:after="0"/>
    </w:pPr>
    <w:rPr>
      <w:rFonts w:ascii="Arial" w:eastAsia="Times New Roman" w:hAnsi="Arial" w:cs="Arial"/>
      <w:color w:val="000000"/>
      <w:sz w:val="20"/>
      <w:szCs w:val="20"/>
      <w:lang w:eastAsia="ja-JP"/>
    </w:rPr>
  </w:style>
  <w:style w:type="character" w:customStyle="1" w:styleId="FootnoteTextChar">
    <w:name w:val="Footnote Text Char"/>
    <w:basedOn w:val="DefaultParagraphFont"/>
    <w:link w:val="FootnoteText"/>
    <w:uiPriority w:val="99"/>
    <w:semiHidden/>
    <w:rsid w:val="00B575B2"/>
    <w:rPr>
      <w:rFonts w:ascii="Arial" w:eastAsia="Times New Roman" w:hAnsi="Arial" w:cs="Arial"/>
      <w:color w:val="000000"/>
      <w:sz w:val="20"/>
      <w:szCs w:val="20"/>
      <w:lang w:eastAsia="ja-JP"/>
    </w:rPr>
  </w:style>
  <w:style w:type="character" w:styleId="FootnoteReference">
    <w:name w:val="footnote reference"/>
    <w:basedOn w:val="DefaultParagraphFont"/>
    <w:uiPriority w:val="99"/>
    <w:semiHidden/>
    <w:unhideWhenUsed/>
    <w:rsid w:val="00B575B2"/>
    <w:rPr>
      <w:vertAlign w:val="superscript"/>
    </w:rPr>
  </w:style>
  <w:style w:type="paragraph" w:styleId="BalloonText">
    <w:name w:val="Balloon Text"/>
    <w:basedOn w:val="Normal"/>
    <w:link w:val="BalloonTextChar"/>
    <w:uiPriority w:val="99"/>
    <w:semiHidden/>
    <w:unhideWhenUsed/>
    <w:rsid w:val="00493F5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3F54"/>
    <w:rPr>
      <w:rFonts w:ascii="Segoe UI" w:hAnsi="Segoe UI" w:cs="Segoe UI"/>
      <w:sz w:val="18"/>
      <w:szCs w:val="18"/>
    </w:rPr>
  </w:style>
  <w:style w:type="character" w:styleId="CommentReference">
    <w:name w:val="annotation reference"/>
    <w:basedOn w:val="DefaultParagraphFont"/>
    <w:uiPriority w:val="99"/>
    <w:semiHidden/>
    <w:unhideWhenUsed/>
    <w:rsid w:val="005B22AD"/>
    <w:rPr>
      <w:sz w:val="16"/>
      <w:szCs w:val="16"/>
    </w:rPr>
  </w:style>
  <w:style w:type="paragraph" w:styleId="CommentText">
    <w:name w:val="annotation text"/>
    <w:basedOn w:val="Normal"/>
    <w:link w:val="CommentTextChar"/>
    <w:uiPriority w:val="99"/>
    <w:semiHidden/>
    <w:unhideWhenUsed/>
    <w:rsid w:val="005B22AD"/>
    <w:rPr>
      <w:sz w:val="20"/>
      <w:szCs w:val="20"/>
    </w:rPr>
  </w:style>
  <w:style w:type="character" w:customStyle="1" w:styleId="CommentTextChar">
    <w:name w:val="Comment Text Char"/>
    <w:basedOn w:val="DefaultParagraphFont"/>
    <w:link w:val="CommentText"/>
    <w:uiPriority w:val="99"/>
    <w:semiHidden/>
    <w:rsid w:val="005B22AD"/>
    <w:rPr>
      <w:sz w:val="20"/>
      <w:szCs w:val="20"/>
    </w:rPr>
  </w:style>
  <w:style w:type="paragraph" w:styleId="CommentSubject">
    <w:name w:val="annotation subject"/>
    <w:basedOn w:val="CommentText"/>
    <w:next w:val="CommentText"/>
    <w:link w:val="CommentSubjectChar"/>
    <w:uiPriority w:val="99"/>
    <w:semiHidden/>
    <w:unhideWhenUsed/>
    <w:rsid w:val="005B22AD"/>
    <w:rPr>
      <w:b/>
      <w:bCs/>
    </w:rPr>
  </w:style>
  <w:style w:type="character" w:customStyle="1" w:styleId="CommentSubjectChar">
    <w:name w:val="Comment Subject Char"/>
    <w:basedOn w:val="CommentTextChar"/>
    <w:link w:val="CommentSubject"/>
    <w:uiPriority w:val="99"/>
    <w:semiHidden/>
    <w:rsid w:val="005B22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05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cfr.gov/current/title-7/subtitle-B/chapter-II/subchapter-A/part-210" TargetMode="External"/><Relationship Id="rId18" Type="http://schemas.openxmlformats.org/officeDocument/2006/relationships/hyperlink" Target="https://app.smartsheet.com/b/form/9d6eb9e1b09242d8b8d60deb9db3643a"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jpeg"/><Relationship Id="rId7" Type="http://schemas.openxmlformats.org/officeDocument/2006/relationships/settings" Target="settings.xml"/><Relationship Id="rId12" Type="http://schemas.openxmlformats.org/officeDocument/2006/relationships/hyperlink" Target="https://www.fns.usda.gov/cn/consolidated-appropriations-act-2023-effect-programs" TargetMode="External"/><Relationship Id="rId17" Type="http://schemas.openxmlformats.org/officeDocument/2006/relationships/hyperlink" Target="https://www.oregon.gov/ode/students-and-family/childnutrition/SNP/Documents/Contiguous%20States%20PLE%20Tool.xlsx"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oregon.gov/ode/students-and-family/childnutrition/SNP/Documents/Contiguous%20States%20PLE%20Tool.xlsx" TargetMode="External"/><Relationship Id="rId20" Type="http://schemas.openxmlformats.org/officeDocument/2006/relationships/hyperlink" Target="https://www.oregon.gov/ode/students-and-family/childnutrition/SNP/Documents/Sponsor%20Support%20List.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fr.gov/current/title-7/subtitle-B/chapter-II/subchapter-A/part-210"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ecfr.gov/current/title-7/subtitle-B/chapter-II/subchapter-A/part-210"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oregon.gov/ode/students-and-family/childnutrition/SNP/Documents/Paid%20Lunch%20Equity%20At%20a%20Glance.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smartsheet.com/b/form/9d6eb9e1b09242d8b8d60deb9db3643a" TargetMode="External"/><Relationship Id="rId22" Type="http://schemas.openxmlformats.org/officeDocument/2006/relationships/header" Target="head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name="ODE">
  <a:themeElements>
    <a:clrScheme name="ODE">
      <a:dk1>
        <a:sysClr val="windowText" lastClr="000000"/>
      </a:dk1>
      <a:lt1>
        <a:sysClr val="window" lastClr="FFFFFF"/>
      </a:lt1>
      <a:dk2>
        <a:srgbClr val="344654"/>
      </a:dk2>
      <a:lt2>
        <a:srgbClr val="E2F4FC"/>
      </a:lt2>
      <a:accent1>
        <a:srgbClr val="1B75BC"/>
      </a:accent1>
      <a:accent2>
        <a:srgbClr val="9F2065"/>
      </a:accent2>
      <a:accent3>
        <a:srgbClr val="E26B2A"/>
      </a:accent3>
      <a:accent4>
        <a:srgbClr val="72C9F1"/>
      </a:accent4>
      <a:accent5>
        <a:srgbClr val="408740"/>
      </a:accent5>
      <a:accent6>
        <a:srgbClr val="1B75BC"/>
      </a:accent6>
      <a:hlink>
        <a:srgbClr val="C45BA3"/>
      </a:hlink>
      <a:folHlink>
        <a:srgbClr val="21AAE8"/>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stimated_x0020_Creation_x0020_Date xmlns="5555b13e-5550-4a64-82c9-4795d4b5fce9" xsi:nil="true"/>
    <Priority xmlns="5555b13e-5550-4a64-82c9-4795d4b5fce9">New</Priority>
    <Remediation_x0020_Date xmlns="5555b13e-5550-4a64-82c9-4795d4b5fce9">2023-04-24T21:33:11+00:00</Remediation_x0020_Date>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7457C9221D0340B8D5CA9726A131CC" ma:contentTypeVersion="7" ma:contentTypeDescription="Create a new document." ma:contentTypeScope="" ma:versionID="5dfc938b34e4116f9fe97bd443af5214">
  <xsd:schema xmlns:xsd="http://www.w3.org/2001/XMLSchema" xmlns:xs="http://www.w3.org/2001/XMLSchema" xmlns:p="http://schemas.microsoft.com/office/2006/metadata/properties" xmlns:ns1="http://schemas.microsoft.com/sharepoint/v3" xmlns:ns2="5555b13e-5550-4a64-82c9-4795d4b5fce9" xmlns:ns3="54031767-dd6d-417c-ab73-583408f47564" targetNamespace="http://schemas.microsoft.com/office/2006/metadata/properties" ma:root="true" ma:fieldsID="c871f720fd984a021f16a99f3d42a1e5" ns1:_="" ns2:_="" ns3:_="">
    <xsd:import namespace="http://schemas.microsoft.com/sharepoint/v3"/>
    <xsd:import namespace="5555b13e-5550-4a64-82c9-4795d4b5fce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55b13e-5550-4a64-82c9-4795d4b5fce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61438-8FE8-4CE5-93F2-5856CEBF9361}">
  <ds:schemaRefs>
    <ds:schemaRef ds:uri="http://purl.org/dc/elements/1.1/"/>
    <ds:schemaRef ds:uri="http://schemas.microsoft.com/office/2006/metadata/properties"/>
    <ds:schemaRef ds:uri="http://purl.org/dc/terms/"/>
    <ds:schemaRef ds:uri="http://schemas.openxmlformats.org/package/2006/metadata/core-properties"/>
    <ds:schemaRef ds:uri="c53c1369-49fa-4263-8a7b-334ab97e3aa5"/>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8D26ACC7-8B35-46EE-B998-79A9F0EAA2D6}"/>
</file>

<file path=customXml/itemProps3.xml><?xml version="1.0" encoding="utf-8"?>
<ds:datastoreItem xmlns:ds="http://schemas.openxmlformats.org/officeDocument/2006/customXml" ds:itemID="{7705C1B3-C379-463E-9E89-98834284AB71}">
  <ds:schemaRefs>
    <ds:schemaRef ds:uri="http://schemas.microsoft.com/sharepoint/v3/contenttype/forms"/>
  </ds:schemaRefs>
</ds:datastoreItem>
</file>

<file path=customXml/itemProps4.xml><?xml version="1.0" encoding="utf-8"?>
<ds:datastoreItem xmlns:ds="http://schemas.openxmlformats.org/officeDocument/2006/customXml" ds:itemID="{74B55359-910C-4499-9B4D-A6EDE5888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748</Words>
  <Characters>4266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State of Oregon, DAS</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"GoodnesM"</dc:creator>
  <cp:keywords/>
  <dc:description/>
  <cp:lastModifiedBy>"WilliaKa"</cp:lastModifiedBy>
  <cp:revision>6</cp:revision>
  <cp:lastPrinted>2017-03-11T00:25:00Z</cp:lastPrinted>
  <dcterms:created xsi:type="dcterms:W3CDTF">2023-04-21T15:33:00Z</dcterms:created>
  <dcterms:modified xsi:type="dcterms:W3CDTF">2023-04-24T21:03:00Z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0x010100FC7457C9221D0340B8D5CA9726A131CC</vt:lpwstr>
  </property>
</Properties>
</file>