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40" w:rsidRPr="00512DDC" w:rsidRDefault="00433E40" w:rsidP="00433E40">
      <w:pPr>
        <w:pStyle w:val="Title"/>
        <w:jc w:val="center"/>
      </w:pPr>
      <w:r>
        <w:t xml:space="preserve">Polystyrene Foam </w:t>
      </w:r>
      <w:r>
        <w:br/>
        <w:t>Questions and Answers</w:t>
      </w:r>
    </w:p>
    <w:p w:rsidR="00433E40" w:rsidRDefault="00433E40" w:rsidP="00160768"/>
    <w:p w:rsidR="00512DDC" w:rsidRDefault="00512DDC" w:rsidP="00160768">
      <w:pPr>
        <w:pStyle w:val="Heading1"/>
        <w:numPr>
          <w:ilvl w:val="0"/>
          <w:numId w:val="3"/>
        </w:numPr>
        <w:ind w:left="360"/>
      </w:pPr>
      <w:r>
        <w:t>What are the laws in Oregon?</w:t>
      </w:r>
    </w:p>
    <w:p w:rsidR="00962D9E" w:rsidRDefault="00447EC3" w:rsidP="00D52323">
      <w:r>
        <w:t>Oregon Revised Statute</w:t>
      </w:r>
      <w:r w:rsidRPr="00447EC3">
        <w:t xml:space="preserve"> 336.445</w:t>
      </w:r>
      <w:r>
        <w:t xml:space="preserve"> and Oregon Administrative Rules </w:t>
      </w:r>
      <w:r w:rsidRPr="00447EC3">
        <w:t>581-051-0350 to OAR 581-051-0365</w:t>
      </w:r>
      <w:r>
        <w:t xml:space="preserve"> are the laws that guide school districts on what is </w:t>
      </w:r>
      <w:r w:rsidR="00962D9E">
        <w:t xml:space="preserve">allowable </w:t>
      </w:r>
      <w:r w:rsidR="00D52323">
        <w:t xml:space="preserve">for the use of </w:t>
      </w:r>
      <w:r>
        <w:t xml:space="preserve">polystyrene </w:t>
      </w:r>
      <w:r w:rsidR="00D52323">
        <w:t xml:space="preserve">(PS) </w:t>
      </w:r>
      <w:r>
        <w:t xml:space="preserve">foam in meal services. </w:t>
      </w:r>
      <w:r w:rsidR="003D27CE">
        <w:t xml:space="preserve">Basically, </w:t>
      </w:r>
      <w:r w:rsidR="00D52323">
        <w:t xml:space="preserve">these laws </w:t>
      </w:r>
      <w:r w:rsidR="00310E6C">
        <w:t>require</w:t>
      </w:r>
      <w:r w:rsidR="00D52323">
        <w:t xml:space="preserve"> </w:t>
      </w:r>
      <w:r w:rsidR="00310E6C" w:rsidRPr="00310E6C">
        <w:t xml:space="preserve">all school districts </w:t>
      </w:r>
      <w:r w:rsidR="00310E6C">
        <w:t xml:space="preserve">that provide breakfast or lunch </w:t>
      </w:r>
      <w:r w:rsidR="00310E6C" w:rsidRPr="00310E6C">
        <w:t>to eliminate polystyrene food service products by July 1, 2021 unless certain conditions are met for</w:t>
      </w:r>
      <w:r w:rsidR="00310E6C">
        <w:t xml:space="preserve"> a</w:t>
      </w:r>
      <w:r w:rsidR="00310E6C" w:rsidRPr="00310E6C">
        <w:t xml:space="preserve"> financial hardship</w:t>
      </w:r>
      <w:r w:rsidR="00310E6C">
        <w:t xml:space="preserve">, </w:t>
      </w:r>
      <w:r w:rsidR="003C48B7">
        <w:t>they have</w:t>
      </w:r>
      <w:r w:rsidR="00962D9E">
        <w:t xml:space="preserve"> </w:t>
      </w:r>
      <w:r w:rsidR="00310E6C">
        <w:t>previously purchased products (prior to SY 2022),</w:t>
      </w:r>
      <w:r w:rsidR="00310E6C" w:rsidRPr="00310E6C">
        <w:t xml:space="preserve"> or </w:t>
      </w:r>
      <w:r w:rsidR="00962D9E">
        <w:t xml:space="preserve">the district is </w:t>
      </w:r>
      <w:r w:rsidR="00310E6C" w:rsidRPr="00310E6C">
        <w:t>recycling</w:t>
      </w:r>
      <w:r w:rsidR="00310E6C">
        <w:t xml:space="preserve"> the foam</w:t>
      </w:r>
      <w:r w:rsidR="00310E6C" w:rsidRPr="00310E6C">
        <w:t xml:space="preserve">. </w:t>
      </w:r>
      <w:r w:rsidR="00310E6C">
        <w:t xml:space="preserve">These laws are widespread, including </w:t>
      </w:r>
      <w:r w:rsidR="00B50A90" w:rsidRPr="00B50A90">
        <w:t>all school districts across Oregon regardless of their involvement in the federal Child Nutrition Programs</w:t>
      </w:r>
      <w:r w:rsidR="00B50A90">
        <w:t xml:space="preserve">, </w:t>
      </w:r>
      <w:r w:rsidR="00D52323">
        <w:t>all times</w:t>
      </w:r>
      <w:r w:rsidR="00B50A90">
        <w:t xml:space="preserve"> of the day,</w:t>
      </w:r>
      <w:r w:rsidR="00D52323">
        <w:t xml:space="preserve"> and all areas of the </w:t>
      </w:r>
      <w:r w:rsidR="00B50A90">
        <w:t xml:space="preserve">districts’ </w:t>
      </w:r>
      <w:r w:rsidR="00D52323">
        <w:t>campuses</w:t>
      </w:r>
      <w:r w:rsidR="00962D9E">
        <w:t xml:space="preserve">. </w:t>
      </w:r>
    </w:p>
    <w:p w:rsidR="008B609A" w:rsidRDefault="008B609A" w:rsidP="008B609A">
      <w:pPr>
        <w:pStyle w:val="Heading1"/>
        <w:numPr>
          <w:ilvl w:val="0"/>
          <w:numId w:val="3"/>
        </w:numPr>
        <w:ind w:left="360"/>
      </w:pPr>
      <w:r>
        <w:t>What do I need to avoid?</w:t>
      </w:r>
    </w:p>
    <w:p w:rsidR="008B609A" w:rsidRDefault="00433E40" w:rsidP="008B609A">
      <w:bookmarkStart w:id="0" w:name="_GoBack"/>
      <w:r>
        <w:rPr>
          <w:noProof/>
        </w:rPr>
        <w:drawing>
          <wp:anchor distT="0" distB="0" distL="114300" distR="114300" simplePos="0" relativeHeight="251659264" behindDoc="0" locked="0" layoutInCell="1" allowOverlap="1" wp14:anchorId="5BC9CD69" wp14:editId="67DA2695">
            <wp:simplePos x="0" y="0"/>
            <wp:positionH relativeFrom="margin">
              <wp:posOffset>4608830</wp:posOffset>
            </wp:positionH>
            <wp:positionV relativeFrom="margin">
              <wp:posOffset>3645535</wp:posOffset>
            </wp:positionV>
            <wp:extent cx="551339" cy="671945"/>
            <wp:effectExtent l="19050" t="19050" r="20320" b="13970"/>
            <wp:wrapSquare wrapText="bothSides"/>
            <wp:docPr id="3" name="Picture 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339" cy="671945"/>
                    </a:xfrm>
                    <a:prstGeom prst="rect">
                      <a:avLst/>
                    </a:prstGeom>
                    <a:ln w="3175" cap="sq">
                      <a:solidFill>
                        <a:srgbClr val="000000"/>
                      </a:solidFill>
                      <a:prstDash val="solid"/>
                      <a:miter lim="800000"/>
                    </a:ln>
                    <a:effectLst/>
                  </pic:spPr>
                </pic:pic>
              </a:graphicData>
            </a:graphic>
          </wp:anchor>
        </w:drawing>
      </w:r>
      <w:bookmarkEnd w:id="0"/>
      <w:r w:rsidR="008B609A">
        <w:t>Polystyrene (PS) can come in many shapes and forms.</w:t>
      </w:r>
    </w:p>
    <w:p w:rsidR="008B609A" w:rsidRDefault="008B609A" w:rsidP="008B609A">
      <w:pPr>
        <w:pStyle w:val="ListParagraph"/>
        <w:numPr>
          <w:ilvl w:val="0"/>
          <w:numId w:val="2"/>
        </w:numPr>
      </w:pPr>
      <w:r>
        <w:t>This statute and rules only address polystyrene foam;</w:t>
      </w:r>
    </w:p>
    <w:p w:rsidR="008B609A" w:rsidRDefault="008B609A" w:rsidP="008B609A">
      <w:pPr>
        <w:pStyle w:val="ListParagraph"/>
        <w:numPr>
          <w:ilvl w:val="1"/>
          <w:numId w:val="2"/>
        </w:numPr>
      </w:pPr>
      <w:r>
        <w:t>NOT film forms;</w:t>
      </w:r>
    </w:p>
    <w:p w:rsidR="008B609A" w:rsidRDefault="008B609A" w:rsidP="008B609A">
      <w:pPr>
        <w:pStyle w:val="ListParagraph"/>
        <w:numPr>
          <w:ilvl w:val="1"/>
          <w:numId w:val="2"/>
        </w:numPr>
      </w:pPr>
      <w:r>
        <w:t xml:space="preserve">NOT solid or clear plastic forms.  </w:t>
      </w:r>
    </w:p>
    <w:p w:rsidR="008B609A" w:rsidRDefault="008B609A" w:rsidP="008B609A">
      <w:pPr>
        <w:pStyle w:val="ListParagraph"/>
        <w:numPr>
          <w:ilvl w:val="0"/>
          <w:numId w:val="2"/>
        </w:numPr>
      </w:pPr>
      <w:r>
        <w:t xml:space="preserve">The types of foam could be expanded polystyrene (EPS) or extruded polystyrene (XPS).  </w:t>
      </w:r>
    </w:p>
    <w:p w:rsidR="008B609A" w:rsidRDefault="008B609A" w:rsidP="008B609A">
      <w:pPr>
        <w:pStyle w:val="ListParagraph"/>
        <w:numPr>
          <w:ilvl w:val="0"/>
          <w:numId w:val="2"/>
        </w:numPr>
      </w:pPr>
      <w:r>
        <w:t xml:space="preserve">Polystyrene can be identified by the resin identification code of #6 as seen above, and this symbol is often located on the bottom of containers. </w:t>
      </w:r>
    </w:p>
    <w:p w:rsidR="00512DDC" w:rsidRDefault="00512DDC" w:rsidP="00160768">
      <w:pPr>
        <w:pStyle w:val="Heading1"/>
        <w:numPr>
          <w:ilvl w:val="0"/>
          <w:numId w:val="3"/>
        </w:numPr>
        <w:ind w:left="360"/>
      </w:pPr>
      <w:r>
        <w:t>What can I use instead of polystyrene foam?</w:t>
      </w:r>
    </w:p>
    <w:p w:rsidR="00AD2E2D" w:rsidRDefault="00F02730" w:rsidP="00447EC3">
      <w:r>
        <w:t xml:space="preserve">Food service wares allowed in Oregon can be made of any other material that is available to the district. </w:t>
      </w:r>
      <w:r w:rsidR="00AD2E2D">
        <w:t>Some materials available are:</w:t>
      </w:r>
    </w:p>
    <w:p w:rsidR="00AD2E2D" w:rsidRDefault="00AD2E2D" w:rsidP="00AD2E2D">
      <w:pPr>
        <w:pStyle w:val="ListParagraph"/>
        <w:numPr>
          <w:ilvl w:val="0"/>
          <w:numId w:val="8"/>
        </w:numPr>
      </w:pPr>
      <w:r w:rsidRPr="00AD2E2D">
        <w:rPr>
          <w:b/>
          <w:bCs/>
        </w:rPr>
        <w:t>Reusable Polypropylene Containers</w:t>
      </w:r>
      <w:r w:rsidRPr="00AD2E2D">
        <w:t> </w:t>
      </w:r>
      <w:r w:rsidR="00D7619D">
        <w:t xml:space="preserve">– </w:t>
      </w:r>
      <w:r w:rsidRPr="00AD2E2D">
        <w:t>a durable, synthetic resin construction for multiple-use applications.</w:t>
      </w:r>
    </w:p>
    <w:p w:rsidR="00AD2E2D" w:rsidRPr="00AD2E2D" w:rsidRDefault="00AD2E2D" w:rsidP="00AD2E2D">
      <w:pPr>
        <w:pStyle w:val="ListParagraph"/>
        <w:numPr>
          <w:ilvl w:val="0"/>
          <w:numId w:val="8"/>
        </w:numPr>
      </w:pPr>
      <w:r w:rsidRPr="00AD2E2D">
        <w:rPr>
          <w:b/>
          <w:bCs/>
        </w:rPr>
        <w:t>Post-Consumer Paperboard</w:t>
      </w:r>
      <w:r w:rsidRPr="00AD2E2D">
        <w:t> </w:t>
      </w:r>
      <w:r w:rsidR="00D7619D">
        <w:t>–</w:t>
      </w:r>
      <w:r w:rsidRPr="00AD2E2D">
        <w:t xml:space="preserve"> </w:t>
      </w:r>
      <w:r w:rsidR="00D7619D">
        <w:t xml:space="preserve">has the </w:t>
      </w:r>
      <w:r w:rsidRPr="00AD2E2D">
        <w:t>durability of paperboard construction</w:t>
      </w:r>
      <w:r w:rsidR="00D7619D">
        <w:t>, which may have a lower environmental footprint</w:t>
      </w:r>
      <w:r w:rsidRPr="00AD2E2D">
        <w:t>.</w:t>
      </w:r>
    </w:p>
    <w:p w:rsidR="00AD2E2D" w:rsidRPr="00AD2E2D" w:rsidRDefault="00D7619D" w:rsidP="00D7619D">
      <w:pPr>
        <w:pStyle w:val="ListParagraph"/>
        <w:numPr>
          <w:ilvl w:val="0"/>
          <w:numId w:val="8"/>
        </w:numPr>
      </w:pPr>
      <w:r w:rsidRPr="00D7619D">
        <w:rPr>
          <w:b/>
          <w:bCs/>
        </w:rPr>
        <w:t xml:space="preserve">Polyethylene terephthalate </w:t>
      </w:r>
      <w:r>
        <w:rPr>
          <w:b/>
          <w:bCs/>
        </w:rPr>
        <w:t>(</w:t>
      </w:r>
      <w:r w:rsidR="00AD2E2D" w:rsidRPr="00AD2E2D">
        <w:rPr>
          <w:b/>
          <w:bCs/>
        </w:rPr>
        <w:t>PET</w:t>
      </w:r>
      <w:r>
        <w:rPr>
          <w:b/>
          <w:bCs/>
        </w:rPr>
        <w:t>)</w:t>
      </w:r>
      <w:r w:rsidR="00AD2E2D" w:rsidRPr="00AD2E2D">
        <w:rPr>
          <w:b/>
          <w:bCs/>
        </w:rPr>
        <w:t xml:space="preserve"> Plastic</w:t>
      </w:r>
      <w:r>
        <w:t xml:space="preserve"> - </w:t>
      </w:r>
      <w:r w:rsidR="00AD2E2D" w:rsidRPr="00AD2E2D">
        <w:t xml:space="preserve">is flexible, lightweight, and </w:t>
      </w:r>
      <w:r w:rsidR="00AD2E2D">
        <w:t xml:space="preserve">generally </w:t>
      </w:r>
      <w:r w:rsidR="00AD2E2D" w:rsidRPr="00AD2E2D">
        <w:t>recyclable.</w:t>
      </w:r>
    </w:p>
    <w:p w:rsidR="00AD2E2D" w:rsidRPr="00AD2E2D" w:rsidRDefault="00AD2E2D" w:rsidP="00AD2E2D">
      <w:pPr>
        <w:pStyle w:val="ListParagraph"/>
        <w:numPr>
          <w:ilvl w:val="0"/>
          <w:numId w:val="8"/>
        </w:numPr>
      </w:pPr>
      <w:r w:rsidRPr="00AD2E2D">
        <w:rPr>
          <w:b/>
          <w:bCs/>
        </w:rPr>
        <w:t>Paper/Double Poly Coated Paper</w:t>
      </w:r>
      <w:r w:rsidRPr="00AD2E2D">
        <w:t> - are durable and moisture resistant.</w:t>
      </w:r>
    </w:p>
    <w:p w:rsidR="00AD2E2D" w:rsidRPr="00AD2E2D" w:rsidRDefault="00AD2E2D" w:rsidP="00AD2E2D">
      <w:pPr>
        <w:pStyle w:val="ListParagraph"/>
        <w:numPr>
          <w:ilvl w:val="0"/>
          <w:numId w:val="8"/>
        </w:numPr>
      </w:pPr>
      <w:r w:rsidRPr="00AD2E2D">
        <w:rPr>
          <w:b/>
          <w:bCs/>
        </w:rPr>
        <w:lastRenderedPageBreak/>
        <w:t>Sugarcane/Bagasse</w:t>
      </w:r>
      <w:r w:rsidRPr="00AD2E2D">
        <w:t xml:space="preserve"> - </w:t>
      </w:r>
      <w:r>
        <w:t xml:space="preserve">is </w:t>
      </w:r>
      <w:r w:rsidR="00D7619D">
        <w:t xml:space="preserve">a </w:t>
      </w:r>
      <w:r w:rsidR="005F327C">
        <w:t>byproduct of sugarcane processing and is</w:t>
      </w:r>
      <w:r w:rsidR="00D7619D">
        <w:t xml:space="preserve"> </w:t>
      </w:r>
      <w:r w:rsidR="005F327C">
        <w:t xml:space="preserve">fibrous </w:t>
      </w:r>
      <w:r w:rsidRPr="00AD2E2D">
        <w:t>material designed with grease-resistant properties.</w:t>
      </w:r>
    </w:p>
    <w:p w:rsidR="00AD2E2D" w:rsidRPr="00AD2E2D" w:rsidRDefault="00E91D2E" w:rsidP="00E91D2E">
      <w:pPr>
        <w:pStyle w:val="ListParagraph"/>
        <w:numPr>
          <w:ilvl w:val="0"/>
          <w:numId w:val="8"/>
        </w:numPr>
      </w:pPr>
      <w:proofErr w:type="spellStart"/>
      <w:r w:rsidRPr="00E91D2E">
        <w:rPr>
          <w:b/>
          <w:bCs/>
        </w:rPr>
        <w:t>Polylactic</w:t>
      </w:r>
      <w:proofErr w:type="spellEnd"/>
      <w:r w:rsidRPr="00E91D2E">
        <w:rPr>
          <w:b/>
          <w:bCs/>
        </w:rPr>
        <w:t xml:space="preserve"> acid (PLA) </w:t>
      </w:r>
      <w:r w:rsidR="00AD2E2D" w:rsidRPr="00AD2E2D">
        <w:rPr>
          <w:b/>
          <w:bCs/>
        </w:rPr>
        <w:t>Plastic</w:t>
      </w:r>
      <w:r w:rsidR="00AD2E2D" w:rsidRPr="00AD2E2D">
        <w:t> </w:t>
      </w:r>
      <w:r>
        <w:t>–</w:t>
      </w:r>
      <w:r w:rsidR="00AD2E2D" w:rsidRPr="00AD2E2D">
        <w:t xml:space="preserve"> </w:t>
      </w:r>
      <w:r>
        <w:t xml:space="preserve">is a </w:t>
      </w:r>
      <w:r w:rsidRPr="00E91D2E">
        <w:t xml:space="preserve">plant-derived </w:t>
      </w:r>
      <w:r w:rsidR="00AD2E2D">
        <w:t>plastic</w:t>
      </w:r>
      <w:r>
        <w:t xml:space="preserve"> made from fermented plant starches</w:t>
      </w:r>
      <w:r w:rsidR="00AD2E2D" w:rsidRPr="00AD2E2D">
        <w:t>.</w:t>
      </w:r>
    </w:p>
    <w:p w:rsidR="00512DDC" w:rsidRDefault="00F02730" w:rsidP="00447EC3">
      <w:r>
        <w:t xml:space="preserve">Many decisions may lead a district to purchase one product over another, or change their system entirely to include the use of durable reusable products. </w:t>
      </w:r>
      <w:r w:rsidR="003D27CE">
        <w:t>The b</w:t>
      </w:r>
      <w:r w:rsidR="003D27CE" w:rsidRPr="003D27CE">
        <w:t>ottom line</w:t>
      </w:r>
      <w:r w:rsidR="003D27CE">
        <w:t xml:space="preserve"> is that</w:t>
      </w:r>
      <w:r w:rsidR="003D27CE" w:rsidRPr="003D27CE">
        <w:t xml:space="preserve"> all materials have impacts, comparisons between different materials is complicated, and making decisions based on single attributes can, in some cases, lead to poorer outcomes</w:t>
      </w:r>
      <w:r>
        <w:t xml:space="preserve"> environmentally or otherwise. The Oregon Department of Environmental Quality</w:t>
      </w:r>
      <w:r w:rsidR="00B74960">
        <w:t xml:space="preserve"> </w:t>
      </w:r>
      <w:hyperlink r:id="rId8" w:history="1">
        <w:r w:rsidR="00B74960" w:rsidRPr="00607028">
          <w:rPr>
            <w:rStyle w:val="Hyperlink"/>
          </w:rPr>
          <w:t>has reported</w:t>
        </w:r>
      </w:hyperlink>
      <w:r w:rsidR="00607028">
        <w:t xml:space="preserve"> that single use materials have similar levels of environmental impacts so they strongly recommend</w:t>
      </w:r>
      <w:r>
        <w:t xml:space="preserve"> </w:t>
      </w:r>
      <w:r w:rsidR="00607028">
        <w:t>defaulting to reusable and buying</w:t>
      </w:r>
      <w:r w:rsidR="00A22E59" w:rsidRPr="00A22E59">
        <w:t xml:space="preserve"> durable </w:t>
      </w:r>
      <w:r w:rsidR="00607028">
        <w:t xml:space="preserve">items </w:t>
      </w:r>
      <w:r w:rsidR="00A22E59" w:rsidRPr="00A22E59">
        <w:t>when possible</w:t>
      </w:r>
      <w:r w:rsidR="00607028">
        <w:t>.</w:t>
      </w:r>
    </w:p>
    <w:p w:rsidR="00B74960" w:rsidRDefault="00B74960" w:rsidP="00160768">
      <w:pPr>
        <w:pStyle w:val="Heading1"/>
        <w:numPr>
          <w:ilvl w:val="0"/>
          <w:numId w:val="3"/>
        </w:numPr>
        <w:ind w:left="360"/>
      </w:pPr>
      <w:r>
        <w:t>What about compostable materials?</w:t>
      </w:r>
    </w:p>
    <w:p w:rsidR="008D3D10" w:rsidRDefault="00D7619D" w:rsidP="00B74960">
      <w:r>
        <w:t xml:space="preserve">While some materials are marketed as being compostable or biodegradable, they may not be accepted by the facility that processes </w:t>
      </w:r>
      <w:r w:rsidR="00607028">
        <w:t>waste</w:t>
      </w:r>
      <w:r>
        <w:t xml:space="preserve"> into compost. Districts will need to check with the facility in their area, which is generally the refuse hauler. </w:t>
      </w:r>
      <w:r w:rsidR="008D3D10">
        <w:t xml:space="preserve">The Oregon Department of Environmental Quality (DEQ) has </w:t>
      </w:r>
      <w:r w:rsidR="00607028">
        <w:t xml:space="preserve">published </w:t>
      </w:r>
      <w:r w:rsidR="008D3D10">
        <w:t>this information from composter representatives:</w:t>
      </w:r>
      <w:r w:rsidR="008D3D10" w:rsidRPr="008D3D10">
        <w:t xml:space="preserve"> </w:t>
      </w:r>
    </w:p>
    <w:p w:rsidR="008D3D10" w:rsidRDefault="008D3D10" w:rsidP="008D3D10">
      <w:pPr>
        <w:pStyle w:val="ListParagraph"/>
        <w:numPr>
          <w:ilvl w:val="0"/>
          <w:numId w:val="5"/>
        </w:numPr>
      </w:pPr>
      <w:r w:rsidRPr="008D3D10">
        <w:t>“Compostable” packaging and service ware items have been on the rise for the past decade and they are increasingly ending up in our facilities. These materials compromise our composting programs and limit many of the environmental benefits of successful composting.</w:t>
      </w:r>
      <w:r>
        <w:t xml:space="preserve"> </w:t>
      </w:r>
    </w:p>
    <w:p w:rsidR="00D7619D" w:rsidRDefault="008D3D10" w:rsidP="00D7619D">
      <w:r>
        <w:t xml:space="preserve">The full list of </w:t>
      </w:r>
      <w:r w:rsidR="006B1E6D">
        <w:t>the</w:t>
      </w:r>
      <w:r>
        <w:t xml:space="preserve"> reasons why </w:t>
      </w:r>
      <w:r w:rsidR="00D7619D">
        <w:t xml:space="preserve">“compostable” items are generally not acceptable </w:t>
      </w:r>
      <w:r w:rsidR="006B1E6D">
        <w:t xml:space="preserve">or discouraged for </w:t>
      </w:r>
      <w:r w:rsidR="00D7619D">
        <w:t xml:space="preserve">composting facilities in Oregon </w:t>
      </w:r>
      <w:r>
        <w:t>can be found at</w:t>
      </w:r>
      <w:r w:rsidR="00D7619D">
        <w:t>:</w:t>
      </w:r>
    </w:p>
    <w:p w:rsidR="00D7619D" w:rsidRDefault="00AD2E2D" w:rsidP="00D7619D">
      <w:pPr>
        <w:pStyle w:val="ListParagraph"/>
        <w:numPr>
          <w:ilvl w:val="0"/>
          <w:numId w:val="5"/>
        </w:numPr>
      </w:pPr>
      <w:r>
        <w:t>English</w:t>
      </w:r>
      <w:r w:rsidR="008D3D10">
        <w:t xml:space="preserve"> </w:t>
      </w:r>
      <w:hyperlink r:id="rId9" w:history="1">
        <w:r w:rsidR="008D3D10" w:rsidRPr="00C8016A">
          <w:rPr>
            <w:rStyle w:val="Hyperlink"/>
          </w:rPr>
          <w:t>https://www.oregon.gov/deq/mm/Documents/MessagefromComposter-En.pdf</w:t>
        </w:r>
      </w:hyperlink>
      <w:r w:rsidR="008D3D10">
        <w:t xml:space="preserve"> </w:t>
      </w:r>
    </w:p>
    <w:p w:rsidR="00B74960" w:rsidRDefault="00D7619D" w:rsidP="00D7619D">
      <w:pPr>
        <w:pStyle w:val="ListParagraph"/>
        <w:numPr>
          <w:ilvl w:val="0"/>
          <w:numId w:val="5"/>
        </w:numPr>
      </w:pPr>
      <w:r>
        <w:t xml:space="preserve">Spanish </w:t>
      </w:r>
      <w:hyperlink r:id="rId10" w:history="1">
        <w:r w:rsidRPr="00C8016A">
          <w:rPr>
            <w:rStyle w:val="Hyperlink"/>
          </w:rPr>
          <w:t>https://www.oregon.gov/deq/mm/Documents/MessagefromComposter-Sp.pdf</w:t>
        </w:r>
      </w:hyperlink>
      <w:r>
        <w:t xml:space="preserve"> </w:t>
      </w:r>
    </w:p>
    <w:p w:rsidR="00B50A90" w:rsidRDefault="00B50A90" w:rsidP="00B50A90">
      <w:pPr>
        <w:pStyle w:val="Heading1"/>
        <w:numPr>
          <w:ilvl w:val="0"/>
          <w:numId w:val="3"/>
        </w:numPr>
        <w:ind w:left="360"/>
      </w:pPr>
      <w:r>
        <w:t>How do I recycle foam?</w:t>
      </w:r>
    </w:p>
    <w:p w:rsidR="00B50A90" w:rsidRDefault="00B50A90" w:rsidP="00B50A90">
      <w:r>
        <w:t xml:space="preserve">Generally, organizations across Oregon that accept foam are accepting the clean and dry packing foam, not food service foams. </w:t>
      </w:r>
      <w:r w:rsidRPr="00053C2D">
        <w:t xml:space="preserve">Districts will need to check with </w:t>
      </w:r>
      <w:r>
        <w:t>a</w:t>
      </w:r>
      <w:r w:rsidRPr="00053C2D">
        <w:t xml:space="preserve"> facility in their area</w:t>
      </w:r>
      <w:r>
        <w:t xml:space="preserve"> to confirm the types of foam accepted.</w:t>
      </w:r>
      <w:r w:rsidRPr="00053C2D">
        <w:t xml:space="preserve"> </w:t>
      </w:r>
      <w:r>
        <w:t>To start the process</w:t>
      </w:r>
      <w:r w:rsidRPr="00053C2D">
        <w:t xml:space="preserve"> </w:t>
      </w:r>
      <w:r>
        <w:t>to recycle foam food service wares, a</w:t>
      </w:r>
      <w:r w:rsidRPr="003B2122">
        <w:t xml:space="preserve"> unique</w:t>
      </w:r>
      <w:r>
        <w:t>, though costly,</w:t>
      </w:r>
      <w:r w:rsidRPr="003B2122">
        <w:t xml:space="preserve"> </w:t>
      </w:r>
      <w:r>
        <w:t>appliance would have to be purchased and a contract made with a company that would accept the material after it is condensed down in that appliance. Those products are</w:t>
      </w:r>
      <w:r w:rsidRPr="003B2122">
        <w:t xml:space="preserve"> </w:t>
      </w:r>
      <w:r>
        <w:t xml:space="preserve">sent </w:t>
      </w:r>
      <w:r w:rsidRPr="003B2122">
        <w:t xml:space="preserve">to </w:t>
      </w:r>
      <w:r>
        <w:t xml:space="preserve">the company that accepts this densified foam where they are made into </w:t>
      </w:r>
      <w:r w:rsidRPr="003B2122">
        <w:t xml:space="preserve">liquid resin. The resin can be recycled into </w:t>
      </w:r>
      <w:r>
        <w:t xml:space="preserve">new </w:t>
      </w:r>
      <w:r w:rsidRPr="003B2122">
        <w:t xml:space="preserve">items like picture frames or paving bricks. </w:t>
      </w:r>
      <w:r>
        <w:t>While</w:t>
      </w:r>
      <w:r w:rsidRPr="00D52323">
        <w:t xml:space="preserve"> </w:t>
      </w:r>
      <w:r w:rsidRPr="00D52323">
        <w:lastRenderedPageBreak/>
        <w:t>recycling polystyrene</w:t>
      </w:r>
      <w:r>
        <w:t xml:space="preserve"> </w:t>
      </w:r>
      <w:r w:rsidRPr="00D52323">
        <w:t xml:space="preserve">is allowable under the statute and the rules, there is </w:t>
      </w:r>
      <w:r>
        <w:t xml:space="preserve">currently </w:t>
      </w:r>
      <w:r w:rsidRPr="00D52323">
        <w:t>only one organization in Tigard</w:t>
      </w:r>
      <w:r>
        <w:t>,</w:t>
      </w:r>
      <w:r w:rsidRPr="00D52323">
        <w:t xml:space="preserve"> Oregon that </w:t>
      </w:r>
      <w:r>
        <w:t xml:space="preserve">performs the final step of resin conversion for recycling </w:t>
      </w:r>
      <w:r w:rsidRPr="00D52323">
        <w:t>polystyrene foam.</w:t>
      </w:r>
    </w:p>
    <w:p w:rsidR="00607028" w:rsidRDefault="00C93D10" w:rsidP="00160768">
      <w:pPr>
        <w:pStyle w:val="Heading1"/>
        <w:numPr>
          <w:ilvl w:val="0"/>
          <w:numId w:val="3"/>
        </w:numPr>
        <w:ind w:left="360"/>
      </w:pPr>
      <w:r>
        <w:t>Is there financial help for my district?</w:t>
      </w:r>
    </w:p>
    <w:p w:rsidR="00053C2D" w:rsidRDefault="00160768" w:rsidP="00C93D10">
      <w:r>
        <w:t xml:space="preserve">The </w:t>
      </w:r>
      <w:r w:rsidR="00053C2D">
        <w:t xml:space="preserve">statute and rules allow for a </w:t>
      </w:r>
      <w:r>
        <w:t>financial hardship</w:t>
      </w:r>
      <w:r w:rsidR="003C48B7">
        <w:t xml:space="preserve"> for districts</w:t>
      </w:r>
      <w:r>
        <w:t xml:space="preserve"> </w:t>
      </w:r>
      <w:r w:rsidR="00053C2D">
        <w:t>to waive the prohibition of polystyrene foam. The application</w:t>
      </w:r>
      <w:r>
        <w:t xml:space="preserve"> requires submission of documented proof of a hardship, and the applicant district must be approved by the Oregon Department of Education on a yearly basis. </w:t>
      </w:r>
      <w:r w:rsidR="00053C2D">
        <w:t xml:space="preserve">Instructions and a link to the online form to submit an application can be found on this webpage: </w:t>
      </w:r>
      <w:hyperlink r:id="rId11" w:history="1">
        <w:r w:rsidR="00053C2D" w:rsidRPr="00C8016A">
          <w:rPr>
            <w:rStyle w:val="Hyperlink"/>
          </w:rPr>
          <w:t>https://www.oregon.gov/ode/students-and-family/childnutrition/SNP/Pages/SNPGuidance.aspx</w:t>
        </w:r>
      </w:hyperlink>
      <w:r w:rsidR="00053C2D">
        <w:t xml:space="preserve"> </w:t>
      </w:r>
    </w:p>
    <w:p w:rsidR="002204B9" w:rsidRDefault="00C93D10" w:rsidP="00493F6A">
      <w:r>
        <w:t xml:space="preserve">Districts that are sponsors of the </w:t>
      </w:r>
      <w:r w:rsidR="006F08F9" w:rsidRPr="006F08F9">
        <w:t xml:space="preserve">National School Lunch Program </w:t>
      </w:r>
      <w:r>
        <w:t>may be able to receive grants such as the</w:t>
      </w:r>
      <w:r w:rsidR="002204B9">
        <w:t>:</w:t>
      </w:r>
    </w:p>
    <w:p w:rsidR="002204B9" w:rsidRPr="006F08F9" w:rsidRDefault="00C93D10" w:rsidP="002204B9">
      <w:pPr>
        <w:pStyle w:val="ListParagraph"/>
        <w:numPr>
          <w:ilvl w:val="0"/>
          <w:numId w:val="13"/>
        </w:numPr>
      </w:pPr>
      <w:r>
        <w:t xml:space="preserve">Equipment </w:t>
      </w:r>
      <w:r w:rsidR="00493F6A">
        <w:t>Assistance</w:t>
      </w:r>
      <w:r>
        <w:t xml:space="preserve"> Grant</w:t>
      </w:r>
      <w:r w:rsidR="00053C2D">
        <w:t xml:space="preserve"> </w:t>
      </w:r>
      <w:hyperlink r:id="rId12" w:history="1">
        <w:r w:rsidRPr="00C8016A">
          <w:rPr>
            <w:rStyle w:val="Hyperlink"/>
          </w:rPr>
          <w:t>https://www.oregon.gov/ode/students-and-family/childnutrition/SNP/Pages/Grants.aspx</w:t>
        </w:r>
      </w:hyperlink>
      <w:r>
        <w:t xml:space="preserve"> </w:t>
      </w:r>
    </w:p>
    <w:p w:rsidR="002204B9" w:rsidRDefault="002204B9" w:rsidP="002204B9">
      <w:pPr>
        <w:pStyle w:val="ListParagraph"/>
        <w:numPr>
          <w:ilvl w:val="0"/>
          <w:numId w:val="15"/>
        </w:numPr>
      </w:pPr>
      <w:r w:rsidRPr="006F08F9">
        <w:t xml:space="preserve">Fuel Up to Play 60 via Oregon Dairy and Nutrition Council </w:t>
      </w:r>
    </w:p>
    <w:p w:rsidR="00C93D10" w:rsidRDefault="00E67766" w:rsidP="002204B9">
      <w:pPr>
        <w:pStyle w:val="ListParagraph"/>
        <w:numPr>
          <w:ilvl w:val="1"/>
          <w:numId w:val="15"/>
        </w:numPr>
      </w:pPr>
      <w:hyperlink r:id="rId13" w:tgtFrame="_blank" w:tooltip="https://odncouncil.org/category/fuel-up-to-play-60/" w:history="1">
        <w:r w:rsidR="002204B9" w:rsidRPr="006F08F9">
          <w:rPr>
            <w:rStyle w:val="Hyperlink"/>
          </w:rPr>
          <w:t>https://odncouncil.org/category/fuel-up-to-play-60/</w:t>
        </w:r>
      </w:hyperlink>
    </w:p>
    <w:p w:rsidR="002204B9" w:rsidRDefault="00E67766" w:rsidP="002204B9">
      <w:pPr>
        <w:pStyle w:val="ListParagraph"/>
        <w:numPr>
          <w:ilvl w:val="1"/>
          <w:numId w:val="15"/>
        </w:numPr>
      </w:pPr>
      <w:hyperlink r:id="rId14" w:history="1">
        <w:r w:rsidR="002204B9" w:rsidRPr="00C8016A">
          <w:rPr>
            <w:rStyle w:val="Hyperlink"/>
          </w:rPr>
          <w:t>https://www.fueluptoplay60.com/funding/general-information</w:t>
        </w:r>
      </w:hyperlink>
      <w:r w:rsidR="002204B9">
        <w:t xml:space="preserve"> </w:t>
      </w:r>
    </w:p>
    <w:p w:rsidR="00053C2D" w:rsidRDefault="002204B9" w:rsidP="006F08F9">
      <w:r>
        <w:t>F</w:t>
      </w:r>
      <w:r w:rsidR="00053C2D">
        <w:t>unding</w:t>
      </w:r>
      <w:r>
        <w:t xml:space="preserve"> for larger projects</w:t>
      </w:r>
      <w:r w:rsidR="00053C2D">
        <w:t xml:space="preserve"> </w:t>
      </w:r>
      <w:r>
        <w:t xml:space="preserve">such as kitchen redesign </w:t>
      </w:r>
      <w:r w:rsidR="00053C2D">
        <w:t>may be available through these organizations:</w:t>
      </w:r>
    </w:p>
    <w:p w:rsidR="006F08F9" w:rsidRPr="006F08F9" w:rsidRDefault="006F08F9" w:rsidP="00053C2D">
      <w:pPr>
        <w:pStyle w:val="ListParagraph"/>
        <w:numPr>
          <w:ilvl w:val="0"/>
          <w:numId w:val="13"/>
        </w:numPr>
      </w:pPr>
      <w:r w:rsidRPr="006F08F9">
        <w:t>Oregon Department of Energy:</w:t>
      </w:r>
    </w:p>
    <w:p w:rsidR="006F08F9" w:rsidRPr="006F08F9" w:rsidRDefault="006F08F9" w:rsidP="00053C2D">
      <w:pPr>
        <w:pStyle w:val="ListParagraph"/>
        <w:numPr>
          <w:ilvl w:val="1"/>
          <w:numId w:val="13"/>
        </w:numPr>
      </w:pPr>
      <w:r w:rsidRPr="006F08F9">
        <w:t xml:space="preserve">Schools and Public Buildings </w:t>
      </w:r>
      <w:hyperlink r:id="rId15" w:tgtFrame="_blank" w:tooltip="https://www.oregon.gov/energy/energy-oregon/pages/schools-and-public-buildings.aspx" w:history="1">
        <w:r w:rsidRPr="006F08F9">
          <w:rPr>
            <w:rStyle w:val="Hyperlink"/>
          </w:rPr>
          <w:t>https://www.oregon.gov/energy/energy-oregon/Pages/Schools-and-Public-Buildings.aspx</w:t>
        </w:r>
      </w:hyperlink>
    </w:p>
    <w:p w:rsidR="006F08F9" w:rsidRPr="006F08F9" w:rsidRDefault="006F08F9" w:rsidP="00053C2D">
      <w:pPr>
        <w:pStyle w:val="ListParagraph"/>
        <w:numPr>
          <w:ilvl w:val="0"/>
          <w:numId w:val="13"/>
        </w:numPr>
      </w:pPr>
      <w:r w:rsidRPr="006F08F9">
        <w:t xml:space="preserve">Energy Trust of Oregon - Commercial </w:t>
      </w:r>
      <w:hyperlink r:id="rId16" w:tgtFrame="_blank" w:tooltip="https://www.energytrust.org/commercial/" w:history="1">
        <w:r w:rsidRPr="006F08F9">
          <w:rPr>
            <w:rStyle w:val="Hyperlink"/>
          </w:rPr>
          <w:t>https://www.energytrust.org/commercial/</w:t>
        </w:r>
      </w:hyperlink>
    </w:p>
    <w:p w:rsidR="00512DDC" w:rsidRDefault="00512DDC" w:rsidP="00160768">
      <w:pPr>
        <w:pStyle w:val="Heading1"/>
        <w:numPr>
          <w:ilvl w:val="0"/>
          <w:numId w:val="3"/>
        </w:numPr>
        <w:ind w:left="360"/>
      </w:pPr>
      <w:r>
        <w:t xml:space="preserve">Where can I </w:t>
      </w:r>
      <w:r w:rsidR="00053C2D">
        <w:t>learn</w:t>
      </w:r>
      <w:r>
        <w:t xml:space="preserve"> more </w:t>
      </w:r>
      <w:r w:rsidR="00053C2D">
        <w:t>information</w:t>
      </w:r>
      <w:r>
        <w:t>?</w:t>
      </w:r>
    </w:p>
    <w:p w:rsidR="00447EC3" w:rsidRDefault="00447EC3" w:rsidP="00160768">
      <w:pPr>
        <w:pStyle w:val="Heading2"/>
        <w:numPr>
          <w:ilvl w:val="0"/>
          <w:numId w:val="12"/>
        </w:numPr>
      </w:pPr>
      <w:r>
        <w:t>Oregon Department of Environmental Quality</w:t>
      </w:r>
    </w:p>
    <w:p w:rsidR="008D3D10" w:rsidRPr="008D3D10" w:rsidRDefault="008D3D10" w:rsidP="008D3D10">
      <w:r>
        <w:t xml:space="preserve">The DEQ Materials Management </w:t>
      </w:r>
      <w:r w:rsidR="00C93D10">
        <w:t>web</w:t>
      </w:r>
      <w:r>
        <w:t xml:space="preserve">page contains a multitude of information in regards to environmental concerns. </w:t>
      </w:r>
      <w:hyperlink r:id="rId17" w:history="1">
        <w:r w:rsidRPr="00C8016A">
          <w:rPr>
            <w:rStyle w:val="Hyperlink"/>
          </w:rPr>
          <w:t>https://www.oregon.gov/deq/mm/Pages/default.aspx</w:t>
        </w:r>
      </w:hyperlink>
      <w:r w:rsidR="00607028">
        <w:t xml:space="preserve">. </w:t>
      </w:r>
      <w:r w:rsidR="00C93D10">
        <w:t>They have</w:t>
      </w:r>
      <w:r w:rsidR="00607028">
        <w:t xml:space="preserve"> a webpage </w:t>
      </w:r>
      <w:r w:rsidR="00C93D10">
        <w:t>where</w:t>
      </w:r>
      <w:r w:rsidR="00607028">
        <w:t xml:space="preserve"> they have compiled </w:t>
      </w:r>
      <w:r w:rsidR="00C93D10">
        <w:t xml:space="preserve">information </w:t>
      </w:r>
      <w:r w:rsidR="00607028">
        <w:t xml:space="preserve">to address packaging attributes that will provide information about some terms that are used for packaging materials: </w:t>
      </w:r>
      <w:hyperlink r:id="rId18" w:history="1">
        <w:r w:rsidR="00607028" w:rsidRPr="00C8016A">
          <w:rPr>
            <w:rStyle w:val="Hyperlink"/>
          </w:rPr>
          <w:t>https://www.oregon.gov/deq/mm/production/Pages/Materials-Attributes.aspx</w:t>
        </w:r>
      </w:hyperlink>
      <w:r w:rsidR="00607028">
        <w:t xml:space="preserve"> </w:t>
      </w:r>
      <w:r>
        <w:t xml:space="preserve"> </w:t>
      </w:r>
    </w:p>
    <w:p w:rsidR="00160768" w:rsidRDefault="00160768" w:rsidP="00160768">
      <w:pPr>
        <w:pStyle w:val="Heading2"/>
        <w:numPr>
          <w:ilvl w:val="0"/>
          <w:numId w:val="12"/>
        </w:numPr>
      </w:pPr>
      <w:r>
        <w:t>Center for Environmental Health</w:t>
      </w:r>
    </w:p>
    <w:p w:rsidR="006B1E6D" w:rsidRDefault="00E67766" w:rsidP="006B1E6D">
      <w:pPr>
        <w:pStyle w:val="ListParagraph"/>
        <w:numPr>
          <w:ilvl w:val="0"/>
          <w:numId w:val="1"/>
        </w:numPr>
      </w:pPr>
      <w:hyperlink r:id="rId19" w:history="1">
        <w:r w:rsidR="00160768" w:rsidRPr="006B1E6D">
          <w:rPr>
            <w:rStyle w:val="Hyperlink"/>
          </w:rPr>
          <w:t>https://ceh.org/</w:t>
        </w:r>
      </w:hyperlink>
      <w:r w:rsidR="00160768" w:rsidRPr="006B1E6D">
        <w:t xml:space="preserve"> </w:t>
      </w:r>
      <w:r w:rsidR="00AB3A5F" w:rsidRPr="006B1E6D">
        <w:t xml:space="preserve">in Oakland, CA </w:t>
      </w:r>
    </w:p>
    <w:p w:rsidR="006B1E6D" w:rsidRDefault="001224D2" w:rsidP="006B1E6D">
      <w:pPr>
        <w:pStyle w:val="ListParagraph"/>
        <w:numPr>
          <w:ilvl w:val="0"/>
          <w:numId w:val="1"/>
        </w:numPr>
      </w:pPr>
      <w:r>
        <w:lastRenderedPageBreak/>
        <w:t xml:space="preserve">Ditching Disposables: Healthier </w:t>
      </w:r>
      <w:proofErr w:type="spellStart"/>
      <w:r>
        <w:t>Foodware</w:t>
      </w:r>
      <w:proofErr w:type="spellEnd"/>
      <w:r>
        <w:t xml:space="preserve"> in K-12 Schools (Webinar</w:t>
      </w:r>
      <w:r w:rsidR="006B1E6D">
        <w:t xml:space="preserve"> and Toolkit</w:t>
      </w:r>
      <w:r>
        <w:t xml:space="preserve">) </w:t>
      </w:r>
    </w:p>
    <w:p w:rsidR="001224D2" w:rsidRDefault="00E67766" w:rsidP="006B1E6D">
      <w:pPr>
        <w:pStyle w:val="ListParagraph"/>
        <w:numPr>
          <w:ilvl w:val="1"/>
          <w:numId w:val="1"/>
        </w:numPr>
      </w:pPr>
      <w:hyperlink r:id="rId20" w:history="1">
        <w:r w:rsidR="001224D2" w:rsidRPr="00C8016A">
          <w:rPr>
            <w:rStyle w:val="Hyperlink"/>
          </w:rPr>
          <w:t>https://www.youtube.com/watch?v=ndyX9TMh-QM</w:t>
        </w:r>
      </w:hyperlink>
    </w:p>
    <w:p w:rsidR="006B1E6D" w:rsidRDefault="00E67766" w:rsidP="006B1E6D">
      <w:pPr>
        <w:pStyle w:val="ListParagraph"/>
        <w:numPr>
          <w:ilvl w:val="1"/>
          <w:numId w:val="1"/>
        </w:numPr>
      </w:pPr>
      <w:hyperlink r:id="rId21" w:history="1">
        <w:r w:rsidR="006B1E6D" w:rsidRPr="00C8016A">
          <w:rPr>
            <w:rStyle w:val="Hyperlink"/>
          </w:rPr>
          <w:t>https://ceh.foleon.com/ceh/ditching-disposables-toolkit/ditching-disposables/</w:t>
        </w:r>
      </w:hyperlink>
      <w:r w:rsidR="006B1E6D">
        <w:t xml:space="preserve"> </w:t>
      </w:r>
    </w:p>
    <w:p w:rsidR="001224D2" w:rsidRPr="00AB3A5F" w:rsidRDefault="001224D2" w:rsidP="006B1E6D">
      <w:pPr>
        <w:pStyle w:val="ListParagraph"/>
        <w:numPr>
          <w:ilvl w:val="0"/>
          <w:numId w:val="1"/>
        </w:numPr>
      </w:pPr>
      <w:r>
        <w:t xml:space="preserve">Short infographic: </w:t>
      </w:r>
      <w:hyperlink r:id="rId22" w:history="1">
        <w:r w:rsidRPr="00AB3A5F">
          <w:rPr>
            <w:rStyle w:val="Hyperlink"/>
            <w:i/>
          </w:rPr>
          <w:t xml:space="preserve">Healthier Food </w:t>
        </w:r>
        <w:proofErr w:type="spellStart"/>
        <w:r w:rsidRPr="00AB3A5F">
          <w:rPr>
            <w:rStyle w:val="Hyperlink"/>
            <w:i/>
          </w:rPr>
          <w:t>Serviceware</w:t>
        </w:r>
        <w:proofErr w:type="spellEnd"/>
        <w:r w:rsidRPr="00AB3A5F">
          <w:rPr>
            <w:rStyle w:val="Hyperlink"/>
            <w:i/>
          </w:rPr>
          <w:t xml:space="preserve"> Choices</w:t>
        </w:r>
      </w:hyperlink>
    </w:p>
    <w:p w:rsidR="00AB3A5F" w:rsidRPr="00512DDC" w:rsidRDefault="00AB3A5F" w:rsidP="006B1E6D">
      <w:pPr>
        <w:pStyle w:val="ListParagraph"/>
        <w:numPr>
          <w:ilvl w:val="0"/>
          <w:numId w:val="1"/>
        </w:numPr>
        <w:rPr>
          <w:rStyle w:val="Hyperlink"/>
          <w:color w:val="auto"/>
          <w:u w:val="none"/>
        </w:rPr>
      </w:pPr>
      <w:r w:rsidRPr="00AB3A5F">
        <w:t>K-12 School Case Study: </w:t>
      </w:r>
      <w:hyperlink r:id="rId23" w:history="1">
        <w:r w:rsidRPr="00AB3A5F">
          <w:rPr>
            <w:rStyle w:val="Hyperlink"/>
          </w:rPr>
          <w:t>Palo Alto Unified School District’s Switch to Reusable Food Service Ware</w:t>
        </w:r>
      </w:hyperlink>
    </w:p>
    <w:p w:rsidR="00512DDC" w:rsidRDefault="00CE785F" w:rsidP="00160768">
      <w:pPr>
        <w:pStyle w:val="Heading1"/>
        <w:numPr>
          <w:ilvl w:val="0"/>
          <w:numId w:val="3"/>
        </w:numPr>
        <w:ind w:left="360"/>
      </w:pPr>
      <w:r>
        <w:t>Whom</w:t>
      </w:r>
      <w:r w:rsidR="00F02730">
        <w:t xml:space="preserve"> can I contact?</w:t>
      </w:r>
    </w:p>
    <w:p w:rsidR="00512DDC" w:rsidRDefault="00B50A90" w:rsidP="00512DDC">
      <w:r>
        <w:t xml:space="preserve">While this statute and the rules affect all school districts across Oregon regardless of their involvement in the federal Child Nutrition Programs, staff that are a part of these programs are currently managing the implementation of the laws. </w:t>
      </w:r>
      <w:r w:rsidR="00512DDC" w:rsidRPr="000221CB">
        <w:t xml:space="preserve">If you have any questions or </w:t>
      </w:r>
      <w:r w:rsidR="00447EC3">
        <w:t>need</w:t>
      </w:r>
      <w:r w:rsidR="00512DDC" w:rsidRPr="000221CB">
        <w:t xml:space="preserve"> </w:t>
      </w:r>
      <w:r w:rsidR="00447EC3">
        <w:t>more information</w:t>
      </w:r>
      <w:r w:rsidR="00512DDC" w:rsidRPr="000221CB">
        <w:t xml:space="preserve">, please email the </w:t>
      </w:r>
      <w:r w:rsidR="00512DDC" w:rsidRPr="00512DDC">
        <w:t>ODE School Nutrition Programs inbox</w:t>
      </w:r>
      <w:r w:rsidR="00447EC3">
        <w:t xml:space="preserve"> at</w:t>
      </w:r>
      <w:r w:rsidR="00512DDC" w:rsidRPr="000221CB">
        <w:t xml:space="preserve"> </w:t>
      </w:r>
      <w:hyperlink r:id="rId24" w:history="1">
        <w:r w:rsidR="00512DDC" w:rsidRPr="00C8016A">
          <w:rPr>
            <w:rStyle w:val="Hyperlink"/>
          </w:rPr>
          <w:t>ode.schoolnutrition@ode.state.or.us</w:t>
        </w:r>
      </w:hyperlink>
      <w:r w:rsidR="00512DDC">
        <w:t xml:space="preserve"> </w:t>
      </w:r>
      <w:r w:rsidR="00512DDC" w:rsidRPr="000221CB">
        <w:t xml:space="preserve">with the subject line “Polystyrene." </w:t>
      </w:r>
    </w:p>
    <w:p w:rsidR="00512DDC" w:rsidRDefault="00512DDC" w:rsidP="00512DDC"/>
    <w:sectPr w:rsidR="00512DD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DC" w:rsidRDefault="00512DDC" w:rsidP="00512DDC">
      <w:pPr>
        <w:spacing w:after="0" w:line="240" w:lineRule="auto"/>
      </w:pPr>
      <w:r>
        <w:separator/>
      </w:r>
    </w:p>
  </w:endnote>
  <w:endnote w:type="continuationSeparator" w:id="0">
    <w:p w:rsidR="00512DDC" w:rsidRDefault="00512DDC" w:rsidP="0051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9E" w:rsidRDefault="00962D9E">
    <w:pPr>
      <w:pStyle w:val="Footer"/>
    </w:pPr>
    <w:r>
      <w:t>Version 6/2021</w:t>
    </w:r>
  </w:p>
  <w:p w:rsidR="00AD2E2D" w:rsidRDefault="00AD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DC" w:rsidRDefault="00512DDC" w:rsidP="00512DDC">
      <w:pPr>
        <w:spacing w:after="0" w:line="240" w:lineRule="auto"/>
      </w:pPr>
      <w:r>
        <w:separator/>
      </w:r>
    </w:p>
  </w:footnote>
  <w:footnote w:type="continuationSeparator" w:id="0">
    <w:p w:rsidR="00512DDC" w:rsidRDefault="00512DDC" w:rsidP="0051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0" w:type="dxa"/>
      <w:tblInd w:w="-270" w:type="dxa"/>
      <w:tblLook w:val="04A0" w:firstRow="1" w:lastRow="0" w:firstColumn="1" w:lastColumn="0" w:noHBand="0" w:noVBand="1"/>
    </w:tblPr>
    <w:tblGrid>
      <w:gridCol w:w="3568"/>
      <w:gridCol w:w="3244"/>
      <w:gridCol w:w="3128"/>
    </w:tblGrid>
    <w:tr w:rsidR="00D1038B" w:rsidRPr="009A2CCF" w:rsidTr="00813D8D">
      <w:trPr>
        <w:trHeight w:val="270"/>
      </w:trPr>
      <w:tc>
        <w:tcPr>
          <w:tcW w:w="3572" w:type="dxa"/>
          <w:shd w:val="clear" w:color="auto" w:fill="auto"/>
        </w:tcPr>
        <w:p w:rsidR="00D1038B" w:rsidRPr="009A2CCF" w:rsidRDefault="00D1038B" w:rsidP="00D1038B">
          <w:pPr>
            <w:tabs>
              <w:tab w:val="center" w:pos="4680"/>
              <w:tab w:val="right" w:pos="9360"/>
            </w:tabs>
            <w:spacing w:after="0" w:line="240" w:lineRule="auto"/>
            <w:ind w:left="150"/>
            <w:rPr>
              <w:rFonts w:ascii="Calibri" w:eastAsia="Times New Roman" w:hAnsi="Calibri" w:cs="Arial"/>
              <w:sz w:val="22"/>
            </w:rPr>
          </w:pPr>
          <w:r w:rsidRPr="009A2CCF">
            <w:rPr>
              <w:rFonts w:ascii="Calibri" w:eastAsia="Times New Roman" w:hAnsi="Calibri" w:cs="Arial"/>
              <w:sz w:val="22"/>
            </w:rPr>
            <w:t>Oregon Department of Education</w:t>
          </w:r>
        </w:p>
        <w:p w:rsidR="00D1038B" w:rsidRPr="009A2CCF" w:rsidRDefault="00D1038B" w:rsidP="00D1038B">
          <w:pPr>
            <w:tabs>
              <w:tab w:val="center" w:pos="4680"/>
              <w:tab w:val="right" w:pos="9360"/>
            </w:tabs>
            <w:spacing w:after="0" w:line="240" w:lineRule="auto"/>
            <w:ind w:left="150"/>
            <w:rPr>
              <w:rFonts w:ascii="Calibri" w:eastAsia="Times New Roman" w:hAnsi="Calibri" w:cs="Arial"/>
              <w:sz w:val="22"/>
            </w:rPr>
          </w:pPr>
          <w:r w:rsidRPr="009A2CCF">
            <w:rPr>
              <w:rFonts w:ascii="Calibri" w:eastAsia="Times New Roman" w:hAnsi="Calibri" w:cs="Arial"/>
              <w:sz w:val="22"/>
            </w:rPr>
            <w:t>255 Capitol St. NE</w:t>
          </w:r>
        </w:p>
        <w:p w:rsidR="00D1038B" w:rsidRPr="009A2CCF" w:rsidRDefault="00D1038B" w:rsidP="00D1038B">
          <w:pPr>
            <w:tabs>
              <w:tab w:val="center" w:pos="4680"/>
              <w:tab w:val="right" w:pos="9360"/>
            </w:tabs>
            <w:spacing w:after="0" w:line="240" w:lineRule="auto"/>
            <w:ind w:left="150"/>
            <w:rPr>
              <w:rFonts w:ascii="Calibri" w:eastAsia="Times New Roman" w:hAnsi="Calibri" w:cs="Times New Roman"/>
              <w:sz w:val="22"/>
            </w:rPr>
          </w:pPr>
          <w:r w:rsidRPr="009A2CCF">
            <w:rPr>
              <w:rFonts w:ascii="Calibri" w:eastAsia="Times New Roman" w:hAnsi="Calibri" w:cs="Arial"/>
              <w:sz w:val="22"/>
            </w:rPr>
            <w:t>Salem, OR 97310-0203</w:t>
          </w:r>
        </w:p>
      </w:tc>
      <w:tc>
        <w:tcPr>
          <w:tcW w:w="3249" w:type="dxa"/>
          <w:shd w:val="clear" w:color="auto" w:fill="auto"/>
        </w:tcPr>
        <w:p w:rsidR="00D1038B" w:rsidRPr="009A2CCF" w:rsidRDefault="00D1038B" w:rsidP="00D1038B">
          <w:pPr>
            <w:tabs>
              <w:tab w:val="center" w:pos="4680"/>
              <w:tab w:val="right" w:pos="9360"/>
            </w:tabs>
            <w:spacing w:after="0" w:line="240" w:lineRule="auto"/>
            <w:jc w:val="center"/>
            <w:rPr>
              <w:rFonts w:ascii="Calibri" w:eastAsia="Times New Roman" w:hAnsi="Calibri" w:cs="Times New Roman"/>
              <w:sz w:val="22"/>
            </w:rPr>
          </w:pPr>
        </w:p>
      </w:tc>
      <w:tc>
        <w:tcPr>
          <w:tcW w:w="3119" w:type="dxa"/>
          <w:shd w:val="clear" w:color="auto" w:fill="auto"/>
        </w:tcPr>
        <w:p w:rsidR="00D1038B" w:rsidRPr="009A2CCF" w:rsidRDefault="00D1038B" w:rsidP="00D1038B">
          <w:pPr>
            <w:tabs>
              <w:tab w:val="center" w:pos="4680"/>
              <w:tab w:val="right" w:pos="9360"/>
            </w:tabs>
            <w:spacing w:after="0" w:line="240" w:lineRule="auto"/>
            <w:jc w:val="right"/>
            <w:rPr>
              <w:rFonts w:ascii="Calibri" w:eastAsia="Times New Roman" w:hAnsi="Calibri" w:cs="Arial"/>
              <w:sz w:val="22"/>
            </w:rPr>
          </w:pPr>
          <w:r w:rsidRPr="009A2CCF">
            <w:rPr>
              <w:rFonts w:ascii="Calibri" w:eastAsia="Times New Roman" w:hAnsi="Calibri" w:cs="Arial"/>
              <w:sz w:val="22"/>
            </w:rPr>
            <w:t>Child Nutrition Programs</w:t>
          </w:r>
        </w:p>
        <w:p w:rsidR="00D1038B" w:rsidRPr="009A2CCF" w:rsidRDefault="00D1038B" w:rsidP="00D1038B">
          <w:pPr>
            <w:tabs>
              <w:tab w:val="center" w:pos="4680"/>
              <w:tab w:val="right" w:pos="9360"/>
            </w:tabs>
            <w:spacing w:after="0" w:line="240" w:lineRule="auto"/>
            <w:jc w:val="right"/>
            <w:rPr>
              <w:rFonts w:ascii="Calibri" w:eastAsia="Times New Roman" w:hAnsi="Calibri" w:cs="Times New Roman"/>
              <w:sz w:val="22"/>
            </w:rPr>
          </w:pPr>
          <w:r>
            <w:rPr>
              <w:rFonts w:ascii="Calibri" w:eastAsia="Times New Roman" w:hAnsi="Calibri" w:cs="Arial"/>
              <w:sz w:val="22"/>
            </w:rPr>
            <w:t>Contact email address</w:t>
          </w:r>
          <w:r w:rsidRPr="009A2CCF">
            <w:rPr>
              <w:rFonts w:ascii="Calibri" w:eastAsia="Times New Roman" w:hAnsi="Calibri" w:cs="Arial"/>
              <w:sz w:val="22"/>
            </w:rPr>
            <w:t xml:space="preserve">: </w:t>
          </w:r>
          <w:hyperlink r:id="rId1" w:history="1">
            <w:r w:rsidRPr="009A2CCF">
              <w:rPr>
                <w:rFonts w:ascii="Calibri" w:eastAsia="Times New Roman" w:hAnsi="Calibri" w:cs="Arial"/>
                <w:color w:val="0000FF"/>
                <w:sz w:val="22"/>
                <w:u w:val="single"/>
              </w:rPr>
              <w:t>ode.schoolnutrition@state.or.us</w:t>
            </w:r>
          </w:hyperlink>
        </w:p>
      </w:tc>
    </w:tr>
  </w:tbl>
  <w:p w:rsidR="00512DDC" w:rsidRDefault="0051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73F3"/>
    <w:multiLevelType w:val="hybridMultilevel"/>
    <w:tmpl w:val="DEB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D07D3"/>
    <w:multiLevelType w:val="hybridMultilevel"/>
    <w:tmpl w:val="C71C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A68B8"/>
    <w:multiLevelType w:val="hybridMultilevel"/>
    <w:tmpl w:val="3CBED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6027F2"/>
    <w:multiLevelType w:val="hybridMultilevel"/>
    <w:tmpl w:val="67A2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45580"/>
    <w:multiLevelType w:val="hybridMultilevel"/>
    <w:tmpl w:val="CF86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71DF9"/>
    <w:multiLevelType w:val="hybridMultilevel"/>
    <w:tmpl w:val="93C2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A7EC6"/>
    <w:multiLevelType w:val="multilevel"/>
    <w:tmpl w:val="97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17368"/>
    <w:multiLevelType w:val="hybridMultilevel"/>
    <w:tmpl w:val="0248D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A1B21"/>
    <w:multiLevelType w:val="hybridMultilevel"/>
    <w:tmpl w:val="EB0CA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40924"/>
    <w:multiLevelType w:val="hybridMultilevel"/>
    <w:tmpl w:val="5EC2D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D5F46"/>
    <w:multiLevelType w:val="hybridMultilevel"/>
    <w:tmpl w:val="709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B0F7E"/>
    <w:multiLevelType w:val="hybridMultilevel"/>
    <w:tmpl w:val="0BE0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31A6C"/>
    <w:multiLevelType w:val="hybridMultilevel"/>
    <w:tmpl w:val="175C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23620"/>
    <w:multiLevelType w:val="multilevel"/>
    <w:tmpl w:val="41F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90D4F"/>
    <w:multiLevelType w:val="hybridMultilevel"/>
    <w:tmpl w:val="767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4"/>
  </w:num>
  <w:num w:numId="6">
    <w:abstractNumId w:val="6"/>
  </w:num>
  <w:num w:numId="7">
    <w:abstractNumId w:val="2"/>
  </w:num>
  <w:num w:numId="8">
    <w:abstractNumId w:val="0"/>
  </w:num>
  <w:num w:numId="9">
    <w:abstractNumId w:val="3"/>
  </w:num>
  <w:num w:numId="10">
    <w:abstractNumId w:val="13"/>
  </w:num>
  <w:num w:numId="11">
    <w:abstractNumId w:val="10"/>
  </w:num>
  <w:num w:numId="12">
    <w:abstractNumId w:val="7"/>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5F"/>
    <w:rsid w:val="00053C2D"/>
    <w:rsid w:val="0009345E"/>
    <w:rsid w:val="000C14A2"/>
    <w:rsid w:val="000D36B7"/>
    <w:rsid w:val="000F6438"/>
    <w:rsid w:val="001224D2"/>
    <w:rsid w:val="00160768"/>
    <w:rsid w:val="0022037B"/>
    <w:rsid w:val="002204B9"/>
    <w:rsid w:val="00295954"/>
    <w:rsid w:val="00310E6C"/>
    <w:rsid w:val="00346621"/>
    <w:rsid w:val="0035769E"/>
    <w:rsid w:val="00391EA3"/>
    <w:rsid w:val="003B2122"/>
    <w:rsid w:val="003C48B7"/>
    <w:rsid w:val="003D27CE"/>
    <w:rsid w:val="003F6983"/>
    <w:rsid w:val="004024D8"/>
    <w:rsid w:val="004159AA"/>
    <w:rsid w:val="00433E40"/>
    <w:rsid w:val="00445D85"/>
    <w:rsid w:val="00447EC3"/>
    <w:rsid w:val="00465BAE"/>
    <w:rsid w:val="00493F6A"/>
    <w:rsid w:val="004B38C1"/>
    <w:rsid w:val="004C6AEE"/>
    <w:rsid w:val="005110C4"/>
    <w:rsid w:val="00512DDC"/>
    <w:rsid w:val="005F327C"/>
    <w:rsid w:val="00607028"/>
    <w:rsid w:val="006B1E6D"/>
    <w:rsid w:val="006F08F9"/>
    <w:rsid w:val="00712E0C"/>
    <w:rsid w:val="0077479B"/>
    <w:rsid w:val="008B609A"/>
    <w:rsid w:val="008D3D10"/>
    <w:rsid w:val="00962D9E"/>
    <w:rsid w:val="00A22E59"/>
    <w:rsid w:val="00AA5CC0"/>
    <w:rsid w:val="00AB351A"/>
    <w:rsid w:val="00AB3A5F"/>
    <w:rsid w:val="00AD2E2D"/>
    <w:rsid w:val="00B00F77"/>
    <w:rsid w:val="00B01343"/>
    <w:rsid w:val="00B50A90"/>
    <w:rsid w:val="00B56B6A"/>
    <w:rsid w:val="00B74960"/>
    <w:rsid w:val="00BC71BB"/>
    <w:rsid w:val="00C04826"/>
    <w:rsid w:val="00C93D10"/>
    <w:rsid w:val="00CB56F4"/>
    <w:rsid w:val="00CE785F"/>
    <w:rsid w:val="00D1038B"/>
    <w:rsid w:val="00D52323"/>
    <w:rsid w:val="00D7619D"/>
    <w:rsid w:val="00DD212E"/>
    <w:rsid w:val="00E67766"/>
    <w:rsid w:val="00E70EDF"/>
    <w:rsid w:val="00E73AC0"/>
    <w:rsid w:val="00E91D2E"/>
    <w:rsid w:val="00ED2E88"/>
    <w:rsid w:val="00F02730"/>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22BA6-F6E8-4D66-B1AE-0B5BA034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BB"/>
  </w:style>
  <w:style w:type="paragraph" w:styleId="Heading1">
    <w:name w:val="heading 1"/>
    <w:basedOn w:val="Normal"/>
    <w:next w:val="Normal"/>
    <w:link w:val="Heading1Char"/>
    <w:uiPriority w:val="9"/>
    <w:qFormat/>
    <w:rsid w:val="00512D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2D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5F"/>
    <w:pPr>
      <w:ind w:left="720"/>
      <w:contextualSpacing/>
    </w:pPr>
  </w:style>
  <w:style w:type="character" w:styleId="Hyperlink">
    <w:name w:val="Hyperlink"/>
    <w:basedOn w:val="DefaultParagraphFont"/>
    <w:uiPriority w:val="99"/>
    <w:unhideWhenUsed/>
    <w:rsid w:val="00AB3A5F"/>
    <w:rPr>
      <w:color w:val="0000FF" w:themeColor="hyperlink"/>
      <w:u w:val="single"/>
    </w:rPr>
  </w:style>
  <w:style w:type="paragraph" w:styleId="Header">
    <w:name w:val="header"/>
    <w:basedOn w:val="Normal"/>
    <w:link w:val="HeaderChar"/>
    <w:uiPriority w:val="99"/>
    <w:unhideWhenUsed/>
    <w:rsid w:val="00512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DC"/>
  </w:style>
  <w:style w:type="paragraph" w:styleId="Footer">
    <w:name w:val="footer"/>
    <w:basedOn w:val="Normal"/>
    <w:link w:val="FooterChar"/>
    <w:uiPriority w:val="99"/>
    <w:unhideWhenUsed/>
    <w:rsid w:val="00512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DC"/>
  </w:style>
  <w:style w:type="paragraph" w:styleId="Title">
    <w:name w:val="Title"/>
    <w:basedOn w:val="Normal"/>
    <w:next w:val="Normal"/>
    <w:link w:val="TitleChar"/>
    <w:uiPriority w:val="10"/>
    <w:qFormat/>
    <w:rsid w:val="00512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D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2D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2DDC"/>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D2E2D"/>
    <w:rPr>
      <w:color w:val="800080" w:themeColor="followedHyperlink"/>
      <w:u w:val="single"/>
    </w:rPr>
  </w:style>
  <w:style w:type="paragraph" w:styleId="NormalWeb">
    <w:name w:val="Normal (Web)"/>
    <w:basedOn w:val="Normal"/>
    <w:uiPriority w:val="99"/>
    <w:semiHidden/>
    <w:unhideWhenUsed/>
    <w:rsid w:val="00160768"/>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0306">
      <w:bodyDiv w:val="1"/>
      <w:marLeft w:val="0"/>
      <w:marRight w:val="0"/>
      <w:marTop w:val="0"/>
      <w:marBottom w:val="0"/>
      <w:divBdr>
        <w:top w:val="none" w:sz="0" w:space="0" w:color="auto"/>
        <w:left w:val="none" w:sz="0" w:space="0" w:color="auto"/>
        <w:bottom w:val="none" w:sz="0" w:space="0" w:color="auto"/>
        <w:right w:val="none" w:sz="0" w:space="0" w:color="auto"/>
      </w:divBdr>
      <w:divsChild>
        <w:div w:id="1202398554">
          <w:marLeft w:val="0"/>
          <w:marRight w:val="0"/>
          <w:marTop w:val="0"/>
          <w:marBottom w:val="0"/>
          <w:divBdr>
            <w:top w:val="none" w:sz="0" w:space="0" w:color="auto"/>
            <w:left w:val="none" w:sz="0" w:space="0" w:color="auto"/>
            <w:bottom w:val="none" w:sz="0" w:space="0" w:color="auto"/>
            <w:right w:val="none" w:sz="0" w:space="0" w:color="auto"/>
          </w:divBdr>
        </w:div>
      </w:divsChild>
    </w:div>
    <w:div w:id="944194842">
      <w:bodyDiv w:val="1"/>
      <w:marLeft w:val="0"/>
      <w:marRight w:val="0"/>
      <w:marTop w:val="0"/>
      <w:marBottom w:val="0"/>
      <w:divBdr>
        <w:top w:val="none" w:sz="0" w:space="0" w:color="auto"/>
        <w:left w:val="none" w:sz="0" w:space="0" w:color="auto"/>
        <w:bottom w:val="none" w:sz="0" w:space="0" w:color="auto"/>
        <w:right w:val="none" w:sz="0" w:space="0" w:color="auto"/>
      </w:divBdr>
    </w:div>
    <w:div w:id="1753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eq/FilterDocs/FoodLCAreport.pdf" TargetMode="External"/><Relationship Id="rId13" Type="http://schemas.openxmlformats.org/officeDocument/2006/relationships/hyperlink" Target="https://odncouncil.org/category/fuel-up-to-play-60/" TargetMode="External"/><Relationship Id="rId18" Type="http://schemas.openxmlformats.org/officeDocument/2006/relationships/hyperlink" Target="https://www.oregon.gov/deq/mm/production/Pages/Materials-Attributes.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eh.foleon.com/ceh/ditching-disposables-toolkit/ditching-disposables/" TargetMode="External"/><Relationship Id="rId7" Type="http://schemas.openxmlformats.org/officeDocument/2006/relationships/image" Target="media/image1.png"/><Relationship Id="rId12" Type="http://schemas.openxmlformats.org/officeDocument/2006/relationships/hyperlink" Target="https://www.oregon.gov/ode/students-and-family/childnutrition/SNP/Pages/Grants.aspx" TargetMode="External"/><Relationship Id="rId17" Type="http://schemas.openxmlformats.org/officeDocument/2006/relationships/hyperlink" Target="https://www.oregon.gov/deq/mm/Pages/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ergytrust.org/commercial/" TargetMode="External"/><Relationship Id="rId20" Type="http://schemas.openxmlformats.org/officeDocument/2006/relationships/hyperlink" Target="https://www.youtube.com/watch?v=ndyX9TMh-Q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childnutrition/SNP/Pages/SNPGuidance.aspx" TargetMode="External"/><Relationship Id="rId24" Type="http://schemas.openxmlformats.org/officeDocument/2006/relationships/hyperlink" Target="mailto:ode.schoolnutrition@ode.state.or.us" TargetMode="External"/><Relationship Id="rId5" Type="http://schemas.openxmlformats.org/officeDocument/2006/relationships/footnotes" Target="footnotes.xml"/><Relationship Id="rId15" Type="http://schemas.openxmlformats.org/officeDocument/2006/relationships/hyperlink" Target="https://www.oregon.gov/energy/energy-oregon/Pages/Schools-and-Public-Buildings.aspx" TargetMode="External"/><Relationship Id="rId23" Type="http://schemas.openxmlformats.org/officeDocument/2006/relationships/hyperlink" Target="https://ceh.org/wp-content/uploads/2020/03/ReThinkDisposable_CaseStudy_PAUSD_2019web.pdf" TargetMode="External"/><Relationship Id="rId28" Type="http://schemas.openxmlformats.org/officeDocument/2006/relationships/theme" Target="theme/theme1.xml"/><Relationship Id="rId10" Type="http://schemas.openxmlformats.org/officeDocument/2006/relationships/hyperlink" Target="https://www.oregon.gov/deq/mm/Documents/MessagefromComposter-Sp.pdf" TargetMode="External"/><Relationship Id="rId19" Type="http://schemas.openxmlformats.org/officeDocument/2006/relationships/hyperlink" Target="https://ceh.org/"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regon.gov/deq/mm/Documents/MessagefromComposter-En.pdf" TargetMode="External"/><Relationship Id="rId14" Type="http://schemas.openxmlformats.org/officeDocument/2006/relationships/hyperlink" Target="https://www.fueluptoplay60.com/funding/general-information" TargetMode="External"/><Relationship Id="rId22" Type="http://schemas.openxmlformats.org/officeDocument/2006/relationships/hyperlink" Target="https://ceh.org/wp-content/uploads/2020/03/PFAS-in-foodware-infographic-2020.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mailto:ode.schoolnutrition@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2021-06-30T21:05:50+00:00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ECAFE6-A9E7-4D73-9413-25D9350023E4}"/>
</file>

<file path=customXml/itemProps2.xml><?xml version="1.0" encoding="utf-8"?>
<ds:datastoreItem xmlns:ds="http://schemas.openxmlformats.org/officeDocument/2006/customXml" ds:itemID="{67EB9C3E-1CCC-4F20-8C93-34CB6B39F35B}"/>
</file>

<file path=customXml/itemProps3.xml><?xml version="1.0" encoding="utf-8"?>
<ds:datastoreItem xmlns:ds="http://schemas.openxmlformats.org/officeDocument/2006/customXml" ds:itemID="{4D7C6665-AFB3-4328-93BC-C469CF6172B5}"/>
</file>

<file path=docProps/app.xml><?xml version="1.0" encoding="utf-8"?>
<Properties xmlns="http://schemas.openxmlformats.org/officeDocument/2006/extended-properties" xmlns:vt="http://schemas.openxmlformats.org/officeDocument/2006/docPropsVTypes">
  <Template>Normal</Template>
  <TotalTime>12</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Amanda - ODE</dc:creator>
  <cp:keywords/>
  <dc:description/>
  <cp:lastModifiedBy>RHODES Amanda * ODE</cp:lastModifiedBy>
  <cp:revision>6</cp:revision>
  <dcterms:created xsi:type="dcterms:W3CDTF">2021-06-24T19:19:00Z</dcterms:created>
  <dcterms:modified xsi:type="dcterms:W3CDTF">2021-06-29T15:50:00Z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