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02" w:rsidRPr="00834ED6" w:rsidRDefault="00C441AE" w:rsidP="00E14302">
      <w:pPr>
        <w:jc w:val="center"/>
        <w:rPr>
          <w:rFonts w:asciiTheme="minorHAnsi" w:eastAsia="Times New Roman" w:hAnsiTheme="minorHAnsi" w:cstheme="minorHAnsi"/>
          <w:b/>
          <w:caps/>
          <w:spacing w:val="-5"/>
          <w:sz w:val="28"/>
          <w:szCs w:val="28"/>
        </w:rPr>
      </w:pPr>
      <w:r w:rsidRPr="007516D6">
        <w:rPr>
          <w:rFonts w:asciiTheme="minorHAnsi" w:eastAsia="Times New Roman" w:hAnsiTheme="minorHAnsi" w:cstheme="minorHAnsi"/>
          <w:b/>
          <w:caps/>
          <w:spacing w:val="-5"/>
          <w:sz w:val="24"/>
          <w:szCs w:val="24"/>
        </w:rPr>
        <w:t xml:space="preserve"> </w:t>
      </w:r>
      <w:r w:rsidR="00B2073D" w:rsidRPr="00B34D49">
        <w:rPr>
          <w:rFonts w:asciiTheme="minorHAnsi" w:eastAsia="Times New Roman" w:hAnsiTheme="minorHAnsi" w:cstheme="minorHAnsi"/>
          <w:b/>
          <w:caps/>
          <w:spacing w:val="-5"/>
          <w:sz w:val="28"/>
          <w:szCs w:val="28"/>
        </w:rPr>
        <w:t>R</w:t>
      </w:r>
      <w:r w:rsidR="00841C5A" w:rsidRPr="00B34D49">
        <w:rPr>
          <w:rFonts w:asciiTheme="minorHAnsi" w:eastAsia="Times New Roman" w:hAnsiTheme="minorHAnsi" w:cstheme="minorHAnsi"/>
          <w:b/>
          <w:caps/>
          <w:spacing w:val="-5"/>
          <w:sz w:val="28"/>
          <w:szCs w:val="28"/>
        </w:rPr>
        <w:t>equest for Applications (RAF)</w:t>
      </w:r>
      <w:r w:rsidR="000C20E4" w:rsidRPr="00B34D49">
        <w:rPr>
          <w:rFonts w:asciiTheme="minorHAnsi" w:eastAsia="Times New Roman" w:hAnsiTheme="minorHAnsi" w:cstheme="minorHAnsi"/>
          <w:b/>
          <w:caps/>
          <w:spacing w:val="-5"/>
          <w:sz w:val="28"/>
          <w:szCs w:val="28"/>
        </w:rPr>
        <w:t xml:space="preserve"> </w:t>
      </w:r>
      <w:r w:rsidR="00B2073D" w:rsidRPr="00B34D49">
        <w:rPr>
          <w:rFonts w:asciiTheme="minorHAnsi" w:eastAsia="Times New Roman" w:hAnsiTheme="minorHAnsi" w:cstheme="minorHAnsi"/>
          <w:b/>
          <w:caps/>
          <w:spacing w:val="-5"/>
          <w:sz w:val="28"/>
          <w:szCs w:val="28"/>
        </w:rPr>
        <w:t>– QUESTIONS &amp; ANSWERS</w:t>
      </w:r>
      <w:r w:rsidR="00C94F86" w:rsidRPr="00834ED6">
        <w:rPr>
          <w:rFonts w:asciiTheme="minorHAnsi" w:eastAsia="Times New Roman" w:hAnsiTheme="minorHAnsi" w:cstheme="minorHAnsi"/>
          <w:b/>
          <w:caps/>
          <w:spacing w:val="-5"/>
          <w:sz w:val="28"/>
          <w:szCs w:val="28"/>
        </w:rPr>
        <w:t xml:space="preserve"> </w:t>
      </w:r>
    </w:p>
    <w:p w:rsidR="00DC7F75" w:rsidRPr="00834ED6" w:rsidRDefault="003D17C7" w:rsidP="00DC7F75">
      <w:pPr>
        <w:jc w:val="center"/>
        <w:rPr>
          <w:rFonts w:asciiTheme="minorHAnsi" w:eastAsia="Times New Roman" w:hAnsiTheme="minorHAnsi" w:cstheme="minorHAnsi"/>
          <w:i/>
          <w:caps/>
          <w:spacing w:val="-5"/>
          <w:sz w:val="28"/>
          <w:szCs w:val="28"/>
        </w:rPr>
      </w:pPr>
      <w:r w:rsidRPr="00834ED6">
        <w:rPr>
          <w:rFonts w:asciiTheme="minorHAnsi" w:eastAsia="Times New Roman" w:hAnsiTheme="minorHAnsi" w:cstheme="minorHAnsi"/>
          <w:i/>
          <w:caps/>
          <w:spacing w:val="-5"/>
          <w:sz w:val="28"/>
          <w:szCs w:val="28"/>
        </w:rPr>
        <w:t>NSLP Equipment grant fy 2021</w:t>
      </w:r>
    </w:p>
    <w:p w:rsidR="00E14302" w:rsidRPr="007516D6" w:rsidRDefault="00E14302" w:rsidP="00E1430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int of Contact"/>
      </w:tblPr>
      <w:tblGrid>
        <w:gridCol w:w="3060"/>
        <w:gridCol w:w="4230"/>
      </w:tblGrid>
      <w:tr w:rsidR="00E14302" w:rsidRPr="007516D6" w:rsidTr="00D841C6">
        <w:trPr>
          <w:tblHeader/>
        </w:trPr>
        <w:tc>
          <w:tcPr>
            <w:tcW w:w="3060" w:type="dxa"/>
          </w:tcPr>
          <w:p w:rsidR="00E14302" w:rsidRPr="007516D6" w:rsidRDefault="00E14302" w:rsidP="007516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4230" w:type="dxa"/>
            <w:vAlign w:val="center"/>
          </w:tcPr>
          <w:p w:rsidR="00E14302" w:rsidRPr="007516D6" w:rsidRDefault="007516D6" w:rsidP="007516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February </w:t>
            </w:r>
            <w:r w:rsidR="009378C0">
              <w:rPr>
                <w:rFonts w:asciiTheme="minorHAnsi" w:hAnsiTheme="minorHAnsi" w:cstheme="minorHAnsi"/>
                <w:sz w:val="24"/>
                <w:szCs w:val="24"/>
              </w:rPr>
              <w:t>3, 2022</w:t>
            </w:r>
          </w:p>
        </w:tc>
      </w:tr>
      <w:tr w:rsidR="00E14302" w:rsidRPr="007516D6" w:rsidTr="007516D6">
        <w:tc>
          <w:tcPr>
            <w:tcW w:w="3060" w:type="dxa"/>
          </w:tcPr>
          <w:p w:rsidR="00E14302" w:rsidRPr="007516D6" w:rsidRDefault="00E14302" w:rsidP="007516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b/>
                <w:sz w:val="24"/>
                <w:szCs w:val="24"/>
              </w:rPr>
              <w:t>Single Point of Contact:</w:t>
            </w:r>
          </w:p>
        </w:tc>
        <w:tc>
          <w:tcPr>
            <w:tcW w:w="4230" w:type="dxa"/>
            <w:vAlign w:val="center"/>
          </w:tcPr>
          <w:p w:rsidR="00E14302" w:rsidRPr="007516D6" w:rsidRDefault="00975EA1" w:rsidP="007516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Philip Hof</w:t>
            </w:r>
            <w:r w:rsidR="003D17C7" w:rsidRPr="007516D6">
              <w:rPr>
                <w:rFonts w:asciiTheme="minorHAnsi" w:hAnsiTheme="minorHAnsi" w:cstheme="minorHAnsi"/>
                <w:sz w:val="24"/>
                <w:szCs w:val="24"/>
              </w:rPr>
              <w:t>mann</w:t>
            </w:r>
          </w:p>
        </w:tc>
      </w:tr>
      <w:tr w:rsidR="00E14302" w:rsidRPr="007516D6" w:rsidTr="007516D6">
        <w:tc>
          <w:tcPr>
            <w:tcW w:w="3060" w:type="dxa"/>
          </w:tcPr>
          <w:p w:rsidR="00E14302" w:rsidRPr="007516D6" w:rsidRDefault="00E14302" w:rsidP="007516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4230" w:type="dxa"/>
            <w:vAlign w:val="center"/>
          </w:tcPr>
          <w:p w:rsidR="00E14302" w:rsidRPr="007516D6" w:rsidRDefault="003D17C7" w:rsidP="007516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503-559-2192</w:t>
            </w:r>
          </w:p>
        </w:tc>
      </w:tr>
      <w:tr w:rsidR="00E14302" w:rsidRPr="007516D6" w:rsidTr="007516D6">
        <w:tc>
          <w:tcPr>
            <w:tcW w:w="3060" w:type="dxa"/>
          </w:tcPr>
          <w:p w:rsidR="00E14302" w:rsidRPr="007516D6" w:rsidRDefault="00E14302" w:rsidP="007516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4230" w:type="dxa"/>
            <w:vAlign w:val="center"/>
          </w:tcPr>
          <w:p w:rsidR="00975EA1" w:rsidRPr="007516D6" w:rsidRDefault="00B52D04" w:rsidP="007516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975EA1" w:rsidRPr="007516D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Philip.hofmann@ode.oregon.gov</w:t>
              </w:r>
            </w:hyperlink>
          </w:p>
        </w:tc>
      </w:tr>
    </w:tbl>
    <w:p w:rsidR="00E14302" w:rsidRPr="007516D6" w:rsidRDefault="007516D6" w:rsidP="00E1430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16D6">
        <w:rPr>
          <w:rFonts w:asciiTheme="minorHAnsi" w:hAnsiTheme="minorHAnsi" w:cstheme="minorHAnsi"/>
          <w:b/>
          <w:sz w:val="24"/>
          <w:szCs w:val="24"/>
        </w:rPr>
        <w:br w:type="textWrapping" w:clear="all"/>
      </w:r>
      <w:r w:rsidR="00B52D04">
        <w:rPr>
          <w:rFonts w:asciiTheme="minorHAnsi" w:hAnsiTheme="minorHAnsi" w:cstheme="minorHAnsi"/>
          <w:b/>
          <w:sz w:val="24"/>
          <w:szCs w:val="24"/>
        </w:rPr>
        <w:pict w14:anchorId="3BF698E0">
          <v:rect id="_x0000_i1025" style="width:7in;height:1.5pt" o:hralign="center" o:hrstd="t" o:hrnoshade="t" o:hr="t" fillcolor="black [3213]" stroked="f"/>
        </w:pict>
      </w:r>
    </w:p>
    <w:p w:rsidR="00B6222F" w:rsidRPr="007516D6" w:rsidRDefault="00B6222F" w:rsidP="00E1430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dTable4"/>
        <w:tblW w:w="14125" w:type="dxa"/>
        <w:tblInd w:w="-185" w:type="dxa"/>
        <w:tblLayout w:type="fixed"/>
        <w:tblLook w:val="04A0" w:firstRow="1" w:lastRow="0" w:firstColumn="1" w:lastColumn="0" w:noHBand="0" w:noVBand="1"/>
        <w:tblCaption w:val="Questions and Answers Table"/>
      </w:tblPr>
      <w:tblGrid>
        <w:gridCol w:w="1080"/>
        <w:gridCol w:w="4523"/>
        <w:gridCol w:w="8522"/>
      </w:tblGrid>
      <w:tr w:rsidR="00816CAF" w:rsidRPr="007516D6" w:rsidTr="00D8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816CAF" w:rsidRPr="007516D6" w:rsidRDefault="00816CAF" w:rsidP="00444CB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b w:val="0"/>
                <w:sz w:val="24"/>
                <w:szCs w:val="24"/>
              </w:rPr>
              <w:t>Number</w:t>
            </w:r>
          </w:p>
        </w:tc>
        <w:tc>
          <w:tcPr>
            <w:tcW w:w="4523" w:type="dxa"/>
          </w:tcPr>
          <w:p w:rsidR="00816CAF" w:rsidRPr="007516D6" w:rsidRDefault="00816CAF" w:rsidP="00444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b w:val="0"/>
                <w:sz w:val="24"/>
                <w:szCs w:val="24"/>
              </w:rPr>
              <w:t>Question</w:t>
            </w:r>
          </w:p>
        </w:tc>
        <w:tc>
          <w:tcPr>
            <w:tcW w:w="8522" w:type="dxa"/>
          </w:tcPr>
          <w:p w:rsidR="00816CAF" w:rsidRPr="007516D6" w:rsidRDefault="00816CAF" w:rsidP="00444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b w:val="0"/>
                <w:sz w:val="24"/>
                <w:szCs w:val="24"/>
              </w:rPr>
              <w:t>Answer</w:t>
            </w:r>
          </w:p>
        </w:tc>
      </w:tr>
      <w:tr w:rsidR="003D17C7" w:rsidRPr="007516D6" w:rsidTr="007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3D17C7" w:rsidRPr="007516D6" w:rsidRDefault="003D17C7" w:rsidP="00444C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3D17C7" w:rsidRDefault="0013288F" w:rsidP="00B34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Does </w:t>
            </w:r>
            <w:r w:rsidR="003D17C7" w:rsidRPr="007516D6">
              <w:rPr>
                <w:rFonts w:asciiTheme="minorHAnsi" w:hAnsiTheme="minorHAnsi" w:cstheme="minorHAnsi"/>
                <w:sz w:val="24"/>
                <w:szCs w:val="24"/>
              </w:rPr>
              <w:t>a copy of the completed Lun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chroom Scorecard &amp; Summary need</w:t>
            </w:r>
            <w:r w:rsidR="003D17C7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to be submitted with the grant application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?  </w:t>
            </w:r>
            <w:r w:rsidR="003D17C7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  </w:t>
            </w:r>
          </w:p>
          <w:p w:rsidR="00B34D49" w:rsidRPr="007516D6" w:rsidRDefault="00B34D49" w:rsidP="00B34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975EA1" w:rsidRDefault="005F2DA8" w:rsidP="00975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Yes, i</w:t>
            </w:r>
            <w:r w:rsidR="0013288F">
              <w:rPr>
                <w:rFonts w:asciiTheme="minorHAnsi" w:hAnsiTheme="minorHAnsi" w:cstheme="minorHAnsi"/>
                <w:sz w:val="24"/>
                <w:szCs w:val="24"/>
              </w:rPr>
              <w:t xml:space="preserve">n the </w:t>
            </w:r>
            <w:hyperlink r:id="rId11" w:history="1">
              <w:r w:rsidR="000A442D" w:rsidRPr="000A442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RFA</w:t>
              </w:r>
            </w:hyperlink>
            <w:r w:rsidR="000A442D">
              <w:rPr>
                <w:rFonts w:asciiTheme="minorHAnsi" w:hAnsiTheme="minorHAnsi" w:cstheme="minorHAnsi"/>
                <w:sz w:val="24"/>
                <w:szCs w:val="24"/>
              </w:rPr>
              <w:t>, Section</w:t>
            </w:r>
            <w:r w:rsidR="0013288F">
              <w:rPr>
                <w:rFonts w:asciiTheme="minorHAnsi" w:hAnsiTheme="minorHAnsi" w:cstheme="minorHAnsi"/>
                <w:sz w:val="24"/>
                <w:szCs w:val="24"/>
              </w:rPr>
              <w:t xml:space="preserve"> 3.2.2, it indicates that the applicant must submit Smarter Lunchroom Scorecard and Smarter Lunchroom Summary as part of the Application Packet.   </w:t>
            </w:r>
            <w:r w:rsidR="00606553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13288F">
              <w:rPr>
                <w:rFonts w:asciiTheme="minorHAnsi" w:hAnsiTheme="minorHAnsi" w:cstheme="minorHAnsi"/>
                <w:sz w:val="24"/>
                <w:szCs w:val="24"/>
              </w:rPr>
              <w:t xml:space="preserve">he </w:t>
            </w:r>
            <w:hyperlink r:id="rId12" w:history="1">
              <w:r w:rsidR="0013288F" w:rsidRPr="0013288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RFA Attachment C: Checklist</w:t>
              </w:r>
            </w:hyperlink>
            <w:r w:rsidR="00050220">
              <w:rPr>
                <w:rFonts w:asciiTheme="minorHAnsi" w:hAnsiTheme="minorHAnsi" w:cstheme="minorHAnsi"/>
                <w:sz w:val="24"/>
                <w:szCs w:val="24"/>
              </w:rPr>
              <w:t xml:space="preserve"> has a list of</w:t>
            </w:r>
            <w:r w:rsidR="00606553">
              <w:rPr>
                <w:rFonts w:asciiTheme="minorHAnsi" w:hAnsiTheme="minorHAnsi" w:cstheme="minorHAnsi"/>
                <w:sz w:val="24"/>
                <w:szCs w:val="24"/>
              </w:rPr>
              <w:t xml:space="preserve"> all the required documents for a completed application, this </w:t>
            </w:r>
            <w:r w:rsidR="0013288F">
              <w:rPr>
                <w:rFonts w:asciiTheme="minorHAnsi" w:hAnsiTheme="minorHAnsi" w:cstheme="minorHAnsi"/>
                <w:sz w:val="24"/>
                <w:szCs w:val="24"/>
              </w:rPr>
              <w:t xml:space="preserve">must include the </w:t>
            </w:r>
            <w:r w:rsidR="00975EA1" w:rsidRPr="007516D6">
              <w:rPr>
                <w:rFonts w:asciiTheme="minorHAnsi" w:hAnsiTheme="minorHAnsi" w:cstheme="minorHAnsi"/>
                <w:sz w:val="24"/>
                <w:szCs w:val="24"/>
              </w:rPr>
              <w:t>Smarter Lunchroom Scorecar</w:t>
            </w:r>
            <w:r w:rsidR="0013288F">
              <w:rPr>
                <w:rFonts w:asciiTheme="minorHAnsi" w:hAnsiTheme="minorHAnsi" w:cstheme="minorHAnsi"/>
                <w:sz w:val="24"/>
                <w:szCs w:val="24"/>
              </w:rPr>
              <w:t xml:space="preserve">d and Smarter Lunchroom Summary.  </w:t>
            </w:r>
          </w:p>
          <w:p w:rsidR="001E0BA5" w:rsidRPr="007516D6" w:rsidRDefault="001E0BA5" w:rsidP="00975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17C7" w:rsidRPr="007516D6" w:rsidRDefault="003D17C7" w:rsidP="004F250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17C7" w:rsidRPr="007516D6" w:rsidTr="0075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3D17C7" w:rsidRPr="007516D6" w:rsidRDefault="003D17C7" w:rsidP="00444C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3D17C7" w:rsidRPr="007516D6" w:rsidRDefault="003D17C7" w:rsidP="0044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Just to confirm, the grant RFA for this year is the one labeled "2021 Equipment Grant Application," correct? </w:t>
            </w:r>
            <w:hyperlink r:id="rId13" w:history="1">
              <w:r w:rsidRPr="00B34D4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https://www.oregon.gov/ode/students-and-family/childnutrition/SNP/Documents/Final%2021-23%20Equip%20Grant%20Application.docx</w:t>
              </w:r>
            </w:hyperlink>
          </w:p>
          <w:p w:rsidR="003D17C7" w:rsidRPr="007516D6" w:rsidRDefault="003D17C7" w:rsidP="0044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0A442D" w:rsidRDefault="005F2DA8" w:rsidP="00975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Yes, t</w:t>
            </w:r>
            <w:r w:rsidR="000A442D">
              <w:rPr>
                <w:rFonts w:asciiTheme="minorHAnsi" w:hAnsiTheme="minorHAnsi" w:cstheme="minorHAnsi"/>
                <w:sz w:val="24"/>
                <w:szCs w:val="24"/>
              </w:rPr>
              <w:t xml:space="preserve">he FY 2021 Equipment Grant application is for </w:t>
            </w:r>
            <w:r w:rsidR="00606553">
              <w:rPr>
                <w:rFonts w:asciiTheme="minorHAnsi" w:hAnsiTheme="minorHAnsi" w:cstheme="minorHAnsi"/>
                <w:sz w:val="24"/>
                <w:szCs w:val="24"/>
              </w:rPr>
              <w:t>school year 2021 -2022</w:t>
            </w:r>
            <w:r w:rsidR="000A442D">
              <w:rPr>
                <w:rFonts w:asciiTheme="minorHAnsi" w:hAnsiTheme="minorHAnsi" w:cstheme="minorHAnsi"/>
                <w:sz w:val="24"/>
                <w:szCs w:val="24"/>
              </w:rPr>
              <w:t>.   As per the</w:t>
            </w:r>
            <w:hyperlink r:id="rId14" w:history="1">
              <w:r w:rsidR="000A442D" w:rsidRPr="000A442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 RFA</w:t>
              </w:r>
            </w:hyperlink>
            <w:r w:rsidR="000A442D">
              <w:rPr>
                <w:rFonts w:asciiTheme="minorHAnsi" w:hAnsiTheme="minorHAnsi" w:cstheme="minorHAnsi"/>
                <w:sz w:val="24"/>
                <w:szCs w:val="24"/>
              </w:rPr>
              <w:t xml:space="preserve"> Section 1.2, the performance period is Jun 1, 2021 to September 30, 2023.  </w:t>
            </w:r>
          </w:p>
          <w:p w:rsidR="000A442D" w:rsidRDefault="000A442D" w:rsidP="00975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17C7" w:rsidRDefault="003D17C7" w:rsidP="000A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0BA5" w:rsidRDefault="001E0BA5" w:rsidP="000A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0BA5" w:rsidRDefault="001E0BA5" w:rsidP="000A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0BA5" w:rsidRDefault="001E0BA5" w:rsidP="000A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0BA5" w:rsidRPr="007516D6" w:rsidRDefault="001E0BA5" w:rsidP="000A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CAF" w:rsidRPr="007516D6" w:rsidTr="007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816CAF" w:rsidRPr="007516D6" w:rsidRDefault="003D17C7" w:rsidP="00444C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816CAF" w:rsidRPr="007516D6" w:rsidRDefault="009E61BE" w:rsidP="0044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Is this available for private schools?</w:t>
            </w:r>
          </w:p>
        </w:tc>
        <w:tc>
          <w:tcPr>
            <w:tcW w:w="8522" w:type="dxa"/>
          </w:tcPr>
          <w:p w:rsidR="003D17C7" w:rsidRDefault="005F2DA8" w:rsidP="00B34D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Yes, a</w:t>
            </w:r>
            <w:r w:rsidR="00841C5A" w:rsidRPr="007516D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ny SFA with a previously approved State agency agreement on file to operate the National School Lunch Program (per 7 CFR 210.9(b)), and that would otherw</w:t>
            </w:r>
            <w:r w:rsidR="0060655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ise be operating NSLP in SY 2021</w:t>
            </w:r>
            <w:r w:rsidR="00841C5A" w:rsidRPr="007516D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-202</w:t>
            </w:r>
            <w:r w:rsidR="0060655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  <w:r w:rsidR="00841C5A" w:rsidRPr="007516D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 may continue to access NSLP Equipment Assistance Grants while utilizing the flexibilities granted under the current SSO Nationwide waiver. </w:t>
            </w:r>
          </w:p>
          <w:p w:rsidR="00B34D49" w:rsidRDefault="00B34D49" w:rsidP="00B34D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E0BA5" w:rsidRPr="007516D6" w:rsidRDefault="001E0BA5" w:rsidP="00B34D4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16CAF" w:rsidRPr="007516D6" w:rsidTr="0075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816CAF" w:rsidRPr="007516D6" w:rsidRDefault="003D17C7" w:rsidP="00444C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</w:tcPr>
          <w:p w:rsidR="00816CAF" w:rsidRPr="007516D6" w:rsidRDefault="009E61BE" w:rsidP="0084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If we were to apply for this grant, what is the measurement date for the Free &amp; Reduced </w:t>
            </w:r>
            <w:r w:rsidR="00841C5A" w:rsidRPr="007516D6">
              <w:rPr>
                <w:rFonts w:asciiTheme="minorHAnsi" w:hAnsiTheme="minorHAnsi" w:cstheme="minorHAnsi"/>
                <w:sz w:val="24"/>
                <w:szCs w:val="24"/>
              </w:rPr>
              <w:t>percentages?  Is it January 2020</w:t>
            </w: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?  Is the cutoff still 50% Free &amp; Reduced?</w:t>
            </w:r>
          </w:p>
        </w:tc>
        <w:tc>
          <w:tcPr>
            <w:tcW w:w="8522" w:type="dxa"/>
          </w:tcPr>
          <w:p w:rsidR="00816CAF" w:rsidRPr="007516D6" w:rsidRDefault="009E61BE" w:rsidP="0084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Agency will only use free and reduced information when awarding Preference Points as detailed in Section 4.4 of the </w:t>
            </w:r>
            <w:r w:rsidR="00327557" w:rsidRPr="007516D6">
              <w:rPr>
                <w:rFonts w:asciiTheme="minorHAnsi" w:hAnsiTheme="minorHAnsi" w:cstheme="minorHAnsi"/>
                <w:sz w:val="24"/>
                <w:szCs w:val="24"/>
              </w:rPr>
              <w:t>Request for Application (</w:t>
            </w: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RFA</w:t>
            </w:r>
            <w:r w:rsidR="00327557" w:rsidRPr="007516D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8571E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Each school site will receive the preference points based on the free and reduced-price meal eligibility percentage of enrollment </w:t>
            </w:r>
            <w:r w:rsidR="00841C5A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based on report published by ODE:  </w:t>
            </w:r>
            <w:hyperlink r:id="rId15" w:history="1">
              <w:r w:rsidR="00841C5A" w:rsidRPr="007516D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https://www.oregon.gov/ode/reports-and-data/students/Documents/Free%20and%20Reduced%20Price%20School%20Data%202021.xlsx</w:t>
              </w:r>
            </w:hyperlink>
          </w:p>
          <w:p w:rsidR="00841C5A" w:rsidRPr="007516D6" w:rsidRDefault="00841C5A" w:rsidP="00841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CAF" w:rsidRPr="007516D6" w:rsidTr="007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816CAF" w:rsidRPr="007516D6" w:rsidRDefault="003D17C7" w:rsidP="00444C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523" w:type="dxa"/>
          </w:tcPr>
          <w:p w:rsidR="00816CAF" w:rsidRDefault="00D73EFA" w:rsidP="0044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If a school has received an NSLP equipment grant in prior years, would they be disqualified from this round of grant applications?</w:t>
            </w:r>
          </w:p>
          <w:p w:rsidR="00B34D49" w:rsidRPr="007516D6" w:rsidRDefault="00B34D49" w:rsidP="0044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816CAF" w:rsidRPr="007516D6" w:rsidRDefault="005F2DA8" w:rsidP="00D7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No, the </w:t>
            </w:r>
            <w:r w:rsidR="00D73EFA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Agency will award Preference Points </w:t>
            </w:r>
            <w:r w:rsidR="00EB5430" w:rsidRPr="007516D6">
              <w:rPr>
                <w:rFonts w:asciiTheme="minorHAnsi" w:hAnsiTheme="minorHAnsi" w:cstheme="minorHAnsi"/>
                <w:sz w:val="24"/>
                <w:szCs w:val="24"/>
              </w:rPr>
              <w:t>based on whether</w:t>
            </w:r>
            <w:r w:rsidR="00D73EFA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an Applicant has previously been awarded a NSLP Equipment Grant as detailed in Section 4.4 of the RFA.</w:t>
            </w:r>
          </w:p>
        </w:tc>
      </w:tr>
      <w:tr w:rsidR="009E61BE" w:rsidRPr="007516D6" w:rsidTr="0075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E61BE" w:rsidRPr="007516D6" w:rsidRDefault="003D17C7" w:rsidP="00444C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523" w:type="dxa"/>
          </w:tcPr>
          <w:p w:rsidR="009E61BE" w:rsidRDefault="00D73EFA" w:rsidP="0044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If a school were to receive this grant now, would it disqualify them from future grant application cycles?</w:t>
            </w:r>
          </w:p>
          <w:p w:rsidR="00B34D49" w:rsidRPr="007516D6" w:rsidRDefault="00B34D49" w:rsidP="0044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9E61BE" w:rsidRPr="007516D6" w:rsidRDefault="00EB5430" w:rsidP="00EB5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This RFA only provides information about the current opportunity and is based on guidance from the United States Department of Agriculture (USDA).</w:t>
            </w:r>
          </w:p>
        </w:tc>
      </w:tr>
      <w:tr w:rsidR="009E61BE" w:rsidRPr="007516D6" w:rsidTr="007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E61BE" w:rsidRPr="007516D6" w:rsidRDefault="003D17C7" w:rsidP="00444C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523" w:type="dxa"/>
          </w:tcPr>
          <w:p w:rsidR="009E61BE" w:rsidRDefault="00327557" w:rsidP="0032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Is there a grant process less complicated for small rural schools?</w:t>
            </w:r>
          </w:p>
          <w:p w:rsidR="00FF0625" w:rsidRPr="007516D6" w:rsidRDefault="00FF0625" w:rsidP="0032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0A442D" w:rsidRDefault="00606553" w:rsidP="0044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grant process is the same for all a</w:t>
            </w:r>
            <w:r w:rsidR="00327557" w:rsidRPr="007516D6">
              <w:rPr>
                <w:rFonts w:asciiTheme="minorHAnsi" w:hAnsiTheme="minorHAnsi" w:cstheme="minorHAnsi"/>
                <w:sz w:val="24"/>
                <w:szCs w:val="24"/>
              </w:rPr>
              <w:t>pplicants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  Please</w:t>
            </w:r>
            <w:r w:rsidR="00327557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must follow the instructions provided in the </w:t>
            </w:r>
            <w:hyperlink r:id="rId16" w:history="1">
              <w:r w:rsidR="00327557" w:rsidRPr="000A442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RFA</w:t>
              </w:r>
            </w:hyperlink>
            <w:r w:rsidR="009B7324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="000A442D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hyperlink r:id="rId17" w:history="1">
              <w:r w:rsidR="000A442D" w:rsidRPr="000A442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RFA Attachment C- Checklist</w:t>
              </w:r>
            </w:hyperlink>
          </w:p>
          <w:p w:rsidR="000A442D" w:rsidRDefault="000A442D" w:rsidP="0044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442D" w:rsidRDefault="000A442D" w:rsidP="0044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E61BE" w:rsidRPr="007516D6" w:rsidRDefault="009B7324" w:rsidP="000A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E61BE" w:rsidRPr="007516D6" w:rsidTr="0075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E61BE" w:rsidRPr="007516D6" w:rsidRDefault="003D17C7" w:rsidP="00444C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523" w:type="dxa"/>
          </w:tcPr>
          <w:p w:rsidR="009E61BE" w:rsidRPr="007516D6" w:rsidRDefault="006053CA" w:rsidP="0060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Is there a way to verify that </w:t>
            </w:r>
            <w:r w:rsidR="00D55077" w:rsidRPr="007516D6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Pr="007516D6">
              <w:rPr>
                <w:rFonts w:asciiTheme="minorHAnsi" w:hAnsiTheme="minorHAnsi" w:cstheme="minorHAnsi"/>
                <w:i/>
                <w:sz w:val="24"/>
                <w:szCs w:val="24"/>
              </w:rPr>
              <w:t>XX</w:t>
            </w:r>
            <w:r w:rsidR="00D55077" w:rsidRPr="007516D6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School District has or has not already applied for this opportunity?</w:t>
            </w:r>
          </w:p>
        </w:tc>
        <w:tc>
          <w:tcPr>
            <w:tcW w:w="8522" w:type="dxa"/>
          </w:tcPr>
          <w:p w:rsidR="00D66AD9" w:rsidRPr="007516D6" w:rsidRDefault="00D66AD9" w:rsidP="00D66AD9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Previous Equipment Grant recipients are listed on the “Grant Opportunities” web page under the heading Equipment Grant Recipients</w:t>
            </w:r>
            <w:r w:rsidR="008153CA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66AD9" w:rsidRPr="007516D6" w:rsidRDefault="00B52D04" w:rsidP="00D66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D66AD9" w:rsidRPr="007516D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https://www.oregon.gov/ode/students-and-family/childnutrition/SNP/Pages/Grants.aspx</w:t>
              </w:r>
            </w:hyperlink>
          </w:p>
          <w:p w:rsidR="00B34D49" w:rsidRDefault="00D66AD9" w:rsidP="00D84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4D49">
              <w:rPr>
                <w:rFonts w:asciiTheme="minorHAnsi" w:hAnsiTheme="minorHAnsi" w:cstheme="minorHAnsi"/>
                <w:sz w:val="24"/>
                <w:szCs w:val="24"/>
              </w:rPr>
              <w:t>Applicants may also submit an email inquiry</w:t>
            </w:r>
            <w:r w:rsidR="00D55077" w:rsidRPr="00B34D49">
              <w:rPr>
                <w:rFonts w:asciiTheme="minorHAnsi" w:hAnsiTheme="minorHAnsi" w:cstheme="minorHAnsi"/>
                <w:sz w:val="24"/>
                <w:szCs w:val="24"/>
              </w:rPr>
              <w:t xml:space="preserve"> (only for this question)</w:t>
            </w:r>
            <w:r w:rsidRPr="00B34D49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hyperlink r:id="rId19" w:history="1">
              <w:r w:rsidRPr="00B34D4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ode.schoolnutrition@ode.state.or.us</w:t>
              </w:r>
            </w:hyperlink>
            <w:r w:rsidR="007516D6" w:rsidRPr="00B34D49">
              <w:rPr>
                <w:rFonts w:asciiTheme="minorHAnsi" w:hAnsiTheme="minorHAnsi" w:cstheme="minorHAnsi"/>
                <w:sz w:val="24"/>
                <w:szCs w:val="24"/>
              </w:rPr>
              <w:t xml:space="preserve"> with subject line: FY 2021 </w:t>
            </w:r>
            <w:r w:rsidRPr="00B34D49">
              <w:rPr>
                <w:rFonts w:asciiTheme="minorHAnsi" w:hAnsiTheme="minorHAnsi" w:cstheme="minorHAnsi"/>
                <w:sz w:val="24"/>
                <w:szCs w:val="24"/>
              </w:rPr>
              <w:t>NSLP Equipment Grants Inquiry.</w:t>
            </w:r>
          </w:p>
          <w:p w:rsidR="001E0BA5" w:rsidRDefault="001E0BA5" w:rsidP="00D84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0BA5" w:rsidRPr="007516D6" w:rsidRDefault="001E0BA5" w:rsidP="00D84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1BE" w:rsidRPr="007516D6" w:rsidTr="007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E61BE" w:rsidRPr="007516D6" w:rsidRDefault="003D17C7" w:rsidP="00444C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4523" w:type="dxa"/>
          </w:tcPr>
          <w:p w:rsidR="009E61BE" w:rsidRPr="007516D6" w:rsidRDefault="006053CA" w:rsidP="0044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Are providers able to apply for this if they received an equipment grant for the last round?</w:t>
            </w:r>
          </w:p>
        </w:tc>
        <w:tc>
          <w:tcPr>
            <w:tcW w:w="8522" w:type="dxa"/>
          </w:tcPr>
          <w:p w:rsidR="009E61BE" w:rsidRDefault="00F44055" w:rsidP="0044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Any entity that meets the eligibility criteria in Section 1.3 can apply for a Grant.  Refer to Section </w:t>
            </w:r>
            <w:r w:rsidR="004F2507" w:rsidRPr="007516D6">
              <w:rPr>
                <w:rFonts w:asciiTheme="minorHAnsi" w:hAnsiTheme="minorHAnsi" w:cstheme="minorHAnsi"/>
                <w:sz w:val="24"/>
                <w:szCs w:val="24"/>
              </w:rPr>
              <w:t>4.4 regarding Preference Points</w:t>
            </w: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, specifically NSLP Equipment Grant History.</w:t>
            </w:r>
          </w:p>
          <w:p w:rsidR="00B34D49" w:rsidRPr="007516D6" w:rsidRDefault="00B34D49" w:rsidP="0044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61BE" w:rsidRPr="007516D6" w:rsidTr="007516D6">
        <w:trPr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E61BE" w:rsidRPr="007516D6" w:rsidRDefault="003D17C7" w:rsidP="00444C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523" w:type="dxa"/>
          </w:tcPr>
          <w:p w:rsidR="009E61BE" w:rsidRPr="007516D6" w:rsidRDefault="00614656" w:rsidP="0044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Would cafeteria tables be something we could apply for with the equipment grant?</w:t>
            </w:r>
          </w:p>
        </w:tc>
        <w:tc>
          <w:tcPr>
            <w:tcW w:w="8522" w:type="dxa"/>
          </w:tcPr>
          <w:p w:rsidR="00DE5C28" w:rsidRPr="007516D6" w:rsidRDefault="00DE5C28" w:rsidP="00AD6252">
            <w:pPr>
              <w:pStyle w:val="11-text"/>
              <w:keepNext/>
              <w:keepLines/>
              <w:widowControl w:val="0"/>
              <w:spacing w:before="0" w:after="0"/>
              <w:ind w:left="7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7516D6">
              <w:rPr>
                <w:rFonts w:asciiTheme="minorHAnsi" w:hAnsiTheme="minorHAnsi" w:cstheme="minorHAnsi"/>
                <w:szCs w:val="24"/>
              </w:rPr>
              <w:t>As stated in Section 1.1 , this RFA is for the funding of equipment that will:</w:t>
            </w:r>
          </w:p>
          <w:p w:rsidR="00D66AD9" w:rsidRPr="007516D6" w:rsidRDefault="00D66AD9" w:rsidP="00AD6252">
            <w:pPr>
              <w:pStyle w:val="11-text"/>
              <w:keepNext/>
              <w:keepLines/>
              <w:widowControl w:val="0"/>
              <w:spacing w:before="0" w:after="0"/>
              <w:ind w:left="7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:rsidR="00DE5C28" w:rsidRPr="007516D6" w:rsidRDefault="00DE5C28" w:rsidP="00AD6252">
            <w:pPr>
              <w:pStyle w:val="11-text"/>
              <w:keepNext/>
              <w:keepLines/>
              <w:widowControl w:val="0"/>
              <w:spacing w:before="0" w:after="0"/>
              <w:ind w:left="250" w:right="14" w:hanging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7516D6">
              <w:rPr>
                <w:rFonts w:asciiTheme="minorHAnsi" w:hAnsiTheme="minorHAnsi" w:cstheme="minorHAnsi"/>
                <w:szCs w:val="24"/>
              </w:rPr>
              <w:t>•Improve the nutrition of meals served in school meal programs; and</w:t>
            </w:r>
          </w:p>
          <w:p w:rsidR="00DE5C28" w:rsidRPr="007516D6" w:rsidRDefault="00DE5C28" w:rsidP="00AD6252">
            <w:pPr>
              <w:pStyle w:val="11-text"/>
              <w:keepNext/>
              <w:keepLines/>
              <w:widowControl w:val="0"/>
              <w:spacing w:before="0" w:after="0"/>
              <w:ind w:left="250" w:right="14" w:hanging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7516D6">
              <w:rPr>
                <w:rFonts w:asciiTheme="minorHAnsi" w:hAnsiTheme="minorHAnsi" w:cstheme="minorHAnsi"/>
                <w:szCs w:val="24"/>
              </w:rPr>
              <w:t>•Improve the safety of food served in school meal programs; and</w:t>
            </w:r>
          </w:p>
          <w:p w:rsidR="009E61BE" w:rsidRPr="007516D6" w:rsidRDefault="00DE5C28" w:rsidP="00AD6252">
            <w:pPr>
              <w:pStyle w:val="11-text"/>
              <w:keepNext/>
              <w:keepLines/>
              <w:widowControl w:val="0"/>
              <w:spacing w:before="0" w:after="0"/>
              <w:ind w:left="250" w:right="14" w:hanging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7516D6">
              <w:rPr>
                <w:rFonts w:asciiTheme="minorHAnsi" w:hAnsiTheme="minorHAnsi" w:cstheme="minorHAnsi"/>
                <w:szCs w:val="24"/>
              </w:rPr>
              <w:t>•Support the establishment, maintenance or expansion of the School Breakfast Program.</w:t>
            </w:r>
          </w:p>
          <w:p w:rsidR="00D66AD9" w:rsidRPr="007516D6" w:rsidRDefault="00D66AD9" w:rsidP="00AD6252">
            <w:pPr>
              <w:pStyle w:val="11-text"/>
              <w:keepNext/>
              <w:keepLines/>
              <w:widowControl w:val="0"/>
              <w:spacing w:before="0" w:after="0"/>
              <w:ind w:left="250" w:right="14" w:hanging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:rsidR="007516D6" w:rsidRDefault="00D66AD9" w:rsidP="00B34D49">
            <w:pPr>
              <w:pStyle w:val="11-text"/>
              <w:keepNext/>
              <w:keepLines/>
              <w:widowControl w:val="0"/>
              <w:spacing w:before="0" w:after="0"/>
              <w:ind w:left="250" w:right="14" w:hanging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7516D6">
              <w:rPr>
                <w:rFonts w:asciiTheme="minorHAnsi" w:hAnsiTheme="minorHAnsi" w:cstheme="minorHAnsi"/>
                <w:szCs w:val="24"/>
              </w:rPr>
              <w:t>The per unit acquisition cost must h</w:t>
            </w:r>
            <w:r w:rsidR="007516D6" w:rsidRPr="007516D6">
              <w:rPr>
                <w:rFonts w:asciiTheme="minorHAnsi" w:hAnsiTheme="minorHAnsi" w:cstheme="minorHAnsi"/>
                <w:szCs w:val="24"/>
              </w:rPr>
              <w:t>ave a value greater than $1,000, up to $50,000.</w:t>
            </w:r>
          </w:p>
          <w:p w:rsidR="001E0BA5" w:rsidRPr="007516D6" w:rsidRDefault="001E0BA5" w:rsidP="00B34D49">
            <w:pPr>
              <w:pStyle w:val="11-text"/>
              <w:keepNext/>
              <w:keepLines/>
              <w:widowControl w:val="0"/>
              <w:spacing w:before="0" w:after="0"/>
              <w:ind w:left="250" w:right="14" w:hanging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E15" w:rsidRPr="007516D6" w:rsidTr="007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27E15" w:rsidRPr="007516D6" w:rsidRDefault="003D17C7" w:rsidP="007516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516D6" w:rsidRPr="00751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7516D6" w:rsidRDefault="000D34AB" w:rsidP="00D84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In Section 1.1</w:t>
            </w:r>
            <w:r w:rsidR="00AD6252" w:rsidRPr="007516D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the 3rd bullet reads that the funding of the equipment shall "Support the establishment, maintenance or expansion of the School Breakfast Program".</w:t>
            </w:r>
            <w:r w:rsidR="008153CA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841C6">
              <w:rPr>
                <w:rFonts w:asciiTheme="minorHAnsi" w:hAnsiTheme="minorHAnsi" w:cstheme="minorHAnsi"/>
                <w:sz w:val="24"/>
                <w:szCs w:val="24"/>
              </w:rPr>
              <w:t xml:space="preserve"> Currently,</w:t>
            </w: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we do not participate in the School Breakfast Program - would this make us ineligible for the grant?</w:t>
            </w:r>
          </w:p>
          <w:p w:rsidR="001E0BA5" w:rsidRPr="007516D6" w:rsidRDefault="001E0BA5" w:rsidP="00D84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427E15" w:rsidRPr="007516D6" w:rsidRDefault="00BC5885" w:rsidP="003D0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Section 2.4, “Scope of Activities” in the RFA, states that “equipment purchased with grant dollars should address the following:  serve healthier meals, improved the food safety, and support the establishment, maintenance or expansion of the School Breakfast Program.”   </w:t>
            </w:r>
            <w:r w:rsidR="003A2CC7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="003D0AB6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3A2CC7">
              <w:rPr>
                <w:rFonts w:asciiTheme="minorHAnsi" w:hAnsiTheme="minorHAnsi" w:cstheme="minorHAnsi"/>
                <w:sz w:val="24"/>
                <w:szCs w:val="24"/>
              </w:rPr>
              <w:t xml:space="preserve"> grant application must meet all three of these requirements. </w:t>
            </w:r>
          </w:p>
        </w:tc>
      </w:tr>
      <w:tr w:rsidR="00427E15" w:rsidRPr="007516D6" w:rsidTr="0075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27E15" w:rsidRPr="007516D6" w:rsidRDefault="003D17C7" w:rsidP="007516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516D6" w:rsidRPr="00751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FF0625" w:rsidRPr="007516D6" w:rsidRDefault="000D5724" w:rsidP="00FF0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Does the grant cover purchase of equipment only or can it cover leased equipment?</w:t>
            </w:r>
          </w:p>
        </w:tc>
        <w:tc>
          <w:tcPr>
            <w:tcW w:w="8522" w:type="dxa"/>
          </w:tcPr>
          <w:p w:rsidR="00427E15" w:rsidRDefault="003D0AB6" w:rsidP="003D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Agency will award</w:t>
            </w: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funds to Applicants which will purchase new equipment, renovating or repairing equipment, or replacing equipment that improve the quality of school meals.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2C46" w:rsidRPr="0040524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This does</w:t>
            </w:r>
            <w:r w:rsidR="005F2DA8" w:rsidRPr="0040524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not</w:t>
            </w:r>
            <w:r w:rsidR="007E2C46" w:rsidRPr="0040524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include </w:t>
            </w:r>
            <w:r w:rsidR="00D66AD9" w:rsidRPr="0040524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le</w:t>
            </w:r>
            <w:r w:rsidR="007E2C46" w:rsidRPr="0040524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ased equipment</w:t>
            </w:r>
            <w:r w:rsidR="00D66AD9" w:rsidRPr="0040524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.</w:t>
            </w:r>
          </w:p>
          <w:p w:rsidR="001E0BA5" w:rsidRPr="007516D6" w:rsidRDefault="001E0BA5" w:rsidP="003D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7E15" w:rsidRPr="007516D6" w:rsidTr="007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27E15" w:rsidRPr="007516D6" w:rsidRDefault="003D17C7" w:rsidP="007516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516D6" w:rsidRPr="007516D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427E15" w:rsidRPr="007516D6" w:rsidRDefault="000D5724" w:rsidP="0044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Can grant money be used to cover maintenance of equipment?</w:t>
            </w:r>
          </w:p>
        </w:tc>
        <w:tc>
          <w:tcPr>
            <w:tcW w:w="8522" w:type="dxa"/>
          </w:tcPr>
          <w:p w:rsidR="007516D6" w:rsidRPr="007516D6" w:rsidRDefault="00050220" w:rsidP="0032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Agency will award</w:t>
            </w:r>
            <w:r w:rsidR="00321BD0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funds to Applicants which will purchase new equipment, renovating or repairing equipment, or replacing equipment that improve the quality of school meals.</w:t>
            </w:r>
            <w:r w:rsidR="00D55077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2D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2DA8" w:rsidRPr="005F2DA8">
              <w:rPr>
                <w:rFonts w:asciiTheme="minorHAnsi" w:hAnsiTheme="minorHAnsi" w:cstheme="minorHAnsi"/>
                <w:sz w:val="24"/>
                <w:szCs w:val="24"/>
              </w:rPr>
              <w:t>https://www.fns.usda.gov/cn/sp-13-2021</w:t>
            </w:r>
          </w:p>
          <w:p w:rsidR="007516D6" w:rsidRPr="007516D6" w:rsidRDefault="007516D6" w:rsidP="0032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16D6" w:rsidRPr="0040524C" w:rsidRDefault="00D55077" w:rsidP="00B34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0524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The use of Grant Funds for maintenance of equipment is not allowed.</w:t>
            </w:r>
          </w:p>
          <w:p w:rsidR="001E0BA5" w:rsidRPr="007516D6" w:rsidRDefault="001E0BA5" w:rsidP="00B34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7E15" w:rsidRPr="007516D6" w:rsidTr="0075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27E15" w:rsidRPr="007516D6" w:rsidRDefault="003D17C7" w:rsidP="007516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="007516D6" w:rsidRPr="007516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427E15" w:rsidRDefault="000D5724" w:rsidP="000D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Please confirm if there is a maximum dollar value that an individual agency can apply for. It appears that an agency can submit individual grant applications for individual pieces of equipment at a unit cost of $1001- $50,000 per piece of equipment, but is there a maximum combined amount that an agency can apply for?</w:t>
            </w:r>
          </w:p>
          <w:p w:rsidR="001E0BA5" w:rsidRPr="007516D6" w:rsidRDefault="001E0BA5" w:rsidP="000D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8135BB" w:rsidRPr="007516D6" w:rsidRDefault="00321BD0" w:rsidP="00813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An eligible entity may submit multiple Applications. </w:t>
            </w:r>
            <w:r w:rsidR="008135BB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There is no maximum amount that an eligible entity will be awarded due to Agency’s acceptance of multiple Applications. </w:t>
            </w:r>
          </w:p>
          <w:p w:rsidR="008135BB" w:rsidRPr="007516D6" w:rsidRDefault="008135BB" w:rsidP="00813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35BB" w:rsidRPr="007516D6" w:rsidRDefault="008135BB" w:rsidP="00813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One (1) Grant Agreement will be award to an entity and will incorporate the approved amounts of the requested equipment items. The amount of each Application will be between $1,001 and $50,000.</w:t>
            </w:r>
            <w:r w:rsidR="00BC5885">
              <w:rPr>
                <w:rFonts w:asciiTheme="minorHAnsi" w:hAnsiTheme="minorHAnsi" w:cstheme="minorHAnsi"/>
                <w:sz w:val="24"/>
                <w:szCs w:val="24"/>
              </w:rPr>
              <w:t xml:space="preserve">  Please see RFA, Section 1.2.</w:t>
            </w:r>
          </w:p>
        </w:tc>
      </w:tr>
      <w:tr w:rsidR="00427E15" w:rsidRPr="007516D6" w:rsidTr="007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27E15" w:rsidRPr="007516D6" w:rsidRDefault="007516D6" w:rsidP="00444C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523" w:type="dxa"/>
          </w:tcPr>
          <w:p w:rsidR="000D5724" w:rsidRPr="007516D6" w:rsidRDefault="000D5724" w:rsidP="000D5724">
            <w:pPr>
              <w:pStyle w:val="ListParagraph"/>
              <w:numPr>
                <w:ilvl w:val="0"/>
                <w:numId w:val="21"/>
              </w:numPr>
              <w:ind w:left="35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Do programs participating in CACFP qualify to apply for this grant? </w:t>
            </w:r>
          </w:p>
          <w:p w:rsidR="00427E15" w:rsidRDefault="000D5724" w:rsidP="000D5724">
            <w:pPr>
              <w:pStyle w:val="ListParagraph"/>
              <w:numPr>
                <w:ilvl w:val="0"/>
                <w:numId w:val="21"/>
              </w:numPr>
              <w:ind w:left="35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If not, will there be grant opportunities like this one in the future for CACFP sponsors?</w:t>
            </w:r>
          </w:p>
          <w:p w:rsidR="001E0BA5" w:rsidRPr="007516D6" w:rsidRDefault="001E0BA5" w:rsidP="000D5724">
            <w:pPr>
              <w:pStyle w:val="ListParagraph"/>
              <w:numPr>
                <w:ilvl w:val="0"/>
                <w:numId w:val="21"/>
              </w:numPr>
              <w:ind w:left="35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2" w:type="dxa"/>
          </w:tcPr>
          <w:p w:rsidR="000D5724" w:rsidRPr="007516D6" w:rsidRDefault="000D5724" w:rsidP="000D5724">
            <w:pPr>
              <w:pStyle w:val="ListParagraph"/>
              <w:numPr>
                <w:ilvl w:val="0"/>
                <w:numId w:val="22"/>
              </w:numPr>
              <w:ind w:left="25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CACFP Sponsors are not eligible for this opportunity.  </w:t>
            </w:r>
            <w:r w:rsidR="00606553">
              <w:rPr>
                <w:rFonts w:asciiTheme="minorHAnsi" w:hAnsiTheme="minorHAnsi" w:cstheme="minorHAnsi"/>
                <w:sz w:val="24"/>
                <w:szCs w:val="24"/>
              </w:rPr>
              <w:t>The RFA, Section 1.3, specifies that applicants must be a School Food Authority (SFA).</w:t>
            </w:r>
          </w:p>
          <w:p w:rsidR="000D5724" w:rsidRPr="007516D6" w:rsidRDefault="000D5724" w:rsidP="008153CA">
            <w:pPr>
              <w:pStyle w:val="ListParagraph"/>
              <w:numPr>
                <w:ilvl w:val="0"/>
                <w:numId w:val="22"/>
              </w:numPr>
              <w:ind w:left="25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This RFA only provides information about the current opportunity and is based on guidance from the United States Department of Agriculture (USDA). </w:t>
            </w:r>
          </w:p>
        </w:tc>
      </w:tr>
      <w:tr w:rsidR="00427E15" w:rsidRPr="007516D6" w:rsidTr="00751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27E15" w:rsidRPr="007516D6" w:rsidRDefault="007516D6" w:rsidP="00444C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523" w:type="dxa"/>
          </w:tcPr>
          <w:p w:rsidR="008153CA" w:rsidRPr="007516D6" w:rsidRDefault="00321BD0" w:rsidP="0081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2.4 Scope of Activity</w:t>
            </w:r>
            <w:r w:rsidR="008135BB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One of the items is: Support the establishment, maintenance or expansion of the School Breakfast Program</w:t>
            </w:r>
            <w:r w:rsidR="00D55077" w:rsidRPr="00751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153CA"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8153CA" w:rsidRPr="007516D6" w:rsidRDefault="008153CA" w:rsidP="0081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7E15" w:rsidRPr="007516D6" w:rsidRDefault="00321BD0" w:rsidP="0081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What does maintenance mean? </w:t>
            </w:r>
          </w:p>
        </w:tc>
        <w:tc>
          <w:tcPr>
            <w:tcW w:w="8522" w:type="dxa"/>
          </w:tcPr>
          <w:p w:rsidR="003D0AB6" w:rsidRDefault="00050220" w:rsidP="003D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Maintenance in section 2.4 “Scope of Activity” is referring to the School Breakfast Program.   </w:t>
            </w:r>
          </w:p>
          <w:p w:rsidR="003D0AB6" w:rsidRDefault="003D0AB6" w:rsidP="003D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7E15" w:rsidRDefault="003D0AB6" w:rsidP="003D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Agency will award</w:t>
            </w: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 xml:space="preserve"> funds to Applicants which will purchase new equipment, renovating or repairing equipment, or replacing equipment that improve the quality of school meals.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16D6">
              <w:rPr>
                <w:rFonts w:asciiTheme="minorHAnsi" w:hAnsiTheme="minorHAnsi" w:cstheme="minorHAnsi"/>
                <w:sz w:val="24"/>
                <w:szCs w:val="24"/>
              </w:rPr>
              <w:t>The use of Grant Funds for maintenance of equipment is not allowed.</w:t>
            </w:r>
          </w:p>
          <w:p w:rsidR="001E0BA5" w:rsidRPr="007516D6" w:rsidRDefault="001E0BA5" w:rsidP="003D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6CAF" w:rsidRPr="00816CAF" w:rsidRDefault="00816CAF" w:rsidP="00816CAF">
      <w:pPr>
        <w:rPr>
          <w:rFonts w:ascii="Cambria" w:hAnsi="Cambria"/>
          <w:sz w:val="24"/>
          <w:szCs w:val="24"/>
        </w:rPr>
      </w:pPr>
    </w:p>
    <w:p w:rsidR="001A5ACD" w:rsidRPr="00A415F6" w:rsidRDefault="001A5ACD" w:rsidP="000D5724">
      <w:pPr>
        <w:pStyle w:val="0-NOTES"/>
      </w:pPr>
    </w:p>
    <w:sectPr w:rsidR="001A5ACD" w:rsidRPr="00A415F6" w:rsidSect="00B6222F">
      <w:headerReference w:type="default" r:id="rId20"/>
      <w:footerReference w:type="default" r:id="rId21"/>
      <w:pgSz w:w="15840" w:h="12240" w:orient="landscape"/>
      <w:pgMar w:top="1080" w:right="720" w:bottom="13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F0" w:rsidRDefault="004304F0" w:rsidP="00E14302">
      <w:r>
        <w:separator/>
      </w:r>
    </w:p>
  </w:endnote>
  <w:endnote w:type="continuationSeparator" w:id="0">
    <w:p w:rsidR="004304F0" w:rsidRDefault="004304F0" w:rsidP="00E1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02" w:rsidRPr="00DC7F75" w:rsidRDefault="00DC7F75" w:rsidP="0010005C">
    <w:pPr>
      <w:pStyle w:val="Footer"/>
      <w:jc w:val="center"/>
      <w:rPr>
        <w:rFonts w:ascii="Cambria" w:hAnsi="Cambria"/>
      </w:rPr>
    </w:pPr>
    <w:r w:rsidRPr="00B2073D">
      <w:rPr>
        <w:rFonts w:ascii="Cambria" w:hAnsi="Cambria"/>
      </w:rPr>
      <w:t xml:space="preserve">Page </w:t>
    </w:r>
    <w:r w:rsidRPr="00B2073D">
      <w:rPr>
        <w:rFonts w:ascii="Cambria" w:hAnsi="Cambria"/>
        <w:bCs/>
      </w:rPr>
      <w:fldChar w:fldCharType="begin"/>
    </w:r>
    <w:r w:rsidRPr="00B2073D">
      <w:rPr>
        <w:rFonts w:ascii="Cambria" w:hAnsi="Cambria"/>
        <w:bCs/>
      </w:rPr>
      <w:instrText xml:space="preserve"> PAGE  \* Arabic  \* MERGEFORMAT </w:instrText>
    </w:r>
    <w:r w:rsidRPr="00B2073D">
      <w:rPr>
        <w:rFonts w:ascii="Cambria" w:hAnsi="Cambria"/>
        <w:bCs/>
      </w:rPr>
      <w:fldChar w:fldCharType="separate"/>
    </w:r>
    <w:r w:rsidR="00B52D04">
      <w:rPr>
        <w:rFonts w:ascii="Cambria" w:hAnsi="Cambria"/>
        <w:bCs/>
        <w:noProof/>
      </w:rPr>
      <w:t>4</w:t>
    </w:r>
    <w:r w:rsidRPr="00B2073D">
      <w:rPr>
        <w:rFonts w:ascii="Cambria" w:hAnsi="Cambria"/>
        <w:bCs/>
      </w:rPr>
      <w:fldChar w:fldCharType="end"/>
    </w:r>
    <w:r w:rsidRPr="00B2073D">
      <w:rPr>
        <w:rFonts w:ascii="Cambria" w:hAnsi="Cambria"/>
      </w:rPr>
      <w:t xml:space="preserve"> of </w:t>
    </w:r>
    <w:r w:rsidRPr="00B2073D">
      <w:rPr>
        <w:rFonts w:ascii="Cambria" w:hAnsi="Cambria"/>
        <w:bCs/>
      </w:rPr>
      <w:fldChar w:fldCharType="begin"/>
    </w:r>
    <w:r w:rsidRPr="00B2073D">
      <w:rPr>
        <w:rFonts w:ascii="Cambria" w:hAnsi="Cambria"/>
        <w:bCs/>
      </w:rPr>
      <w:instrText xml:space="preserve"> NUMPAGES  \* Arabic  \* MERGEFORMAT </w:instrText>
    </w:r>
    <w:r w:rsidRPr="00B2073D">
      <w:rPr>
        <w:rFonts w:ascii="Cambria" w:hAnsi="Cambria"/>
        <w:bCs/>
      </w:rPr>
      <w:fldChar w:fldCharType="separate"/>
    </w:r>
    <w:r w:rsidR="00B52D04">
      <w:rPr>
        <w:rFonts w:ascii="Cambria" w:hAnsi="Cambria"/>
        <w:bCs/>
        <w:noProof/>
      </w:rPr>
      <w:t>4</w:t>
    </w:r>
    <w:r w:rsidRPr="00B2073D">
      <w:rPr>
        <w:rFonts w:ascii="Cambria" w:hAnsi="Cambri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F0" w:rsidRDefault="004304F0" w:rsidP="00E14302">
      <w:r>
        <w:separator/>
      </w:r>
    </w:p>
  </w:footnote>
  <w:footnote w:type="continuationSeparator" w:id="0">
    <w:p w:rsidR="004304F0" w:rsidRDefault="004304F0" w:rsidP="00E1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E4" w:rsidRPr="0090635F" w:rsidRDefault="000C20E4" w:rsidP="00B2073D">
    <w:pPr>
      <w:tabs>
        <w:tab w:val="left" w:pos="8640"/>
      </w:tabs>
      <w:rPr>
        <w:rFonts w:ascii="Cambria" w:hAnsi="Cambria"/>
      </w:rPr>
    </w:pPr>
    <w:r w:rsidRPr="00B34D49">
      <w:rPr>
        <w:rFonts w:ascii="Cambria" w:hAnsi="Cambria"/>
        <w:b/>
      </w:rPr>
      <w:t xml:space="preserve">RFA </w:t>
    </w:r>
    <w:r w:rsidR="009D48FF" w:rsidRPr="00B34D49">
      <w:rPr>
        <w:rFonts w:ascii="Cambria" w:hAnsi="Cambria"/>
        <w:b/>
      </w:rPr>
      <w:t>ODE</w:t>
    </w:r>
    <w:r w:rsidRPr="00B34D49">
      <w:rPr>
        <w:rFonts w:ascii="Cambria" w:hAnsi="Cambria"/>
      </w:rPr>
      <w:t xml:space="preserve">– </w:t>
    </w:r>
    <w:r w:rsidR="009D48FF" w:rsidRPr="00B34D49">
      <w:rPr>
        <w:rFonts w:ascii="Cambria" w:hAnsi="Cambria"/>
        <w:i/>
      </w:rPr>
      <w:t>NSLP Equipment Grant FY 202</w:t>
    </w:r>
    <w:r w:rsidR="00975EA1" w:rsidRPr="00B34D49">
      <w:rPr>
        <w:rFonts w:ascii="Cambria" w:hAnsi="Cambria"/>
        <w:i/>
      </w:rPr>
      <w:t>1</w:t>
    </w:r>
    <w:r w:rsidR="0019564F" w:rsidRPr="00B34D49">
      <w:rPr>
        <w:rFonts w:ascii="Cambria" w:hAnsi="Cambria"/>
        <w:i/>
      </w:rPr>
      <w:tab/>
    </w:r>
    <w:r w:rsidR="0019564F" w:rsidRPr="00B34D49">
      <w:rPr>
        <w:rFonts w:ascii="Cambria" w:hAnsi="Cambria"/>
        <w:i/>
      </w:rPr>
      <w:tab/>
    </w:r>
    <w:r w:rsidR="0019564F" w:rsidRPr="00B34D49">
      <w:rPr>
        <w:rFonts w:ascii="Cambria" w:hAnsi="Cambria"/>
        <w:i/>
      </w:rPr>
      <w:tab/>
    </w:r>
    <w:r w:rsidR="0019564F" w:rsidRPr="00B34D49">
      <w:rPr>
        <w:rFonts w:ascii="Cambria" w:hAnsi="Cambria"/>
        <w:i/>
      </w:rPr>
      <w:tab/>
    </w:r>
    <w:r w:rsidR="0019564F" w:rsidRPr="00B34D49">
      <w:rPr>
        <w:rFonts w:ascii="Cambria" w:hAnsi="Cambria"/>
        <w:i/>
      </w:rPr>
      <w:tab/>
    </w:r>
    <w:r w:rsidR="0019564F" w:rsidRPr="00B34D49">
      <w:rPr>
        <w:rFonts w:ascii="Cambria" w:hAnsi="Cambria"/>
        <w:i/>
      </w:rPr>
      <w:tab/>
    </w:r>
    <w:r w:rsidRPr="00B34D49">
      <w:rPr>
        <w:rFonts w:ascii="Cambria" w:hAnsi="Cambria"/>
        <w:i/>
      </w:rPr>
      <w:tab/>
    </w:r>
    <w:r w:rsidRPr="00B34D49">
      <w:rPr>
        <w:rFonts w:ascii="Cambria" w:hAnsi="Cambria"/>
      </w:rPr>
      <w:t>Q&amp;A</w:t>
    </w:r>
    <w:r w:rsidR="00B2073D">
      <w:rPr>
        <w:rFonts w:ascii="Cambria" w:hAnsi="Cambria"/>
      </w:rPr>
      <w:t xml:space="preserve"> </w:t>
    </w:r>
  </w:p>
  <w:p w:rsidR="000C20E4" w:rsidRDefault="000C2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4EDF"/>
    <w:multiLevelType w:val="hybridMultilevel"/>
    <w:tmpl w:val="61EC2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C1CB5"/>
    <w:multiLevelType w:val="hybridMultilevel"/>
    <w:tmpl w:val="6480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3D67"/>
    <w:multiLevelType w:val="hybridMultilevel"/>
    <w:tmpl w:val="AFEEC9BE"/>
    <w:lvl w:ilvl="0" w:tplc="F0CC6EA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2E84"/>
    <w:multiLevelType w:val="multilevel"/>
    <w:tmpl w:val="886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D022D"/>
    <w:multiLevelType w:val="multilevel"/>
    <w:tmpl w:val="65EA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13E43"/>
    <w:multiLevelType w:val="hybridMultilevel"/>
    <w:tmpl w:val="6644C0BA"/>
    <w:lvl w:ilvl="0" w:tplc="5D80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4A60"/>
    <w:multiLevelType w:val="hybridMultilevel"/>
    <w:tmpl w:val="BBD46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F234D"/>
    <w:multiLevelType w:val="hybridMultilevel"/>
    <w:tmpl w:val="BBD46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33C7E"/>
    <w:multiLevelType w:val="hybridMultilevel"/>
    <w:tmpl w:val="BBA2B690"/>
    <w:lvl w:ilvl="0" w:tplc="7548C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35727"/>
    <w:multiLevelType w:val="hybridMultilevel"/>
    <w:tmpl w:val="BBD46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57F32"/>
    <w:multiLevelType w:val="hybridMultilevel"/>
    <w:tmpl w:val="BBD46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01C3C"/>
    <w:multiLevelType w:val="hybridMultilevel"/>
    <w:tmpl w:val="FA680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B7025"/>
    <w:multiLevelType w:val="hybridMultilevel"/>
    <w:tmpl w:val="BBD46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B34BA"/>
    <w:multiLevelType w:val="hybridMultilevel"/>
    <w:tmpl w:val="FA124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A20055"/>
    <w:multiLevelType w:val="multilevel"/>
    <w:tmpl w:val="F0E4E1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CF27420"/>
    <w:multiLevelType w:val="multilevel"/>
    <w:tmpl w:val="930E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54845"/>
    <w:multiLevelType w:val="hybridMultilevel"/>
    <w:tmpl w:val="BBD46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12010B"/>
    <w:multiLevelType w:val="multilevel"/>
    <w:tmpl w:val="5CE8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72B62"/>
    <w:multiLevelType w:val="multilevel"/>
    <w:tmpl w:val="F87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9B2655"/>
    <w:multiLevelType w:val="hybridMultilevel"/>
    <w:tmpl w:val="425C1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D640F"/>
    <w:multiLevelType w:val="hybridMultilevel"/>
    <w:tmpl w:val="BBD46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3B3F9A"/>
    <w:multiLevelType w:val="hybridMultilevel"/>
    <w:tmpl w:val="62C0F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21"/>
  </w:num>
  <w:num w:numId="8">
    <w:abstractNumId w:val="13"/>
  </w:num>
  <w:num w:numId="9">
    <w:abstractNumId w:val="11"/>
  </w:num>
  <w:num w:numId="10">
    <w:abstractNumId w:val="15"/>
  </w:num>
  <w:num w:numId="11">
    <w:abstractNumId w:val="3"/>
  </w:num>
  <w:num w:numId="12">
    <w:abstractNumId w:val="6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2"/>
  </w:num>
  <w:num w:numId="18">
    <w:abstractNumId w:val="9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bbkEgeNzWdBliWRPuCexiLWOeQQ2jJ9U06W45PevEzm81On2b5cTfjeaW5P9jhISrTorrl0MqXLzcirAEJPxQ==" w:salt="4fsWcvtkMdx2WTCgLXqXxg==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D5"/>
    <w:rsid w:val="000108DE"/>
    <w:rsid w:val="00011204"/>
    <w:rsid w:val="000174C5"/>
    <w:rsid w:val="000219CA"/>
    <w:rsid w:val="00050220"/>
    <w:rsid w:val="00074324"/>
    <w:rsid w:val="00081298"/>
    <w:rsid w:val="00083635"/>
    <w:rsid w:val="000A442D"/>
    <w:rsid w:val="000A60F8"/>
    <w:rsid w:val="000C20E4"/>
    <w:rsid w:val="000C3A5E"/>
    <w:rsid w:val="000C6997"/>
    <w:rsid w:val="000D34AB"/>
    <w:rsid w:val="000D5724"/>
    <w:rsid w:val="000E0381"/>
    <w:rsid w:val="000E2111"/>
    <w:rsid w:val="000F4AA9"/>
    <w:rsid w:val="0010005C"/>
    <w:rsid w:val="0013288F"/>
    <w:rsid w:val="001433DC"/>
    <w:rsid w:val="001505FF"/>
    <w:rsid w:val="00162CB4"/>
    <w:rsid w:val="00165B56"/>
    <w:rsid w:val="00177FDA"/>
    <w:rsid w:val="00185DBD"/>
    <w:rsid w:val="00195319"/>
    <w:rsid w:val="0019564F"/>
    <w:rsid w:val="001975EE"/>
    <w:rsid w:val="001A5ACD"/>
    <w:rsid w:val="001D3DF7"/>
    <w:rsid w:val="001E0BA5"/>
    <w:rsid w:val="001E4693"/>
    <w:rsid w:val="001F02C8"/>
    <w:rsid w:val="001F2960"/>
    <w:rsid w:val="002000FF"/>
    <w:rsid w:val="00214847"/>
    <w:rsid w:val="00225233"/>
    <w:rsid w:val="002342F4"/>
    <w:rsid w:val="00237938"/>
    <w:rsid w:val="002421A1"/>
    <w:rsid w:val="00256C5C"/>
    <w:rsid w:val="002823D5"/>
    <w:rsid w:val="00283BAE"/>
    <w:rsid w:val="00285274"/>
    <w:rsid w:val="00294FE8"/>
    <w:rsid w:val="002D6855"/>
    <w:rsid w:val="002E099F"/>
    <w:rsid w:val="002E213A"/>
    <w:rsid w:val="002E5487"/>
    <w:rsid w:val="002F31AA"/>
    <w:rsid w:val="00306668"/>
    <w:rsid w:val="00321BD0"/>
    <w:rsid w:val="00327557"/>
    <w:rsid w:val="003531C5"/>
    <w:rsid w:val="00361213"/>
    <w:rsid w:val="0037743E"/>
    <w:rsid w:val="00394002"/>
    <w:rsid w:val="0039494E"/>
    <w:rsid w:val="003A2CC7"/>
    <w:rsid w:val="003A57F5"/>
    <w:rsid w:val="003B03F7"/>
    <w:rsid w:val="003D0AB6"/>
    <w:rsid w:val="003D17C7"/>
    <w:rsid w:val="003E706A"/>
    <w:rsid w:val="0040524C"/>
    <w:rsid w:val="00406581"/>
    <w:rsid w:val="004126AB"/>
    <w:rsid w:val="00427E15"/>
    <w:rsid w:val="004304F0"/>
    <w:rsid w:val="00442C9B"/>
    <w:rsid w:val="004636CD"/>
    <w:rsid w:val="00476A73"/>
    <w:rsid w:val="00487156"/>
    <w:rsid w:val="00490E33"/>
    <w:rsid w:val="004A5436"/>
    <w:rsid w:val="004A57D0"/>
    <w:rsid w:val="004C298A"/>
    <w:rsid w:val="004C3A5B"/>
    <w:rsid w:val="004E691F"/>
    <w:rsid w:val="004F2507"/>
    <w:rsid w:val="005066A5"/>
    <w:rsid w:val="005126D1"/>
    <w:rsid w:val="00517A4A"/>
    <w:rsid w:val="0052145A"/>
    <w:rsid w:val="00525C5B"/>
    <w:rsid w:val="00526C7F"/>
    <w:rsid w:val="00550634"/>
    <w:rsid w:val="00556CED"/>
    <w:rsid w:val="00573225"/>
    <w:rsid w:val="0058558D"/>
    <w:rsid w:val="005C64CA"/>
    <w:rsid w:val="005D4817"/>
    <w:rsid w:val="005F2DA8"/>
    <w:rsid w:val="00600AF8"/>
    <w:rsid w:val="00603A30"/>
    <w:rsid w:val="006053CA"/>
    <w:rsid w:val="00606553"/>
    <w:rsid w:val="00613CD6"/>
    <w:rsid w:val="00614656"/>
    <w:rsid w:val="006376B7"/>
    <w:rsid w:val="00663256"/>
    <w:rsid w:val="00671A85"/>
    <w:rsid w:val="006900C0"/>
    <w:rsid w:val="006C5C67"/>
    <w:rsid w:val="00715CD0"/>
    <w:rsid w:val="00725C6D"/>
    <w:rsid w:val="00735A2C"/>
    <w:rsid w:val="007516D6"/>
    <w:rsid w:val="00752599"/>
    <w:rsid w:val="007705F0"/>
    <w:rsid w:val="00772D92"/>
    <w:rsid w:val="0078217B"/>
    <w:rsid w:val="00782320"/>
    <w:rsid w:val="00793981"/>
    <w:rsid w:val="00795328"/>
    <w:rsid w:val="007B0AA1"/>
    <w:rsid w:val="007B3408"/>
    <w:rsid w:val="007B714A"/>
    <w:rsid w:val="007E2C46"/>
    <w:rsid w:val="00805E7F"/>
    <w:rsid w:val="00806246"/>
    <w:rsid w:val="00806EAC"/>
    <w:rsid w:val="008135BB"/>
    <w:rsid w:val="008153CA"/>
    <w:rsid w:val="00816CAF"/>
    <w:rsid w:val="00822502"/>
    <w:rsid w:val="00834ED6"/>
    <w:rsid w:val="00840004"/>
    <w:rsid w:val="008400BD"/>
    <w:rsid w:val="00841089"/>
    <w:rsid w:val="00841C5A"/>
    <w:rsid w:val="00841EA4"/>
    <w:rsid w:val="008462FB"/>
    <w:rsid w:val="00851263"/>
    <w:rsid w:val="00857880"/>
    <w:rsid w:val="00882A07"/>
    <w:rsid w:val="0088571E"/>
    <w:rsid w:val="00892730"/>
    <w:rsid w:val="008A1A77"/>
    <w:rsid w:val="008A3B76"/>
    <w:rsid w:val="008B548C"/>
    <w:rsid w:val="008C7521"/>
    <w:rsid w:val="008E208C"/>
    <w:rsid w:val="008F3440"/>
    <w:rsid w:val="00903764"/>
    <w:rsid w:val="0090376E"/>
    <w:rsid w:val="00905EB6"/>
    <w:rsid w:val="009203E4"/>
    <w:rsid w:val="00931F51"/>
    <w:rsid w:val="0093506E"/>
    <w:rsid w:val="00935B11"/>
    <w:rsid w:val="009378C0"/>
    <w:rsid w:val="0095596B"/>
    <w:rsid w:val="00961D12"/>
    <w:rsid w:val="00970E00"/>
    <w:rsid w:val="00975EA1"/>
    <w:rsid w:val="0098041A"/>
    <w:rsid w:val="009A5937"/>
    <w:rsid w:val="009A7F3F"/>
    <w:rsid w:val="009B7324"/>
    <w:rsid w:val="009D3EBC"/>
    <w:rsid w:val="009D48FF"/>
    <w:rsid w:val="009D7570"/>
    <w:rsid w:val="009D7BC7"/>
    <w:rsid w:val="009E61BE"/>
    <w:rsid w:val="009F04CB"/>
    <w:rsid w:val="009F1B77"/>
    <w:rsid w:val="009F23CB"/>
    <w:rsid w:val="00A07811"/>
    <w:rsid w:val="00A55455"/>
    <w:rsid w:val="00A65DEB"/>
    <w:rsid w:val="00A729B8"/>
    <w:rsid w:val="00A954B7"/>
    <w:rsid w:val="00AB5DBD"/>
    <w:rsid w:val="00AD4957"/>
    <w:rsid w:val="00AD6252"/>
    <w:rsid w:val="00AE6740"/>
    <w:rsid w:val="00AE6B1D"/>
    <w:rsid w:val="00B012F7"/>
    <w:rsid w:val="00B2073D"/>
    <w:rsid w:val="00B3323D"/>
    <w:rsid w:val="00B34D49"/>
    <w:rsid w:val="00B52404"/>
    <w:rsid w:val="00B52D04"/>
    <w:rsid w:val="00B61211"/>
    <w:rsid w:val="00B617E6"/>
    <w:rsid w:val="00B6222F"/>
    <w:rsid w:val="00B8078C"/>
    <w:rsid w:val="00B9667D"/>
    <w:rsid w:val="00BA30F5"/>
    <w:rsid w:val="00BB1A2E"/>
    <w:rsid w:val="00BB40EE"/>
    <w:rsid w:val="00BC5885"/>
    <w:rsid w:val="00BD3E4C"/>
    <w:rsid w:val="00BE40E7"/>
    <w:rsid w:val="00BE585D"/>
    <w:rsid w:val="00BE6E6F"/>
    <w:rsid w:val="00C02BB3"/>
    <w:rsid w:val="00C06001"/>
    <w:rsid w:val="00C327FE"/>
    <w:rsid w:val="00C33287"/>
    <w:rsid w:val="00C340D5"/>
    <w:rsid w:val="00C441AE"/>
    <w:rsid w:val="00C53C00"/>
    <w:rsid w:val="00C55C8A"/>
    <w:rsid w:val="00C60D16"/>
    <w:rsid w:val="00C82065"/>
    <w:rsid w:val="00C94F86"/>
    <w:rsid w:val="00CA6FF9"/>
    <w:rsid w:val="00CB6CC7"/>
    <w:rsid w:val="00CC2F02"/>
    <w:rsid w:val="00CF6A41"/>
    <w:rsid w:val="00CF72FE"/>
    <w:rsid w:val="00D02FB5"/>
    <w:rsid w:val="00D27D5A"/>
    <w:rsid w:val="00D54469"/>
    <w:rsid w:val="00D55077"/>
    <w:rsid w:val="00D60E70"/>
    <w:rsid w:val="00D6653B"/>
    <w:rsid w:val="00D66AD9"/>
    <w:rsid w:val="00D73EFA"/>
    <w:rsid w:val="00D841C6"/>
    <w:rsid w:val="00D86137"/>
    <w:rsid w:val="00D87DDC"/>
    <w:rsid w:val="00DA3754"/>
    <w:rsid w:val="00DA3829"/>
    <w:rsid w:val="00DC5629"/>
    <w:rsid w:val="00DC7F75"/>
    <w:rsid w:val="00DD31F4"/>
    <w:rsid w:val="00DE5C28"/>
    <w:rsid w:val="00DF47C0"/>
    <w:rsid w:val="00E14302"/>
    <w:rsid w:val="00E232F2"/>
    <w:rsid w:val="00E61402"/>
    <w:rsid w:val="00E75714"/>
    <w:rsid w:val="00E869AB"/>
    <w:rsid w:val="00EB5430"/>
    <w:rsid w:val="00EE2D77"/>
    <w:rsid w:val="00EE6E7F"/>
    <w:rsid w:val="00F10242"/>
    <w:rsid w:val="00F10A6C"/>
    <w:rsid w:val="00F11095"/>
    <w:rsid w:val="00F17320"/>
    <w:rsid w:val="00F17C80"/>
    <w:rsid w:val="00F260AB"/>
    <w:rsid w:val="00F307A4"/>
    <w:rsid w:val="00F41C05"/>
    <w:rsid w:val="00F44055"/>
    <w:rsid w:val="00F50478"/>
    <w:rsid w:val="00F570A8"/>
    <w:rsid w:val="00F91E1A"/>
    <w:rsid w:val="00F95A57"/>
    <w:rsid w:val="00FC312B"/>
    <w:rsid w:val="00FE7D78"/>
    <w:rsid w:val="00FF0625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71909D"/>
  <w15:docId w15:val="{E7954565-692F-48BB-9E7D-DDBB89C3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40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8C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B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30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14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4302"/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A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A07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A0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960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5D48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0-NOTES">
    <w:name w:val="0 - NOTES"/>
    <w:basedOn w:val="Normal"/>
    <w:qFormat/>
    <w:rsid w:val="000C20E4"/>
    <w:pPr>
      <w:widowControl/>
      <w:autoSpaceDE/>
      <w:autoSpaceDN/>
      <w:adjustRightInd/>
      <w:spacing w:before="60" w:after="60"/>
      <w:ind w:left="274" w:right="18"/>
    </w:pPr>
    <w:rPr>
      <w:rFonts w:ascii="Cambria" w:eastAsia="Times New Roman" w:hAnsi="Cambria"/>
      <w:i/>
      <w:color w:val="0070C0"/>
      <w:spacing w:val="-5"/>
      <w:sz w:val="24"/>
    </w:rPr>
  </w:style>
  <w:style w:type="table" w:styleId="GridTable4">
    <w:name w:val="Grid Table 4"/>
    <w:basedOn w:val="TableNormal"/>
    <w:uiPriority w:val="49"/>
    <w:rsid w:val="00816C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1-text">
    <w:name w:val="1.1 - text"/>
    <w:basedOn w:val="Normal"/>
    <w:qFormat/>
    <w:rsid w:val="00DE5C28"/>
    <w:pPr>
      <w:widowControl/>
      <w:autoSpaceDE/>
      <w:autoSpaceDN/>
      <w:adjustRightInd/>
      <w:spacing w:before="240" w:after="240"/>
      <w:ind w:left="274" w:right="18"/>
    </w:pPr>
    <w:rPr>
      <w:rFonts w:ascii="Cambria" w:eastAsia="Times New Roman" w:hAnsi="Cambria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egon.gov/ode/students-and-family/childnutrition/SNP/Documents/Final%2021-23%20Equip%20Grant%20Application.docx" TargetMode="External"/><Relationship Id="rId18" Type="http://schemas.openxmlformats.org/officeDocument/2006/relationships/hyperlink" Target="https://www.oregon.gov/ode/students-and-family/childnutrition/SNP/Pages/Grants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ode/students-and-family/childnutrition/SNP/Documents/ATTACHMENT%20C%20Checklist%20Accessible.pdf" TargetMode="External"/><Relationship Id="rId17" Type="http://schemas.openxmlformats.org/officeDocument/2006/relationships/hyperlink" Target="https://www.oregon.gov/ode/students-and-family/childnutrition/SNP/Pages/Grants.aspxhttps:/www.oregon.gov/ode/students-and-family/childnutrition/SNP/Documents/ATTACHMENT%20C%20Checklist%20Accessibl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de/students-and-family/childnutrition/SNP/Documents/RFA%20National%20School%20Lunch%20Program%20Equipment%20Grants%20-%20FY%202021%20Accessibl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students-and-family/childnutrition/SNP/Documents/RFA%20National%20School%20Lunch%20Program%20Equipment%20Grants%20-%20FY%202021%20Accessibl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regon.gov/ode/reports-and-data/students/Documents/Free%20and%20Reduced%20Price%20School%20Data%202021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hilip.hofmann@ode.oregon.gov" TargetMode="External"/><Relationship Id="rId19" Type="http://schemas.openxmlformats.org/officeDocument/2006/relationships/hyperlink" Target="mailto:ode.schoolnutrition@ode.state.or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ode/students-and-family/childnutrition/SNP/Documents/RFA%20National%20School%20Lunch%20Program%20Equipment%20Grants%20-%20FY%202021%20Accessibl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2021-05-05T20:44:20+00:00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3D4395-5C6E-472A-BF9C-824958408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43B02-D583-498F-A423-F0AC230E3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1710D-70DE-42E1-B18A-A73EC2392C0D}">
  <ds:schemaRefs>
    <ds:schemaRef ds:uri="http://schemas.microsoft.com/office/2006/documentManagement/types"/>
    <ds:schemaRef ds:uri="http://schemas.microsoft.com/office/2006/metadata/properties"/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55b13e-5550-4a64-82c9-4795d4b5fce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1264</Words>
  <Characters>7210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Energy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Holley.Oglesby@ode.state.or.us</dc:creator>
  <cp:keywords/>
  <dc:description/>
  <cp:lastModifiedBy>ALLRAN Laura * ODE</cp:lastModifiedBy>
  <cp:revision>4</cp:revision>
  <cp:lastPrinted>2022-02-01T21:58:00Z</cp:lastPrinted>
  <dcterms:created xsi:type="dcterms:W3CDTF">2022-02-03T15:55:00Z</dcterms:created>
  <dcterms:modified xsi:type="dcterms:W3CDTF">2022-02-03T16:09:00Z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