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D150" w14:textId="7CEFD6DD" w:rsidR="00544E72" w:rsidRPr="00544E72" w:rsidRDefault="00EA08C4" w:rsidP="00DD2C26">
      <w:pPr>
        <w:pStyle w:val="CoverTitle"/>
      </w:pPr>
      <w:r>
        <w:t>ODE USDA Food Distribution Program</w:t>
      </w:r>
      <w:bookmarkStart w:id="0" w:name="_GoBack"/>
      <w:bookmarkEnd w:id="0"/>
    </w:p>
    <w:sdt>
      <w:sdtPr>
        <w:alias w:val="Subject"/>
        <w:tag w:val=""/>
        <w:id w:val="1687091260"/>
        <w:placeholder>
          <w:docPart w:val="66E82BCA8B7B441B8C0AD979DF36CCE1"/>
        </w:placeholder>
        <w:dataBinding w:prefixMappings="xmlns:ns0='http://purl.org/dc/elements/1.1/' xmlns:ns1='http://schemas.openxmlformats.org/package/2006/metadata/core-properties' " w:xpath="/ns1:coreProperties[1]/ns0:subject[1]" w:storeItemID="{6C3C8BC8-F283-45AE-878A-BAB7291924A1}"/>
        <w:text/>
      </w:sdtPr>
      <w:sdtEndPr/>
      <w:sdtContent>
        <w:p w14:paraId="627FD210" w14:textId="77777777" w:rsidR="00544E72" w:rsidRPr="00DD2C26" w:rsidRDefault="00C648BA" w:rsidP="00DD2C26">
          <w:pPr>
            <w:pStyle w:val="CoveSubheading"/>
          </w:pPr>
          <w:r>
            <w:t>Processing/Diversion Guidance Manual</w:t>
          </w:r>
        </w:p>
      </w:sdtContent>
    </w:sdt>
    <w:p w14:paraId="5CAA8E25" w14:textId="77777777" w:rsidR="00544E72" w:rsidRPr="00DD2C26" w:rsidRDefault="00C648BA" w:rsidP="00DD2C26">
      <w:pPr>
        <w:pStyle w:val="Coverdate"/>
      </w:pPr>
      <w:r>
        <w:t>July 2019</w:t>
      </w:r>
    </w:p>
    <w:p w14:paraId="161C1595" w14:textId="77777777" w:rsidR="009A4B0A" w:rsidRDefault="00544E72" w:rsidP="00507C82">
      <w:r>
        <w:br w:type="page"/>
      </w:r>
    </w:p>
    <w:p w14:paraId="2AF06F4A" w14:textId="58E567B4" w:rsidR="006F0571" w:rsidRDefault="006F0571" w:rsidP="006F0571">
      <w:pPr>
        <w:pStyle w:val="Heading1"/>
        <w:keepNext w:val="0"/>
        <w:keepLines w:val="0"/>
        <w:widowControl w:val="0"/>
        <w:tabs>
          <w:tab w:val="left" w:pos="1109"/>
        </w:tabs>
        <w:autoSpaceDE w:val="0"/>
        <w:autoSpaceDN w:val="0"/>
        <w:spacing w:before="0" w:after="0" w:line="240" w:lineRule="auto"/>
        <w:ind w:left="180"/>
        <w:contextualSpacing w:val="0"/>
      </w:pPr>
      <w:r>
        <w:lastRenderedPageBreak/>
        <w:t>Overview</w:t>
      </w:r>
      <w:r>
        <w:tab/>
      </w:r>
    </w:p>
    <w:p w14:paraId="595768F9" w14:textId="330C7A72" w:rsidR="006F0571" w:rsidRPr="006F0571" w:rsidRDefault="006F0571" w:rsidP="002D6726">
      <w:pPr>
        <w:spacing w:line="240" w:lineRule="auto"/>
        <w:ind w:left="180"/>
      </w:pPr>
      <w:r>
        <w:t xml:space="preserve">This guide’s intent is to give a simple overview of how the USDA Foods processing/diversion program works in Oregon. USDA Foods processing/diversion works slightly different in each state and </w:t>
      </w:r>
      <w:r w:rsidR="002D6726">
        <w:t xml:space="preserve">this guide </w:t>
      </w:r>
      <w:r>
        <w:t xml:space="preserve">is not meant to be all-inclusive. </w:t>
      </w:r>
    </w:p>
    <w:p w14:paraId="4E74BD6F" w14:textId="0ABE84EF" w:rsidR="00814DC8" w:rsidRPr="00814DC8" w:rsidRDefault="00814DC8" w:rsidP="00814DC8">
      <w:pPr>
        <w:pStyle w:val="Heading1"/>
        <w:keepNext w:val="0"/>
        <w:keepLines w:val="0"/>
        <w:widowControl w:val="0"/>
        <w:tabs>
          <w:tab w:val="left" w:pos="1109"/>
        </w:tabs>
        <w:autoSpaceDE w:val="0"/>
        <w:autoSpaceDN w:val="0"/>
        <w:spacing w:before="0" w:after="0" w:line="240" w:lineRule="auto"/>
        <w:ind w:left="180"/>
        <w:contextualSpacing w:val="0"/>
      </w:pPr>
      <w:r>
        <w:t xml:space="preserve">(a) </w:t>
      </w:r>
      <w:r w:rsidR="00FD0133">
        <w:t>Processor approval</w:t>
      </w:r>
    </w:p>
    <w:p w14:paraId="6F943006" w14:textId="7EDDC564" w:rsidR="00FD0133" w:rsidRDefault="006F0571" w:rsidP="00814DC8">
      <w:pPr>
        <w:pStyle w:val="ListParagraph"/>
        <w:widowControl w:val="0"/>
        <w:tabs>
          <w:tab w:val="left" w:pos="748"/>
        </w:tabs>
        <w:autoSpaceDE w:val="0"/>
        <w:autoSpaceDN w:val="0"/>
        <w:spacing w:after="0" w:line="240" w:lineRule="auto"/>
        <w:ind w:left="180"/>
        <w:contextualSpacing w:val="0"/>
      </w:pPr>
      <w:r>
        <w:t>P</w:t>
      </w:r>
      <w:r w:rsidR="002D2435">
        <w:t xml:space="preserve">rocessors </w:t>
      </w:r>
      <w:r w:rsidR="00DB7F53">
        <w:t xml:space="preserve">wishing to sell products in Oregon </w:t>
      </w:r>
      <w:r w:rsidR="002D2435">
        <w:t xml:space="preserve">must have both a National Processing agreement and an active State Participation Agreement to process in a state. </w:t>
      </w:r>
      <w:r w:rsidR="00FD0133">
        <w:t>It is the policy of ODE Food Distribution to sign a State Participation Agreement with any USDA approved multi-State processor wishing to do business in Oregon unless there is a problem with any of the following criteria:</w:t>
      </w:r>
    </w:p>
    <w:p w14:paraId="23035B2E" w14:textId="77777777" w:rsidR="00FD0133" w:rsidRDefault="00FD0133" w:rsidP="00FD0133">
      <w:pPr>
        <w:pStyle w:val="ListParagraph"/>
        <w:widowControl w:val="0"/>
        <w:tabs>
          <w:tab w:val="left" w:pos="748"/>
        </w:tabs>
        <w:autoSpaceDE w:val="0"/>
        <w:autoSpaceDN w:val="0"/>
        <w:spacing w:before="1" w:after="0" w:line="240" w:lineRule="auto"/>
        <w:ind w:left="748"/>
        <w:contextualSpacing w:val="0"/>
      </w:pPr>
    </w:p>
    <w:p w14:paraId="52CDB712" w14:textId="77777777" w:rsidR="00FD0133" w:rsidRDefault="00FD0133" w:rsidP="00FD0133">
      <w:pPr>
        <w:pStyle w:val="ListParagraph"/>
        <w:widowControl w:val="0"/>
        <w:numPr>
          <w:ilvl w:val="0"/>
          <w:numId w:val="12"/>
        </w:numPr>
        <w:tabs>
          <w:tab w:val="left" w:pos="748"/>
        </w:tabs>
        <w:autoSpaceDE w:val="0"/>
        <w:autoSpaceDN w:val="0"/>
        <w:spacing w:before="1" w:after="0" w:line="240" w:lineRule="auto"/>
        <w:contextualSpacing w:val="0"/>
      </w:pPr>
      <w:r>
        <w:t>The nutritional contribution provided by end</w:t>
      </w:r>
      <w:r>
        <w:rPr>
          <w:spacing w:val="-8"/>
        </w:rPr>
        <w:t xml:space="preserve"> </w:t>
      </w:r>
      <w:r>
        <w:t>products;</w:t>
      </w:r>
    </w:p>
    <w:p w14:paraId="38F512B1" w14:textId="77777777" w:rsidR="00FD0133" w:rsidRDefault="00FD0133" w:rsidP="00FD0133">
      <w:pPr>
        <w:pStyle w:val="ListParagraph"/>
        <w:widowControl w:val="0"/>
        <w:numPr>
          <w:ilvl w:val="0"/>
          <w:numId w:val="12"/>
        </w:numPr>
        <w:tabs>
          <w:tab w:val="left" w:pos="748"/>
        </w:tabs>
        <w:autoSpaceDE w:val="0"/>
        <w:autoSpaceDN w:val="0"/>
        <w:spacing w:after="0" w:line="240" w:lineRule="auto"/>
        <w:contextualSpacing w:val="0"/>
      </w:pPr>
      <w:r>
        <w:t>The marketability or acceptability of end</w:t>
      </w:r>
      <w:r>
        <w:rPr>
          <w:spacing w:val="-10"/>
        </w:rPr>
        <w:t xml:space="preserve"> </w:t>
      </w:r>
      <w:r>
        <w:t>products;</w:t>
      </w:r>
    </w:p>
    <w:p w14:paraId="2CDAF262" w14:textId="77777777" w:rsidR="00FD0133" w:rsidRDefault="00FD0133" w:rsidP="00FD0133">
      <w:pPr>
        <w:pStyle w:val="ListParagraph"/>
        <w:widowControl w:val="0"/>
        <w:numPr>
          <w:ilvl w:val="0"/>
          <w:numId w:val="12"/>
        </w:numPr>
        <w:tabs>
          <w:tab w:val="left" w:pos="748"/>
        </w:tabs>
        <w:autoSpaceDE w:val="0"/>
        <w:autoSpaceDN w:val="0"/>
        <w:spacing w:after="0" w:line="240" w:lineRule="auto"/>
        <w:contextualSpacing w:val="0"/>
      </w:pPr>
      <w:r>
        <w:t>The means by which end products will be</w:t>
      </w:r>
      <w:r>
        <w:rPr>
          <w:spacing w:val="-9"/>
        </w:rPr>
        <w:t xml:space="preserve"> </w:t>
      </w:r>
      <w:r>
        <w:t>distributed;</w:t>
      </w:r>
    </w:p>
    <w:p w14:paraId="66916A86" w14:textId="77777777" w:rsidR="00FD0133" w:rsidRDefault="00FD0133" w:rsidP="00FD0133">
      <w:pPr>
        <w:pStyle w:val="ListParagraph"/>
        <w:widowControl w:val="0"/>
        <w:numPr>
          <w:ilvl w:val="0"/>
          <w:numId w:val="12"/>
        </w:numPr>
        <w:tabs>
          <w:tab w:val="left" w:pos="748"/>
        </w:tabs>
        <w:autoSpaceDE w:val="0"/>
        <w:autoSpaceDN w:val="0"/>
        <w:spacing w:before="1" w:after="0" w:line="240" w:lineRule="auto"/>
        <w:contextualSpacing w:val="0"/>
      </w:pPr>
      <w:r>
        <w:t>Price competitiveness of end products and processing yields of donated</w:t>
      </w:r>
      <w:r>
        <w:rPr>
          <w:spacing w:val="-16"/>
        </w:rPr>
        <w:t xml:space="preserve"> </w:t>
      </w:r>
      <w:r>
        <w:t>foods;</w:t>
      </w:r>
    </w:p>
    <w:p w14:paraId="73B0771C" w14:textId="77777777" w:rsidR="00FD0133" w:rsidRDefault="00FD0133" w:rsidP="00FD0133">
      <w:pPr>
        <w:pStyle w:val="ListParagraph"/>
        <w:widowControl w:val="0"/>
        <w:numPr>
          <w:ilvl w:val="0"/>
          <w:numId w:val="12"/>
        </w:numPr>
        <w:tabs>
          <w:tab w:val="left" w:pos="748"/>
        </w:tabs>
        <w:autoSpaceDE w:val="0"/>
        <w:autoSpaceDN w:val="0"/>
        <w:spacing w:after="0" w:line="240" w:lineRule="auto"/>
        <w:contextualSpacing w:val="0"/>
      </w:pPr>
      <w:r>
        <w:t>Any applicable labeling requirements;</w:t>
      </w:r>
      <w:r>
        <w:rPr>
          <w:spacing w:val="-1"/>
        </w:rPr>
        <w:t xml:space="preserve"> </w:t>
      </w:r>
      <w:r>
        <w:t>and</w:t>
      </w:r>
    </w:p>
    <w:p w14:paraId="53D6649B" w14:textId="77777777" w:rsidR="00FD0133" w:rsidRDefault="00FD0133" w:rsidP="00FD0133">
      <w:pPr>
        <w:pStyle w:val="ListParagraph"/>
        <w:widowControl w:val="0"/>
        <w:numPr>
          <w:ilvl w:val="0"/>
          <w:numId w:val="12"/>
        </w:numPr>
        <w:tabs>
          <w:tab w:val="left" w:pos="748"/>
        </w:tabs>
        <w:autoSpaceDE w:val="0"/>
        <w:autoSpaceDN w:val="0"/>
        <w:spacing w:after="0" w:line="240" w:lineRule="auto"/>
        <w:contextualSpacing w:val="0"/>
      </w:pPr>
      <w:r>
        <w:t xml:space="preserve">The </w:t>
      </w:r>
      <w:proofErr w:type="gramStart"/>
      <w:r>
        <w:t>processor's</w:t>
      </w:r>
      <w:proofErr w:type="gramEnd"/>
      <w:r>
        <w:t xml:space="preserve"> record of ethics and integrity, and capacity to meet regulatory</w:t>
      </w:r>
      <w:r>
        <w:rPr>
          <w:spacing w:val="-13"/>
        </w:rPr>
        <w:t xml:space="preserve"> </w:t>
      </w:r>
      <w:r>
        <w:t>requirements.</w:t>
      </w:r>
    </w:p>
    <w:p w14:paraId="62DE7CD3" w14:textId="77777777" w:rsidR="00FD0133" w:rsidRDefault="00FD0133" w:rsidP="00FD0133">
      <w:pPr>
        <w:widowControl w:val="0"/>
        <w:tabs>
          <w:tab w:val="left" w:pos="748"/>
        </w:tabs>
        <w:autoSpaceDE w:val="0"/>
        <w:autoSpaceDN w:val="0"/>
        <w:spacing w:after="0" w:line="240" w:lineRule="auto"/>
      </w:pPr>
    </w:p>
    <w:p w14:paraId="0C67A7C9" w14:textId="77777777" w:rsidR="00FD0133" w:rsidRDefault="00814DC8" w:rsidP="00814DC8">
      <w:pPr>
        <w:pStyle w:val="Heading1"/>
        <w:keepNext w:val="0"/>
        <w:keepLines w:val="0"/>
        <w:widowControl w:val="0"/>
        <w:tabs>
          <w:tab w:val="left" w:pos="1109"/>
        </w:tabs>
        <w:autoSpaceDE w:val="0"/>
        <w:autoSpaceDN w:val="0"/>
        <w:spacing w:before="0" w:after="0" w:line="240" w:lineRule="auto"/>
        <w:ind w:left="180"/>
        <w:contextualSpacing w:val="0"/>
      </w:pPr>
      <w:r>
        <w:t xml:space="preserve">(b) </w:t>
      </w:r>
      <w:r w:rsidR="00FD0133">
        <w:t>Monitoring and review of processing</w:t>
      </w:r>
      <w:r w:rsidR="00FD0133">
        <w:rPr>
          <w:spacing w:val="-5"/>
        </w:rPr>
        <w:t xml:space="preserve"> </w:t>
      </w:r>
      <w:r w:rsidR="00FD0133">
        <w:t>activities.</w:t>
      </w:r>
    </w:p>
    <w:p w14:paraId="7F9C8A87" w14:textId="34F85A11" w:rsidR="00FD0133" w:rsidRDefault="00FD0133" w:rsidP="009E42BF">
      <w:pPr>
        <w:pStyle w:val="BodyText"/>
        <w:ind w:left="180" w:right="233"/>
      </w:pPr>
      <w:r>
        <w:t xml:space="preserve">ODE monitors processor sales of </w:t>
      </w:r>
      <w:r w:rsidR="001045F7">
        <w:t xml:space="preserve">USDA Foods processed </w:t>
      </w:r>
      <w:proofErr w:type="gramStart"/>
      <w:r>
        <w:t>end products</w:t>
      </w:r>
      <w:proofErr w:type="gramEnd"/>
      <w:r>
        <w:t xml:space="preserve"> through Monthly Performance Reports provided by the processor. </w:t>
      </w:r>
      <w:r w:rsidR="001045F7">
        <w:t>These sales are periodically checked against processor SEPDS.</w:t>
      </w:r>
      <w:r w:rsidR="008C3B7C">
        <w:t xml:space="preserve"> ODE and sponsors should verify Monthly Performance Report information by use of information in processor reporting databases such as K12 and </w:t>
      </w:r>
      <w:r w:rsidR="00DB7F53">
        <w:t>Processor Link</w:t>
      </w:r>
      <w:r w:rsidR="008C3B7C">
        <w:t xml:space="preserve">. </w:t>
      </w:r>
    </w:p>
    <w:p w14:paraId="337B6C4F" w14:textId="77777777" w:rsidR="00FD0133" w:rsidRDefault="00FD0133" w:rsidP="00FD0133">
      <w:pPr>
        <w:pStyle w:val="BodyText"/>
        <w:ind w:left="388" w:right="233"/>
      </w:pPr>
    </w:p>
    <w:p w14:paraId="20F6D191" w14:textId="77777777" w:rsidR="00FD0133" w:rsidRDefault="00814DC8" w:rsidP="00814DC8">
      <w:pPr>
        <w:pStyle w:val="Heading1"/>
        <w:keepNext w:val="0"/>
        <w:keepLines w:val="0"/>
        <w:widowControl w:val="0"/>
        <w:tabs>
          <w:tab w:val="left" w:pos="1109"/>
        </w:tabs>
        <w:autoSpaceDE w:val="0"/>
        <w:autoSpaceDN w:val="0"/>
        <w:spacing w:before="0" w:after="0" w:line="240" w:lineRule="auto"/>
        <w:ind w:left="180"/>
        <w:contextualSpacing w:val="0"/>
      </w:pPr>
      <w:r>
        <w:t xml:space="preserve">(c) </w:t>
      </w:r>
      <w:r w:rsidR="00FD0133">
        <w:t>Recordkeeping and reporting</w:t>
      </w:r>
      <w:r w:rsidR="00FD0133">
        <w:rPr>
          <w:spacing w:val="-3"/>
        </w:rPr>
        <w:t xml:space="preserve"> </w:t>
      </w:r>
      <w:r w:rsidR="00FD0133">
        <w:t>requirements.</w:t>
      </w:r>
    </w:p>
    <w:p w14:paraId="37D26A5D" w14:textId="77777777" w:rsidR="00FD0133" w:rsidRDefault="00FD0133" w:rsidP="009E42BF">
      <w:pPr>
        <w:pStyle w:val="BodyText"/>
        <w:ind w:left="180" w:right="103"/>
      </w:pPr>
      <w:r>
        <w:t>All parties involved in donated food (DF) processing are required to retain their records relating to transactions and requirements for donated foods for a period of three years from the close of the fiscal or school year to which they pertain. However, records pertaining to claims or audits that remain unresolved during this period must be retained until such actions have been resolved. The processor must submit a performance report to ODE on a monthly basis.</w:t>
      </w:r>
    </w:p>
    <w:p w14:paraId="1E473E97" w14:textId="77777777" w:rsidR="00FD0133" w:rsidRDefault="00FD0133" w:rsidP="009E42BF">
      <w:pPr>
        <w:pStyle w:val="BodyText"/>
        <w:spacing w:before="4" w:line="237" w:lineRule="auto"/>
        <w:ind w:left="180" w:right="530"/>
      </w:pPr>
      <w:r>
        <w:t>Performance reports must be submitted not later than 30 days after the end of the reporting period. The performance report must include the following information for the reporting period, with year-to-date totals:</w:t>
      </w:r>
    </w:p>
    <w:p w14:paraId="2E38E14D" w14:textId="77777777" w:rsidR="00FD0133" w:rsidRDefault="00FD0133" w:rsidP="00FD0133">
      <w:pPr>
        <w:pStyle w:val="BodyText"/>
        <w:spacing w:before="2"/>
      </w:pPr>
    </w:p>
    <w:p w14:paraId="57281486" w14:textId="77777777" w:rsidR="00FD0133" w:rsidRDefault="00FD0133" w:rsidP="00FD0133">
      <w:pPr>
        <w:pStyle w:val="ListParagraph"/>
        <w:widowControl w:val="0"/>
        <w:numPr>
          <w:ilvl w:val="0"/>
          <w:numId w:val="14"/>
        </w:numPr>
        <w:tabs>
          <w:tab w:val="left" w:pos="748"/>
        </w:tabs>
        <w:autoSpaceDE w:val="0"/>
        <w:autoSpaceDN w:val="0"/>
        <w:spacing w:after="0" w:line="240" w:lineRule="auto"/>
        <w:contextualSpacing w:val="0"/>
      </w:pPr>
      <w:r>
        <w:t>A list of all recipient agencies purchasing end</w:t>
      </w:r>
      <w:r>
        <w:rPr>
          <w:spacing w:val="-4"/>
        </w:rPr>
        <w:t xml:space="preserve"> </w:t>
      </w:r>
      <w:r>
        <w:t>products;</w:t>
      </w:r>
    </w:p>
    <w:p w14:paraId="37A83272" w14:textId="77777777" w:rsidR="00FD0133" w:rsidRDefault="00FD0133" w:rsidP="00FD0133">
      <w:pPr>
        <w:pStyle w:val="ListParagraph"/>
        <w:widowControl w:val="0"/>
        <w:numPr>
          <w:ilvl w:val="0"/>
          <w:numId w:val="14"/>
        </w:numPr>
        <w:tabs>
          <w:tab w:val="left" w:pos="748"/>
        </w:tabs>
        <w:autoSpaceDE w:val="0"/>
        <w:autoSpaceDN w:val="0"/>
        <w:spacing w:after="0" w:line="240" w:lineRule="auto"/>
        <w:contextualSpacing w:val="0"/>
      </w:pPr>
      <w:r>
        <w:t>The quantity of donated foods in inventory at the beginning of the reporting</w:t>
      </w:r>
      <w:r>
        <w:rPr>
          <w:spacing w:val="-8"/>
        </w:rPr>
        <w:t xml:space="preserve"> </w:t>
      </w:r>
      <w:r>
        <w:t>period;</w:t>
      </w:r>
    </w:p>
    <w:p w14:paraId="4AA40A1E" w14:textId="77777777" w:rsidR="00FD0133" w:rsidRDefault="00FD0133" w:rsidP="00FD0133">
      <w:pPr>
        <w:pStyle w:val="ListParagraph"/>
        <w:widowControl w:val="0"/>
        <w:numPr>
          <w:ilvl w:val="0"/>
          <w:numId w:val="14"/>
        </w:numPr>
        <w:tabs>
          <w:tab w:val="left" w:pos="748"/>
        </w:tabs>
        <w:autoSpaceDE w:val="0"/>
        <w:autoSpaceDN w:val="0"/>
        <w:spacing w:after="0" w:line="240" w:lineRule="auto"/>
        <w:contextualSpacing w:val="0"/>
      </w:pPr>
      <w:r>
        <w:t>The quantity of donated foods</w:t>
      </w:r>
      <w:r>
        <w:rPr>
          <w:spacing w:val="-5"/>
        </w:rPr>
        <w:t xml:space="preserve"> </w:t>
      </w:r>
      <w:r>
        <w:t>received;</w:t>
      </w:r>
    </w:p>
    <w:p w14:paraId="1224FE69" w14:textId="77777777" w:rsidR="00FD0133" w:rsidRDefault="00FD0133" w:rsidP="00FD0133">
      <w:pPr>
        <w:pStyle w:val="ListParagraph"/>
        <w:widowControl w:val="0"/>
        <w:numPr>
          <w:ilvl w:val="0"/>
          <w:numId w:val="14"/>
        </w:numPr>
        <w:tabs>
          <w:tab w:val="left" w:pos="748"/>
        </w:tabs>
        <w:autoSpaceDE w:val="0"/>
        <w:autoSpaceDN w:val="0"/>
        <w:spacing w:before="1" w:after="0" w:line="240" w:lineRule="auto"/>
        <w:ind w:right="881"/>
        <w:contextualSpacing w:val="0"/>
      </w:pPr>
      <w:r>
        <w:t>The quantity of donated foods transferred to the processor from another entity, or transferred by the processor to another</w:t>
      </w:r>
      <w:r>
        <w:rPr>
          <w:spacing w:val="-4"/>
        </w:rPr>
        <w:t xml:space="preserve"> </w:t>
      </w:r>
      <w:r>
        <w:t>entity;</w:t>
      </w:r>
    </w:p>
    <w:p w14:paraId="3040CFFF" w14:textId="77777777" w:rsidR="00FD0133" w:rsidRDefault="00FD0133" w:rsidP="00FD0133">
      <w:pPr>
        <w:pStyle w:val="ListParagraph"/>
        <w:widowControl w:val="0"/>
        <w:numPr>
          <w:ilvl w:val="0"/>
          <w:numId w:val="14"/>
        </w:numPr>
        <w:tabs>
          <w:tab w:val="left" w:pos="748"/>
        </w:tabs>
        <w:autoSpaceDE w:val="0"/>
        <w:autoSpaceDN w:val="0"/>
        <w:spacing w:after="0" w:line="240" w:lineRule="auto"/>
        <w:contextualSpacing w:val="0"/>
      </w:pPr>
      <w:r>
        <w:t>The quantity of donated foods</w:t>
      </w:r>
      <w:r>
        <w:rPr>
          <w:spacing w:val="-5"/>
        </w:rPr>
        <w:t xml:space="preserve"> </w:t>
      </w:r>
      <w:r>
        <w:t>losses;</w:t>
      </w:r>
    </w:p>
    <w:p w14:paraId="417838E9" w14:textId="77777777" w:rsidR="00FD0133" w:rsidRDefault="00FD0133" w:rsidP="00FD0133">
      <w:pPr>
        <w:pStyle w:val="ListParagraph"/>
        <w:widowControl w:val="0"/>
        <w:numPr>
          <w:ilvl w:val="0"/>
          <w:numId w:val="14"/>
        </w:numPr>
        <w:tabs>
          <w:tab w:val="left" w:pos="748"/>
        </w:tabs>
        <w:autoSpaceDE w:val="0"/>
        <w:autoSpaceDN w:val="0"/>
        <w:spacing w:after="0" w:line="240" w:lineRule="auto"/>
        <w:contextualSpacing w:val="0"/>
      </w:pPr>
      <w:r>
        <w:t>The quantity of end products delivered to each eligible recipient</w:t>
      </w:r>
      <w:r>
        <w:rPr>
          <w:spacing w:val="-17"/>
        </w:rPr>
        <w:t xml:space="preserve"> </w:t>
      </w:r>
      <w:r>
        <w:t>agency;</w:t>
      </w:r>
    </w:p>
    <w:p w14:paraId="3C2C233A" w14:textId="77777777" w:rsidR="00FD0133" w:rsidRDefault="00FD0133" w:rsidP="00FD0133">
      <w:pPr>
        <w:pStyle w:val="ListParagraph"/>
        <w:widowControl w:val="0"/>
        <w:numPr>
          <w:ilvl w:val="0"/>
          <w:numId w:val="14"/>
        </w:numPr>
        <w:tabs>
          <w:tab w:val="left" w:pos="748"/>
        </w:tabs>
        <w:autoSpaceDE w:val="0"/>
        <w:autoSpaceDN w:val="0"/>
        <w:spacing w:before="1" w:after="0" w:line="267" w:lineRule="exact"/>
        <w:contextualSpacing w:val="0"/>
      </w:pPr>
      <w:r>
        <w:t>The quantity of donated foods remaining at the end of the reporting</w:t>
      </w:r>
      <w:r>
        <w:rPr>
          <w:spacing w:val="-12"/>
        </w:rPr>
        <w:t xml:space="preserve"> </w:t>
      </w:r>
      <w:r>
        <w:t>period;</w:t>
      </w:r>
    </w:p>
    <w:p w14:paraId="04504715" w14:textId="77777777" w:rsidR="00FD0133" w:rsidRDefault="00FD0133" w:rsidP="00FD0133">
      <w:pPr>
        <w:pStyle w:val="ListParagraph"/>
        <w:widowControl w:val="0"/>
        <w:numPr>
          <w:ilvl w:val="0"/>
          <w:numId w:val="14"/>
        </w:numPr>
        <w:tabs>
          <w:tab w:val="left" w:pos="748"/>
        </w:tabs>
        <w:autoSpaceDE w:val="0"/>
        <w:autoSpaceDN w:val="0"/>
        <w:spacing w:after="0" w:line="240" w:lineRule="auto"/>
        <w:ind w:right="905"/>
        <w:contextualSpacing w:val="0"/>
      </w:pPr>
      <w:r>
        <w:t>A certification statement that sufficient donated foods are in inventory or on order to account for the quantities needed for production of end</w:t>
      </w:r>
      <w:r>
        <w:rPr>
          <w:spacing w:val="-4"/>
        </w:rPr>
        <w:t xml:space="preserve"> </w:t>
      </w:r>
      <w:r>
        <w:t>products;</w:t>
      </w:r>
    </w:p>
    <w:p w14:paraId="16C3B065" w14:textId="77777777" w:rsidR="00FD0133" w:rsidRDefault="00FD0133" w:rsidP="00FD0133">
      <w:pPr>
        <w:pStyle w:val="ListParagraph"/>
        <w:widowControl w:val="0"/>
        <w:numPr>
          <w:ilvl w:val="0"/>
          <w:numId w:val="14"/>
        </w:numPr>
        <w:tabs>
          <w:tab w:val="left" w:pos="748"/>
        </w:tabs>
        <w:autoSpaceDE w:val="0"/>
        <w:autoSpaceDN w:val="0"/>
        <w:spacing w:after="0" w:line="240" w:lineRule="auto"/>
        <w:contextualSpacing w:val="0"/>
      </w:pPr>
      <w:r>
        <w:t>Grading certificates, as applicable;</w:t>
      </w:r>
      <w:r>
        <w:rPr>
          <w:spacing w:val="-5"/>
        </w:rPr>
        <w:t xml:space="preserve"> </w:t>
      </w:r>
      <w:r>
        <w:t>and</w:t>
      </w:r>
    </w:p>
    <w:p w14:paraId="6C52DC45" w14:textId="77777777" w:rsidR="00FD0133" w:rsidRDefault="00FD0133" w:rsidP="00FD0133">
      <w:pPr>
        <w:pStyle w:val="ListParagraph"/>
        <w:widowControl w:val="0"/>
        <w:numPr>
          <w:ilvl w:val="0"/>
          <w:numId w:val="14"/>
        </w:numPr>
        <w:tabs>
          <w:tab w:val="left" w:pos="749"/>
        </w:tabs>
        <w:autoSpaceDE w:val="0"/>
        <w:autoSpaceDN w:val="0"/>
        <w:spacing w:after="0" w:line="240" w:lineRule="auto"/>
        <w:contextualSpacing w:val="0"/>
      </w:pPr>
      <w:r>
        <w:t>Other supporting documentation, as required by the distributing agency or recipient</w:t>
      </w:r>
      <w:r>
        <w:rPr>
          <w:spacing w:val="-13"/>
        </w:rPr>
        <w:t xml:space="preserve"> </w:t>
      </w:r>
      <w:r>
        <w:t>agency</w:t>
      </w:r>
    </w:p>
    <w:p w14:paraId="41D92B24" w14:textId="77777777" w:rsidR="00FD0133" w:rsidRDefault="00FD0133" w:rsidP="00FD0133">
      <w:pPr>
        <w:widowControl w:val="0"/>
        <w:tabs>
          <w:tab w:val="left" w:pos="749"/>
        </w:tabs>
        <w:autoSpaceDE w:val="0"/>
        <w:autoSpaceDN w:val="0"/>
        <w:spacing w:after="0" w:line="240" w:lineRule="auto"/>
      </w:pPr>
    </w:p>
    <w:p w14:paraId="4358E975" w14:textId="77777777" w:rsidR="00FD0133" w:rsidRDefault="00814DC8" w:rsidP="00814DC8">
      <w:pPr>
        <w:pStyle w:val="Heading1"/>
        <w:keepNext w:val="0"/>
        <w:keepLines w:val="0"/>
        <w:widowControl w:val="0"/>
        <w:tabs>
          <w:tab w:val="left" w:pos="1109"/>
        </w:tabs>
        <w:autoSpaceDE w:val="0"/>
        <w:autoSpaceDN w:val="0"/>
        <w:spacing w:before="0" w:after="0" w:line="240" w:lineRule="auto"/>
        <w:ind w:left="180"/>
        <w:contextualSpacing w:val="0"/>
      </w:pPr>
      <w:r>
        <w:t xml:space="preserve">(d) </w:t>
      </w:r>
      <w:r w:rsidR="00FD0133">
        <w:t>Inventory controls</w:t>
      </w:r>
    </w:p>
    <w:p w14:paraId="4500FE20" w14:textId="77777777" w:rsidR="00FD0133" w:rsidRDefault="00FD0133" w:rsidP="009E42BF">
      <w:pPr>
        <w:pStyle w:val="BodyText"/>
        <w:ind w:left="180" w:right="671"/>
      </w:pPr>
      <w:r>
        <w:t xml:space="preserve">Processors must notify ODE and schools, as appropriate, when donated food inventories </w:t>
      </w:r>
      <w:r>
        <w:lastRenderedPageBreak/>
        <w:t>exceed a six-month supply. ODE may transfer donated food inventory to help alleviate inventory excesses or shortages.</w:t>
      </w:r>
    </w:p>
    <w:p w14:paraId="5221FC8C" w14:textId="77777777" w:rsidR="00FD0133" w:rsidRDefault="00FD0133" w:rsidP="00FD0133">
      <w:pPr>
        <w:pStyle w:val="BodyText"/>
        <w:ind w:left="388" w:right="671"/>
      </w:pPr>
    </w:p>
    <w:p w14:paraId="7CE2686A" w14:textId="77777777" w:rsidR="00FD0133" w:rsidRDefault="00814DC8" w:rsidP="00814DC8">
      <w:pPr>
        <w:pStyle w:val="Heading1"/>
        <w:keepNext w:val="0"/>
        <w:keepLines w:val="0"/>
        <w:widowControl w:val="0"/>
        <w:tabs>
          <w:tab w:val="left" w:pos="1109"/>
        </w:tabs>
        <w:autoSpaceDE w:val="0"/>
        <w:autoSpaceDN w:val="0"/>
        <w:spacing w:before="1" w:after="0" w:line="240" w:lineRule="auto"/>
        <w:ind w:left="180"/>
        <w:contextualSpacing w:val="0"/>
      </w:pPr>
      <w:r>
        <w:t xml:space="preserve">(e) </w:t>
      </w:r>
      <w:r w:rsidR="00FD0133">
        <w:t>Refund</w:t>
      </w:r>
      <w:r w:rsidR="00FD0133">
        <w:rPr>
          <w:spacing w:val="-3"/>
        </w:rPr>
        <w:t xml:space="preserve"> </w:t>
      </w:r>
      <w:r w:rsidR="00FD0133">
        <w:t>applications.</w:t>
      </w:r>
    </w:p>
    <w:p w14:paraId="14CC9762" w14:textId="77777777" w:rsidR="00FD0133" w:rsidRDefault="00FD0133" w:rsidP="009E42BF">
      <w:pPr>
        <w:pStyle w:val="BodyText"/>
        <w:ind w:left="180" w:right="103"/>
      </w:pPr>
      <w:r>
        <w:t>If utilizing the Rebate or Refund value pass through system, schools should request the refund for the value of donated foods from the processor within 30 days from the close of the month in which the sales were made. This may be done via email or other written correspondence.</w:t>
      </w:r>
    </w:p>
    <w:p w14:paraId="07D83B3C" w14:textId="77777777" w:rsidR="00FD0133" w:rsidRDefault="00FD0133" w:rsidP="00FD0133">
      <w:pPr>
        <w:pStyle w:val="BodyText"/>
        <w:ind w:left="388" w:right="103"/>
      </w:pPr>
    </w:p>
    <w:p w14:paraId="0D651BDB" w14:textId="77777777" w:rsidR="00FD0133" w:rsidRDefault="00814DC8" w:rsidP="00814DC8">
      <w:pPr>
        <w:pStyle w:val="Heading1"/>
        <w:keepNext w:val="0"/>
        <w:keepLines w:val="0"/>
        <w:widowControl w:val="0"/>
        <w:tabs>
          <w:tab w:val="left" w:pos="1109"/>
        </w:tabs>
        <w:autoSpaceDE w:val="0"/>
        <w:autoSpaceDN w:val="0"/>
        <w:spacing w:before="1" w:after="0" w:line="240" w:lineRule="auto"/>
        <w:ind w:left="180"/>
        <w:contextualSpacing w:val="0"/>
      </w:pPr>
      <w:r>
        <w:t xml:space="preserve">(f) </w:t>
      </w:r>
      <w:r w:rsidR="003A5CB5">
        <w:t>N</w:t>
      </w:r>
      <w:r w:rsidR="00FD0133">
        <w:t>et off invoice (NOI) sales.</w:t>
      </w:r>
    </w:p>
    <w:p w14:paraId="7AEA56BA" w14:textId="77777777" w:rsidR="00FD0133" w:rsidRDefault="00FD0133" w:rsidP="009E42BF">
      <w:pPr>
        <w:pStyle w:val="BodyText"/>
        <w:ind w:left="180" w:right="147"/>
      </w:pPr>
      <w:r>
        <w:t xml:space="preserve">Individual schools are responsible for ensuring that they are receiving the NOI value pass through discount off their invoices from the distributor. </w:t>
      </w:r>
    </w:p>
    <w:p w14:paraId="0B0E2A4A" w14:textId="77777777" w:rsidR="00FD0133" w:rsidRDefault="00FD0133" w:rsidP="00FD0133">
      <w:pPr>
        <w:pStyle w:val="BodyText"/>
        <w:ind w:left="388" w:right="103"/>
      </w:pPr>
    </w:p>
    <w:p w14:paraId="39791128" w14:textId="77777777" w:rsidR="00FD0133" w:rsidRDefault="00814DC8" w:rsidP="00814DC8">
      <w:pPr>
        <w:pStyle w:val="Heading1"/>
        <w:keepNext w:val="0"/>
        <w:keepLines w:val="0"/>
        <w:widowControl w:val="0"/>
        <w:tabs>
          <w:tab w:val="left" w:pos="1109"/>
        </w:tabs>
        <w:autoSpaceDE w:val="0"/>
        <w:autoSpaceDN w:val="0"/>
        <w:spacing w:before="0" w:after="0" w:line="240" w:lineRule="auto"/>
        <w:ind w:left="180"/>
        <w:contextualSpacing w:val="0"/>
      </w:pPr>
      <w:r>
        <w:t xml:space="preserve">(g) </w:t>
      </w:r>
      <w:r w:rsidR="00FD0133">
        <w:t>Information needed in procurement</w:t>
      </w:r>
      <w:r w:rsidR="00FD0133">
        <w:rPr>
          <w:spacing w:val="-2"/>
        </w:rPr>
        <w:t xml:space="preserve"> </w:t>
      </w:r>
      <w:r w:rsidR="00FD0133">
        <w:t>documents.</w:t>
      </w:r>
    </w:p>
    <w:p w14:paraId="7493EED0" w14:textId="77777777" w:rsidR="00FD0133" w:rsidRDefault="00FD0133" w:rsidP="009E42BF">
      <w:pPr>
        <w:pStyle w:val="BodyText"/>
        <w:spacing w:before="1" w:line="242" w:lineRule="auto"/>
        <w:ind w:left="180" w:right="260"/>
      </w:pPr>
      <w:r>
        <w:t xml:space="preserve">Schools </w:t>
      </w:r>
      <w:r w:rsidR="0037280A">
        <w:t xml:space="preserve">are required to conduct competitive procurements for all processed </w:t>
      </w:r>
      <w:proofErr w:type="gramStart"/>
      <w:r w:rsidR="0037280A">
        <w:t>end products</w:t>
      </w:r>
      <w:proofErr w:type="gramEnd"/>
      <w:r>
        <w:t>. However, when donated foods are involved, the following information needs to be contained in formal procurement documents (i.e., the bid or proposal or the school’s solicitation).</w:t>
      </w:r>
    </w:p>
    <w:p w14:paraId="6A3DA61C" w14:textId="77777777" w:rsidR="00FD0133" w:rsidRDefault="00FD0133" w:rsidP="009E42BF">
      <w:pPr>
        <w:pStyle w:val="ListParagraph"/>
        <w:widowControl w:val="0"/>
        <w:numPr>
          <w:ilvl w:val="0"/>
          <w:numId w:val="15"/>
        </w:numPr>
        <w:tabs>
          <w:tab w:val="left" w:pos="748"/>
        </w:tabs>
        <w:autoSpaceDE w:val="0"/>
        <w:autoSpaceDN w:val="0"/>
        <w:spacing w:before="71" w:after="0" w:line="240" w:lineRule="auto"/>
        <w:ind w:left="540"/>
        <w:contextualSpacing w:val="0"/>
        <w:rPr>
          <w:i/>
        </w:rPr>
      </w:pPr>
      <w:r>
        <w:rPr>
          <w:i/>
        </w:rPr>
        <w:t>The price to be charged for the end product or other processing</w:t>
      </w:r>
      <w:r>
        <w:rPr>
          <w:i/>
          <w:spacing w:val="-10"/>
        </w:rPr>
        <w:t xml:space="preserve"> </w:t>
      </w:r>
      <w:r>
        <w:rPr>
          <w:i/>
        </w:rPr>
        <w:t>service;</w:t>
      </w:r>
    </w:p>
    <w:p w14:paraId="5A1A6673" w14:textId="77777777" w:rsidR="00FD0133" w:rsidRDefault="00FD0133" w:rsidP="003C2052">
      <w:pPr>
        <w:pStyle w:val="BodyText"/>
        <w:spacing w:before="1"/>
        <w:ind w:left="720"/>
      </w:pPr>
      <w:r>
        <w:t>This is self-explanatory. The bid or proposal must have the prices to be charged.</w:t>
      </w:r>
    </w:p>
    <w:p w14:paraId="41D9214B" w14:textId="77777777" w:rsidR="00FD0133" w:rsidRDefault="00FD0133" w:rsidP="009E42BF">
      <w:pPr>
        <w:pStyle w:val="BodyText"/>
      </w:pPr>
    </w:p>
    <w:p w14:paraId="41DF1A14" w14:textId="77777777" w:rsidR="00FD0133" w:rsidRDefault="00FD0133" w:rsidP="009E42BF">
      <w:pPr>
        <w:pStyle w:val="ListParagraph"/>
        <w:widowControl w:val="0"/>
        <w:numPr>
          <w:ilvl w:val="0"/>
          <w:numId w:val="15"/>
        </w:numPr>
        <w:tabs>
          <w:tab w:val="left" w:pos="748"/>
        </w:tabs>
        <w:autoSpaceDE w:val="0"/>
        <w:autoSpaceDN w:val="0"/>
        <w:spacing w:after="0" w:line="240" w:lineRule="auto"/>
        <w:ind w:left="540" w:right="537"/>
        <w:contextualSpacing w:val="0"/>
        <w:rPr>
          <w:i/>
        </w:rPr>
      </w:pPr>
      <w:r>
        <w:rPr>
          <w:i/>
        </w:rPr>
        <w:t>The method of end product sales that will be utilized and assurance that crediting for donated food will be performed in accordance with the applicable requirements for such method of sales in</w:t>
      </w:r>
      <w:r>
        <w:rPr>
          <w:i/>
          <w:spacing w:val="-25"/>
        </w:rPr>
        <w:t xml:space="preserve"> </w:t>
      </w:r>
      <w:r>
        <w:rPr>
          <w:i/>
        </w:rPr>
        <w:t>7CFR§250.36;</w:t>
      </w:r>
    </w:p>
    <w:p w14:paraId="26F85752" w14:textId="77777777" w:rsidR="00FD0133" w:rsidRDefault="00FD0133" w:rsidP="009E42BF">
      <w:pPr>
        <w:pStyle w:val="BodyText"/>
        <w:ind w:left="900" w:right="175"/>
      </w:pPr>
      <w:r>
        <w:rPr>
          <w:b/>
        </w:rPr>
        <w:t xml:space="preserve">If a </w:t>
      </w:r>
      <w:r w:rsidR="00203B8A">
        <w:rPr>
          <w:b/>
        </w:rPr>
        <w:t>distributor</w:t>
      </w:r>
      <w:r>
        <w:rPr>
          <w:b/>
        </w:rPr>
        <w:t xml:space="preserve"> sells </w:t>
      </w:r>
      <w:r w:rsidR="003A5CB5">
        <w:rPr>
          <w:b/>
        </w:rPr>
        <w:t xml:space="preserve">via </w:t>
      </w:r>
      <w:r w:rsidR="00203B8A">
        <w:rPr>
          <w:b/>
        </w:rPr>
        <w:t>NOI,</w:t>
      </w:r>
      <w:r>
        <w:t xml:space="preserve"> the method of </w:t>
      </w:r>
      <w:proofErr w:type="gramStart"/>
      <w:r>
        <w:t>end product</w:t>
      </w:r>
      <w:proofErr w:type="gramEnd"/>
      <w:r>
        <w:t xml:space="preserve"> sales is Indirect Discount. </w:t>
      </w:r>
      <w:r w:rsidR="00203B8A">
        <w:t>The distributor</w:t>
      </w:r>
      <w:r>
        <w:t xml:space="preserve"> must assure in its bid or proposal, crediting for donated food will be performed in accordance with 7CFR§250.36(d). The value of donated food is de</w:t>
      </w:r>
      <w:r w:rsidR="00203B8A">
        <w:t xml:space="preserve">ducted from the price on the distributor </w:t>
      </w:r>
      <w:r>
        <w:t>invoice.</w:t>
      </w:r>
    </w:p>
    <w:p w14:paraId="203AA767" w14:textId="77777777" w:rsidR="00FD0133" w:rsidRDefault="00FD0133" w:rsidP="009E42BF">
      <w:pPr>
        <w:pStyle w:val="BodyText"/>
        <w:spacing w:before="80"/>
        <w:ind w:left="900" w:right="362"/>
      </w:pPr>
      <w:r>
        <w:rPr>
          <w:b/>
        </w:rPr>
        <w:t>If a processor utilizes any other method of sales</w:t>
      </w:r>
      <w:r>
        <w:t xml:space="preserve">, the processor must assure that schools will receive credit for the value of donated foods either through discount in the sales price, refund or rebate after a sale or by providing </w:t>
      </w:r>
      <w:proofErr w:type="gramStart"/>
      <w:r>
        <w:t>end products</w:t>
      </w:r>
      <w:proofErr w:type="gramEnd"/>
      <w:r>
        <w:t xml:space="preserve"> on a fee for service basis.</w:t>
      </w:r>
    </w:p>
    <w:p w14:paraId="0534E041" w14:textId="77777777" w:rsidR="00FD0133" w:rsidRDefault="00FD0133" w:rsidP="009E42BF">
      <w:pPr>
        <w:pStyle w:val="ListParagraph"/>
        <w:widowControl w:val="0"/>
        <w:numPr>
          <w:ilvl w:val="1"/>
          <w:numId w:val="15"/>
        </w:numPr>
        <w:tabs>
          <w:tab w:val="left" w:pos="1469"/>
        </w:tabs>
        <w:autoSpaceDE w:val="0"/>
        <w:autoSpaceDN w:val="0"/>
        <w:spacing w:before="80" w:after="0" w:line="267" w:lineRule="exact"/>
        <w:ind w:left="1260"/>
        <w:contextualSpacing w:val="0"/>
      </w:pPr>
      <w:r>
        <w:t xml:space="preserve">Direct Sale – The price charged is reduced by the value of donated food in the </w:t>
      </w:r>
      <w:proofErr w:type="gramStart"/>
      <w:r>
        <w:t>end</w:t>
      </w:r>
      <w:r>
        <w:rPr>
          <w:spacing w:val="-22"/>
        </w:rPr>
        <w:t xml:space="preserve"> </w:t>
      </w:r>
      <w:r>
        <w:t>product</w:t>
      </w:r>
      <w:proofErr w:type="gramEnd"/>
      <w:r>
        <w:t>.</w:t>
      </w:r>
    </w:p>
    <w:p w14:paraId="588BDC2D" w14:textId="77777777" w:rsidR="00FD0133" w:rsidRDefault="00FD0133" w:rsidP="009E42BF">
      <w:pPr>
        <w:pStyle w:val="ListParagraph"/>
        <w:widowControl w:val="0"/>
        <w:numPr>
          <w:ilvl w:val="1"/>
          <w:numId w:val="15"/>
        </w:numPr>
        <w:tabs>
          <w:tab w:val="left" w:pos="1469"/>
        </w:tabs>
        <w:autoSpaceDE w:val="0"/>
        <w:autoSpaceDN w:val="0"/>
        <w:spacing w:after="0" w:line="240" w:lineRule="auto"/>
        <w:ind w:left="1260" w:right="246"/>
        <w:contextualSpacing w:val="0"/>
      </w:pPr>
      <w:r>
        <w:t>Rebate or Refund – The price charged is not reduced. Schools must apply for a rebate or refund from the processor after the sale</w:t>
      </w:r>
      <w:r>
        <w:rPr>
          <w:spacing w:val="-5"/>
        </w:rPr>
        <w:t xml:space="preserve"> </w:t>
      </w:r>
      <w:r>
        <w:t>occurs.</w:t>
      </w:r>
    </w:p>
    <w:p w14:paraId="088A9DE4" w14:textId="77777777" w:rsidR="00FD0133" w:rsidRDefault="00FD0133" w:rsidP="009E42BF">
      <w:pPr>
        <w:pStyle w:val="ListParagraph"/>
        <w:widowControl w:val="0"/>
        <w:numPr>
          <w:ilvl w:val="1"/>
          <w:numId w:val="15"/>
        </w:numPr>
        <w:tabs>
          <w:tab w:val="left" w:pos="1469"/>
        </w:tabs>
        <w:autoSpaceDE w:val="0"/>
        <w:autoSpaceDN w:val="0"/>
        <w:spacing w:after="0" w:line="240" w:lineRule="auto"/>
        <w:ind w:left="1260" w:right="377"/>
        <w:contextualSpacing w:val="0"/>
      </w:pPr>
      <w:r>
        <w:t xml:space="preserve">Fee-for-Service – The price charged includes all costs to produce and deliver the </w:t>
      </w:r>
      <w:proofErr w:type="gramStart"/>
      <w:r>
        <w:t>end product</w:t>
      </w:r>
      <w:proofErr w:type="gramEnd"/>
      <w:r>
        <w:t xml:space="preserve"> to the school or the school’s agent not including the value of donated food used in its production. Under Fee-for-Service, the following billing and shipping arrangements could</w:t>
      </w:r>
      <w:r>
        <w:rPr>
          <w:spacing w:val="-8"/>
        </w:rPr>
        <w:t xml:space="preserve"> </w:t>
      </w:r>
      <w:r>
        <w:t>apply:</w:t>
      </w:r>
    </w:p>
    <w:p w14:paraId="48D7EAC0" w14:textId="77777777" w:rsidR="00FD0133" w:rsidRDefault="00FD0133" w:rsidP="009E42BF">
      <w:pPr>
        <w:pStyle w:val="BodyText"/>
        <w:spacing w:before="1"/>
      </w:pPr>
    </w:p>
    <w:p w14:paraId="1E55A710" w14:textId="77777777" w:rsidR="00FD0133" w:rsidRDefault="00FD0133" w:rsidP="009E42BF">
      <w:pPr>
        <w:pStyle w:val="ListParagraph"/>
        <w:widowControl w:val="0"/>
        <w:numPr>
          <w:ilvl w:val="0"/>
          <w:numId w:val="16"/>
        </w:numPr>
        <w:tabs>
          <w:tab w:val="left" w:pos="1468"/>
          <w:tab w:val="left" w:pos="1469"/>
        </w:tabs>
        <w:autoSpaceDE w:val="0"/>
        <w:autoSpaceDN w:val="0"/>
        <w:spacing w:after="0" w:line="240" w:lineRule="auto"/>
        <w:ind w:left="1260"/>
        <w:contextualSpacing w:val="0"/>
      </w:pPr>
      <w:r>
        <w:t>Bill to school, ship to school. Title transfers to school upon delivery to the</w:t>
      </w:r>
      <w:r>
        <w:rPr>
          <w:spacing w:val="-20"/>
        </w:rPr>
        <w:t xml:space="preserve"> </w:t>
      </w:r>
      <w:r>
        <w:t>school.</w:t>
      </w:r>
    </w:p>
    <w:p w14:paraId="56F6C616" w14:textId="77777777" w:rsidR="00FD0133" w:rsidRDefault="00FD0133" w:rsidP="009E42BF">
      <w:pPr>
        <w:pStyle w:val="ListParagraph"/>
        <w:widowControl w:val="0"/>
        <w:numPr>
          <w:ilvl w:val="0"/>
          <w:numId w:val="16"/>
        </w:numPr>
        <w:tabs>
          <w:tab w:val="left" w:pos="1468"/>
          <w:tab w:val="left" w:pos="1469"/>
        </w:tabs>
        <w:autoSpaceDE w:val="0"/>
        <w:autoSpaceDN w:val="0"/>
        <w:spacing w:before="3" w:after="0" w:line="237" w:lineRule="auto"/>
        <w:ind w:left="1260" w:right="785"/>
        <w:contextualSpacing w:val="0"/>
      </w:pPr>
      <w:r>
        <w:t>Bill to school, ship to agent. Agent bills distribution fee to school. Title transfers to school upon delivery to the agent.</w:t>
      </w:r>
    </w:p>
    <w:p w14:paraId="541A1973" w14:textId="77777777" w:rsidR="00FD0133" w:rsidRDefault="00FD0133" w:rsidP="009E42BF">
      <w:pPr>
        <w:pStyle w:val="ListParagraph"/>
        <w:widowControl w:val="0"/>
        <w:numPr>
          <w:ilvl w:val="0"/>
          <w:numId w:val="16"/>
        </w:numPr>
        <w:tabs>
          <w:tab w:val="left" w:pos="1468"/>
          <w:tab w:val="left" w:pos="1469"/>
        </w:tabs>
        <w:autoSpaceDE w:val="0"/>
        <w:autoSpaceDN w:val="0"/>
        <w:spacing w:before="2" w:after="0" w:line="240" w:lineRule="auto"/>
        <w:ind w:left="1260" w:right="305"/>
        <w:contextualSpacing w:val="0"/>
      </w:pPr>
      <w:r>
        <w:t>Bill to agent, ship to agent. Agent bills processing and distribution fees to school if authorized by the school. Title transfers to school upon delivery to the</w:t>
      </w:r>
      <w:r>
        <w:rPr>
          <w:spacing w:val="-3"/>
        </w:rPr>
        <w:t xml:space="preserve"> </w:t>
      </w:r>
      <w:r>
        <w:t xml:space="preserve">agent. A school may choose to assign an agent to bill them for the total case price when distribution services have been procured separately from processing services. This agent assignment must be in writing. When a processor bills to the school or an agent under Fee-for-Service, it does not include the value of donated food used in its production. Therefore, title to the </w:t>
      </w:r>
      <w:proofErr w:type="gramStart"/>
      <w:r>
        <w:t>end product</w:t>
      </w:r>
      <w:proofErr w:type="gramEnd"/>
      <w:r>
        <w:t xml:space="preserve"> transfers to the school upon delivery to the agent, consistent with 7CFR§250.11(e).</w:t>
      </w:r>
    </w:p>
    <w:p w14:paraId="084F3A5B" w14:textId="77777777" w:rsidR="00FD0133" w:rsidRDefault="00FD0133" w:rsidP="009E42BF">
      <w:pPr>
        <w:pStyle w:val="BodyText"/>
        <w:ind w:left="180" w:right="103"/>
      </w:pPr>
    </w:p>
    <w:p w14:paraId="627E65E9" w14:textId="77777777" w:rsidR="00FD0133" w:rsidRDefault="00FD0133" w:rsidP="009E42BF">
      <w:pPr>
        <w:pStyle w:val="ListParagraph"/>
        <w:widowControl w:val="0"/>
        <w:numPr>
          <w:ilvl w:val="0"/>
          <w:numId w:val="15"/>
        </w:numPr>
        <w:tabs>
          <w:tab w:val="left" w:pos="748"/>
        </w:tabs>
        <w:autoSpaceDE w:val="0"/>
        <w:autoSpaceDN w:val="0"/>
        <w:spacing w:after="0" w:line="267" w:lineRule="exact"/>
        <w:ind w:left="540"/>
        <w:contextualSpacing w:val="0"/>
        <w:rPr>
          <w:i/>
        </w:rPr>
      </w:pPr>
      <w:r>
        <w:rPr>
          <w:i/>
        </w:rPr>
        <w:t>The value of donated food contained in the end</w:t>
      </w:r>
      <w:r>
        <w:rPr>
          <w:i/>
          <w:spacing w:val="-9"/>
        </w:rPr>
        <w:t xml:space="preserve"> </w:t>
      </w:r>
      <w:r>
        <w:rPr>
          <w:i/>
        </w:rPr>
        <w:t>products;</w:t>
      </w:r>
    </w:p>
    <w:p w14:paraId="261885F8" w14:textId="77777777" w:rsidR="00FD0133" w:rsidRDefault="00FD0133" w:rsidP="009E42BF">
      <w:pPr>
        <w:pStyle w:val="BodyText"/>
        <w:ind w:left="900" w:right="103"/>
      </w:pPr>
      <w:r>
        <w:t xml:space="preserve">This is documented on processors’ Summary End Product Data Schedules (SEPDS). These documents are available to schools </w:t>
      </w:r>
      <w:r w:rsidR="00C84324">
        <w:t>and processors on the ODE website</w:t>
      </w:r>
      <w:r>
        <w:t xml:space="preserve">. The bid or proposal a school obtains from processors or </w:t>
      </w:r>
      <w:r w:rsidR="00C84324">
        <w:t>a distributor</w:t>
      </w:r>
      <w:r>
        <w:t xml:space="preserve"> must have these values listed for each </w:t>
      </w:r>
      <w:proofErr w:type="gramStart"/>
      <w:r>
        <w:t>end product</w:t>
      </w:r>
      <w:proofErr w:type="gramEnd"/>
      <w:r>
        <w:t xml:space="preserve"> that is bid or the school may include the values in their solicitation. The discounts or rebates obtained should be reviewed by the school and compared to the values on the SEPDS to ensure they are receiving the correct credit.</w:t>
      </w:r>
    </w:p>
    <w:p w14:paraId="15D84B45" w14:textId="77777777" w:rsidR="00FD0133" w:rsidRDefault="00FD0133" w:rsidP="009E42BF">
      <w:pPr>
        <w:pStyle w:val="BodyText"/>
        <w:spacing w:before="1"/>
      </w:pPr>
    </w:p>
    <w:p w14:paraId="25CC572E" w14:textId="77777777" w:rsidR="00FD0133" w:rsidRDefault="00FD0133" w:rsidP="009E42BF">
      <w:pPr>
        <w:pStyle w:val="ListParagraph"/>
        <w:widowControl w:val="0"/>
        <w:numPr>
          <w:ilvl w:val="0"/>
          <w:numId w:val="15"/>
        </w:numPr>
        <w:tabs>
          <w:tab w:val="left" w:pos="748"/>
        </w:tabs>
        <w:autoSpaceDE w:val="0"/>
        <w:autoSpaceDN w:val="0"/>
        <w:spacing w:after="0" w:line="240" w:lineRule="auto"/>
        <w:ind w:left="540"/>
        <w:contextualSpacing w:val="0"/>
        <w:rPr>
          <w:i/>
        </w:rPr>
      </w:pPr>
      <w:r>
        <w:rPr>
          <w:i/>
        </w:rPr>
        <w:t xml:space="preserve">The location for the delivery of the </w:t>
      </w:r>
      <w:proofErr w:type="gramStart"/>
      <w:r>
        <w:rPr>
          <w:i/>
        </w:rPr>
        <w:t>end</w:t>
      </w:r>
      <w:r>
        <w:rPr>
          <w:i/>
          <w:spacing w:val="-5"/>
        </w:rPr>
        <w:t xml:space="preserve"> </w:t>
      </w:r>
      <w:r>
        <w:rPr>
          <w:i/>
        </w:rPr>
        <w:t>products</w:t>
      </w:r>
      <w:proofErr w:type="gramEnd"/>
      <w:r>
        <w:rPr>
          <w:i/>
        </w:rPr>
        <w:t>.</w:t>
      </w:r>
    </w:p>
    <w:p w14:paraId="2B3953A2" w14:textId="77777777" w:rsidR="00FD0133" w:rsidRDefault="00FD0133" w:rsidP="009E42BF">
      <w:pPr>
        <w:pStyle w:val="BodyText"/>
        <w:spacing w:before="1"/>
        <w:ind w:left="900" w:right="177"/>
      </w:pPr>
      <w:r>
        <w:t>This is self-explanatory. This information must be on the bid or proposal provided to schools or otherwise documented within the procurement process.</w:t>
      </w:r>
    </w:p>
    <w:p w14:paraId="514A321C" w14:textId="77777777" w:rsidR="00C84324" w:rsidRDefault="00C84324" w:rsidP="009E42BF">
      <w:pPr>
        <w:pStyle w:val="BodyText"/>
        <w:spacing w:before="1"/>
        <w:ind w:left="900" w:right="177"/>
      </w:pPr>
    </w:p>
    <w:p w14:paraId="26714838" w14:textId="77777777" w:rsidR="00C84324" w:rsidRDefault="006544C7" w:rsidP="009E42BF">
      <w:pPr>
        <w:pStyle w:val="ListParagraph"/>
        <w:widowControl w:val="0"/>
        <w:numPr>
          <w:ilvl w:val="0"/>
          <w:numId w:val="15"/>
        </w:numPr>
        <w:tabs>
          <w:tab w:val="left" w:pos="748"/>
        </w:tabs>
        <w:autoSpaceDE w:val="0"/>
        <w:autoSpaceDN w:val="0"/>
        <w:spacing w:after="0" w:line="240" w:lineRule="auto"/>
        <w:ind w:left="540"/>
        <w:contextualSpacing w:val="0"/>
        <w:rPr>
          <w:i/>
        </w:rPr>
      </w:pPr>
      <w:r>
        <w:rPr>
          <w:i/>
        </w:rPr>
        <w:t xml:space="preserve">Food </w:t>
      </w:r>
      <w:r w:rsidR="000C2F28">
        <w:rPr>
          <w:i/>
        </w:rPr>
        <w:t>Recall procedures and points of contact</w:t>
      </w:r>
      <w:r w:rsidR="00C84324">
        <w:rPr>
          <w:i/>
        </w:rPr>
        <w:t xml:space="preserve">. </w:t>
      </w:r>
    </w:p>
    <w:p w14:paraId="62EC6355" w14:textId="77777777" w:rsidR="00C84324" w:rsidRDefault="000C2F28" w:rsidP="009E42BF">
      <w:pPr>
        <w:pStyle w:val="BodyText"/>
        <w:spacing w:before="1"/>
        <w:ind w:left="900" w:right="177"/>
      </w:pPr>
      <w:r>
        <w:t xml:space="preserve">According to the USDA Foods recall guidance manual, schools must have a provision in the bid/response for food recall procedures and contact information for a point and backup person for handling food recalls. </w:t>
      </w:r>
    </w:p>
    <w:p w14:paraId="21ABAFAA" w14:textId="77777777" w:rsidR="00FD0133" w:rsidRDefault="00FD0133" w:rsidP="00FD0133">
      <w:pPr>
        <w:widowControl w:val="0"/>
        <w:tabs>
          <w:tab w:val="left" w:pos="749"/>
        </w:tabs>
        <w:autoSpaceDE w:val="0"/>
        <w:autoSpaceDN w:val="0"/>
        <w:spacing w:after="0" w:line="240" w:lineRule="auto"/>
      </w:pPr>
    </w:p>
    <w:p w14:paraId="527EC2EE" w14:textId="77777777" w:rsidR="00FD0133" w:rsidRDefault="00814DC8" w:rsidP="00814DC8">
      <w:pPr>
        <w:pStyle w:val="Heading1"/>
        <w:keepNext w:val="0"/>
        <w:keepLines w:val="0"/>
        <w:widowControl w:val="0"/>
        <w:tabs>
          <w:tab w:val="left" w:pos="1109"/>
        </w:tabs>
        <w:autoSpaceDE w:val="0"/>
        <w:autoSpaceDN w:val="0"/>
        <w:spacing w:before="0" w:after="0" w:line="240" w:lineRule="auto"/>
        <w:ind w:left="180"/>
        <w:contextualSpacing w:val="0"/>
      </w:pPr>
      <w:r>
        <w:t xml:space="preserve">(h) </w:t>
      </w:r>
      <w:r w:rsidR="00FD0133">
        <w:t>Donated food</w:t>
      </w:r>
      <w:r w:rsidR="00FD0133">
        <w:rPr>
          <w:spacing w:val="-1"/>
        </w:rPr>
        <w:t xml:space="preserve"> </w:t>
      </w:r>
      <w:r w:rsidR="00FD0133">
        <w:t>banks.</w:t>
      </w:r>
    </w:p>
    <w:p w14:paraId="64090AD0" w14:textId="77777777" w:rsidR="00FD0133" w:rsidRDefault="00FD0133" w:rsidP="009E42BF">
      <w:pPr>
        <w:widowControl w:val="0"/>
        <w:tabs>
          <w:tab w:val="left" w:pos="749"/>
        </w:tabs>
        <w:autoSpaceDE w:val="0"/>
        <w:autoSpaceDN w:val="0"/>
        <w:spacing w:after="0" w:line="240" w:lineRule="auto"/>
        <w:ind w:left="180"/>
      </w:pPr>
      <w:r>
        <w:t xml:space="preserve">In order to receive a discount or rebate or to be able to buy </w:t>
      </w:r>
      <w:proofErr w:type="gramStart"/>
      <w:r>
        <w:t>end products</w:t>
      </w:r>
      <w:proofErr w:type="gramEnd"/>
      <w:r>
        <w:t xml:space="preserve"> on a Fee-for-Service basis, there must be a bank of donated food at</w:t>
      </w:r>
      <w:r w:rsidR="00F81BC3">
        <w:t xml:space="preserve"> a processor to withdraw from. </w:t>
      </w:r>
      <w:r>
        <w:t>When schools request rebates or buy directly from processors, they estab</w:t>
      </w:r>
      <w:r w:rsidR="00F81BC3">
        <w:t xml:space="preserve">lish a bank exclusive to them. </w:t>
      </w:r>
      <w:r>
        <w:t xml:space="preserve">This is known as a </w:t>
      </w:r>
      <w:r w:rsidR="00DA5413">
        <w:t>S</w:t>
      </w:r>
      <w:r>
        <w:t xml:space="preserve">ponsor bank.  Sponsor banks are requested via </w:t>
      </w:r>
      <w:r w:rsidR="00F81BC3">
        <w:t>the WBSCM</w:t>
      </w:r>
      <w:r>
        <w:t xml:space="preserve">. If there are enough requests, </w:t>
      </w:r>
      <w:r w:rsidR="00F81BC3">
        <w:t>ODE</w:t>
      </w:r>
      <w:r>
        <w:t xml:space="preserve"> will be able to divert donated foods to a processor. There will be times when less than full truckloads are requested in aggregate and the</w:t>
      </w:r>
      <w:r w:rsidR="00F81BC3">
        <w:t xml:space="preserve"> ODE may not be able to fill the request. </w:t>
      </w:r>
    </w:p>
    <w:p w14:paraId="49F0AC0C" w14:textId="77777777" w:rsidR="00FD0133" w:rsidRDefault="00FD0133" w:rsidP="00FD0133">
      <w:pPr>
        <w:widowControl w:val="0"/>
        <w:tabs>
          <w:tab w:val="left" w:pos="748"/>
        </w:tabs>
        <w:autoSpaceDE w:val="0"/>
        <w:autoSpaceDN w:val="0"/>
        <w:spacing w:after="0" w:line="240" w:lineRule="auto"/>
      </w:pPr>
    </w:p>
    <w:p w14:paraId="31052413" w14:textId="77777777" w:rsidR="00FD0133" w:rsidRDefault="0037280A" w:rsidP="0037280A">
      <w:pPr>
        <w:pStyle w:val="Heading1"/>
        <w:keepNext w:val="0"/>
        <w:keepLines w:val="0"/>
        <w:widowControl w:val="0"/>
        <w:tabs>
          <w:tab w:val="left" w:pos="1109"/>
        </w:tabs>
        <w:autoSpaceDE w:val="0"/>
        <w:autoSpaceDN w:val="0"/>
        <w:spacing w:before="1" w:after="3" w:line="240" w:lineRule="auto"/>
        <w:ind w:left="180"/>
        <w:contextualSpacing w:val="0"/>
      </w:pPr>
      <w:r>
        <w:t xml:space="preserve">(i) </w:t>
      </w:r>
      <w:r w:rsidR="00FD0133">
        <w:t>Methods of sale (value pass through</w:t>
      </w:r>
      <w:r w:rsidR="00FD0133">
        <w:rPr>
          <w:spacing w:val="-12"/>
        </w:rPr>
        <w:t xml:space="preserve"> </w:t>
      </w:r>
      <w:r w:rsidR="00FD0133">
        <w:t>systems).</w:t>
      </w:r>
    </w:p>
    <w:tbl>
      <w:tblPr>
        <w:tblW w:w="97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0"/>
        <w:gridCol w:w="2422"/>
        <w:gridCol w:w="1618"/>
        <w:gridCol w:w="1958"/>
        <w:gridCol w:w="1495"/>
      </w:tblGrid>
      <w:tr w:rsidR="00FD0133" w14:paraId="0EA29317" w14:textId="77777777" w:rsidTr="00376008">
        <w:trPr>
          <w:trHeight w:val="383"/>
        </w:trPr>
        <w:tc>
          <w:tcPr>
            <w:tcW w:w="2280" w:type="dxa"/>
          </w:tcPr>
          <w:p w14:paraId="2D45ACF8" w14:textId="77777777" w:rsidR="00FD0133" w:rsidRDefault="00FD0133" w:rsidP="00F33449">
            <w:pPr>
              <w:pStyle w:val="TableParagraph"/>
              <w:ind w:left="171" w:right="161"/>
              <w:jc w:val="center"/>
            </w:pPr>
            <w:r>
              <w:t>Pass through system:</w:t>
            </w:r>
          </w:p>
        </w:tc>
        <w:tc>
          <w:tcPr>
            <w:tcW w:w="2422" w:type="dxa"/>
          </w:tcPr>
          <w:p w14:paraId="6509652E" w14:textId="77777777" w:rsidR="00FD0133" w:rsidRDefault="00FD0133" w:rsidP="00F33449">
            <w:pPr>
              <w:pStyle w:val="TableParagraph"/>
              <w:ind w:left="169" w:right="156"/>
              <w:jc w:val="center"/>
            </w:pPr>
            <w:r>
              <w:t>Rebate or Refund</w:t>
            </w:r>
          </w:p>
        </w:tc>
        <w:tc>
          <w:tcPr>
            <w:tcW w:w="1618" w:type="dxa"/>
          </w:tcPr>
          <w:p w14:paraId="347B93AB" w14:textId="77777777" w:rsidR="00FD0133" w:rsidRDefault="00FD0133" w:rsidP="00F33449">
            <w:pPr>
              <w:pStyle w:val="TableParagraph"/>
              <w:ind w:left="101" w:right="92"/>
              <w:jc w:val="center"/>
            </w:pPr>
            <w:r>
              <w:t>Direct Discount</w:t>
            </w:r>
          </w:p>
        </w:tc>
        <w:tc>
          <w:tcPr>
            <w:tcW w:w="1958" w:type="dxa"/>
          </w:tcPr>
          <w:p w14:paraId="03DCC790" w14:textId="77777777" w:rsidR="00FD0133" w:rsidRDefault="00FD0133" w:rsidP="00F33449">
            <w:pPr>
              <w:pStyle w:val="TableParagraph"/>
              <w:ind w:left="112" w:right="98"/>
              <w:jc w:val="center"/>
            </w:pPr>
            <w:r>
              <w:t>Indirect Discount</w:t>
            </w:r>
            <w:r w:rsidR="00F81BC3">
              <w:t xml:space="preserve"> (NOI)</w:t>
            </w:r>
          </w:p>
        </w:tc>
        <w:tc>
          <w:tcPr>
            <w:tcW w:w="1495" w:type="dxa"/>
          </w:tcPr>
          <w:p w14:paraId="47E09AE1" w14:textId="77777777" w:rsidR="00FD0133" w:rsidRDefault="00FD0133" w:rsidP="00F33449">
            <w:pPr>
              <w:pStyle w:val="TableParagraph"/>
              <w:ind w:left="276" w:right="267"/>
              <w:jc w:val="center"/>
            </w:pPr>
            <w:r>
              <w:t>Fee for Service</w:t>
            </w:r>
          </w:p>
        </w:tc>
      </w:tr>
      <w:tr w:rsidR="00FD0133" w14:paraId="0B64568A" w14:textId="77777777" w:rsidTr="00376008">
        <w:trPr>
          <w:trHeight w:val="537"/>
        </w:trPr>
        <w:tc>
          <w:tcPr>
            <w:tcW w:w="2280" w:type="dxa"/>
          </w:tcPr>
          <w:p w14:paraId="638F577F" w14:textId="77777777" w:rsidR="00FD0133" w:rsidRDefault="00FD0133" w:rsidP="00F33449">
            <w:pPr>
              <w:pStyle w:val="TableParagraph"/>
              <w:ind w:left="171" w:right="161"/>
              <w:jc w:val="center"/>
            </w:pPr>
            <w:r>
              <w:t>Schools buy from:</w:t>
            </w:r>
          </w:p>
        </w:tc>
        <w:tc>
          <w:tcPr>
            <w:tcW w:w="2422" w:type="dxa"/>
          </w:tcPr>
          <w:p w14:paraId="0D1C9E8C" w14:textId="77777777" w:rsidR="00FD0133" w:rsidRDefault="00FD0133" w:rsidP="00F33449">
            <w:pPr>
              <w:pStyle w:val="TableParagraph"/>
              <w:ind w:left="162" w:right="156"/>
              <w:jc w:val="center"/>
            </w:pPr>
            <w:r>
              <w:t>Processor or any</w:t>
            </w:r>
          </w:p>
          <w:p w14:paraId="1DFB1A8E" w14:textId="77777777" w:rsidR="00FD0133" w:rsidRDefault="00FD0133" w:rsidP="00F33449">
            <w:pPr>
              <w:pStyle w:val="TableParagraph"/>
              <w:spacing w:line="252" w:lineRule="exact"/>
              <w:ind w:left="169" w:right="156"/>
              <w:jc w:val="center"/>
            </w:pPr>
            <w:r>
              <w:t>commercial distributor</w:t>
            </w:r>
          </w:p>
        </w:tc>
        <w:tc>
          <w:tcPr>
            <w:tcW w:w="1618" w:type="dxa"/>
          </w:tcPr>
          <w:p w14:paraId="45368E2E" w14:textId="77777777" w:rsidR="00FD0133" w:rsidRDefault="00FD0133" w:rsidP="00F33449">
            <w:pPr>
              <w:pStyle w:val="TableParagraph"/>
              <w:ind w:left="101" w:right="89"/>
              <w:jc w:val="center"/>
            </w:pPr>
            <w:r>
              <w:t>Processor</w:t>
            </w:r>
          </w:p>
        </w:tc>
        <w:tc>
          <w:tcPr>
            <w:tcW w:w="1958" w:type="dxa"/>
          </w:tcPr>
          <w:p w14:paraId="58F95752" w14:textId="77777777" w:rsidR="00FD0133" w:rsidRDefault="00F81BC3" w:rsidP="00F33449">
            <w:pPr>
              <w:pStyle w:val="TableParagraph"/>
              <w:ind w:left="112" w:right="95"/>
              <w:jc w:val="center"/>
            </w:pPr>
            <w:r>
              <w:t>Commercial Distributor</w:t>
            </w:r>
          </w:p>
        </w:tc>
        <w:tc>
          <w:tcPr>
            <w:tcW w:w="1495" w:type="dxa"/>
          </w:tcPr>
          <w:p w14:paraId="7097D21B" w14:textId="77777777" w:rsidR="00FD0133" w:rsidRDefault="00FD0133" w:rsidP="00F33449">
            <w:pPr>
              <w:pStyle w:val="TableParagraph"/>
              <w:ind w:left="276" w:right="264"/>
              <w:jc w:val="center"/>
            </w:pPr>
            <w:r>
              <w:t>Processor</w:t>
            </w:r>
          </w:p>
        </w:tc>
      </w:tr>
      <w:tr w:rsidR="00FD0133" w14:paraId="3FCD636C" w14:textId="77777777" w:rsidTr="00376008">
        <w:trPr>
          <w:trHeight w:val="537"/>
        </w:trPr>
        <w:tc>
          <w:tcPr>
            <w:tcW w:w="2280" w:type="dxa"/>
          </w:tcPr>
          <w:p w14:paraId="2358A202" w14:textId="77777777" w:rsidR="00FD0133" w:rsidRDefault="00FD0133" w:rsidP="00F33449">
            <w:pPr>
              <w:pStyle w:val="TableParagraph"/>
              <w:ind w:left="559"/>
            </w:pPr>
            <w:r>
              <w:t>Pass through</w:t>
            </w:r>
          </w:p>
          <w:p w14:paraId="1A4BF135" w14:textId="77777777" w:rsidR="00FD0133" w:rsidRDefault="00FD0133" w:rsidP="00F33449">
            <w:pPr>
              <w:pStyle w:val="TableParagraph"/>
              <w:spacing w:line="252" w:lineRule="exact"/>
              <w:ind w:left="497"/>
            </w:pPr>
            <w:r>
              <w:t>performed by:</w:t>
            </w:r>
          </w:p>
        </w:tc>
        <w:tc>
          <w:tcPr>
            <w:tcW w:w="2422" w:type="dxa"/>
          </w:tcPr>
          <w:p w14:paraId="6E7146DB" w14:textId="77777777" w:rsidR="00FD0133" w:rsidRDefault="00FD0133" w:rsidP="00F33449">
            <w:pPr>
              <w:pStyle w:val="TableParagraph"/>
              <w:ind w:left="165" w:right="156"/>
              <w:jc w:val="center"/>
            </w:pPr>
            <w:r>
              <w:t>Processor</w:t>
            </w:r>
          </w:p>
        </w:tc>
        <w:tc>
          <w:tcPr>
            <w:tcW w:w="1618" w:type="dxa"/>
          </w:tcPr>
          <w:p w14:paraId="0AB84024" w14:textId="77777777" w:rsidR="00FD0133" w:rsidRDefault="00FD0133" w:rsidP="00F33449">
            <w:pPr>
              <w:pStyle w:val="TableParagraph"/>
              <w:ind w:left="101" w:right="89"/>
              <w:jc w:val="center"/>
            </w:pPr>
            <w:r>
              <w:t>Processor</w:t>
            </w:r>
          </w:p>
        </w:tc>
        <w:tc>
          <w:tcPr>
            <w:tcW w:w="1958" w:type="dxa"/>
          </w:tcPr>
          <w:p w14:paraId="59814CDD" w14:textId="77777777" w:rsidR="00FD0133" w:rsidRDefault="00F81BC3" w:rsidP="00F33449">
            <w:pPr>
              <w:pStyle w:val="TableParagraph"/>
              <w:ind w:left="112" w:right="95"/>
              <w:jc w:val="center"/>
            </w:pPr>
            <w:r>
              <w:t>Commercial Distributor</w:t>
            </w:r>
          </w:p>
        </w:tc>
        <w:tc>
          <w:tcPr>
            <w:tcW w:w="1495" w:type="dxa"/>
          </w:tcPr>
          <w:p w14:paraId="506EA56F" w14:textId="77777777" w:rsidR="00FD0133" w:rsidRDefault="00FD0133" w:rsidP="00F33449">
            <w:pPr>
              <w:pStyle w:val="TableParagraph"/>
              <w:ind w:left="276" w:right="264"/>
              <w:jc w:val="center"/>
            </w:pPr>
            <w:r>
              <w:t>Processor</w:t>
            </w:r>
          </w:p>
        </w:tc>
      </w:tr>
      <w:tr w:rsidR="00FD0133" w14:paraId="51ED900C" w14:textId="77777777" w:rsidTr="00376008">
        <w:trPr>
          <w:trHeight w:val="537"/>
        </w:trPr>
        <w:tc>
          <w:tcPr>
            <w:tcW w:w="2280" w:type="dxa"/>
          </w:tcPr>
          <w:p w14:paraId="456C06BE" w14:textId="77777777" w:rsidR="00FD0133" w:rsidRDefault="00FD0133" w:rsidP="00F33449">
            <w:pPr>
              <w:pStyle w:val="TableParagraph"/>
              <w:ind w:left="168" w:right="161"/>
              <w:jc w:val="center"/>
            </w:pPr>
            <w:r>
              <w:t>How pass through is</w:t>
            </w:r>
          </w:p>
          <w:p w14:paraId="5C4B7F10" w14:textId="77777777" w:rsidR="00FD0133" w:rsidRDefault="00FD0133" w:rsidP="00F33449">
            <w:pPr>
              <w:pStyle w:val="TableParagraph"/>
              <w:spacing w:line="252" w:lineRule="exact"/>
              <w:ind w:left="171" w:right="159"/>
              <w:jc w:val="center"/>
            </w:pPr>
            <w:r>
              <w:t>performed:</w:t>
            </w:r>
          </w:p>
        </w:tc>
        <w:tc>
          <w:tcPr>
            <w:tcW w:w="2422" w:type="dxa"/>
          </w:tcPr>
          <w:p w14:paraId="5756730F" w14:textId="77777777" w:rsidR="00FD0133" w:rsidRDefault="00FD0133" w:rsidP="00F33449">
            <w:pPr>
              <w:pStyle w:val="TableParagraph"/>
              <w:ind w:left="167" w:right="156"/>
              <w:jc w:val="center"/>
            </w:pPr>
            <w:r>
              <w:t>Processor cuts a check</w:t>
            </w:r>
          </w:p>
          <w:p w14:paraId="2A88F605" w14:textId="77777777" w:rsidR="00FD0133" w:rsidRDefault="00FD0133" w:rsidP="00F33449">
            <w:pPr>
              <w:pStyle w:val="TableParagraph"/>
              <w:spacing w:line="252" w:lineRule="exact"/>
              <w:ind w:left="166" w:right="156"/>
              <w:jc w:val="center"/>
            </w:pPr>
            <w:proofErr w:type="gramStart"/>
            <w:r>
              <w:t>to</w:t>
            </w:r>
            <w:proofErr w:type="gramEnd"/>
            <w:r>
              <w:t xml:space="preserve"> the school.</w:t>
            </w:r>
          </w:p>
        </w:tc>
        <w:tc>
          <w:tcPr>
            <w:tcW w:w="1618" w:type="dxa"/>
          </w:tcPr>
          <w:p w14:paraId="6352E30C" w14:textId="77777777" w:rsidR="00FD0133" w:rsidRDefault="00FD0133" w:rsidP="00F33449">
            <w:pPr>
              <w:pStyle w:val="TableParagraph"/>
              <w:ind w:left="101" w:right="90"/>
              <w:jc w:val="center"/>
            </w:pPr>
            <w:r>
              <w:t>Discounted</w:t>
            </w:r>
          </w:p>
          <w:p w14:paraId="7DDD3D44" w14:textId="77777777" w:rsidR="00FD0133" w:rsidRDefault="00FD0133" w:rsidP="00F33449">
            <w:pPr>
              <w:pStyle w:val="TableParagraph"/>
              <w:spacing w:line="252" w:lineRule="exact"/>
              <w:ind w:left="101" w:right="89"/>
              <w:jc w:val="center"/>
            </w:pPr>
            <w:r>
              <w:t>invoice</w:t>
            </w:r>
          </w:p>
        </w:tc>
        <w:tc>
          <w:tcPr>
            <w:tcW w:w="1958" w:type="dxa"/>
          </w:tcPr>
          <w:p w14:paraId="2B8447D9" w14:textId="77777777" w:rsidR="00FD0133" w:rsidRDefault="00FD0133" w:rsidP="00F33449">
            <w:pPr>
              <w:pStyle w:val="TableParagraph"/>
              <w:ind w:left="112" w:right="99"/>
              <w:jc w:val="center"/>
            </w:pPr>
            <w:r>
              <w:t>Discounted invoice</w:t>
            </w:r>
          </w:p>
        </w:tc>
        <w:tc>
          <w:tcPr>
            <w:tcW w:w="1495" w:type="dxa"/>
          </w:tcPr>
          <w:p w14:paraId="0CC52A46" w14:textId="77777777" w:rsidR="00FD0133" w:rsidRDefault="00FD0133" w:rsidP="00F33449">
            <w:pPr>
              <w:pStyle w:val="TableParagraph"/>
              <w:ind w:left="300"/>
            </w:pPr>
            <w:r>
              <w:t>DF value is not</w:t>
            </w:r>
          </w:p>
          <w:p w14:paraId="02F37C20" w14:textId="77777777" w:rsidR="00FD0133" w:rsidRDefault="00FD0133" w:rsidP="00F33449">
            <w:pPr>
              <w:pStyle w:val="TableParagraph"/>
              <w:spacing w:line="252" w:lineRule="exact"/>
              <w:ind w:left="269"/>
            </w:pPr>
            <w:proofErr w:type="gramStart"/>
            <w:r>
              <w:t>included</w:t>
            </w:r>
            <w:proofErr w:type="gramEnd"/>
            <w:r>
              <w:t xml:space="preserve"> in fee.</w:t>
            </w:r>
          </w:p>
        </w:tc>
      </w:tr>
    </w:tbl>
    <w:p w14:paraId="21BBED96" w14:textId="77777777" w:rsidR="00FD0133" w:rsidRDefault="00FD0133" w:rsidP="00FD0133">
      <w:pPr>
        <w:pStyle w:val="BodyText"/>
        <w:spacing w:before="9"/>
        <w:rPr>
          <w:b/>
          <w:i/>
          <w:sz w:val="21"/>
        </w:rPr>
      </w:pPr>
    </w:p>
    <w:p w14:paraId="41965A13" w14:textId="77777777" w:rsidR="00FD0133" w:rsidRDefault="00F81BC3" w:rsidP="00814DC8">
      <w:pPr>
        <w:pStyle w:val="Heading1"/>
        <w:keepNext w:val="0"/>
        <w:keepLines w:val="0"/>
        <w:widowControl w:val="0"/>
        <w:tabs>
          <w:tab w:val="left" w:pos="1109"/>
        </w:tabs>
        <w:autoSpaceDE w:val="0"/>
        <w:autoSpaceDN w:val="0"/>
        <w:spacing w:before="0" w:after="0" w:line="240" w:lineRule="auto"/>
        <w:ind w:left="180"/>
        <w:contextualSpacing w:val="0"/>
        <w:rPr>
          <w:i/>
        </w:rPr>
      </w:pPr>
      <w:r>
        <w:t xml:space="preserve"> </w:t>
      </w:r>
      <w:r w:rsidR="00814DC8">
        <w:t xml:space="preserve">(j) </w:t>
      </w:r>
      <w:r w:rsidR="00FD0133">
        <w:t>Methods of</w:t>
      </w:r>
      <w:r w:rsidR="00FD0133">
        <w:rPr>
          <w:spacing w:val="-7"/>
        </w:rPr>
        <w:t xml:space="preserve"> </w:t>
      </w:r>
      <w:r w:rsidR="00FD0133">
        <w:t>procurement.</w:t>
      </w:r>
    </w:p>
    <w:p w14:paraId="400A68CA" w14:textId="77777777" w:rsidR="00FD0133" w:rsidRDefault="00FD0133" w:rsidP="009E42BF">
      <w:pPr>
        <w:pStyle w:val="BodyText"/>
        <w:ind w:left="180" w:right="152"/>
      </w:pPr>
      <w:r>
        <w:t xml:space="preserve">When non-Federal entities other than </w:t>
      </w:r>
      <w:r w:rsidR="00650402">
        <w:t xml:space="preserve">the </w:t>
      </w:r>
      <w:r>
        <w:t>State</w:t>
      </w:r>
      <w:r w:rsidR="00650402">
        <w:t xml:space="preserve"> distributing agency</w:t>
      </w:r>
      <w:r>
        <w:t xml:space="preserve"> buy products or services using Federal funds, there are procurement standards (2CFR§200.318-</w:t>
      </w:r>
      <w:r w:rsidR="00D158D2">
        <w:t>.</w:t>
      </w:r>
      <w:r>
        <w:t>326) they are required to follow. These standards apply to school procurements using Federal funding even if donated foods are not involved. Procurement standards are published by the Office of Management and Budget (OMB) and referenced throughout USDA program regulations. According to the OMB, the methods of procurement to be followed are</w:t>
      </w:r>
      <w:r w:rsidR="00D158D2">
        <w:t xml:space="preserve"> listed below</w:t>
      </w:r>
      <w:r w:rsidR="00FC2B26">
        <w:t>,</w:t>
      </w:r>
      <w:r w:rsidR="00D158D2">
        <w:t xml:space="preserve"> unless State or local laws and regulations are more restrictive (</w:t>
      </w:r>
      <w:proofErr w:type="gramStart"/>
      <w:r w:rsidR="000A4439">
        <w:t>2</w:t>
      </w:r>
      <w:proofErr w:type="gramEnd"/>
      <w:r w:rsidR="000A4439">
        <w:t xml:space="preserve"> CFR 200.318(a) and </w:t>
      </w:r>
      <w:r w:rsidR="00D158D2">
        <w:t xml:space="preserve">7 CFR </w:t>
      </w:r>
      <w:r w:rsidR="00D158D2">
        <w:rPr>
          <w:bCs/>
          <w:lang w:val="en"/>
        </w:rPr>
        <w:t>§ 250.31)</w:t>
      </w:r>
      <w:r>
        <w:t>:</w:t>
      </w:r>
    </w:p>
    <w:p w14:paraId="0C913B66" w14:textId="4F0B8982" w:rsidR="002D6726" w:rsidRDefault="002D6726" w:rsidP="00FD0133">
      <w:pPr>
        <w:pStyle w:val="ListParagraph"/>
        <w:widowControl w:val="0"/>
        <w:numPr>
          <w:ilvl w:val="0"/>
          <w:numId w:val="18"/>
        </w:numPr>
        <w:tabs>
          <w:tab w:val="left" w:pos="748"/>
        </w:tabs>
        <w:autoSpaceDE w:val="0"/>
        <w:autoSpaceDN w:val="0"/>
        <w:spacing w:before="75" w:after="0" w:line="240" w:lineRule="auto"/>
        <w:ind w:right="469"/>
        <w:contextualSpacing w:val="0"/>
      </w:pPr>
      <w:r>
        <w:t>Informal-</w:t>
      </w:r>
    </w:p>
    <w:p w14:paraId="6A62D7B6" w14:textId="07F63D10" w:rsidR="00FD0133" w:rsidRDefault="00FD0133" w:rsidP="002D6726">
      <w:pPr>
        <w:pStyle w:val="ListParagraph"/>
        <w:widowControl w:val="0"/>
        <w:numPr>
          <w:ilvl w:val="1"/>
          <w:numId w:val="18"/>
        </w:numPr>
        <w:tabs>
          <w:tab w:val="left" w:pos="748"/>
        </w:tabs>
        <w:autoSpaceDE w:val="0"/>
        <w:autoSpaceDN w:val="0"/>
        <w:spacing w:before="75" w:after="0" w:line="240" w:lineRule="auto"/>
        <w:ind w:right="469"/>
        <w:contextualSpacing w:val="0"/>
      </w:pPr>
      <w:r>
        <w:t>Micro Purchase</w:t>
      </w:r>
      <w:r w:rsidR="00882442">
        <w:t xml:space="preserve"> (</w:t>
      </w:r>
      <w:proofErr w:type="gramStart"/>
      <w:r w:rsidR="00882442">
        <w:t>2</w:t>
      </w:r>
      <w:proofErr w:type="gramEnd"/>
      <w:r w:rsidR="00882442">
        <w:t xml:space="preserve"> CFR 200.320(a)</w:t>
      </w:r>
      <w:r w:rsidR="00DA5413">
        <w:t>)</w:t>
      </w:r>
      <w:r>
        <w:t xml:space="preserve"> – Up to $10,000.00, </w:t>
      </w:r>
      <w:r w:rsidRPr="00DA3408">
        <w:rPr>
          <w:u w:val="single"/>
        </w:rPr>
        <w:t xml:space="preserve">spread equitably among </w:t>
      </w:r>
      <w:r w:rsidRPr="00DA3408">
        <w:rPr>
          <w:u w:val="single"/>
        </w:rPr>
        <w:lastRenderedPageBreak/>
        <w:t xml:space="preserve">qualified suppliers </w:t>
      </w:r>
      <w:r>
        <w:t>if practical and the price is considered reasonable by the</w:t>
      </w:r>
      <w:r>
        <w:rPr>
          <w:spacing w:val="-3"/>
        </w:rPr>
        <w:t xml:space="preserve"> </w:t>
      </w:r>
      <w:r>
        <w:t>school.</w:t>
      </w:r>
    </w:p>
    <w:p w14:paraId="6CFA4226" w14:textId="10379B82" w:rsidR="00FD0133" w:rsidRDefault="00FD0133" w:rsidP="002D6726">
      <w:pPr>
        <w:pStyle w:val="ListParagraph"/>
        <w:widowControl w:val="0"/>
        <w:numPr>
          <w:ilvl w:val="1"/>
          <w:numId w:val="18"/>
        </w:numPr>
        <w:tabs>
          <w:tab w:val="left" w:pos="748"/>
        </w:tabs>
        <w:autoSpaceDE w:val="0"/>
        <w:autoSpaceDN w:val="0"/>
        <w:spacing w:after="0" w:line="240" w:lineRule="auto"/>
        <w:contextualSpacing w:val="0"/>
      </w:pPr>
      <w:r>
        <w:t>Small Purchase</w:t>
      </w:r>
      <w:r w:rsidR="00882442">
        <w:t xml:space="preserve"> (</w:t>
      </w:r>
      <w:proofErr w:type="gramStart"/>
      <w:r w:rsidR="00882442">
        <w:t>2</w:t>
      </w:r>
      <w:proofErr w:type="gramEnd"/>
      <w:r w:rsidR="00882442">
        <w:t xml:space="preserve"> CFR 200.320(b)</w:t>
      </w:r>
      <w:r w:rsidR="00DA5413">
        <w:t>)</w:t>
      </w:r>
      <w:r w:rsidR="00DA3408">
        <w:t xml:space="preserve"> – Up to $1</w:t>
      </w:r>
      <w:r>
        <w:t>50,000.00, school obtains quotes from adequate</w:t>
      </w:r>
      <w:r w:rsidR="002D6726">
        <w:t xml:space="preserve"> (3)</w:t>
      </w:r>
      <w:r>
        <w:t xml:space="preserve"> number of</w:t>
      </w:r>
      <w:r>
        <w:rPr>
          <w:spacing w:val="-19"/>
        </w:rPr>
        <w:t xml:space="preserve"> </w:t>
      </w:r>
      <w:r>
        <w:t>sources</w:t>
      </w:r>
      <w:r w:rsidRPr="002D6726">
        <w:t>.</w:t>
      </w:r>
      <w:r w:rsidR="00DB7F53" w:rsidRPr="002D6726">
        <w:rPr>
          <w:b/>
        </w:rPr>
        <w:t xml:space="preserve"> Please note</w:t>
      </w:r>
      <w:r w:rsidR="002D6726">
        <w:rPr>
          <w:b/>
        </w:rPr>
        <w:t>:</w:t>
      </w:r>
      <w:r w:rsidR="00DB7F53">
        <w:t xml:space="preserve"> O</w:t>
      </w:r>
      <w:r w:rsidR="002D6726">
        <w:t xml:space="preserve">regon is </w:t>
      </w:r>
      <w:r w:rsidR="00DB7F53">
        <w:t xml:space="preserve">more restrictive on small purchases, the threshold is $150,000 unless local is more restrictive. </w:t>
      </w:r>
    </w:p>
    <w:p w14:paraId="3B299147" w14:textId="66700F03" w:rsidR="002D6726" w:rsidRDefault="002D6726" w:rsidP="00FD0133">
      <w:pPr>
        <w:pStyle w:val="ListParagraph"/>
        <w:widowControl w:val="0"/>
        <w:numPr>
          <w:ilvl w:val="0"/>
          <w:numId w:val="18"/>
        </w:numPr>
        <w:tabs>
          <w:tab w:val="left" w:pos="748"/>
        </w:tabs>
        <w:autoSpaceDE w:val="0"/>
        <w:autoSpaceDN w:val="0"/>
        <w:spacing w:before="1" w:after="0" w:line="240" w:lineRule="auto"/>
        <w:contextualSpacing w:val="0"/>
      </w:pPr>
      <w:r>
        <w:t>Formal (required for amounts over $150,000, optional under $150,000)-</w:t>
      </w:r>
    </w:p>
    <w:p w14:paraId="57C88E42" w14:textId="16259749" w:rsidR="00FD0133" w:rsidRDefault="00FD0133" w:rsidP="002D6726">
      <w:pPr>
        <w:pStyle w:val="ListParagraph"/>
        <w:widowControl w:val="0"/>
        <w:numPr>
          <w:ilvl w:val="1"/>
          <w:numId w:val="18"/>
        </w:numPr>
        <w:tabs>
          <w:tab w:val="left" w:pos="748"/>
        </w:tabs>
        <w:autoSpaceDE w:val="0"/>
        <w:autoSpaceDN w:val="0"/>
        <w:spacing w:before="1" w:after="0" w:line="240" w:lineRule="auto"/>
        <w:contextualSpacing w:val="0"/>
      </w:pPr>
      <w:r>
        <w:t>Sealed Bids</w:t>
      </w:r>
      <w:r w:rsidR="00DA5413">
        <w:t xml:space="preserve"> (</w:t>
      </w:r>
      <w:proofErr w:type="gramStart"/>
      <w:r w:rsidR="00DA5413">
        <w:t>2</w:t>
      </w:r>
      <w:proofErr w:type="gramEnd"/>
      <w:r w:rsidR="00DA5413">
        <w:t xml:space="preserve"> CFR 200.320(a))</w:t>
      </w:r>
      <w:r>
        <w:t xml:space="preserve"> – Formally advertised by school, contract awarded to lowest</w:t>
      </w:r>
      <w:r>
        <w:rPr>
          <w:spacing w:val="-5"/>
        </w:rPr>
        <w:t xml:space="preserve"> </w:t>
      </w:r>
      <w:r>
        <w:t>bidder.</w:t>
      </w:r>
    </w:p>
    <w:p w14:paraId="44066DE4" w14:textId="77777777" w:rsidR="00FD0133" w:rsidRDefault="00FD0133" w:rsidP="002D6726">
      <w:pPr>
        <w:pStyle w:val="ListParagraph"/>
        <w:widowControl w:val="0"/>
        <w:numPr>
          <w:ilvl w:val="1"/>
          <w:numId w:val="18"/>
        </w:numPr>
        <w:tabs>
          <w:tab w:val="left" w:pos="748"/>
        </w:tabs>
        <w:autoSpaceDE w:val="0"/>
        <w:autoSpaceDN w:val="0"/>
        <w:spacing w:after="0" w:line="240" w:lineRule="auto"/>
        <w:ind w:right="497"/>
        <w:contextualSpacing w:val="0"/>
      </w:pPr>
      <w:r>
        <w:t>Competitive Proposals</w:t>
      </w:r>
      <w:r w:rsidR="00DA5413">
        <w:t xml:space="preserve"> (</w:t>
      </w:r>
      <w:proofErr w:type="gramStart"/>
      <w:r w:rsidR="00DA5413">
        <w:t>2</w:t>
      </w:r>
      <w:proofErr w:type="gramEnd"/>
      <w:r w:rsidR="00DA5413">
        <w:t xml:space="preserve"> CFR 200.320(d))</w:t>
      </w:r>
      <w:r>
        <w:t xml:space="preserve"> – Formally advertised by school, contract awarded to most advantageous firm with price and other factors</w:t>
      </w:r>
      <w:r>
        <w:rPr>
          <w:spacing w:val="-2"/>
        </w:rPr>
        <w:t xml:space="preserve"> </w:t>
      </w:r>
      <w:r>
        <w:t>considered.</w:t>
      </w:r>
    </w:p>
    <w:p w14:paraId="45B29D98" w14:textId="23D19BAD" w:rsidR="00FD0133" w:rsidRDefault="00FD0133" w:rsidP="00F81BC3">
      <w:pPr>
        <w:pStyle w:val="ListParagraph"/>
        <w:widowControl w:val="0"/>
        <w:numPr>
          <w:ilvl w:val="0"/>
          <w:numId w:val="18"/>
        </w:numPr>
        <w:tabs>
          <w:tab w:val="left" w:pos="748"/>
        </w:tabs>
        <w:autoSpaceDE w:val="0"/>
        <w:autoSpaceDN w:val="0"/>
        <w:spacing w:after="0" w:line="240" w:lineRule="auto"/>
        <w:ind w:right="211"/>
        <w:contextualSpacing w:val="0"/>
      </w:pPr>
      <w:r>
        <w:t>Noncompetitive Proposals</w:t>
      </w:r>
      <w:r w:rsidR="00DA5413">
        <w:t xml:space="preserve"> (</w:t>
      </w:r>
      <w:proofErr w:type="gramStart"/>
      <w:r w:rsidR="00DA5413">
        <w:t>2</w:t>
      </w:r>
      <w:proofErr w:type="gramEnd"/>
      <w:r w:rsidR="00DA5413">
        <w:t xml:space="preserve"> CFR 200.320(f))</w:t>
      </w:r>
      <w:r>
        <w:t xml:space="preserve"> </w:t>
      </w:r>
      <w:r w:rsidR="00F73EB9">
        <w:t>– The</w:t>
      </w:r>
      <w:r w:rsidR="00882442" w:rsidRPr="00882442">
        <w:rPr>
          <w:lang w:val="en"/>
        </w:rPr>
        <w:t xml:space="preserve"> item is available only from a single source</w:t>
      </w:r>
      <w:r w:rsidR="00F73EB9">
        <w:t>, the</w:t>
      </w:r>
      <w:r w:rsidR="00882442" w:rsidRPr="00882442">
        <w:rPr>
          <w:lang w:val="en"/>
        </w:rPr>
        <w:t xml:space="preserve"> public exigency or emergency for the requirement will not permit a delay resulting from </w:t>
      </w:r>
      <w:r w:rsidR="00F73EB9">
        <w:rPr>
          <w:lang w:val="en"/>
        </w:rPr>
        <w:t xml:space="preserve">a </w:t>
      </w:r>
      <w:r w:rsidR="00882442" w:rsidRPr="00882442">
        <w:rPr>
          <w:lang w:val="en"/>
        </w:rPr>
        <w:t>competitive solicitation</w:t>
      </w:r>
      <w:r w:rsidR="00F73EB9">
        <w:t xml:space="preserve">. The </w:t>
      </w:r>
      <w:r>
        <w:t>pass</w:t>
      </w:r>
      <w:r w:rsidR="00F81BC3">
        <w:t xml:space="preserve"> </w:t>
      </w:r>
      <w:r>
        <w:t>through entity</w:t>
      </w:r>
      <w:r w:rsidR="00882442">
        <w:t xml:space="preserve"> </w:t>
      </w:r>
      <w:r w:rsidR="00882442" w:rsidRPr="00882442">
        <w:rPr>
          <w:lang w:val="en"/>
        </w:rPr>
        <w:t xml:space="preserve">expressly authorizes noncompetitive proposals in response to a written request from the </w:t>
      </w:r>
      <w:hyperlink w:history="1">
        <w:r w:rsidR="00882442" w:rsidRPr="00F73EB9">
          <w:rPr>
            <w:rStyle w:val="Hyperlink"/>
            <w:color w:val="auto"/>
            <w:lang w:val="en"/>
          </w:rPr>
          <w:t>non-Federal entity</w:t>
        </w:r>
      </w:hyperlink>
      <w:r w:rsidR="00882442" w:rsidRPr="00F73EB9">
        <w:rPr>
          <w:lang w:val="en"/>
        </w:rPr>
        <w:t>,</w:t>
      </w:r>
      <w:r w:rsidRPr="00F73EB9">
        <w:t xml:space="preserve"> </w:t>
      </w:r>
      <w:r>
        <w:t>or</w:t>
      </w:r>
      <w:r w:rsidR="00882442">
        <w:t xml:space="preserve"> </w:t>
      </w:r>
      <w:r w:rsidR="00882442">
        <w:rPr>
          <w:lang w:val="en"/>
        </w:rPr>
        <w:t>a</w:t>
      </w:r>
      <w:r w:rsidR="00882442" w:rsidRPr="00882442">
        <w:rPr>
          <w:lang w:val="en"/>
        </w:rPr>
        <w:t>fter solicitation of a number of sources, competition is determined inadequate</w:t>
      </w:r>
      <w:r>
        <w:t>.</w:t>
      </w:r>
    </w:p>
    <w:p w14:paraId="3B4E0A99" w14:textId="0D14D086" w:rsidR="00E13FDE" w:rsidRDefault="00E13FDE" w:rsidP="00F81BC3">
      <w:pPr>
        <w:pStyle w:val="ListParagraph"/>
        <w:widowControl w:val="0"/>
        <w:numPr>
          <w:ilvl w:val="0"/>
          <w:numId w:val="18"/>
        </w:numPr>
        <w:tabs>
          <w:tab w:val="left" w:pos="748"/>
        </w:tabs>
        <w:autoSpaceDE w:val="0"/>
        <w:autoSpaceDN w:val="0"/>
        <w:spacing w:after="0" w:line="240" w:lineRule="auto"/>
        <w:ind w:right="211"/>
        <w:contextualSpacing w:val="0"/>
      </w:pPr>
      <w:r>
        <w:t xml:space="preserve">ODE has competitively procured select products through statewide processing price agreements. The agreements can be found on the </w:t>
      </w:r>
      <w:hyperlink r:id="rId11" w:history="1">
        <w:r w:rsidRPr="00E13FDE">
          <w:rPr>
            <w:rStyle w:val="Hyperlink"/>
          </w:rPr>
          <w:t>ODE Statewide Processing Agreements webpage</w:t>
        </w:r>
      </w:hyperlink>
      <w:r>
        <w:t>. RA’s can connect to these agreements by issuing a PO or Memorandum of Understanding</w:t>
      </w:r>
      <w:r w:rsidR="002D6726">
        <w:t xml:space="preserve"> without going through their own procurement process</w:t>
      </w:r>
      <w:r>
        <w:t xml:space="preserve">. Processor must honor </w:t>
      </w:r>
      <w:r w:rsidR="002D6726">
        <w:t xml:space="preserve">stated pricing and shipping cost. </w:t>
      </w:r>
      <w:r>
        <w:t xml:space="preserve"> </w:t>
      </w:r>
    </w:p>
    <w:p w14:paraId="70549AEB" w14:textId="77777777" w:rsidR="0083582F" w:rsidRDefault="0083582F" w:rsidP="00FD0133">
      <w:pPr>
        <w:pStyle w:val="BodyText"/>
        <w:ind w:left="388" w:right="115"/>
      </w:pPr>
    </w:p>
    <w:p w14:paraId="78C82D3E" w14:textId="77777777" w:rsidR="00FD0133" w:rsidRDefault="00814DC8" w:rsidP="00814DC8">
      <w:pPr>
        <w:pStyle w:val="Heading1"/>
        <w:keepNext w:val="0"/>
        <w:keepLines w:val="0"/>
        <w:widowControl w:val="0"/>
        <w:tabs>
          <w:tab w:val="left" w:pos="1109"/>
        </w:tabs>
        <w:autoSpaceDE w:val="0"/>
        <w:autoSpaceDN w:val="0"/>
        <w:spacing w:before="0" w:after="0" w:line="240" w:lineRule="auto"/>
        <w:ind w:left="180"/>
        <w:contextualSpacing w:val="0"/>
      </w:pPr>
      <w:r>
        <w:t xml:space="preserve">(k) </w:t>
      </w:r>
      <w:r w:rsidR="00FD0133">
        <w:t xml:space="preserve">Evaluating prices of </w:t>
      </w:r>
      <w:proofErr w:type="gramStart"/>
      <w:r w:rsidR="00FD0133">
        <w:t>end</w:t>
      </w:r>
      <w:r w:rsidR="00FD0133">
        <w:rPr>
          <w:spacing w:val="-6"/>
        </w:rPr>
        <w:t xml:space="preserve"> </w:t>
      </w:r>
      <w:r w:rsidR="00FD0133">
        <w:t>products</w:t>
      </w:r>
      <w:proofErr w:type="gramEnd"/>
      <w:r w:rsidR="00FD0133">
        <w:t>.</w:t>
      </w:r>
    </w:p>
    <w:p w14:paraId="327C97BD" w14:textId="77777777" w:rsidR="00FD0133" w:rsidRDefault="00FD0133" w:rsidP="009E42BF">
      <w:pPr>
        <w:pStyle w:val="BodyText"/>
        <w:spacing w:before="3"/>
        <w:ind w:left="180"/>
      </w:pPr>
      <w:r>
        <w:t>Example A. If buying directly from USDA processors, schools could evaluate prices like this:</w:t>
      </w:r>
    </w:p>
    <w:p w14:paraId="70D5FD02" w14:textId="77777777" w:rsidR="00FD0133" w:rsidRDefault="00FD0133" w:rsidP="00FD0133">
      <w:pPr>
        <w:pStyle w:val="BodyText"/>
        <w:spacing w:before="7"/>
        <w:rPr>
          <w:sz w:val="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6"/>
        <w:gridCol w:w="2182"/>
        <w:gridCol w:w="2175"/>
        <w:gridCol w:w="2226"/>
      </w:tblGrid>
      <w:tr w:rsidR="00FD0133" w14:paraId="08AEF003" w14:textId="77777777" w:rsidTr="00F33449">
        <w:trPr>
          <w:trHeight w:val="287"/>
        </w:trPr>
        <w:tc>
          <w:tcPr>
            <w:tcW w:w="2866" w:type="dxa"/>
          </w:tcPr>
          <w:p w14:paraId="5C581D47" w14:textId="77777777" w:rsidR="00FD0133" w:rsidRDefault="00FD0133" w:rsidP="00F33449">
            <w:pPr>
              <w:pStyle w:val="TableParagraph"/>
              <w:ind w:left="158"/>
            </w:pPr>
            <w:r>
              <w:t>Specified item X</w:t>
            </w:r>
          </w:p>
        </w:tc>
        <w:tc>
          <w:tcPr>
            <w:tcW w:w="2182" w:type="dxa"/>
          </w:tcPr>
          <w:p w14:paraId="3B6807D5" w14:textId="77777777" w:rsidR="00FD0133" w:rsidRDefault="00FD0133" w:rsidP="00F33449">
            <w:pPr>
              <w:pStyle w:val="TableParagraph"/>
              <w:ind w:left="158"/>
            </w:pPr>
            <w:r>
              <w:t>Processor A</w:t>
            </w:r>
          </w:p>
        </w:tc>
        <w:tc>
          <w:tcPr>
            <w:tcW w:w="2175" w:type="dxa"/>
          </w:tcPr>
          <w:p w14:paraId="21014475" w14:textId="77777777" w:rsidR="00FD0133" w:rsidRDefault="00FD0133" w:rsidP="00F33449">
            <w:pPr>
              <w:pStyle w:val="TableParagraph"/>
              <w:ind w:left="158"/>
            </w:pPr>
            <w:r>
              <w:t>Processor B</w:t>
            </w:r>
          </w:p>
        </w:tc>
        <w:tc>
          <w:tcPr>
            <w:tcW w:w="2226" w:type="dxa"/>
          </w:tcPr>
          <w:p w14:paraId="48ABFA52" w14:textId="77777777" w:rsidR="00FD0133" w:rsidRDefault="00FD0133" w:rsidP="00F33449">
            <w:pPr>
              <w:pStyle w:val="TableParagraph"/>
              <w:ind w:left="158"/>
            </w:pPr>
            <w:r>
              <w:t>Processor C</w:t>
            </w:r>
          </w:p>
        </w:tc>
      </w:tr>
      <w:tr w:rsidR="00FD0133" w14:paraId="0232DCF2" w14:textId="77777777" w:rsidTr="00F33449">
        <w:trPr>
          <w:trHeight w:val="287"/>
        </w:trPr>
        <w:tc>
          <w:tcPr>
            <w:tcW w:w="2866" w:type="dxa"/>
          </w:tcPr>
          <w:p w14:paraId="3A3A5CDC" w14:textId="77777777" w:rsidR="00FD0133" w:rsidRDefault="00FD0133" w:rsidP="00F33449">
            <w:pPr>
              <w:pStyle w:val="TableParagraph"/>
              <w:ind w:left="158"/>
            </w:pPr>
            <w:r>
              <w:t>Commercial price</w:t>
            </w:r>
          </w:p>
        </w:tc>
        <w:tc>
          <w:tcPr>
            <w:tcW w:w="2182" w:type="dxa"/>
          </w:tcPr>
          <w:p w14:paraId="6C093F7B" w14:textId="77777777" w:rsidR="00FD0133" w:rsidRDefault="00FD0133" w:rsidP="00F33449">
            <w:pPr>
              <w:pStyle w:val="TableParagraph"/>
            </w:pPr>
            <w:r>
              <w:t>$45.00/case</w:t>
            </w:r>
          </w:p>
        </w:tc>
        <w:tc>
          <w:tcPr>
            <w:tcW w:w="2175" w:type="dxa"/>
          </w:tcPr>
          <w:p w14:paraId="39D5508A" w14:textId="77777777" w:rsidR="00FD0133" w:rsidRDefault="00FD0133" w:rsidP="00F33449">
            <w:pPr>
              <w:pStyle w:val="TableParagraph"/>
            </w:pPr>
            <w:r>
              <w:t>$51.00/case</w:t>
            </w:r>
          </w:p>
        </w:tc>
        <w:tc>
          <w:tcPr>
            <w:tcW w:w="2226" w:type="dxa"/>
          </w:tcPr>
          <w:p w14:paraId="477F858A" w14:textId="77777777" w:rsidR="00FD0133" w:rsidRDefault="00FD0133" w:rsidP="00F33449">
            <w:pPr>
              <w:pStyle w:val="TableParagraph"/>
            </w:pPr>
            <w:r>
              <w:t>$40.00/case</w:t>
            </w:r>
          </w:p>
        </w:tc>
      </w:tr>
      <w:tr w:rsidR="00FD0133" w14:paraId="19E6EFE4" w14:textId="77777777" w:rsidTr="00F33449">
        <w:trPr>
          <w:trHeight w:val="290"/>
        </w:trPr>
        <w:tc>
          <w:tcPr>
            <w:tcW w:w="2866" w:type="dxa"/>
          </w:tcPr>
          <w:p w14:paraId="7452F346" w14:textId="77777777" w:rsidR="00FD0133" w:rsidRDefault="00FD0133" w:rsidP="00F33449">
            <w:pPr>
              <w:pStyle w:val="TableParagraph"/>
              <w:spacing w:line="268" w:lineRule="exact"/>
              <w:ind w:left="158"/>
            </w:pPr>
            <w:r>
              <w:t>DF discount or rebate</w:t>
            </w:r>
          </w:p>
        </w:tc>
        <w:tc>
          <w:tcPr>
            <w:tcW w:w="2182" w:type="dxa"/>
          </w:tcPr>
          <w:p w14:paraId="2D4BA996" w14:textId="77777777" w:rsidR="00FD0133" w:rsidRDefault="00FD0133" w:rsidP="00F33449">
            <w:pPr>
              <w:pStyle w:val="TableParagraph"/>
              <w:spacing w:line="268" w:lineRule="exact"/>
            </w:pPr>
            <w:r>
              <w:t>$(10.00)/case</w:t>
            </w:r>
          </w:p>
        </w:tc>
        <w:tc>
          <w:tcPr>
            <w:tcW w:w="2175" w:type="dxa"/>
          </w:tcPr>
          <w:p w14:paraId="4AB5B24A" w14:textId="77777777" w:rsidR="00FD0133" w:rsidRDefault="00FD0133" w:rsidP="00F33449">
            <w:pPr>
              <w:pStyle w:val="TableParagraph"/>
              <w:spacing w:line="268" w:lineRule="exact"/>
            </w:pPr>
            <w:r>
              <w:t>$(15.00)/case</w:t>
            </w:r>
          </w:p>
        </w:tc>
        <w:tc>
          <w:tcPr>
            <w:tcW w:w="2226" w:type="dxa"/>
          </w:tcPr>
          <w:p w14:paraId="37858FB5" w14:textId="77777777" w:rsidR="00FD0133" w:rsidRDefault="00FD0133" w:rsidP="00F33449">
            <w:pPr>
              <w:pStyle w:val="TableParagraph"/>
              <w:spacing w:line="268" w:lineRule="exact"/>
            </w:pPr>
            <w:r>
              <w:t>$(10.00)/case</w:t>
            </w:r>
          </w:p>
        </w:tc>
      </w:tr>
      <w:tr w:rsidR="00FD0133" w14:paraId="46C81DAE" w14:textId="77777777" w:rsidTr="00F33449">
        <w:trPr>
          <w:trHeight w:val="287"/>
        </w:trPr>
        <w:tc>
          <w:tcPr>
            <w:tcW w:w="2866" w:type="dxa"/>
          </w:tcPr>
          <w:p w14:paraId="4B8DCF33" w14:textId="77777777" w:rsidR="00FD0133" w:rsidRDefault="00FD0133" w:rsidP="00F33449">
            <w:pPr>
              <w:pStyle w:val="TableParagraph"/>
              <w:ind w:left="158"/>
            </w:pPr>
            <w:r>
              <w:t>Net price</w:t>
            </w:r>
          </w:p>
        </w:tc>
        <w:tc>
          <w:tcPr>
            <w:tcW w:w="2182" w:type="dxa"/>
          </w:tcPr>
          <w:p w14:paraId="1A52BB69" w14:textId="77777777" w:rsidR="00FD0133" w:rsidRDefault="00FD0133" w:rsidP="00F33449">
            <w:pPr>
              <w:pStyle w:val="TableParagraph"/>
            </w:pPr>
            <w:r>
              <w:t>$35.00/case</w:t>
            </w:r>
          </w:p>
        </w:tc>
        <w:tc>
          <w:tcPr>
            <w:tcW w:w="2175" w:type="dxa"/>
          </w:tcPr>
          <w:p w14:paraId="72EC637D" w14:textId="77777777" w:rsidR="00FD0133" w:rsidRDefault="00FD0133" w:rsidP="00F33449">
            <w:pPr>
              <w:pStyle w:val="TableParagraph"/>
            </w:pPr>
            <w:r>
              <w:t>$36.00/case</w:t>
            </w:r>
          </w:p>
        </w:tc>
        <w:tc>
          <w:tcPr>
            <w:tcW w:w="2226" w:type="dxa"/>
          </w:tcPr>
          <w:p w14:paraId="71B1A306" w14:textId="77777777" w:rsidR="00FD0133" w:rsidRDefault="00FD0133" w:rsidP="00F33449">
            <w:pPr>
              <w:pStyle w:val="TableParagraph"/>
            </w:pPr>
            <w:r>
              <w:t>$30.00/case</w:t>
            </w:r>
          </w:p>
        </w:tc>
      </w:tr>
      <w:tr w:rsidR="00FD0133" w14:paraId="5D0903B9" w14:textId="77777777" w:rsidTr="00F33449">
        <w:trPr>
          <w:trHeight w:val="287"/>
        </w:trPr>
        <w:tc>
          <w:tcPr>
            <w:tcW w:w="2866" w:type="dxa"/>
          </w:tcPr>
          <w:p w14:paraId="062789D6" w14:textId="77777777" w:rsidR="00FD0133" w:rsidRDefault="00FD0133" w:rsidP="00F33449">
            <w:pPr>
              <w:pStyle w:val="TableParagraph"/>
              <w:ind w:left="158"/>
            </w:pPr>
            <w:r>
              <w:t>CN servings per case</w:t>
            </w:r>
          </w:p>
        </w:tc>
        <w:tc>
          <w:tcPr>
            <w:tcW w:w="2182" w:type="dxa"/>
          </w:tcPr>
          <w:p w14:paraId="35DF8041" w14:textId="77777777" w:rsidR="00FD0133" w:rsidRDefault="00FD0133" w:rsidP="00F33449">
            <w:pPr>
              <w:pStyle w:val="TableParagraph"/>
            </w:pPr>
            <w:r>
              <w:t>100</w:t>
            </w:r>
          </w:p>
        </w:tc>
        <w:tc>
          <w:tcPr>
            <w:tcW w:w="2175" w:type="dxa"/>
          </w:tcPr>
          <w:p w14:paraId="5A480937" w14:textId="77777777" w:rsidR="00FD0133" w:rsidRDefault="00FD0133" w:rsidP="00F33449">
            <w:pPr>
              <w:pStyle w:val="TableParagraph"/>
            </w:pPr>
            <w:r>
              <w:t>120</w:t>
            </w:r>
          </w:p>
        </w:tc>
        <w:tc>
          <w:tcPr>
            <w:tcW w:w="2226" w:type="dxa"/>
          </w:tcPr>
          <w:p w14:paraId="18966763" w14:textId="77777777" w:rsidR="00FD0133" w:rsidRDefault="00FD0133" w:rsidP="00F33449">
            <w:pPr>
              <w:pStyle w:val="TableParagraph"/>
            </w:pPr>
            <w:r>
              <w:t>85</w:t>
            </w:r>
          </w:p>
        </w:tc>
      </w:tr>
      <w:tr w:rsidR="00FD0133" w14:paraId="19748E89" w14:textId="77777777" w:rsidTr="00F33449">
        <w:trPr>
          <w:trHeight w:val="287"/>
        </w:trPr>
        <w:tc>
          <w:tcPr>
            <w:tcW w:w="2866" w:type="dxa"/>
          </w:tcPr>
          <w:p w14:paraId="3DE0CA57" w14:textId="77777777" w:rsidR="00FD0133" w:rsidRDefault="00FD0133" w:rsidP="00F33449">
            <w:pPr>
              <w:pStyle w:val="TableParagraph"/>
              <w:ind w:left="158"/>
            </w:pPr>
            <w:r>
              <w:t>$ per serving</w:t>
            </w:r>
          </w:p>
        </w:tc>
        <w:tc>
          <w:tcPr>
            <w:tcW w:w="2182" w:type="dxa"/>
          </w:tcPr>
          <w:p w14:paraId="73BF484A" w14:textId="77777777" w:rsidR="00FD0133" w:rsidRDefault="00FD0133" w:rsidP="00F33449">
            <w:pPr>
              <w:pStyle w:val="TableParagraph"/>
            </w:pPr>
            <w:r>
              <w:t>$0.45 ($45/100)</w:t>
            </w:r>
          </w:p>
        </w:tc>
        <w:tc>
          <w:tcPr>
            <w:tcW w:w="2175" w:type="dxa"/>
          </w:tcPr>
          <w:p w14:paraId="0C45332D" w14:textId="77777777" w:rsidR="00FD0133" w:rsidRDefault="00FD0133" w:rsidP="00F33449">
            <w:pPr>
              <w:pStyle w:val="TableParagraph"/>
            </w:pPr>
            <w:r>
              <w:t>$0.425 ($51/120)</w:t>
            </w:r>
          </w:p>
        </w:tc>
        <w:tc>
          <w:tcPr>
            <w:tcW w:w="2226" w:type="dxa"/>
          </w:tcPr>
          <w:p w14:paraId="55C8F53A" w14:textId="77777777" w:rsidR="00FD0133" w:rsidRDefault="00FD0133" w:rsidP="00F33449">
            <w:pPr>
              <w:pStyle w:val="TableParagraph"/>
            </w:pPr>
            <w:r>
              <w:t>$0.47 ($40/85)</w:t>
            </w:r>
          </w:p>
        </w:tc>
      </w:tr>
    </w:tbl>
    <w:p w14:paraId="278CD6CB" w14:textId="77777777" w:rsidR="00FD0133" w:rsidRDefault="00FD0133" w:rsidP="00FD0133">
      <w:pPr>
        <w:pStyle w:val="BodyText"/>
        <w:ind w:left="388"/>
      </w:pPr>
      <w:r>
        <w:t>Processor B has the lowest price per serving in this example.</w:t>
      </w:r>
    </w:p>
    <w:p w14:paraId="6118E5FD" w14:textId="77777777" w:rsidR="00FD0133" w:rsidRDefault="00FD0133" w:rsidP="00FD0133">
      <w:pPr>
        <w:pStyle w:val="BodyText"/>
        <w:spacing w:before="79"/>
        <w:ind w:left="388"/>
      </w:pPr>
      <w:r>
        <w:t>Example B. If buying through distribution, schools could evaluate prices like this:</w:t>
      </w:r>
    </w:p>
    <w:p w14:paraId="133BF640" w14:textId="77777777" w:rsidR="00FD0133" w:rsidRDefault="00FD0133" w:rsidP="00FD0133">
      <w:pPr>
        <w:pStyle w:val="BodyText"/>
        <w:spacing w:before="9"/>
        <w:rPr>
          <w:sz w:val="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2161"/>
        <w:gridCol w:w="2161"/>
        <w:gridCol w:w="2252"/>
      </w:tblGrid>
      <w:tr w:rsidR="00FD0133" w14:paraId="4B83E05E" w14:textId="77777777" w:rsidTr="00F33449">
        <w:trPr>
          <w:trHeight w:val="578"/>
        </w:trPr>
        <w:tc>
          <w:tcPr>
            <w:tcW w:w="2876" w:type="dxa"/>
          </w:tcPr>
          <w:p w14:paraId="7E62B8D5" w14:textId="77777777" w:rsidR="00FD0133" w:rsidRDefault="00FD0133" w:rsidP="00F33449">
            <w:pPr>
              <w:pStyle w:val="TableParagraph"/>
            </w:pPr>
            <w:r>
              <w:t>Specified item Y (brand A or</w:t>
            </w:r>
          </w:p>
          <w:p w14:paraId="2C59BD70" w14:textId="77777777" w:rsidR="00FD0133" w:rsidRDefault="00FD0133" w:rsidP="00F33449">
            <w:pPr>
              <w:pStyle w:val="TableParagraph"/>
              <w:spacing w:before="22" w:line="240" w:lineRule="auto"/>
            </w:pPr>
            <w:r>
              <w:t>equivalent)</w:t>
            </w:r>
          </w:p>
        </w:tc>
        <w:tc>
          <w:tcPr>
            <w:tcW w:w="2161" w:type="dxa"/>
          </w:tcPr>
          <w:p w14:paraId="09C5477C" w14:textId="77777777" w:rsidR="00FD0133" w:rsidRDefault="00FD0133" w:rsidP="00F33449">
            <w:pPr>
              <w:pStyle w:val="TableParagraph"/>
            </w:pPr>
            <w:r>
              <w:t>Distributor A</w:t>
            </w:r>
          </w:p>
          <w:p w14:paraId="705412B2" w14:textId="77777777" w:rsidR="00FD0133" w:rsidRDefault="00FD0133" w:rsidP="00F33449">
            <w:pPr>
              <w:pStyle w:val="TableParagraph"/>
              <w:spacing w:before="22" w:line="240" w:lineRule="auto"/>
            </w:pPr>
            <w:r>
              <w:t>(equivalent brand B)</w:t>
            </w:r>
          </w:p>
        </w:tc>
        <w:tc>
          <w:tcPr>
            <w:tcW w:w="2161" w:type="dxa"/>
          </w:tcPr>
          <w:p w14:paraId="645E2EC6" w14:textId="77777777" w:rsidR="00FD0133" w:rsidRDefault="00FD0133" w:rsidP="00F33449">
            <w:pPr>
              <w:pStyle w:val="TableParagraph"/>
            </w:pPr>
            <w:r>
              <w:t>Distributor B</w:t>
            </w:r>
          </w:p>
          <w:p w14:paraId="0C35425E" w14:textId="77777777" w:rsidR="00FD0133" w:rsidRDefault="00FD0133" w:rsidP="00F33449">
            <w:pPr>
              <w:pStyle w:val="TableParagraph"/>
              <w:spacing w:before="22" w:line="240" w:lineRule="auto"/>
            </w:pPr>
            <w:r>
              <w:t>(brand A)</w:t>
            </w:r>
          </w:p>
        </w:tc>
        <w:tc>
          <w:tcPr>
            <w:tcW w:w="2252" w:type="dxa"/>
          </w:tcPr>
          <w:p w14:paraId="723FBADB" w14:textId="77777777" w:rsidR="00FD0133" w:rsidRDefault="00F81BC3" w:rsidP="00F33449">
            <w:pPr>
              <w:pStyle w:val="TableParagraph"/>
              <w:ind w:left="106"/>
            </w:pPr>
            <w:r>
              <w:t>Distributor C</w:t>
            </w:r>
          </w:p>
          <w:p w14:paraId="11F051EE" w14:textId="77777777" w:rsidR="00FD0133" w:rsidRDefault="00FD0133" w:rsidP="00F33449">
            <w:pPr>
              <w:pStyle w:val="TableParagraph"/>
              <w:spacing w:before="22" w:line="240" w:lineRule="auto"/>
              <w:ind w:left="106"/>
            </w:pPr>
            <w:r>
              <w:t>(brand A)</w:t>
            </w:r>
          </w:p>
        </w:tc>
      </w:tr>
      <w:tr w:rsidR="00FD0133" w14:paraId="50C5D482" w14:textId="77777777" w:rsidTr="00F33449">
        <w:trPr>
          <w:trHeight w:val="290"/>
        </w:trPr>
        <w:tc>
          <w:tcPr>
            <w:tcW w:w="2876" w:type="dxa"/>
          </w:tcPr>
          <w:p w14:paraId="1D4345E0" w14:textId="77777777" w:rsidR="00FD0133" w:rsidRDefault="00FD0133" w:rsidP="00F33449">
            <w:pPr>
              <w:pStyle w:val="TableParagraph"/>
              <w:spacing w:line="268" w:lineRule="exact"/>
            </w:pPr>
            <w:r>
              <w:t>Commercial price</w:t>
            </w:r>
          </w:p>
        </w:tc>
        <w:tc>
          <w:tcPr>
            <w:tcW w:w="2161" w:type="dxa"/>
          </w:tcPr>
          <w:p w14:paraId="38DC600B" w14:textId="77777777" w:rsidR="00FD0133" w:rsidRDefault="00FD0133" w:rsidP="00F33449">
            <w:pPr>
              <w:pStyle w:val="TableParagraph"/>
              <w:spacing w:line="268" w:lineRule="exact"/>
            </w:pPr>
            <w:r>
              <w:t>$30.00/case</w:t>
            </w:r>
          </w:p>
        </w:tc>
        <w:tc>
          <w:tcPr>
            <w:tcW w:w="2161" w:type="dxa"/>
          </w:tcPr>
          <w:p w14:paraId="795D4C47" w14:textId="77777777" w:rsidR="00FD0133" w:rsidRDefault="00FD0133" w:rsidP="00F33449">
            <w:pPr>
              <w:pStyle w:val="TableParagraph"/>
              <w:spacing w:line="268" w:lineRule="exact"/>
            </w:pPr>
            <w:r>
              <w:t>$29.50/case</w:t>
            </w:r>
          </w:p>
        </w:tc>
        <w:tc>
          <w:tcPr>
            <w:tcW w:w="2252" w:type="dxa"/>
          </w:tcPr>
          <w:p w14:paraId="0B44282C" w14:textId="77777777" w:rsidR="00FD0133" w:rsidRDefault="00FD0133" w:rsidP="00F33449">
            <w:pPr>
              <w:pStyle w:val="TableParagraph"/>
              <w:spacing w:line="268" w:lineRule="exact"/>
              <w:ind w:left="106"/>
            </w:pPr>
            <w:r>
              <w:t>$30.00/case</w:t>
            </w:r>
          </w:p>
        </w:tc>
      </w:tr>
      <w:tr w:rsidR="00FD0133" w14:paraId="057CAB52" w14:textId="77777777" w:rsidTr="00F33449">
        <w:trPr>
          <w:trHeight w:val="537"/>
        </w:trPr>
        <w:tc>
          <w:tcPr>
            <w:tcW w:w="2876" w:type="dxa"/>
          </w:tcPr>
          <w:p w14:paraId="507665BA" w14:textId="77777777" w:rsidR="00FD0133" w:rsidRDefault="00FD0133" w:rsidP="00F33449">
            <w:pPr>
              <w:pStyle w:val="TableParagraph"/>
            </w:pPr>
            <w:r>
              <w:t>DF discount or rebate (as</w:t>
            </w:r>
          </w:p>
          <w:p w14:paraId="69297CFD" w14:textId="77777777" w:rsidR="00FD0133" w:rsidRDefault="00FD0133" w:rsidP="00F33449">
            <w:pPr>
              <w:pStyle w:val="TableParagraph"/>
              <w:spacing w:line="252" w:lineRule="exact"/>
            </w:pPr>
            <w:r>
              <w:t>applicable)</w:t>
            </w:r>
          </w:p>
        </w:tc>
        <w:tc>
          <w:tcPr>
            <w:tcW w:w="2161" w:type="dxa"/>
          </w:tcPr>
          <w:p w14:paraId="77ACEFBE" w14:textId="77777777" w:rsidR="00FD0133" w:rsidRDefault="00FD0133" w:rsidP="00F33449">
            <w:pPr>
              <w:pStyle w:val="TableParagraph"/>
            </w:pPr>
            <w:r>
              <w:t>USDA processing not</w:t>
            </w:r>
          </w:p>
          <w:p w14:paraId="40763333" w14:textId="77777777" w:rsidR="00FD0133" w:rsidRDefault="00FD0133" w:rsidP="00F33449">
            <w:pPr>
              <w:pStyle w:val="TableParagraph"/>
              <w:spacing w:line="252" w:lineRule="exact"/>
            </w:pPr>
            <w:r>
              <w:t>involved</w:t>
            </w:r>
          </w:p>
        </w:tc>
        <w:tc>
          <w:tcPr>
            <w:tcW w:w="2161" w:type="dxa"/>
          </w:tcPr>
          <w:p w14:paraId="11970A04" w14:textId="77777777" w:rsidR="00FD0133" w:rsidRDefault="00FD0133" w:rsidP="00F33449">
            <w:pPr>
              <w:pStyle w:val="TableParagraph"/>
            </w:pPr>
            <w:r>
              <w:t>$(10.00)/case</w:t>
            </w:r>
          </w:p>
          <w:p w14:paraId="6A67F0CD" w14:textId="77777777" w:rsidR="00FD0133" w:rsidRDefault="00FD0133" w:rsidP="00F33449">
            <w:pPr>
              <w:pStyle w:val="TableParagraph"/>
              <w:spacing w:line="252" w:lineRule="exact"/>
            </w:pPr>
            <w:r>
              <w:t>(rebate)</w:t>
            </w:r>
          </w:p>
        </w:tc>
        <w:tc>
          <w:tcPr>
            <w:tcW w:w="2252" w:type="dxa"/>
          </w:tcPr>
          <w:p w14:paraId="308DCEE7" w14:textId="77777777" w:rsidR="00FD0133" w:rsidRDefault="00FD0133" w:rsidP="00F33449">
            <w:pPr>
              <w:pStyle w:val="TableParagraph"/>
              <w:ind w:left="106"/>
            </w:pPr>
            <w:r>
              <w:t>$(10.00)/case</w:t>
            </w:r>
          </w:p>
          <w:p w14:paraId="4B473302" w14:textId="77777777" w:rsidR="00FD0133" w:rsidRDefault="00FD0133" w:rsidP="00F33449">
            <w:pPr>
              <w:pStyle w:val="TableParagraph"/>
              <w:spacing w:line="252" w:lineRule="exact"/>
              <w:ind w:left="106"/>
            </w:pPr>
            <w:r>
              <w:t>(discount)</w:t>
            </w:r>
          </w:p>
        </w:tc>
      </w:tr>
      <w:tr w:rsidR="00FD0133" w14:paraId="4ED1490D" w14:textId="77777777" w:rsidTr="00F33449">
        <w:trPr>
          <w:trHeight w:val="287"/>
        </w:trPr>
        <w:tc>
          <w:tcPr>
            <w:tcW w:w="2876" w:type="dxa"/>
          </w:tcPr>
          <w:p w14:paraId="1AC5293B" w14:textId="77777777" w:rsidR="00FD0133" w:rsidRDefault="00FD0133" w:rsidP="00F33449">
            <w:pPr>
              <w:pStyle w:val="TableParagraph"/>
            </w:pPr>
            <w:r>
              <w:t>Net price</w:t>
            </w:r>
          </w:p>
        </w:tc>
        <w:tc>
          <w:tcPr>
            <w:tcW w:w="2161" w:type="dxa"/>
          </w:tcPr>
          <w:p w14:paraId="18CB7801" w14:textId="77777777" w:rsidR="00FD0133" w:rsidRDefault="00FD0133" w:rsidP="00F33449">
            <w:pPr>
              <w:pStyle w:val="TableParagraph"/>
            </w:pPr>
            <w:r>
              <w:t>$30.00/case</w:t>
            </w:r>
          </w:p>
        </w:tc>
        <w:tc>
          <w:tcPr>
            <w:tcW w:w="2161" w:type="dxa"/>
          </w:tcPr>
          <w:p w14:paraId="50C78159" w14:textId="77777777" w:rsidR="00FD0133" w:rsidRDefault="00FD0133" w:rsidP="00F33449">
            <w:pPr>
              <w:pStyle w:val="TableParagraph"/>
            </w:pPr>
            <w:r>
              <w:t>$19.50/case</w:t>
            </w:r>
          </w:p>
        </w:tc>
        <w:tc>
          <w:tcPr>
            <w:tcW w:w="2252" w:type="dxa"/>
          </w:tcPr>
          <w:p w14:paraId="10BA1C03" w14:textId="77777777" w:rsidR="00FD0133" w:rsidRDefault="00FD0133" w:rsidP="00F33449">
            <w:pPr>
              <w:pStyle w:val="TableParagraph"/>
              <w:ind w:left="106"/>
            </w:pPr>
            <w:r>
              <w:t>$20.00/case</w:t>
            </w:r>
          </w:p>
        </w:tc>
      </w:tr>
      <w:tr w:rsidR="00FD0133" w14:paraId="129D9000" w14:textId="77777777" w:rsidTr="00F33449">
        <w:trPr>
          <w:trHeight w:val="287"/>
        </w:trPr>
        <w:tc>
          <w:tcPr>
            <w:tcW w:w="2876" w:type="dxa"/>
          </w:tcPr>
          <w:p w14:paraId="4DEC46C5" w14:textId="77777777" w:rsidR="00FD0133" w:rsidRDefault="00FD0133" w:rsidP="00F33449">
            <w:pPr>
              <w:pStyle w:val="TableParagraph"/>
            </w:pPr>
            <w:r>
              <w:t>CN servings per case</w:t>
            </w:r>
          </w:p>
        </w:tc>
        <w:tc>
          <w:tcPr>
            <w:tcW w:w="2161" w:type="dxa"/>
          </w:tcPr>
          <w:p w14:paraId="7C63E59B" w14:textId="77777777" w:rsidR="00FD0133" w:rsidRDefault="00FD0133" w:rsidP="00F33449">
            <w:pPr>
              <w:pStyle w:val="TableParagraph"/>
            </w:pPr>
            <w:r>
              <w:t>120</w:t>
            </w:r>
          </w:p>
        </w:tc>
        <w:tc>
          <w:tcPr>
            <w:tcW w:w="2161" w:type="dxa"/>
          </w:tcPr>
          <w:p w14:paraId="1F6C56AF" w14:textId="77777777" w:rsidR="00FD0133" w:rsidRDefault="00FD0133" w:rsidP="00F33449">
            <w:pPr>
              <w:pStyle w:val="TableParagraph"/>
            </w:pPr>
            <w:r>
              <w:t>120</w:t>
            </w:r>
          </w:p>
        </w:tc>
        <w:tc>
          <w:tcPr>
            <w:tcW w:w="2252" w:type="dxa"/>
          </w:tcPr>
          <w:p w14:paraId="1A46364B" w14:textId="77777777" w:rsidR="00FD0133" w:rsidRDefault="00FD0133" w:rsidP="00F33449">
            <w:pPr>
              <w:pStyle w:val="TableParagraph"/>
              <w:ind w:left="106"/>
            </w:pPr>
            <w:r>
              <w:t>120</w:t>
            </w:r>
          </w:p>
        </w:tc>
      </w:tr>
      <w:tr w:rsidR="00FD0133" w14:paraId="179163B0" w14:textId="77777777" w:rsidTr="00F33449">
        <w:trPr>
          <w:trHeight w:val="287"/>
        </w:trPr>
        <w:tc>
          <w:tcPr>
            <w:tcW w:w="2876" w:type="dxa"/>
          </w:tcPr>
          <w:p w14:paraId="41A9FEAE" w14:textId="77777777" w:rsidR="00FD0133" w:rsidRDefault="00FD0133" w:rsidP="00F33449">
            <w:pPr>
              <w:pStyle w:val="TableParagraph"/>
            </w:pPr>
            <w:r>
              <w:t>$ per serving</w:t>
            </w:r>
          </w:p>
        </w:tc>
        <w:tc>
          <w:tcPr>
            <w:tcW w:w="2161" w:type="dxa"/>
          </w:tcPr>
          <w:p w14:paraId="319C3945" w14:textId="77777777" w:rsidR="00FD0133" w:rsidRDefault="00FD0133" w:rsidP="00F33449">
            <w:pPr>
              <w:pStyle w:val="TableParagraph"/>
            </w:pPr>
            <w:r>
              <w:t>$0.25 ($30/120)</w:t>
            </w:r>
          </w:p>
        </w:tc>
        <w:tc>
          <w:tcPr>
            <w:tcW w:w="2161" w:type="dxa"/>
          </w:tcPr>
          <w:p w14:paraId="514DE0A9" w14:textId="77777777" w:rsidR="00FD0133" w:rsidRDefault="00FD0133" w:rsidP="00F33449">
            <w:pPr>
              <w:pStyle w:val="TableParagraph"/>
            </w:pPr>
            <w:r>
              <w:t>$0.246 ($29.50/120)</w:t>
            </w:r>
          </w:p>
        </w:tc>
        <w:tc>
          <w:tcPr>
            <w:tcW w:w="2252" w:type="dxa"/>
          </w:tcPr>
          <w:p w14:paraId="33B09002" w14:textId="77777777" w:rsidR="00FD0133" w:rsidRDefault="00FD0133" w:rsidP="00F33449">
            <w:pPr>
              <w:pStyle w:val="TableParagraph"/>
              <w:ind w:left="106"/>
            </w:pPr>
            <w:r>
              <w:t>$0.25 ($30/120)</w:t>
            </w:r>
          </w:p>
        </w:tc>
      </w:tr>
    </w:tbl>
    <w:p w14:paraId="3FAA0AF0" w14:textId="77777777" w:rsidR="00FD0133" w:rsidRDefault="00FD0133" w:rsidP="00FD0133">
      <w:pPr>
        <w:pStyle w:val="BodyText"/>
        <w:ind w:left="388"/>
      </w:pPr>
      <w:r>
        <w:t>Distributor B has the lowest price per serving in this example.</w:t>
      </w:r>
    </w:p>
    <w:p w14:paraId="79727545" w14:textId="77777777" w:rsidR="00FD0133" w:rsidRDefault="00FD0133" w:rsidP="00FD0133">
      <w:pPr>
        <w:pStyle w:val="BodyText"/>
        <w:spacing w:before="79"/>
        <w:ind w:left="388"/>
      </w:pPr>
      <w:r>
        <w:t>Example C. If buying from processors on a fee for service basis, schools could evaluate prices like this:</w:t>
      </w:r>
    </w:p>
    <w:p w14:paraId="3709E156" w14:textId="77777777" w:rsidR="00FD0133" w:rsidRDefault="00FD0133" w:rsidP="00FD0133">
      <w:pPr>
        <w:pStyle w:val="BodyText"/>
        <w:spacing w:before="9"/>
        <w:rPr>
          <w:sz w:val="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2161"/>
        <w:gridCol w:w="2161"/>
        <w:gridCol w:w="2252"/>
      </w:tblGrid>
      <w:tr w:rsidR="00FD0133" w14:paraId="48877890" w14:textId="77777777" w:rsidTr="00F33449">
        <w:trPr>
          <w:trHeight w:val="448"/>
        </w:trPr>
        <w:tc>
          <w:tcPr>
            <w:tcW w:w="2876" w:type="dxa"/>
          </w:tcPr>
          <w:p w14:paraId="11167118" w14:textId="77777777" w:rsidR="00FD0133" w:rsidRDefault="00FD0133" w:rsidP="00F33449">
            <w:pPr>
              <w:pStyle w:val="TableParagraph"/>
            </w:pPr>
            <w:r>
              <w:t>Specified item Z</w:t>
            </w:r>
          </w:p>
        </w:tc>
        <w:tc>
          <w:tcPr>
            <w:tcW w:w="2161" w:type="dxa"/>
          </w:tcPr>
          <w:p w14:paraId="24FD58D2" w14:textId="77777777" w:rsidR="00FD0133" w:rsidRDefault="00FD0133" w:rsidP="00F33449">
            <w:pPr>
              <w:pStyle w:val="TableParagraph"/>
            </w:pPr>
            <w:r>
              <w:t>Processor A</w:t>
            </w:r>
          </w:p>
        </w:tc>
        <w:tc>
          <w:tcPr>
            <w:tcW w:w="2161" w:type="dxa"/>
          </w:tcPr>
          <w:p w14:paraId="2645457C" w14:textId="77777777" w:rsidR="00FD0133" w:rsidRDefault="00FD0133" w:rsidP="00F33449">
            <w:pPr>
              <w:pStyle w:val="TableParagraph"/>
            </w:pPr>
            <w:r>
              <w:t>Processor B</w:t>
            </w:r>
          </w:p>
        </w:tc>
        <w:tc>
          <w:tcPr>
            <w:tcW w:w="2252" w:type="dxa"/>
          </w:tcPr>
          <w:p w14:paraId="4A876DAE" w14:textId="77777777" w:rsidR="00FD0133" w:rsidRDefault="00FD0133" w:rsidP="00F33449">
            <w:pPr>
              <w:pStyle w:val="TableParagraph"/>
              <w:ind w:left="106"/>
            </w:pPr>
            <w:r>
              <w:t>Processor C</w:t>
            </w:r>
          </w:p>
        </w:tc>
      </w:tr>
      <w:tr w:rsidR="00FD0133" w14:paraId="542393B6" w14:textId="77777777" w:rsidTr="00F33449">
        <w:trPr>
          <w:trHeight w:val="537"/>
        </w:trPr>
        <w:tc>
          <w:tcPr>
            <w:tcW w:w="2876" w:type="dxa"/>
          </w:tcPr>
          <w:p w14:paraId="102909AD" w14:textId="77777777" w:rsidR="00FD0133" w:rsidRDefault="00FD0133" w:rsidP="00F33449">
            <w:pPr>
              <w:pStyle w:val="TableParagraph"/>
            </w:pPr>
            <w:r>
              <w:t>Processing fee (delivered to</w:t>
            </w:r>
          </w:p>
          <w:p w14:paraId="1164F1C4" w14:textId="77777777" w:rsidR="00FD0133" w:rsidRDefault="00FD0133" w:rsidP="00F33449">
            <w:pPr>
              <w:pStyle w:val="TableParagraph"/>
              <w:spacing w:before="1" w:line="252" w:lineRule="exact"/>
            </w:pPr>
            <w:r>
              <w:t>school or agent)</w:t>
            </w:r>
          </w:p>
        </w:tc>
        <w:tc>
          <w:tcPr>
            <w:tcW w:w="2161" w:type="dxa"/>
          </w:tcPr>
          <w:p w14:paraId="689B9D5B" w14:textId="77777777" w:rsidR="00FD0133" w:rsidRDefault="00FD0133" w:rsidP="00F33449">
            <w:pPr>
              <w:pStyle w:val="TableParagraph"/>
            </w:pPr>
            <w:r>
              <w:t>$90.00/case</w:t>
            </w:r>
          </w:p>
        </w:tc>
        <w:tc>
          <w:tcPr>
            <w:tcW w:w="2161" w:type="dxa"/>
          </w:tcPr>
          <w:p w14:paraId="34F08BE5" w14:textId="77777777" w:rsidR="00FD0133" w:rsidRDefault="00FD0133" w:rsidP="00F33449">
            <w:pPr>
              <w:pStyle w:val="TableParagraph"/>
            </w:pPr>
            <w:r>
              <w:t>$80.00/case</w:t>
            </w:r>
          </w:p>
        </w:tc>
        <w:tc>
          <w:tcPr>
            <w:tcW w:w="2252" w:type="dxa"/>
          </w:tcPr>
          <w:p w14:paraId="0B338FE2" w14:textId="77777777" w:rsidR="00FD0133" w:rsidRDefault="00FD0133" w:rsidP="00F33449">
            <w:pPr>
              <w:pStyle w:val="TableParagraph"/>
              <w:ind w:left="106"/>
            </w:pPr>
            <w:r>
              <w:t>$85.00/case</w:t>
            </w:r>
          </w:p>
        </w:tc>
      </w:tr>
      <w:tr w:rsidR="00FD0133" w14:paraId="1FD993FF" w14:textId="77777777" w:rsidTr="00F33449">
        <w:trPr>
          <w:trHeight w:val="537"/>
        </w:trPr>
        <w:tc>
          <w:tcPr>
            <w:tcW w:w="2876" w:type="dxa"/>
          </w:tcPr>
          <w:p w14:paraId="73E69950" w14:textId="77777777" w:rsidR="00FD0133" w:rsidRDefault="00FD0133" w:rsidP="00F33449">
            <w:pPr>
              <w:pStyle w:val="TableParagraph"/>
            </w:pPr>
            <w:r>
              <w:t>Value of DF used in</w:t>
            </w:r>
          </w:p>
          <w:p w14:paraId="709476FD" w14:textId="77777777" w:rsidR="00FD0133" w:rsidRDefault="00FD0133" w:rsidP="00F33449">
            <w:pPr>
              <w:pStyle w:val="TableParagraph"/>
              <w:spacing w:line="252" w:lineRule="exact"/>
            </w:pPr>
            <w:proofErr w:type="gramStart"/>
            <w:r>
              <w:t>production</w:t>
            </w:r>
            <w:proofErr w:type="gramEnd"/>
            <w:r>
              <w:t>.</w:t>
            </w:r>
          </w:p>
        </w:tc>
        <w:tc>
          <w:tcPr>
            <w:tcW w:w="2161" w:type="dxa"/>
          </w:tcPr>
          <w:p w14:paraId="0AA5BB87" w14:textId="77777777" w:rsidR="00FD0133" w:rsidRDefault="00FD0133" w:rsidP="00F33449">
            <w:pPr>
              <w:pStyle w:val="TableParagraph"/>
            </w:pPr>
            <w:r>
              <w:t>$50.00/case</w:t>
            </w:r>
          </w:p>
        </w:tc>
        <w:tc>
          <w:tcPr>
            <w:tcW w:w="2161" w:type="dxa"/>
          </w:tcPr>
          <w:p w14:paraId="1317E803" w14:textId="77777777" w:rsidR="00FD0133" w:rsidRDefault="00FD0133" w:rsidP="00F33449">
            <w:pPr>
              <w:pStyle w:val="TableParagraph"/>
            </w:pPr>
            <w:r>
              <w:t>$45.00/case</w:t>
            </w:r>
          </w:p>
        </w:tc>
        <w:tc>
          <w:tcPr>
            <w:tcW w:w="2252" w:type="dxa"/>
          </w:tcPr>
          <w:p w14:paraId="172C76E3" w14:textId="77777777" w:rsidR="00FD0133" w:rsidRDefault="00FD0133" w:rsidP="00F33449">
            <w:pPr>
              <w:pStyle w:val="TableParagraph"/>
              <w:ind w:left="106"/>
            </w:pPr>
            <w:r>
              <w:t>$60.00/case</w:t>
            </w:r>
          </w:p>
        </w:tc>
      </w:tr>
      <w:tr w:rsidR="00FD0133" w14:paraId="529A5F97" w14:textId="77777777" w:rsidTr="00F33449">
        <w:trPr>
          <w:trHeight w:val="287"/>
        </w:trPr>
        <w:tc>
          <w:tcPr>
            <w:tcW w:w="2876" w:type="dxa"/>
          </w:tcPr>
          <w:p w14:paraId="790F5395" w14:textId="77777777" w:rsidR="00FD0133" w:rsidRDefault="00FD0133" w:rsidP="00F33449">
            <w:pPr>
              <w:pStyle w:val="TableParagraph"/>
            </w:pPr>
            <w:r>
              <w:lastRenderedPageBreak/>
              <w:t>Total cost</w:t>
            </w:r>
          </w:p>
        </w:tc>
        <w:tc>
          <w:tcPr>
            <w:tcW w:w="2161" w:type="dxa"/>
          </w:tcPr>
          <w:p w14:paraId="5C0672F0" w14:textId="77777777" w:rsidR="00FD0133" w:rsidRDefault="00FD0133" w:rsidP="00F33449">
            <w:pPr>
              <w:pStyle w:val="TableParagraph"/>
            </w:pPr>
            <w:r>
              <w:t>$140.00/case</w:t>
            </w:r>
          </w:p>
        </w:tc>
        <w:tc>
          <w:tcPr>
            <w:tcW w:w="2161" w:type="dxa"/>
          </w:tcPr>
          <w:p w14:paraId="7E744C1B" w14:textId="77777777" w:rsidR="00FD0133" w:rsidRDefault="00FD0133" w:rsidP="00F33449">
            <w:pPr>
              <w:pStyle w:val="TableParagraph"/>
            </w:pPr>
            <w:r>
              <w:t>$125.00/case</w:t>
            </w:r>
          </w:p>
        </w:tc>
        <w:tc>
          <w:tcPr>
            <w:tcW w:w="2252" w:type="dxa"/>
          </w:tcPr>
          <w:p w14:paraId="4E98AFBA" w14:textId="77777777" w:rsidR="00FD0133" w:rsidRDefault="00FD0133" w:rsidP="00F33449">
            <w:pPr>
              <w:pStyle w:val="TableParagraph"/>
              <w:ind w:left="106"/>
            </w:pPr>
            <w:r>
              <w:t>$145.00/case</w:t>
            </w:r>
          </w:p>
        </w:tc>
      </w:tr>
      <w:tr w:rsidR="00FD0133" w14:paraId="24F2B643" w14:textId="77777777" w:rsidTr="00F33449">
        <w:trPr>
          <w:trHeight w:val="287"/>
        </w:trPr>
        <w:tc>
          <w:tcPr>
            <w:tcW w:w="2876" w:type="dxa"/>
          </w:tcPr>
          <w:p w14:paraId="075208B6" w14:textId="77777777" w:rsidR="00FD0133" w:rsidRDefault="00FD0133" w:rsidP="00F33449">
            <w:pPr>
              <w:pStyle w:val="TableParagraph"/>
            </w:pPr>
            <w:r>
              <w:t>CN servings per case</w:t>
            </w:r>
          </w:p>
        </w:tc>
        <w:tc>
          <w:tcPr>
            <w:tcW w:w="2161" w:type="dxa"/>
          </w:tcPr>
          <w:p w14:paraId="7124F453" w14:textId="77777777" w:rsidR="00FD0133" w:rsidRDefault="00FD0133" w:rsidP="00F33449">
            <w:pPr>
              <w:pStyle w:val="TableParagraph"/>
            </w:pPr>
            <w:r>
              <w:t>120</w:t>
            </w:r>
          </w:p>
        </w:tc>
        <w:tc>
          <w:tcPr>
            <w:tcW w:w="2161" w:type="dxa"/>
          </w:tcPr>
          <w:p w14:paraId="31BDF58F" w14:textId="77777777" w:rsidR="00FD0133" w:rsidRDefault="00FD0133" w:rsidP="00F33449">
            <w:pPr>
              <w:pStyle w:val="TableParagraph"/>
            </w:pPr>
            <w:r>
              <w:t>110</w:t>
            </w:r>
          </w:p>
        </w:tc>
        <w:tc>
          <w:tcPr>
            <w:tcW w:w="2252" w:type="dxa"/>
          </w:tcPr>
          <w:p w14:paraId="5F824DE2" w14:textId="77777777" w:rsidR="00FD0133" w:rsidRDefault="00FD0133" w:rsidP="00F33449">
            <w:pPr>
              <w:pStyle w:val="TableParagraph"/>
              <w:ind w:left="106"/>
            </w:pPr>
            <w:r>
              <w:t>100</w:t>
            </w:r>
          </w:p>
        </w:tc>
      </w:tr>
      <w:tr w:rsidR="00FD0133" w14:paraId="55254E79" w14:textId="77777777" w:rsidTr="00F33449">
        <w:trPr>
          <w:trHeight w:val="290"/>
        </w:trPr>
        <w:tc>
          <w:tcPr>
            <w:tcW w:w="2876" w:type="dxa"/>
          </w:tcPr>
          <w:p w14:paraId="0E46F60B" w14:textId="77777777" w:rsidR="00FD0133" w:rsidRDefault="00FD0133" w:rsidP="00F33449">
            <w:pPr>
              <w:pStyle w:val="TableParagraph"/>
              <w:spacing w:line="268" w:lineRule="exact"/>
            </w:pPr>
            <w:r>
              <w:t>$ per serving</w:t>
            </w:r>
          </w:p>
        </w:tc>
        <w:tc>
          <w:tcPr>
            <w:tcW w:w="2161" w:type="dxa"/>
          </w:tcPr>
          <w:p w14:paraId="5359C555" w14:textId="77777777" w:rsidR="00FD0133" w:rsidRDefault="00FD0133" w:rsidP="00F33449">
            <w:pPr>
              <w:pStyle w:val="TableParagraph"/>
              <w:spacing w:line="268" w:lineRule="exact"/>
            </w:pPr>
            <w:r>
              <w:t>$1.167 ($140/120)</w:t>
            </w:r>
          </w:p>
        </w:tc>
        <w:tc>
          <w:tcPr>
            <w:tcW w:w="2161" w:type="dxa"/>
          </w:tcPr>
          <w:p w14:paraId="35F436B4" w14:textId="77777777" w:rsidR="00FD0133" w:rsidRDefault="00FD0133" w:rsidP="00F33449">
            <w:pPr>
              <w:pStyle w:val="TableParagraph"/>
              <w:spacing w:line="268" w:lineRule="exact"/>
            </w:pPr>
            <w:r>
              <w:t>$1.136 ($125/110)</w:t>
            </w:r>
          </w:p>
        </w:tc>
        <w:tc>
          <w:tcPr>
            <w:tcW w:w="2252" w:type="dxa"/>
          </w:tcPr>
          <w:p w14:paraId="74E375A6" w14:textId="77777777" w:rsidR="00FD0133" w:rsidRDefault="00FD0133" w:rsidP="00F33449">
            <w:pPr>
              <w:pStyle w:val="TableParagraph"/>
              <w:spacing w:line="268" w:lineRule="exact"/>
              <w:ind w:left="106"/>
            </w:pPr>
            <w:r>
              <w:t>$1.45 ($145/100)</w:t>
            </w:r>
          </w:p>
        </w:tc>
      </w:tr>
    </w:tbl>
    <w:p w14:paraId="13406AD3" w14:textId="77C856C7" w:rsidR="00FD0133" w:rsidRDefault="002D6726" w:rsidP="002D6726">
      <w:pPr>
        <w:ind w:left="180"/>
      </w:pPr>
      <w:r>
        <w:t xml:space="preserve">    </w:t>
      </w:r>
      <w:r w:rsidR="00FD0133">
        <w:t>Processor B has the lowest price per serving in this example</w:t>
      </w:r>
    </w:p>
    <w:p w14:paraId="294EE597" w14:textId="77777777" w:rsidR="0083582F" w:rsidRDefault="0083582F" w:rsidP="00FD0133">
      <w:pPr>
        <w:pStyle w:val="Heading1"/>
        <w:keepNext w:val="0"/>
        <w:keepLines w:val="0"/>
        <w:widowControl w:val="0"/>
        <w:tabs>
          <w:tab w:val="left" w:pos="1109"/>
        </w:tabs>
        <w:autoSpaceDE w:val="0"/>
        <w:autoSpaceDN w:val="0"/>
        <w:spacing w:before="38" w:after="4" w:line="240" w:lineRule="auto"/>
        <w:ind w:left="180"/>
        <w:contextualSpacing w:val="0"/>
      </w:pPr>
    </w:p>
    <w:p w14:paraId="5B7737F5" w14:textId="30010094" w:rsidR="009E42BF" w:rsidRDefault="002D6726" w:rsidP="009E42BF">
      <w:pPr>
        <w:pStyle w:val="Heading1"/>
        <w:keepNext w:val="0"/>
        <w:keepLines w:val="0"/>
        <w:widowControl w:val="0"/>
        <w:tabs>
          <w:tab w:val="left" w:pos="1109"/>
        </w:tabs>
        <w:autoSpaceDE w:val="0"/>
        <w:autoSpaceDN w:val="0"/>
        <w:spacing w:before="38" w:after="4" w:line="240" w:lineRule="auto"/>
        <w:ind w:left="180"/>
        <w:contextualSpacing w:val="0"/>
      </w:pPr>
      <w:r>
        <w:t>(L</w:t>
      </w:r>
      <w:r w:rsidR="009E42BF">
        <w:t>) Shipping/Ordering</w:t>
      </w:r>
    </w:p>
    <w:p w14:paraId="09A8D2BE" w14:textId="431BE11B" w:rsidR="009E42BF" w:rsidRDefault="009E42BF" w:rsidP="009E42BF">
      <w:pPr>
        <w:pStyle w:val="Heading1"/>
        <w:keepNext w:val="0"/>
        <w:keepLines w:val="0"/>
        <w:widowControl w:val="0"/>
        <w:tabs>
          <w:tab w:val="left" w:pos="1109"/>
        </w:tabs>
        <w:autoSpaceDE w:val="0"/>
        <w:autoSpaceDN w:val="0"/>
        <w:spacing w:before="38" w:after="4" w:line="240" w:lineRule="auto"/>
        <w:ind w:left="180"/>
        <w:contextualSpacing w:val="0"/>
        <w:rPr>
          <w:b w:val="0"/>
          <w:sz w:val="22"/>
          <w:szCs w:val="22"/>
        </w:rPr>
      </w:pPr>
      <w:r w:rsidRPr="003C2052">
        <w:rPr>
          <w:b w:val="0"/>
          <w:sz w:val="22"/>
          <w:szCs w:val="22"/>
        </w:rPr>
        <w:t>In Oregon, RA’s divert pounds to the processor in WBSCM. RA’s are responsible for arranging all orders and delivery with the processor</w:t>
      </w:r>
      <w:r w:rsidR="002D6726">
        <w:rPr>
          <w:b w:val="0"/>
          <w:sz w:val="22"/>
          <w:szCs w:val="22"/>
        </w:rPr>
        <w:t xml:space="preserve"> after the procurement process has been completed</w:t>
      </w:r>
      <w:r w:rsidRPr="003C2052">
        <w:rPr>
          <w:b w:val="0"/>
          <w:sz w:val="22"/>
          <w:szCs w:val="22"/>
        </w:rPr>
        <w:t xml:space="preserve">. </w:t>
      </w:r>
      <w:r w:rsidR="003C2052" w:rsidRPr="003C2052">
        <w:rPr>
          <w:b w:val="0"/>
          <w:sz w:val="22"/>
          <w:szCs w:val="22"/>
        </w:rPr>
        <w:t>Many processors have planners and ordering tools available</w:t>
      </w:r>
      <w:r w:rsidR="003C2052">
        <w:rPr>
          <w:b w:val="0"/>
          <w:sz w:val="22"/>
          <w:szCs w:val="22"/>
        </w:rPr>
        <w:t xml:space="preserve"> for use to place orders; some have o</w:t>
      </w:r>
      <w:r w:rsidR="004836B6">
        <w:rPr>
          <w:b w:val="0"/>
          <w:sz w:val="22"/>
          <w:szCs w:val="22"/>
        </w:rPr>
        <w:t xml:space="preserve">nline applications. ODE currently has all processor commodity calculators available on the </w:t>
      </w:r>
      <w:hyperlink r:id="rId12" w:history="1">
        <w:r w:rsidR="004836B6" w:rsidRPr="00E13FDE">
          <w:rPr>
            <w:rStyle w:val="Hyperlink"/>
            <w:b w:val="0"/>
            <w:sz w:val="22"/>
            <w:szCs w:val="22"/>
          </w:rPr>
          <w:t>ODE processing webpage</w:t>
        </w:r>
      </w:hyperlink>
      <w:r w:rsidR="004836B6">
        <w:rPr>
          <w:b w:val="0"/>
          <w:sz w:val="22"/>
          <w:szCs w:val="22"/>
        </w:rPr>
        <w:t xml:space="preserve">. </w:t>
      </w:r>
    </w:p>
    <w:p w14:paraId="697C5F79" w14:textId="20637FAC" w:rsidR="004836B6" w:rsidRDefault="004836B6" w:rsidP="004836B6">
      <w:pPr>
        <w:ind w:left="180"/>
      </w:pPr>
      <w:r>
        <w:t>Shipping method and delivery locations must be outlined in the RA’s procurement documents.</w:t>
      </w:r>
      <w:r w:rsidR="00E13FDE">
        <w:t>*</w:t>
      </w:r>
      <w:r>
        <w:t xml:space="preserve"> Possible ship-to options in Oregon include the following:</w:t>
      </w:r>
    </w:p>
    <w:p w14:paraId="3E84781F" w14:textId="44686AC8" w:rsidR="004836B6" w:rsidRDefault="004836B6" w:rsidP="004836B6">
      <w:pPr>
        <w:pStyle w:val="ListParagraph"/>
        <w:numPr>
          <w:ilvl w:val="0"/>
          <w:numId w:val="19"/>
        </w:numPr>
        <w:spacing w:line="240" w:lineRule="auto"/>
      </w:pPr>
      <w:r>
        <w:t>Direct ship to RA location</w:t>
      </w:r>
    </w:p>
    <w:p w14:paraId="76339E8C" w14:textId="5B76E889" w:rsidR="004836B6" w:rsidRDefault="004836B6" w:rsidP="004836B6">
      <w:pPr>
        <w:pStyle w:val="ListParagraph"/>
        <w:numPr>
          <w:ilvl w:val="0"/>
          <w:numId w:val="19"/>
        </w:numPr>
        <w:spacing w:line="240" w:lineRule="auto"/>
      </w:pPr>
      <w:r>
        <w:t xml:space="preserve">Through a </w:t>
      </w:r>
      <w:proofErr w:type="spellStart"/>
      <w:r>
        <w:t>broadline</w:t>
      </w:r>
      <w:proofErr w:type="spellEnd"/>
      <w:r>
        <w:t xml:space="preserve"> distributor of the RA/processor’s choosing</w:t>
      </w:r>
    </w:p>
    <w:p w14:paraId="1295CAEB" w14:textId="028EEF4A" w:rsidR="004836B6" w:rsidRDefault="004836B6" w:rsidP="00E13FDE">
      <w:pPr>
        <w:pStyle w:val="ListParagraph"/>
        <w:numPr>
          <w:ilvl w:val="0"/>
          <w:numId w:val="19"/>
        </w:numPr>
      </w:pPr>
      <w:r>
        <w:t xml:space="preserve">Through the state distributing warehouse contractor. If RA/processor chooses this method, processor must arrange shipping terms with contractor. Warehouse contractor will bill processor directly. Processor can then either absorb shipping cost or charge separately to RA (based on whatever was agreed upon in procurement documents). </w:t>
      </w:r>
    </w:p>
    <w:p w14:paraId="53677463" w14:textId="23B5F403" w:rsidR="009E42BF" w:rsidRPr="009E42BF" w:rsidRDefault="00E13FDE" w:rsidP="002D6726">
      <w:pPr>
        <w:pStyle w:val="ListParagraph"/>
        <w:ind w:left="0"/>
      </w:pPr>
      <w:r>
        <w:t xml:space="preserve">*If using Oregon statewide processing price agreements, shipping costs are outlined in agreements. </w:t>
      </w:r>
    </w:p>
    <w:p w14:paraId="56A5EBD0" w14:textId="79B4BD19" w:rsidR="00FD0133" w:rsidRPr="00814DC8" w:rsidRDefault="00FD0133" w:rsidP="00FD0133">
      <w:pPr>
        <w:widowControl w:val="0"/>
        <w:tabs>
          <w:tab w:val="left" w:pos="1109"/>
        </w:tabs>
        <w:autoSpaceDE w:val="0"/>
        <w:autoSpaceDN w:val="0"/>
        <w:spacing w:before="1" w:after="0" w:line="240" w:lineRule="auto"/>
        <w:ind w:left="180"/>
        <w:rPr>
          <w:rFonts w:ascii="Calibri" w:hAnsi="Calibri" w:cs="Calibri"/>
          <w:b/>
          <w:sz w:val="24"/>
          <w:szCs w:val="24"/>
        </w:rPr>
      </w:pPr>
      <w:r w:rsidRPr="00814DC8">
        <w:rPr>
          <w:rFonts w:ascii="Calibri" w:hAnsi="Calibri" w:cs="Calibri"/>
          <w:b/>
          <w:sz w:val="24"/>
          <w:szCs w:val="24"/>
        </w:rPr>
        <w:t>(m) Timeline.</w:t>
      </w:r>
    </w:p>
    <w:p w14:paraId="36546F58" w14:textId="77777777" w:rsidR="00FD0133" w:rsidRDefault="00FD0133" w:rsidP="009E42BF">
      <w:pPr>
        <w:pStyle w:val="BodyText"/>
        <w:ind w:left="180" w:right="366"/>
      </w:pPr>
      <w:r>
        <w:t xml:space="preserve">In the </w:t>
      </w:r>
      <w:r w:rsidR="0083582F">
        <w:t>fall</w:t>
      </w:r>
      <w:r>
        <w:t xml:space="preserve"> prior to the next school year, schools should decide which donated food products would be most beneficial to their food service programs. In general, schools may choose any combination of USDA </w:t>
      </w:r>
      <w:r w:rsidR="0083582F">
        <w:t>Direct Delivery</w:t>
      </w:r>
      <w:r>
        <w:t xml:space="preserve"> items, diversions/end products, or they may allocate entitlement to the Department of Defense Fresh Fruit and Vegetable </w:t>
      </w:r>
      <w:r w:rsidR="0083582F">
        <w:t>Program.</w:t>
      </w:r>
    </w:p>
    <w:p w14:paraId="60404235" w14:textId="77777777" w:rsidR="0083582F" w:rsidRDefault="0083582F" w:rsidP="00FD0133">
      <w:pPr>
        <w:pStyle w:val="BodyText"/>
        <w:ind w:left="388" w:right="366"/>
      </w:pPr>
    </w:p>
    <w:tbl>
      <w:tblPr>
        <w:tblW w:w="7882" w:type="dxa"/>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4411"/>
        <w:gridCol w:w="1671"/>
      </w:tblGrid>
      <w:tr w:rsidR="001045F7" w14:paraId="528CB4B3" w14:textId="77777777" w:rsidTr="001045F7">
        <w:trPr>
          <w:trHeight w:val="313"/>
        </w:trPr>
        <w:tc>
          <w:tcPr>
            <w:tcW w:w="1800" w:type="dxa"/>
          </w:tcPr>
          <w:p w14:paraId="1C38D0C9" w14:textId="77777777" w:rsidR="001045F7" w:rsidRDefault="001045F7" w:rsidP="00F33449">
            <w:pPr>
              <w:pStyle w:val="TableParagraph"/>
              <w:spacing w:before="20" w:line="240" w:lineRule="auto"/>
            </w:pPr>
            <w:r>
              <w:t>Timeline</w:t>
            </w:r>
          </w:p>
        </w:tc>
        <w:tc>
          <w:tcPr>
            <w:tcW w:w="4411" w:type="dxa"/>
          </w:tcPr>
          <w:p w14:paraId="4AAE6737" w14:textId="77777777" w:rsidR="001045F7" w:rsidRDefault="001045F7" w:rsidP="00F33449">
            <w:pPr>
              <w:pStyle w:val="TableParagraph"/>
              <w:spacing w:before="20" w:line="240" w:lineRule="auto"/>
              <w:ind w:left="108"/>
            </w:pPr>
            <w:r>
              <w:t>Processing diversions/end products</w:t>
            </w:r>
          </w:p>
        </w:tc>
        <w:tc>
          <w:tcPr>
            <w:tcW w:w="1671" w:type="dxa"/>
          </w:tcPr>
          <w:p w14:paraId="1FBA8BAA" w14:textId="77777777" w:rsidR="001045F7" w:rsidRDefault="001045F7" w:rsidP="00F33449">
            <w:pPr>
              <w:pStyle w:val="TableParagraph"/>
              <w:spacing w:before="20" w:line="240" w:lineRule="auto"/>
              <w:ind w:left="106"/>
            </w:pPr>
            <w:r>
              <w:t>DoD FFAVORS</w:t>
            </w:r>
          </w:p>
        </w:tc>
      </w:tr>
      <w:tr w:rsidR="001045F7" w14:paraId="368BD4C3" w14:textId="77777777" w:rsidTr="001045F7">
        <w:trPr>
          <w:trHeight w:val="805"/>
        </w:trPr>
        <w:tc>
          <w:tcPr>
            <w:tcW w:w="1800" w:type="dxa"/>
          </w:tcPr>
          <w:p w14:paraId="7AFD1CDA" w14:textId="77777777" w:rsidR="001045F7" w:rsidRDefault="001045F7" w:rsidP="001045F7">
            <w:pPr>
              <w:pStyle w:val="TableParagraph"/>
              <w:spacing w:before="131" w:line="240" w:lineRule="auto"/>
              <w:ind w:left="0" w:right="791"/>
            </w:pPr>
            <w:r>
              <w:t>August to October</w:t>
            </w:r>
          </w:p>
        </w:tc>
        <w:tc>
          <w:tcPr>
            <w:tcW w:w="4411" w:type="dxa"/>
          </w:tcPr>
          <w:p w14:paraId="5B48D1A0" w14:textId="77777777" w:rsidR="001045F7" w:rsidRDefault="001045F7" w:rsidP="009E4518">
            <w:pPr>
              <w:pStyle w:val="TableParagraph"/>
              <w:spacing w:line="240" w:lineRule="auto"/>
              <w:ind w:left="108" w:right="392"/>
            </w:pPr>
            <w:r>
              <w:t>Determine what kinds of food to buy next school year, including commercial products</w:t>
            </w:r>
          </w:p>
          <w:p w14:paraId="139EDFD6" w14:textId="77777777" w:rsidR="001045F7" w:rsidRDefault="001045F7" w:rsidP="009E4518">
            <w:pPr>
              <w:pStyle w:val="TableParagraph"/>
              <w:spacing w:line="251" w:lineRule="exact"/>
              <w:ind w:left="108"/>
            </w:pPr>
            <w:proofErr w:type="gramStart"/>
            <w:r>
              <w:t>and</w:t>
            </w:r>
            <w:proofErr w:type="gramEnd"/>
            <w:r>
              <w:t xml:space="preserve"> donated foods. Attend food shows, etc.</w:t>
            </w:r>
          </w:p>
        </w:tc>
        <w:tc>
          <w:tcPr>
            <w:tcW w:w="1671" w:type="dxa"/>
          </w:tcPr>
          <w:p w14:paraId="50FDE01F" w14:textId="77777777" w:rsidR="001045F7" w:rsidRDefault="001045F7" w:rsidP="009E4518">
            <w:pPr>
              <w:pStyle w:val="TableParagraph"/>
              <w:spacing w:line="240" w:lineRule="auto"/>
              <w:ind w:left="0"/>
              <w:rPr>
                <w:rFonts w:ascii="Times New Roman"/>
              </w:rPr>
            </w:pPr>
          </w:p>
        </w:tc>
      </w:tr>
      <w:tr w:rsidR="001045F7" w14:paraId="3CD4D027" w14:textId="77777777" w:rsidTr="001045F7">
        <w:trPr>
          <w:trHeight w:val="316"/>
        </w:trPr>
        <w:tc>
          <w:tcPr>
            <w:tcW w:w="1800" w:type="dxa"/>
          </w:tcPr>
          <w:p w14:paraId="2D6E0BF7" w14:textId="77777777" w:rsidR="001045F7" w:rsidRDefault="001045F7" w:rsidP="001045F7">
            <w:pPr>
              <w:pStyle w:val="TableParagraph"/>
              <w:spacing w:before="20" w:line="240" w:lineRule="auto"/>
              <w:ind w:left="0"/>
            </w:pPr>
            <w:r>
              <w:t>November</w:t>
            </w:r>
          </w:p>
        </w:tc>
        <w:tc>
          <w:tcPr>
            <w:tcW w:w="4411" w:type="dxa"/>
          </w:tcPr>
          <w:p w14:paraId="71CDD560" w14:textId="77777777" w:rsidR="001045F7" w:rsidRDefault="001045F7" w:rsidP="009E4518">
            <w:pPr>
              <w:pStyle w:val="TableParagraph"/>
              <w:spacing w:before="20" w:line="240" w:lineRule="auto"/>
              <w:ind w:left="108"/>
            </w:pPr>
            <w:r>
              <w:t>Write bid specifications (formal procurement)</w:t>
            </w:r>
          </w:p>
        </w:tc>
        <w:tc>
          <w:tcPr>
            <w:tcW w:w="1671" w:type="dxa"/>
          </w:tcPr>
          <w:p w14:paraId="007FAB21" w14:textId="77777777" w:rsidR="001045F7" w:rsidRDefault="001045F7" w:rsidP="009E4518">
            <w:pPr>
              <w:pStyle w:val="TableParagraph"/>
              <w:spacing w:line="240" w:lineRule="auto"/>
              <w:ind w:left="0"/>
              <w:rPr>
                <w:rFonts w:ascii="Times New Roman"/>
              </w:rPr>
            </w:pPr>
          </w:p>
        </w:tc>
      </w:tr>
      <w:tr w:rsidR="001045F7" w14:paraId="498D1BAF" w14:textId="77777777" w:rsidTr="001045F7">
        <w:trPr>
          <w:trHeight w:val="555"/>
        </w:trPr>
        <w:tc>
          <w:tcPr>
            <w:tcW w:w="1800" w:type="dxa"/>
            <w:vMerge w:val="restart"/>
          </w:tcPr>
          <w:p w14:paraId="4B4246BA" w14:textId="77777777" w:rsidR="001045F7" w:rsidRDefault="001045F7" w:rsidP="001045F7">
            <w:pPr>
              <w:pStyle w:val="TableParagraph"/>
              <w:spacing w:before="131" w:line="240" w:lineRule="auto"/>
              <w:ind w:left="0"/>
            </w:pPr>
            <w:r>
              <w:t>December</w:t>
            </w:r>
          </w:p>
        </w:tc>
        <w:tc>
          <w:tcPr>
            <w:tcW w:w="4411" w:type="dxa"/>
            <w:tcBorders>
              <w:bottom w:val="nil"/>
            </w:tcBorders>
          </w:tcPr>
          <w:p w14:paraId="48A03BB7" w14:textId="77777777" w:rsidR="001045F7" w:rsidRDefault="001045F7" w:rsidP="009E4518">
            <w:pPr>
              <w:pStyle w:val="TableParagraph"/>
              <w:spacing w:line="240" w:lineRule="auto"/>
              <w:ind w:left="108" w:right="766"/>
            </w:pPr>
            <w:r>
              <w:t>Obtain quotes. (informal procurement) Solicit bids. (formal procurement)</w:t>
            </w:r>
          </w:p>
        </w:tc>
        <w:tc>
          <w:tcPr>
            <w:tcW w:w="1671" w:type="dxa"/>
            <w:vMerge w:val="restart"/>
          </w:tcPr>
          <w:p w14:paraId="461FB5C5" w14:textId="77777777" w:rsidR="001045F7" w:rsidRDefault="001045F7" w:rsidP="009E4518">
            <w:pPr>
              <w:pStyle w:val="TableParagraph"/>
              <w:spacing w:line="240" w:lineRule="auto"/>
              <w:ind w:left="0"/>
              <w:rPr>
                <w:rFonts w:ascii="Times New Roman"/>
              </w:rPr>
            </w:pPr>
          </w:p>
        </w:tc>
      </w:tr>
      <w:tr w:rsidR="001045F7" w14:paraId="54009B5B" w14:textId="77777777" w:rsidTr="001045F7">
        <w:trPr>
          <w:trHeight w:val="275"/>
        </w:trPr>
        <w:tc>
          <w:tcPr>
            <w:tcW w:w="1800" w:type="dxa"/>
            <w:vMerge/>
            <w:tcBorders>
              <w:top w:val="nil"/>
            </w:tcBorders>
          </w:tcPr>
          <w:p w14:paraId="456BEF9A" w14:textId="77777777" w:rsidR="001045F7" w:rsidRDefault="001045F7" w:rsidP="009E4518">
            <w:pPr>
              <w:rPr>
                <w:sz w:val="2"/>
                <w:szCs w:val="2"/>
              </w:rPr>
            </w:pPr>
          </w:p>
        </w:tc>
        <w:tc>
          <w:tcPr>
            <w:tcW w:w="4411" w:type="dxa"/>
            <w:tcBorders>
              <w:top w:val="nil"/>
            </w:tcBorders>
          </w:tcPr>
          <w:p w14:paraId="58D3B76B" w14:textId="77777777" w:rsidR="001045F7" w:rsidRDefault="001045F7" w:rsidP="009E4518">
            <w:pPr>
              <w:pStyle w:val="TableParagraph"/>
              <w:spacing w:line="251" w:lineRule="exact"/>
              <w:ind w:left="108"/>
            </w:pPr>
            <w:r>
              <w:t>Publish RFP. (formal procurement)</w:t>
            </w:r>
          </w:p>
        </w:tc>
        <w:tc>
          <w:tcPr>
            <w:tcW w:w="1671" w:type="dxa"/>
            <w:vMerge/>
            <w:tcBorders>
              <w:top w:val="nil"/>
            </w:tcBorders>
          </w:tcPr>
          <w:p w14:paraId="4D3060DB" w14:textId="77777777" w:rsidR="001045F7" w:rsidRDefault="001045F7" w:rsidP="009E4518">
            <w:pPr>
              <w:rPr>
                <w:sz w:val="2"/>
                <w:szCs w:val="2"/>
              </w:rPr>
            </w:pPr>
          </w:p>
        </w:tc>
      </w:tr>
      <w:tr w:rsidR="001045F7" w14:paraId="206F58A5" w14:textId="77777777" w:rsidTr="001045F7">
        <w:trPr>
          <w:trHeight w:val="311"/>
        </w:trPr>
        <w:tc>
          <w:tcPr>
            <w:tcW w:w="1800" w:type="dxa"/>
            <w:vMerge w:val="restart"/>
          </w:tcPr>
          <w:p w14:paraId="3654DE2E" w14:textId="77777777" w:rsidR="001045F7" w:rsidRDefault="001045F7" w:rsidP="001045F7">
            <w:pPr>
              <w:pStyle w:val="TableParagraph"/>
              <w:spacing w:before="13" w:line="240" w:lineRule="auto"/>
              <w:ind w:left="0"/>
            </w:pPr>
            <w:r>
              <w:t>January to March</w:t>
            </w:r>
          </w:p>
        </w:tc>
        <w:tc>
          <w:tcPr>
            <w:tcW w:w="4411" w:type="dxa"/>
            <w:tcBorders>
              <w:bottom w:val="nil"/>
            </w:tcBorders>
          </w:tcPr>
          <w:p w14:paraId="70DC68AB" w14:textId="77777777" w:rsidR="001045F7" w:rsidRDefault="001045F7" w:rsidP="009E4518">
            <w:pPr>
              <w:pStyle w:val="TableParagraph"/>
              <w:spacing w:before="13" w:line="240" w:lineRule="auto"/>
              <w:ind w:left="108"/>
            </w:pPr>
            <w:r>
              <w:t>Evaluate quotes/bids/proposals.</w:t>
            </w:r>
          </w:p>
        </w:tc>
        <w:tc>
          <w:tcPr>
            <w:tcW w:w="1671" w:type="dxa"/>
            <w:vMerge w:val="restart"/>
          </w:tcPr>
          <w:p w14:paraId="52A85FC8" w14:textId="77777777" w:rsidR="001045F7" w:rsidRDefault="001045F7" w:rsidP="009E4518">
            <w:pPr>
              <w:pStyle w:val="TableParagraph"/>
              <w:spacing w:line="240" w:lineRule="auto"/>
              <w:ind w:left="0"/>
              <w:rPr>
                <w:rFonts w:ascii="Times New Roman"/>
              </w:rPr>
            </w:pPr>
          </w:p>
        </w:tc>
      </w:tr>
      <w:tr w:rsidR="001045F7" w14:paraId="546289E1" w14:textId="77777777" w:rsidTr="001045F7">
        <w:trPr>
          <w:trHeight w:val="340"/>
        </w:trPr>
        <w:tc>
          <w:tcPr>
            <w:tcW w:w="1800" w:type="dxa"/>
            <w:vMerge/>
            <w:tcBorders>
              <w:top w:val="nil"/>
            </w:tcBorders>
          </w:tcPr>
          <w:p w14:paraId="6AA87560" w14:textId="77777777" w:rsidR="001045F7" w:rsidRDefault="001045F7" w:rsidP="009E4518">
            <w:pPr>
              <w:rPr>
                <w:sz w:val="2"/>
                <w:szCs w:val="2"/>
              </w:rPr>
            </w:pPr>
          </w:p>
        </w:tc>
        <w:tc>
          <w:tcPr>
            <w:tcW w:w="4411" w:type="dxa"/>
            <w:tcBorders>
              <w:top w:val="nil"/>
            </w:tcBorders>
          </w:tcPr>
          <w:p w14:paraId="5BABCFFF" w14:textId="77777777" w:rsidR="001045F7" w:rsidRDefault="001045F7" w:rsidP="009E4518">
            <w:pPr>
              <w:pStyle w:val="TableParagraph"/>
              <w:spacing w:line="258" w:lineRule="exact"/>
              <w:ind w:left="108"/>
            </w:pPr>
            <w:r>
              <w:t>Award contracts. (formal procurement)</w:t>
            </w:r>
          </w:p>
        </w:tc>
        <w:tc>
          <w:tcPr>
            <w:tcW w:w="1671" w:type="dxa"/>
            <w:vMerge/>
            <w:tcBorders>
              <w:top w:val="nil"/>
            </w:tcBorders>
          </w:tcPr>
          <w:p w14:paraId="69574798" w14:textId="77777777" w:rsidR="001045F7" w:rsidRDefault="001045F7" w:rsidP="009E4518">
            <w:pPr>
              <w:rPr>
                <w:sz w:val="2"/>
                <w:szCs w:val="2"/>
              </w:rPr>
            </w:pPr>
          </w:p>
        </w:tc>
      </w:tr>
      <w:tr w:rsidR="001045F7" w14:paraId="5D9764CD" w14:textId="77777777" w:rsidTr="001045F7">
        <w:trPr>
          <w:trHeight w:val="610"/>
        </w:trPr>
        <w:tc>
          <w:tcPr>
            <w:tcW w:w="1800" w:type="dxa"/>
          </w:tcPr>
          <w:p w14:paraId="635059A6" w14:textId="77777777" w:rsidR="001045F7" w:rsidRDefault="001045F7" w:rsidP="001045F7">
            <w:pPr>
              <w:pStyle w:val="TableParagraph"/>
              <w:spacing w:line="251" w:lineRule="exact"/>
              <w:ind w:left="0"/>
            </w:pPr>
            <w:r>
              <w:t>March to April</w:t>
            </w:r>
          </w:p>
        </w:tc>
        <w:tc>
          <w:tcPr>
            <w:tcW w:w="4411" w:type="dxa"/>
          </w:tcPr>
          <w:p w14:paraId="1C8C1823" w14:textId="77777777" w:rsidR="001045F7" w:rsidRDefault="001045F7" w:rsidP="009E4518">
            <w:pPr>
              <w:pStyle w:val="TableParagraph"/>
              <w:spacing w:line="240" w:lineRule="auto"/>
              <w:ind w:left="108" w:right="416"/>
            </w:pPr>
            <w:r>
              <w:t xml:space="preserve">Request direct delivery products and processing pounds to load into sponsor banks through WBSCM. </w:t>
            </w:r>
          </w:p>
        </w:tc>
        <w:tc>
          <w:tcPr>
            <w:tcW w:w="1671" w:type="dxa"/>
          </w:tcPr>
          <w:p w14:paraId="4586C098" w14:textId="77777777" w:rsidR="001045F7" w:rsidRDefault="001045F7" w:rsidP="009E4518">
            <w:pPr>
              <w:pStyle w:val="TableParagraph"/>
              <w:spacing w:line="270" w:lineRule="atLeast"/>
              <w:ind w:left="106" w:right="170"/>
            </w:pPr>
            <w:r>
              <w:t>Request $ transfer via e-mail, ODE enters into WBSCM.</w:t>
            </w:r>
          </w:p>
        </w:tc>
      </w:tr>
      <w:tr w:rsidR="001045F7" w14:paraId="18F2E537" w14:textId="77777777" w:rsidTr="001045F7">
        <w:trPr>
          <w:trHeight w:val="805"/>
        </w:trPr>
        <w:tc>
          <w:tcPr>
            <w:tcW w:w="1800" w:type="dxa"/>
          </w:tcPr>
          <w:p w14:paraId="140307A8" w14:textId="77777777" w:rsidR="001045F7" w:rsidRDefault="001045F7" w:rsidP="001045F7">
            <w:pPr>
              <w:pStyle w:val="TableParagraph"/>
              <w:spacing w:before="1" w:line="240" w:lineRule="auto"/>
              <w:ind w:left="0"/>
            </w:pPr>
            <w:r>
              <w:lastRenderedPageBreak/>
              <w:t>April to May</w:t>
            </w:r>
          </w:p>
        </w:tc>
        <w:tc>
          <w:tcPr>
            <w:tcW w:w="4411" w:type="dxa"/>
          </w:tcPr>
          <w:p w14:paraId="5349832F" w14:textId="77777777" w:rsidR="001045F7" w:rsidRDefault="001045F7" w:rsidP="009E4518">
            <w:pPr>
              <w:pStyle w:val="TableParagraph"/>
              <w:spacing w:line="240" w:lineRule="auto"/>
              <w:ind w:left="108" w:right="144"/>
            </w:pPr>
            <w:r>
              <w:t xml:space="preserve">ODE Food Distribution orders products from USDA and splits as many loads as possible with other states. </w:t>
            </w:r>
          </w:p>
        </w:tc>
        <w:tc>
          <w:tcPr>
            <w:tcW w:w="1671" w:type="dxa"/>
          </w:tcPr>
          <w:p w14:paraId="463A8308" w14:textId="77777777" w:rsidR="001045F7" w:rsidRDefault="001045F7" w:rsidP="009E4518">
            <w:pPr>
              <w:pStyle w:val="TableParagraph"/>
              <w:spacing w:line="240" w:lineRule="auto"/>
              <w:ind w:left="106" w:right="279" w:firstLine="50"/>
            </w:pPr>
            <w:r>
              <w:t>Establish user ID and password for</w:t>
            </w:r>
          </w:p>
          <w:p w14:paraId="4DC1A565" w14:textId="77777777" w:rsidR="001045F7" w:rsidRDefault="001045F7" w:rsidP="009E4518">
            <w:pPr>
              <w:pStyle w:val="TableParagraph"/>
              <w:spacing w:line="251" w:lineRule="exact"/>
              <w:ind w:left="106"/>
            </w:pPr>
            <w:r>
              <w:t>FFAVORS</w:t>
            </w:r>
          </w:p>
        </w:tc>
      </w:tr>
      <w:tr w:rsidR="001045F7" w14:paraId="72CAB94B" w14:textId="77777777" w:rsidTr="001045F7">
        <w:trPr>
          <w:trHeight w:val="805"/>
        </w:trPr>
        <w:tc>
          <w:tcPr>
            <w:tcW w:w="1800" w:type="dxa"/>
          </w:tcPr>
          <w:p w14:paraId="39503A6F" w14:textId="29F4680F" w:rsidR="001045F7" w:rsidRDefault="003C2052" w:rsidP="001045F7">
            <w:pPr>
              <w:pStyle w:val="TableParagraph"/>
              <w:spacing w:before="1" w:line="240" w:lineRule="auto"/>
              <w:ind w:left="0"/>
            </w:pPr>
            <w:r>
              <w:t>May</w:t>
            </w:r>
            <w:r w:rsidR="001045F7">
              <w:t xml:space="preserve"> to June</w:t>
            </w:r>
          </w:p>
        </w:tc>
        <w:tc>
          <w:tcPr>
            <w:tcW w:w="4411" w:type="dxa"/>
          </w:tcPr>
          <w:p w14:paraId="557F58C0" w14:textId="52159F79" w:rsidR="001045F7" w:rsidRDefault="001045F7" w:rsidP="003C2052">
            <w:pPr>
              <w:pStyle w:val="TableParagraph"/>
              <w:spacing w:line="240" w:lineRule="auto"/>
              <w:ind w:left="108" w:right="219"/>
            </w:pPr>
            <w:r>
              <w:t>Schools communicate with brokers, processors and distributors.</w:t>
            </w:r>
            <w:r w:rsidR="003C2052">
              <w:t xml:space="preserve"> Place orders and arrange delivery.</w:t>
            </w:r>
          </w:p>
        </w:tc>
        <w:tc>
          <w:tcPr>
            <w:tcW w:w="1671" w:type="dxa"/>
          </w:tcPr>
          <w:p w14:paraId="117C90C6" w14:textId="77777777" w:rsidR="001045F7" w:rsidRDefault="001045F7" w:rsidP="009E4518">
            <w:pPr>
              <w:pStyle w:val="TableParagraph"/>
              <w:spacing w:line="240" w:lineRule="auto"/>
              <w:ind w:left="0"/>
              <w:rPr>
                <w:rFonts w:ascii="Times New Roman"/>
              </w:rPr>
            </w:pPr>
          </w:p>
        </w:tc>
      </w:tr>
      <w:tr w:rsidR="001045F7" w14:paraId="77D3D857" w14:textId="77777777" w:rsidTr="00F4221F">
        <w:trPr>
          <w:trHeight w:val="952"/>
        </w:trPr>
        <w:tc>
          <w:tcPr>
            <w:tcW w:w="1800" w:type="dxa"/>
          </w:tcPr>
          <w:p w14:paraId="66336961" w14:textId="77777777" w:rsidR="001045F7" w:rsidRDefault="001045F7" w:rsidP="001045F7">
            <w:pPr>
              <w:pStyle w:val="TableParagraph"/>
              <w:spacing w:line="240" w:lineRule="auto"/>
              <w:ind w:left="0"/>
            </w:pPr>
            <w:r>
              <w:t>July</w:t>
            </w:r>
          </w:p>
        </w:tc>
        <w:tc>
          <w:tcPr>
            <w:tcW w:w="4411" w:type="dxa"/>
          </w:tcPr>
          <w:p w14:paraId="5D5EA73F" w14:textId="77777777" w:rsidR="001045F7" w:rsidRDefault="001045F7" w:rsidP="009E4518">
            <w:pPr>
              <w:pStyle w:val="TableParagraph"/>
              <w:ind w:left="108"/>
            </w:pPr>
            <w:r>
              <w:t>Issue PO pursuant to a quote, bid or proposal</w:t>
            </w:r>
          </w:p>
          <w:p w14:paraId="13430324" w14:textId="77777777" w:rsidR="001045F7" w:rsidRDefault="001045F7" w:rsidP="009E4518">
            <w:pPr>
              <w:pStyle w:val="TableParagraph"/>
              <w:spacing w:line="270" w:lineRule="atLeast"/>
              <w:ind w:left="108" w:right="578"/>
            </w:pPr>
            <w:proofErr w:type="gramStart"/>
            <w:r>
              <w:t>or</w:t>
            </w:r>
            <w:proofErr w:type="gramEnd"/>
            <w:r>
              <w:t xml:space="preserve"> conduct micro-purchases if allowed by school policy and procedure.</w:t>
            </w:r>
          </w:p>
        </w:tc>
        <w:tc>
          <w:tcPr>
            <w:tcW w:w="1671" w:type="dxa"/>
          </w:tcPr>
          <w:p w14:paraId="0CDC3B19" w14:textId="77777777" w:rsidR="001045F7" w:rsidRDefault="001045F7" w:rsidP="001045F7">
            <w:pPr>
              <w:pStyle w:val="TableParagraph"/>
              <w:spacing w:before="131" w:line="240" w:lineRule="auto"/>
              <w:ind w:left="0" w:right="515"/>
            </w:pPr>
            <w:r>
              <w:t>Can start placing orders in FFAVORS.</w:t>
            </w:r>
          </w:p>
        </w:tc>
      </w:tr>
      <w:tr w:rsidR="001045F7" w14:paraId="3E8AB4D8" w14:textId="77777777" w:rsidTr="001045F7">
        <w:trPr>
          <w:trHeight w:val="805"/>
        </w:trPr>
        <w:tc>
          <w:tcPr>
            <w:tcW w:w="1800" w:type="dxa"/>
          </w:tcPr>
          <w:p w14:paraId="151F6C88" w14:textId="77777777" w:rsidR="001045F7" w:rsidRDefault="001045F7" w:rsidP="001045F7">
            <w:pPr>
              <w:pStyle w:val="TableParagraph"/>
              <w:spacing w:before="1" w:line="240" w:lineRule="auto"/>
              <w:ind w:left="0"/>
            </w:pPr>
            <w:r>
              <w:t>Ongoing</w:t>
            </w:r>
          </w:p>
        </w:tc>
        <w:tc>
          <w:tcPr>
            <w:tcW w:w="4411" w:type="dxa"/>
          </w:tcPr>
          <w:p w14:paraId="719358AC" w14:textId="77777777" w:rsidR="001045F7" w:rsidRDefault="001045F7" w:rsidP="009E4518">
            <w:pPr>
              <w:pStyle w:val="TableParagraph"/>
              <w:spacing w:line="240" w:lineRule="auto"/>
              <w:ind w:left="108" w:right="90"/>
            </w:pPr>
            <w:r>
              <w:t>Request refund(s) from processor(s) if Rebate or Refund is the pass through system used and</w:t>
            </w:r>
          </w:p>
          <w:p w14:paraId="3CBDB253" w14:textId="77777777" w:rsidR="001045F7" w:rsidRDefault="001045F7" w:rsidP="009E4518">
            <w:pPr>
              <w:pStyle w:val="TableParagraph"/>
              <w:spacing w:line="251" w:lineRule="exact"/>
              <w:ind w:left="108"/>
            </w:pPr>
            <w:proofErr w:type="gramStart"/>
            <w:r>
              <w:t>others</w:t>
            </w:r>
            <w:proofErr w:type="gramEnd"/>
            <w:r>
              <w:t xml:space="preserve"> continue to monitor correct balance drawdowns. </w:t>
            </w:r>
          </w:p>
        </w:tc>
        <w:tc>
          <w:tcPr>
            <w:tcW w:w="1671" w:type="dxa"/>
          </w:tcPr>
          <w:p w14:paraId="546EED19" w14:textId="77777777" w:rsidR="001045F7" w:rsidRDefault="001045F7" w:rsidP="009E4518">
            <w:pPr>
              <w:pStyle w:val="TableParagraph"/>
              <w:spacing w:line="240" w:lineRule="auto"/>
              <w:ind w:left="0"/>
              <w:rPr>
                <w:rFonts w:ascii="Times New Roman"/>
              </w:rPr>
            </w:pPr>
          </w:p>
        </w:tc>
      </w:tr>
    </w:tbl>
    <w:p w14:paraId="6A48975C" w14:textId="77777777" w:rsidR="00814DC8" w:rsidRDefault="00814DC8" w:rsidP="00814DC8">
      <w:pPr>
        <w:pStyle w:val="Heading1"/>
        <w:keepNext w:val="0"/>
        <w:keepLines w:val="0"/>
        <w:widowControl w:val="0"/>
        <w:tabs>
          <w:tab w:val="left" w:pos="1109"/>
        </w:tabs>
        <w:autoSpaceDE w:val="0"/>
        <w:autoSpaceDN w:val="0"/>
        <w:spacing w:before="38" w:after="0" w:line="240" w:lineRule="auto"/>
        <w:ind w:left="180" w:right="4086"/>
        <w:contextualSpacing w:val="0"/>
      </w:pPr>
    </w:p>
    <w:p w14:paraId="7DE39CE7" w14:textId="2156B0ED" w:rsidR="00FD0133" w:rsidRDefault="00814DC8" w:rsidP="00814DC8">
      <w:pPr>
        <w:pStyle w:val="Heading1"/>
        <w:keepNext w:val="0"/>
        <w:keepLines w:val="0"/>
        <w:widowControl w:val="0"/>
        <w:tabs>
          <w:tab w:val="left" w:pos="1109"/>
        </w:tabs>
        <w:autoSpaceDE w:val="0"/>
        <w:autoSpaceDN w:val="0"/>
        <w:spacing w:before="38" w:after="0" w:line="240" w:lineRule="auto"/>
        <w:ind w:left="180" w:right="4086"/>
        <w:contextualSpacing w:val="0"/>
      </w:pPr>
      <w:r>
        <w:t xml:space="preserve">(n) </w:t>
      </w:r>
      <w:hyperlink r:id="rId13" w:history="1">
        <w:r w:rsidR="00FD0133" w:rsidRPr="00F4221F">
          <w:rPr>
            <w:rStyle w:val="Hyperlink"/>
          </w:rPr>
          <w:t>USDA foods expected to be available</w:t>
        </w:r>
      </w:hyperlink>
      <w:r w:rsidR="00FD0133">
        <w:t>.</w:t>
      </w:r>
      <w:r w:rsidR="00FD0133">
        <w:rPr>
          <w:color w:val="0462C1"/>
          <w:u w:val="single" w:color="0462C1"/>
        </w:rPr>
        <w:t xml:space="preserve"> </w:t>
      </w:r>
    </w:p>
    <w:p w14:paraId="20074D1F" w14:textId="77777777" w:rsidR="00FD0133" w:rsidRDefault="00FD0133" w:rsidP="00FD0133">
      <w:pPr>
        <w:pStyle w:val="BodyText"/>
        <w:spacing w:before="6"/>
        <w:rPr>
          <w:b/>
          <w:i/>
          <w:sz w:val="17"/>
        </w:rPr>
      </w:pPr>
    </w:p>
    <w:p w14:paraId="532653D6" w14:textId="10973062" w:rsidR="00FD0133" w:rsidRDefault="00814DC8" w:rsidP="00814DC8">
      <w:pPr>
        <w:widowControl w:val="0"/>
        <w:tabs>
          <w:tab w:val="left" w:pos="1109"/>
        </w:tabs>
        <w:autoSpaceDE w:val="0"/>
        <w:autoSpaceDN w:val="0"/>
        <w:spacing w:before="56" w:after="0" w:line="240" w:lineRule="auto"/>
        <w:ind w:left="180" w:right="4366"/>
        <w:rPr>
          <w:rFonts w:ascii="Calibri" w:hAnsi="Calibri" w:cs="Calibri"/>
          <w:color w:val="0462C1"/>
          <w:spacing w:val="-1"/>
          <w:sz w:val="24"/>
          <w:szCs w:val="24"/>
          <w:u w:val="single"/>
        </w:rPr>
      </w:pPr>
      <w:r w:rsidRPr="00814DC8">
        <w:rPr>
          <w:rFonts w:ascii="Calibri" w:hAnsi="Calibri" w:cs="Calibri"/>
          <w:b/>
          <w:sz w:val="24"/>
          <w:szCs w:val="24"/>
        </w:rPr>
        <w:t xml:space="preserve">(o) </w:t>
      </w:r>
      <w:r w:rsidR="00FD0133" w:rsidRPr="00814DC8">
        <w:rPr>
          <w:rFonts w:ascii="Calibri" w:hAnsi="Calibri" w:cs="Calibri"/>
          <w:b/>
          <w:sz w:val="24"/>
          <w:szCs w:val="24"/>
        </w:rPr>
        <w:t xml:space="preserve">List of </w:t>
      </w:r>
      <w:hyperlink r:id="rId14" w:history="1">
        <w:r w:rsidR="00FD0133" w:rsidRPr="00F4221F">
          <w:rPr>
            <w:rStyle w:val="Hyperlink"/>
            <w:rFonts w:ascii="Calibri" w:hAnsi="Calibri" w:cs="Calibri"/>
            <w:b/>
            <w:sz w:val="24"/>
            <w:szCs w:val="24"/>
          </w:rPr>
          <w:t>USDA approved processors</w:t>
        </w:r>
      </w:hyperlink>
      <w:r w:rsidR="00FD0133" w:rsidRPr="00814DC8">
        <w:rPr>
          <w:rFonts w:ascii="Calibri" w:hAnsi="Calibri" w:cs="Calibri"/>
          <w:b/>
          <w:sz w:val="24"/>
          <w:szCs w:val="24"/>
        </w:rPr>
        <w:t>.</w:t>
      </w:r>
      <w:hyperlink r:id="rId15">
        <w:r w:rsidR="00FD0133" w:rsidRPr="00814DC8">
          <w:rPr>
            <w:b/>
            <w:i/>
            <w:color w:val="0462C1"/>
            <w:u w:val="single" w:color="0462C1"/>
          </w:rPr>
          <w:t xml:space="preserve"> </w:t>
        </w:r>
      </w:hyperlink>
    </w:p>
    <w:p w14:paraId="006B0DB7" w14:textId="77777777" w:rsidR="001045F7" w:rsidRDefault="001045F7" w:rsidP="00814DC8">
      <w:pPr>
        <w:widowControl w:val="0"/>
        <w:tabs>
          <w:tab w:val="left" w:pos="1109"/>
        </w:tabs>
        <w:autoSpaceDE w:val="0"/>
        <w:autoSpaceDN w:val="0"/>
        <w:spacing w:before="56" w:after="0" w:line="240" w:lineRule="auto"/>
        <w:ind w:left="180" w:right="4366"/>
        <w:rPr>
          <w:b/>
          <w:i/>
        </w:rPr>
      </w:pPr>
    </w:p>
    <w:p w14:paraId="25F9D835" w14:textId="1A6E90EC" w:rsidR="001045F7" w:rsidRPr="00814DC8" w:rsidRDefault="008C3B7C" w:rsidP="001045F7">
      <w:pPr>
        <w:widowControl w:val="0"/>
        <w:tabs>
          <w:tab w:val="left" w:pos="1109"/>
        </w:tabs>
        <w:autoSpaceDE w:val="0"/>
        <w:autoSpaceDN w:val="0"/>
        <w:spacing w:before="56" w:after="0" w:line="240" w:lineRule="auto"/>
        <w:ind w:left="180" w:right="4366"/>
        <w:rPr>
          <w:b/>
          <w:i/>
        </w:rPr>
      </w:pPr>
      <w:r>
        <w:rPr>
          <w:rFonts w:ascii="Calibri" w:hAnsi="Calibri" w:cs="Calibri"/>
          <w:b/>
          <w:sz w:val="24"/>
          <w:szCs w:val="24"/>
        </w:rPr>
        <w:t>(p</w:t>
      </w:r>
      <w:r w:rsidR="001045F7" w:rsidRPr="00814DC8">
        <w:rPr>
          <w:rFonts w:ascii="Calibri" w:hAnsi="Calibri" w:cs="Calibri"/>
          <w:b/>
          <w:sz w:val="24"/>
          <w:szCs w:val="24"/>
        </w:rPr>
        <w:t xml:space="preserve">) </w:t>
      </w:r>
      <w:hyperlink r:id="rId16" w:history="1">
        <w:r w:rsidRPr="00F4221F">
          <w:rPr>
            <w:rStyle w:val="Hyperlink"/>
            <w:rFonts w:ascii="Calibri" w:hAnsi="Calibri" w:cs="Calibri"/>
            <w:b/>
            <w:sz w:val="24"/>
            <w:szCs w:val="24"/>
          </w:rPr>
          <w:t xml:space="preserve">ODE </w:t>
        </w:r>
        <w:r w:rsidR="00F4221F" w:rsidRPr="00F4221F">
          <w:rPr>
            <w:rStyle w:val="Hyperlink"/>
            <w:rFonts w:ascii="Calibri" w:hAnsi="Calibri" w:cs="Calibri"/>
            <w:b/>
            <w:sz w:val="24"/>
            <w:szCs w:val="24"/>
          </w:rPr>
          <w:t>processing</w:t>
        </w:r>
        <w:r w:rsidRPr="00F4221F">
          <w:rPr>
            <w:rStyle w:val="Hyperlink"/>
            <w:rFonts w:ascii="Calibri" w:hAnsi="Calibri" w:cs="Calibri"/>
            <w:b/>
            <w:sz w:val="24"/>
            <w:szCs w:val="24"/>
          </w:rPr>
          <w:t xml:space="preserve"> web page</w:t>
        </w:r>
      </w:hyperlink>
      <w:r>
        <w:rPr>
          <w:rFonts w:ascii="Calibri" w:hAnsi="Calibri" w:cs="Calibri"/>
          <w:b/>
          <w:sz w:val="24"/>
          <w:szCs w:val="24"/>
        </w:rPr>
        <w:t>.</w:t>
      </w:r>
    </w:p>
    <w:p w14:paraId="7537AED4" w14:textId="77777777" w:rsidR="00FD0133" w:rsidRDefault="00FD0133" w:rsidP="00FD0133">
      <w:pPr>
        <w:pStyle w:val="BodyText"/>
      </w:pPr>
    </w:p>
    <w:p w14:paraId="743AFA9E" w14:textId="77777777" w:rsidR="00FD0133" w:rsidRDefault="00814DC8" w:rsidP="00814DC8">
      <w:pPr>
        <w:pStyle w:val="Heading1"/>
        <w:keepNext w:val="0"/>
        <w:keepLines w:val="0"/>
        <w:widowControl w:val="0"/>
        <w:tabs>
          <w:tab w:val="left" w:pos="1109"/>
        </w:tabs>
        <w:autoSpaceDE w:val="0"/>
        <w:autoSpaceDN w:val="0"/>
        <w:spacing w:before="0" w:after="0" w:line="240" w:lineRule="auto"/>
        <w:ind w:left="180"/>
        <w:contextualSpacing w:val="0"/>
      </w:pPr>
      <w:r>
        <w:t>(</w:t>
      </w:r>
      <w:r w:rsidR="008C3B7C">
        <w:t>q</w:t>
      </w:r>
      <w:r>
        <w:t xml:space="preserve">) </w:t>
      </w:r>
      <w:r w:rsidR="00FD0133">
        <w:t>Civil</w:t>
      </w:r>
      <w:r w:rsidR="00FD0133">
        <w:rPr>
          <w:spacing w:val="-1"/>
        </w:rPr>
        <w:t xml:space="preserve"> </w:t>
      </w:r>
      <w:r w:rsidR="00FD0133">
        <w:t>rights.</w:t>
      </w:r>
    </w:p>
    <w:p w14:paraId="15AD6621" w14:textId="77777777" w:rsidR="00FD0133" w:rsidRDefault="00FD0133" w:rsidP="00DA3408">
      <w:pPr>
        <w:pStyle w:val="BodyText"/>
        <w:ind w:left="180" w:right="223"/>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833B4AA" w14:textId="77777777" w:rsidR="00FD0133" w:rsidRDefault="00FD0133" w:rsidP="00DA3408">
      <w:pPr>
        <w:pStyle w:val="BodyText"/>
        <w:spacing w:before="8"/>
        <w:rPr>
          <w:sz w:val="16"/>
        </w:rPr>
      </w:pPr>
    </w:p>
    <w:p w14:paraId="32A6ABD6" w14:textId="77777777" w:rsidR="00FD0133" w:rsidRDefault="00FD0133" w:rsidP="00DA3408">
      <w:pPr>
        <w:pStyle w:val="BodyText"/>
        <w:ind w:left="180" w:right="147"/>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Federal Relay Services at (800) 877-8339. Additionally, program information may be made available in languages other than English.</w:t>
      </w:r>
    </w:p>
    <w:p w14:paraId="3F1AEE8F" w14:textId="77777777" w:rsidR="00FD0133" w:rsidRDefault="00FD0133" w:rsidP="00DA3408">
      <w:pPr>
        <w:pStyle w:val="BodyText"/>
        <w:spacing w:before="9"/>
      </w:pPr>
    </w:p>
    <w:p w14:paraId="073EB82C" w14:textId="77777777" w:rsidR="00FD0133" w:rsidRDefault="00FD0133" w:rsidP="00DA3408">
      <w:pPr>
        <w:pStyle w:val="BodyText"/>
        <w:ind w:left="180" w:right="260"/>
      </w:pPr>
      <w:r>
        <w:t xml:space="preserve">To file a program complaint of discrimination, complete the </w:t>
      </w:r>
      <w:hyperlink r:id="rId17">
        <w:r>
          <w:rPr>
            <w:color w:val="0462C1"/>
            <w:u w:val="single" w:color="0462C1"/>
          </w:rPr>
          <w:t>USDA Program Discrimination Complaint</w:t>
        </w:r>
      </w:hyperlink>
      <w:r>
        <w:rPr>
          <w:color w:val="0462C1"/>
        </w:rPr>
        <w:t xml:space="preserve"> </w:t>
      </w:r>
      <w:hyperlink r:id="rId18">
        <w:r>
          <w:rPr>
            <w:color w:val="0462C1"/>
            <w:u w:val="single" w:color="0462C1"/>
          </w:rPr>
          <w:t>Form</w:t>
        </w:r>
        <w:r>
          <w:t xml:space="preserve">, </w:t>
        </w:r>
      </w:hyperlink>
      <w:r>
        <w:t xml:space="preserve">(AD-3027) found online at: </w:t>
      </w:r>
      <w:hyperlink r:id="rId19">
        <w:r>
          <w:rPr>
            <w:color w:val="0462C1"/>
            <w:u w:val="single" w:color="0462C1"/>
          </w:rPr>
          <w:t>How to File a Complaint</w:t>
        </w:r>
        <w:r>
          <w:t xml:space="preserve">, </w:t>
        </w:r>
      </w:hyperlink>
      <w:r>
        <w:t>and at any USDA office, or write a letter addressed to USDA and provide in the letter all of the information requested in the form. To request a copy of the complaint form, call (866) 632-9992. Submit your completed form or letter to USDA by:</w:t>
      </w:r>
    </w:p>
    <w:p w14:paraId="154AACAE" w14:textId="166265AA" w:rsidR="00FD0133" w:rsidRDefault="00DA3408" w:rsidP="00DA3408">
      <w:pPr>
        <w:pStyle w:val="ListParagraph"/>
        <w:widowControl w:val="0"/>
        <w:tabs>
          <w:tab w:val="left" w:pos="1828"/>
          <w:tab w:val="left" w:pos="1829"/>
        </w:tabs>
        <w:autoSpaceDE w:val="0"/>
        <w:autoSpaceDN w:val="0"/>
        <w:spacing w:after="0" w:line="240" w:lineRule="auto"/>
        <w:ind w:left="180"/>
        <w:contextualSpacing w:val="0"/>
      </w:pPr>
      <w:r>
        <w:t xml:space="preserve">(1) </w:t>
      </w:r>
      <w:proofErr w:type="gramStart"/>
      <w:r w:rsidR="00FD0133">
        <w:t>mail</w:t>
      </w:r>
      <w:proofErr w:type="gramEnd"/>
      <w:r w:rsidR="00FD0133">
        <w:t>: U.S. Department of</w:t>
      </w:r>
      <w:r w:rsidR="00FD0133">
        <w:rPr>
          <w:spacing w:val="-5"/>
        </w:rPr>
        <w:t xml:space="preserve"> </w:t>
      </w:r>
      <w:r w:rsidR="00FD0133">
        <w:t>Agriculture</w:t>
      </w:r>
    </w:p>
    <w:p w14:paraId="6CCF4156" w14:textId="77777777" w:rsidR="00FD0133" w:rsidRDefault="00FD0133" w:rsidP="00DA3408">
      <w:pPr>
        <w:pStyle w:val="BodyText"/>
        <w:ind w:left="900" w:right="4682"/>
      </w:pPr>
      <w:r>
        <w:t>Office of the Assistant Secretary for Civil Rights 1400 Independence Avenue, SW</w:t>
      </w:r>
    </w:p>
    <w:p w14:paraId="660A6DEF" w14:textId="77777777" w:rsidR="00FD0133" w:rsidRDefault="00FD0133" w:rsidP="00DA3408">
      <w:pPr>
        <w:pStyle w:val="BodyText"/>
        <w:spacing w:before="1"/>
        <w:ind w:left="900"/>
      </w:pPr>
      <w:r>
        <w:t>Washington, D.C. 20250-9410;</w:t>
      </w:r>
    </w:p>
    <w:p w14:paraId="2ED62698" w14:textId="747500DE" w:rsidR="00DA3408" w:rsidRDefault="00DA3408" w:rsidP="00DA3408">
      <w:pPr>
        <w:pStyle w:val="BodyText"/>
        <w:tabs>
          <w:tab w:val="left" w:pos="1828"/>
        </w:tabs>
        <w:ind w:left="180"/>
      </w:pPr>
      <w:r>
        <w:t xml:space="preserve">(2) </w:t>
      </w:r>
      <w:proofErr w:type="gramStart"/>
      <w:r w:rsidR="00FD0133">
        <w:t>fax</w:t>
      </w:r>
      <w:proofErr w:type="gramEnd"/>
      <w:r w:rsidR="00FD0133">
        <w:t>: (202) 690-7442;</w:t>
      </w:r>
      <w:r w:rsidR="00FD0133">
        <w:rPr>
          <w:spacing w:val="-5"/>
        </w:rPr>
        <w:t xml:space="preserve"> </w:t>
      </w:r>
      <w:r w:rsidR="00FD0133">
        <w:t>or</w:t>
      </w:r>
    </w:p>
    <w:p w14:paraId="3C5F8B45" w14:textId="77777777" w:rsidR="00F4221F" w:rsidRDefault="00DA3408" w:rsidP="00F4221F">
      <w:pPr>
        <w:pStyle w:val="BodyText"/>
        <w:tabs>
          <w:tab w:val="left" w:pos="1828"/>
        </w:tabs>
        <w:ind w:left="180"/>
      </w:pPr>
      <w:r>
        <w:t xml:space="preserve">(3) </w:t>
      </w:r>
      <w:proofErr w:type="gramStart"/>
      <w:r w:rsidR="00FD0133">
        <w:t>email</w:t>
      </w:r>
      <w:proofErr w:type="gramEnd"/>
      <w:r w:rsidR="00FD0133">
        <w:t>:</w:t>
      </w:r>
      <w:r w:rsidR="00FD0133">
        <w:rPr>
          <w:color w:val="0462C1"/>
        </w:rPr>
        <w:t xml:space="preserve"> </w:t>
      </w:r>
      <w:hyperlink r:id="rId20">
        <w:r w:rsidR="00FD0133">
          <w:rPr>
            <w:color w:val="0462C1"/>
            <w:u w:val="single" w:color="0462C1"/>
          </w:rPr>
          <w:t>program.intake@usda.gov</w:t>
        </w:r>
      </w:hyperlink>
    </w:p>
    <w:p w14:paraId="3AA53DA0" w14:textId="165B5341" w:rsidR="00814DC8" w:rsidRPr="00FD0133" w:rsidRDefault="00814DC8" w:rsidP="00F4221F">
      <w:pPr>
        <w:pStyle w:val="BodyText"/>
        <w:tabs>
          <w:tab w:val="left" w:pos="1828"/>
        </w:tabs>
        <w:ind w:left="180"/>
        <w:jc w:val="center"/>
      </w:pPr>
      <w:r>
        <w:t>This institution is an equal opportunity provider.</w:t>
      </w:r>
    </w:p>
    <w:sectPr w:rsidR="00814DC8" w:rsidRPr="00FD0133" w:rsidSect="008B6A52">
      <w:headerReference w:type="default" r:id="rId21"/>
      <w:footerReference w:type="default" r:id="rId22"/>
      <w:headerReference w:type="first" r:id="rId23"/>
      <w:footerReference w:type="first" r:id="rId24"/>
      <w:pgSz w:w="12240" w:h="15840"/>
      <w:pgMar w:top="144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6AFD8" w14:textId="77777777" w:rsidR="00EF7712" w:rsidRDefault="00EF7712" w:rsidP="00CE459D">
      <w:pPr>
        <w:spacing w:after="0" w:line="240" w:lineRule="auto"/>
      </w:pPr>
      <w:r>
        <w:separator/>
      </w:r>
    </w:p>
  </w:endnote>
  <w:endnote w:type="continuationSeparator" w:id="0">
    <w:p w14:paraId="2312BC70" w14:textId="77777777" w:rsidR="00EF7712" w:rsidRDefault="00EF7712"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803389"/>
      <w:docPartObj>
        <w:docPartGallery w:val="Page Numbers (Bottom of Page)"/>
        <w:docPartUnique/>
      </w:docPartObj>
    </w:sdtPr>
    <w:sdtEndPr>
      <w:rPr>
        <w:noProof/>
      </w:rPr>
    </w:sdtEndPr>
    <w:sdtContent>
      <w:p w14:paraId="0B639690" w14:textId="1095B23D" w:rsidR="008B6A52" w:rsidRDefault="008B6A52">
        <w:pPr>
          <w:pStyle w:val="Footer"/>
          <w:jc w:val="center"/>
        </w:pPr>
        <w:r>
          <w:fldChar w:fldCharType="begin"/>
        </w:r>
        <w:r>
          <w:instrText xml:space="preserve"> PAGE   \* MERGEFORMAT </w:instrText>
        </w:r>
        <w:r>
          <w:fldChar w:fldCharType="separate"/>
        </w:r>
        <w:r w:rsidR="00EA08C4">
          <w:rPr>
            <w:noProof/>
          </w:rPr>
          <w:t>6</w:t>
        </w:r>
        <w:r>
          <w:rPr>
            <w:noProof/>
          </w:rPr>
          <w:fldChar w:fldCharType="end"/>
        </w:r>
      </w:p>
    </w:sdtContent>
  </w:sdt>
  <w:p w14:paraId="0693D4ED" w14:textId="77777777" w:rsidR="0026344F" w:rsidRDefault="0026344F" w:rsidP="00B321D1">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9DF05" w14:textId="77777777" w:rsidR="0075010D" w:rsidRDefault="00367412">
    <w:pPr>
      <w:pStyle w:val="Footer"/>
    </w:pPr>
    <w:r>
      <w:rPr>
        <w:noProof/>
      </w:rPr>
      <w:drawing>
        <wp:anchor distT="0" distB="0" distL="114300" distR="114300" simplePos="0" relativeHeight="251664384" behindDoc="1" locked="0" layoutInCell="1" allowOverlap="1" wp14:anchorId="3203DF98" wp14:editId="59A5A82D">
          <wp:simplePos x="0" y="0"/>
          <wp:positionH relativeFrom="column">
            <wp:posOffset>3781425</wp:posOffset>
          </wp:positionH>
          <wp:positionV relativeFrom="page">
            <wp:posOffset>8220075</wp:posOffset>
          </wp:positionV>
          <wp:extent cx="2627814" cy="1306830"/>
          <wp:effectExtent l="0" t="0" r="0" b="0"/>
          <wp:wrapNone/>
          <wp:docPr id="5" name="Picture 5" descr="Oregon Department of Education logo&#10;Oregon achieves...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1170823_ODE_HLogo TAG_2016-FINAL-CMYK.png"/>
                  <pic:cNvPicPr/>
                </pic:nvPicPr>
                <pic:blipFill>
                  <a:blip r:embed="rId1">
                    <a:extLst>
                      <a:ext uri="{28A0092B-C50C-407E-A947-70E740481C1C}">
                        <a14:useLocalDpi xmlns:a14="http://schemas.microsoft.com/office/drawing/2010/main" val="0"/>
                      </a:ext>
                    </a:extLst>
                  </a:blip>
                  <a:stretch>
                    <a:fillRect/>
                  </a:stretch>
                </pic:blipFill>
                <pic:spPr>
                  <a:xfrm>
                    <a:off x="0" y="0"/>
                    <a:ext cx="2627814" cy="13068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4331BE02" wp14:editId="66532FA3">
          <wp:simplePos x="0" y="0"/>
          <wp:positionH relativeFrom="column">
            <wp:posOffset>-209550</wp:posOffset>
          </wp:positionH>
          <wp:positionV relativeFrom="page">
            <wp:posOffset>8248650</wp:posOffset>
          </wp:positionV>
          <wp:extent cx="914400" cy="914400"/>
          <wp:effectExtent l="0" t="0" r="0" b="0"/>
          <wp:wrapNone/>
          <wp:docPr id="6" name="Picture 6" descr="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_StSeal_white.pn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62691" w14:textId="77777777" w:rsidR="00EF7712" w:rsidRDefault="00EF7712" w:rsidP="00CE459D">
      <w:pPr>
        <w:spacing w:after="0" w:line="240" w:lineRule="auto"/>
      </w:pPr>
      <w:r>
        <w:separator/>
      </w:r>
    </w:p>
  </w:footnote>
  <w:footnote w:type="continuationSeparator" w:id="0">
    <w:p w14:paraId="10914326" w14:textId="77777777" w:rsidR="00EF7712" w:rsidRDefault="00EF7712"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90179237"/>
      <w:dataBinding w:prefixMappings="xmlns:ns0='http://purl.org/dc/elements/1.1/' xmlns:ns1='http://schemas.openxmlformats.org/package/2006/metadata/core-properties' " w:xpath="/ns1:coreProperties[1]/ns0:title[1]" w:storeItemID="{6C3C8BC8-F283-45AE-878A-BAB7291924A1}"/>
      <w:text/>
    </w:sdtPr>
    <w:sdtEndPr/>
    <w:sdtContent>
      <w:p w14:paraId="7995AF33" w14:textId="3A8E8E92" w:rsidR="0026344F" w:rsidRDefault="00EA08C4" w:rsidP="00B75657">
        <w:pPr>
          <w:pStyle w:val="Header"/>
        </w:pPr>
        <w:r>
          <w:t>ODE USDA Food Distribution Program</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8864" w14:textId="77777777" w:rsidR="0075010D" w:rsidRDefault="0075010D">
    <w:pPr>
      <w:pStyle w:val="Header"/>
    </w:pPr>
    <w:r>
      <w:rPr>
        <w:noProof/>
      </w:rPr>
      <w:drawing>
        <wp:anchor distT="0" distB="0" distL="114300" distR="114300" simplePos="0" relativeHeight="251660286" behindDoc="1" locked="0" layoutInCell="1" allowOverlap="1" wp14:anchorId="7FCFD306" wp14:editId="62DF77CD">
          <wp:simplePos x="0" y="0"/>
          <wp:positionH relativeFrom="column">
            <wp:posOffset>-451485</wp:posOffset>
          </wp:positionH>
          <wp:positionV relativeFrom="page">
            <wp:posOffset>466725</wp:posOffset>
          </wp:positionV>
          <wp:extent cx="1463040" cy="9144000"/>
          <wp:effectExtent l="0" t="0" r="3810" b="0"/>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695_ODE_Report Cover-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91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D8FE72"/>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FA29CA"/>
    <w:lvl w:ilvl="0">
      <w:start w:val="1"/>
      <w:numFmt w:val="bullet"/>
      <w:pStyle w:val="ListBullet"/>
      <w:lvlText w:val=""/>
      <w:lvlJc w:val="left"/>
      <w:pPr>
        <w:ind w:left="360" w:hanging="360"/>
      </w:pPr>
      <w:rPr>
        <w:rFonts w:ascii="Wingdings" w:hAnsi="Wingdings" w:hint="default"/>
        <w:color w:val="1B75BC" w:themeColor="accent1"/>
      </w:rPr>
    </w:lvl>
  </w:abstractNum>
  <w:abstractNum w:abstractNumId="10" w15:restartNumberingAfterBreak="0">
    <w:nsid w:val="0E6329FC"/>
    <w:multiLevelType w:val="hybridMultilevel"/>
    <w:tmpl w:val="B4ACA90C"/>
    <w:lvl w:ilvl="0" w:tplc="BB008EBC">
      <w:start w:val="1"/>
      <w:numFmt w:val="decimal"/>
      <w:lvlText w:val="(%1)"/>
      <w:lvlJc w:val="left"/>
      <w:pPr>
        <w:ind w:left="540" w:hanging="360"/>
      </w:pPr>
      <w:rPr>
        <w:rFonts w:ascii="Calibri" w:eastAsia="Calibri" w:hAnsi="Calibri" w:cs="Calibri" w:hint="default"/>
        <w:spacing w:val="-1"/>
        <w:w w:val="100"/>
        <w:sz w:val="22"/>
        <w:szCs w:val="22"/>
        <w:lang w:val="en-US" w:eastAsia="en-US" w:bidi="en-US"/>
      </w:rPr>
    </w:lvl>
    <w:lvl w:ilvl="1" w:tplc="48763D3A">
      <w:numFmt w:val="bullet"/>
      <w:lvlText w:val="•"/>
      <w:lvlJc w:val="left"/>
      <w:pPr>
        <w:ind w:left="1530" w:hanging="360"/>
      </w:pPr>
      <w:rPr>
        <w:rFonts w:hint="default"/>
        <w:lang w:val="en-US" w:eastAsia="en-US" w:bidi="en-US"/>
      </w:rPr>
    </w:lvl>
    <w:lvl w:ilvl="2" w:tplc="6890D78E">
      <w:numFmt w:val="bullet"/>
      <w:lvlText w:val="•"/>
      <w:lvlJc w:val="left"/>
      <w:pPr>
        <w:ind w:left="2528" w:hanging="360"/>
      </w:pPr>
      <w:rPr>
        <w:rFonts w:hint="default"/>
        <w:lang w:val="en-US" w:eastAsia="en-US" w:bidi="en-US"/>
      </w:rPr>
    </w:lvl>
    <w:lvl w:ilvl="3" w:tplc="0D68A5C2">
      <w:numFmt w:val="bullet"/>
      <w:lvlText w:val="•"/>
      <w:lvlJc w:val="left"/>
      <w:pPr>
        <w:ind w:left="3526" w:hanging="360"/>
      </w:pPr>
      <w:rPr>
        <w:rFonts w:hint="default"/>
        <w:lang w:val="en-US" w:eastAsia="en-US" w:bidi="en-US"/>
      </w:rPr>
    </w:lvl>
    <w:lvl w:ilvl="4" w:tplc="B688F3EC">
      <w:numFmt w:val="bullet"/>
      <w:lvlText w:val="•"/>
      <w:lvlJc w:val="left"/>
      <w:pPr>
        <w:ind w:left="4524" w:hanging="360"/>
      </w:pPr>
      <w:rPr>
        <w:rFonts w:hint="default"/>
        <w:lang w:val="en-US" w:eastAsia="en-US" w:bidi="en-US"/>
      </w:rPr>
    </w:lvl>
    <w:lvl w:ilvl="5" w:tplc="3BDAACA4">
      <w:numFmt w:val="bullet"/>
      <w:lvlText w:val="•"/>
      <w:lvlJc w:val="left"/>
      <w:pPr>
        <w:ind w:left="5522" w:hanging="360"/>
      </w:pPr>
      <w:rPr>
        <w:rFonts w:hint="default"/>
        <w:lang w:val="en-US" w:eastAsia="en-US" w:bidi="en-US"/>
      </w:rPr>
    </w:lvl>
    <w:lvl w:ilvl="6" w:tplc="B8CC00C4">
      <w:numFmt w:val="bullet"/>
      <w:lvlText w:val="•"/>
      <w:lvlJc w:val="left"/>
      <w:pPr>
        <w:ind w:left="6520" w:hanging="360"/>
      </w:pPr>
      <w:rPr>
        <w:rFonts w:hint="default"/>
        <w:lang w:val="en-US" w:eastAsia="en-US" w:bidi="en-US"/>
      </w:rPr>
    </w:lvl>
    <w:lvl w:ilvl="7" w:tplc="97343B6C">
      <w:numFmt w:val="bullet"/>
      <w:lvlText w:val="•"/>
      <w:lvlJc w:val="left"/>
      <w:pPr>
        <w:ind w:left="7518" w:hanging="360"/>
      </w:pPr>
      <w:rPr>
        <w:rFonts w:hint="default"/>
        <w:lang w:val="en-US" w:eastAsia="en-US" w:bidi="en-US"/>
      </w:rPr>
    </w:lvl>
    <w:lvl w:ilvl="8" w:tplc="1B3C52C8">
      <w:numFmt w:val="bullet"/>
      <w:lvlText w:val="•"/>
      <w:lvlJc w:val="left"/>
      <w:pPr>
        <w:ind w:left="8516" w:hanging="360"/>
      </w:pPr>
      <w:rPr>
        <w:rFonts w:hint="default"/>
        <w:lang w:val="en-US" w:eastAsia="en-US" w:bidi="en-US"/>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C6C67"/>
    <w:multiLevelType w:val="hybridMultilevel"/>
    <w:tmpl w:val="FA6A7718"/>
    <w:lvl w:ilvl="0" w:tplc="4988492A">
      <w:start w:val="1"/>
      <w:numFmt w:val="lowerLetter"/>
      <w:lvlText w:val="(%1)"/>
      <w:lvlJc w:val="left"/>
      <w:pPr>
        <w:ind w:left="361" w:hanging="361"/>
      </w:pPr>
      <w:rPr>
        <w:rFonts w:ascii="Calibri" w:eastAsia="Calibri" w:hAnsi="Calibri" w:cs="Calibri" w:hint="default"/>
        <w:b/>
        <w:bCs/>
        <w:i/>
        <w:w w:val="100"/>
        <w:sz w:val="22"/>
        <w:szCs w:val="22"/>
        <w:lang w:val="en-US" w:eastAsia="en-US" w:bidi="en-US"/>
      </w:rPr>
    </w:lvl>
    <w:lvl w:ilvl="1" w:tplc="48D45912">
      <w:start w:val="1"/>
      <w:numFmt w:val="decimal"/>
      <w:lvlText w:val="(%2)"/>
      <w:lvlJc w:val="left"/>
      <w:pPr>
        <w:ind w:left="1081" w:hanging="720"/>
      </w:pPr>
      <w:rPr>
        <w:rFonts w:ascii="Calibri" w:eastAsia="Calibri" w:hAnsi="Calibri" w:cs="Calibri" w:hint="default"/>
        <w:spacing w:val="-1"/>
        <w:w w:val="100"/>
        <w:sz w:val="22"/>
        <w:szCs w:val="22"/>
        <w:lang w:val="en-US" w:eastAsia="en-US" w:bidi="en-US"/>
      </w:rPr>
    </w:lvl>
    <w:lvl w:ilvl="2" w:tplc="946694AA">
      <w:numFmt w:val="bullet"/>
      <w:lvlText w:val="•"/>
      <w:lvlJc w:val="left"/>
      <w:pPr>
        <w:ind w:left="1183" w:hanging="720"/>
      </w:pPr>
      <w:rPr>
        <w:rFonts w:hint="default"/>
        <w:lang w:val="en-US" w:eastAsia="en-US" w:bidi="en-US"/>
      </w:rPr>
    </w:lvl>
    <w:lvl w:ilvl="3" w:tplc="B52A78CC">
      <w:numFmt w:val="bullet"/>
      <w:lvlText w:val="•"/>
      <w:lvlJc w:val="left"/>
      <w:pPr>
        <w:ind w:left="1294" w:hanging="720"/>
      </w:pPr>
      <w:rPr>
        <w:rFonts w:hint="default"/>
        <w:lang w:val="en-US" w:eastAsia="en-US" w:bidi="en-US"/>
      </w:rPr>
    </w:lvl>
    <w:lvl w:ilvl="4" w:tplc="9D124896">
      <w:numFmt w:val="bullet"/>
      <w:lvlText w:val="•"/>
      <w:lvlJc w:val="left"/>
      <w:pPr>
        <w:ind w:left="1405" w:hanging="720"/>
      </w:pPr>
      <w:rPr>
        <w:rFonts w:hint="default"/>
        <w:lang w:val="en-US" w:eastAsia="en-US" w:bidi="en-US"/>
      </w:rPr>
    </w:lvl>
    <w:lvl w:ilvl="5" w:tplc="1DE67616">
      <w:numFmt w:val="bullet"/>
      <w:lvlText w:val="•"/>
      <w:lvlJc w:val="left"/>
      <w:pPr>
        <w:ind w:left="1515" w:hanging="720"/>
      </w:pPr>
      <w:rPr>
        <w:rFonts w:hint="default"/>
        <w:lang w:val="en-US" w:eastAsia="en-US" w:bidi="en-US"/>
      </w:rPr>
    </w:lvl>
    <w:lvl w:ilvl="6" w:tplc="CA129730">
      <w:numFmt w:val="bullet"/>
      <w:lvlText w:val="•"/>
      <w:lvlJc w:val="left"/>
      <w:pPr>
        <w:ind w:left="1626" w:hanging="720"/>
      </w:pPr>
      <w:rPr>
        <w:rFonts w:hint="default"/>
        <w:lang w:val="en-US" w:eastAsia="en-US" w:bidi="en-US"/>
      </w:rPr>
    </w:lvl>
    <w:lvl w:ilvl="7" w:tplc="905A70E6">
      <w:numFmt w:val="bullet"/>
      <w:lvlText w:val="•"/>
      <w:lvlJc w:val="left"/>
      <w:pPr>
        <w:ind w:left="1737" w:hanging="720"/>
      </w:pPr>
      <w:rPr>
        <w:rFonts w:hint="default"/>
        <w:lang w:val="en-US" w:eastAsia="en-US" w:bidi="en-US"/>
      </w:rPr>
    </w:lvl>
    <w:lvl w:ilvl="8" w:tplc="BB72BB16">
      <w:numFmt w:val="bullet"/>
      <w:lvlText w:val="•"/>
      <w:lvlJc w:val="left"/>
      <w:pPr>
        <w:ind w:left="1847" w:hanging="720"/>
      </w:pPr>
      <w:rPr>
        <w:rFonts w:hint="default"/>
        <w:lang w:val="en-US" w:eastAsia="en-US" w:bidi="en-US"/>
      </w:rPr>
    </w:lvl>
  </w:abstractNum>
  <w:abstractNum w:abstractNumId="13" w15:restartNumberingAfterBreak="0">
    <w:nsid w:val="24035325"/>
    <w:multiLevelType w:val="hybridMultilevel"/>
    <w:tmpl w:val="DB02633E"/>
    <w:lvl w:ilvl="0" w:tplc="E11683A4">
      <w:numFmt w:val="bullet"/>
      <w:lvlText w:val=""/>
      <w:lvlJc w:val="left"/>
      <w:pPr>
        <w:ind w:left="1468" w:hanging="360"/>
      </w:pPr>
      <w:rPr>
        <w:rFonts w:ascii="Symbol" w:eastAsia="Symbol" w:hAnsi="Symbol" w:cs="Symbol" w:hint="default"/>
        <w:w w:val="100"/>
        <w:sz w:val="22"/>
        <w:szCs w:val="22"/>
        <w:lang w:val="en-US" w:eastAsia="en-US" w:bidi="en-US"/>
      </w:rPr>
    </w:lvl>
    <w:lvl w:ilvl="1" w:tplc="8F7AC222">
      <w:numFmt w:val="bullet"/>
      <w:lvlText w:val="•"/>
      <w:lvlJc w:val="left"/>
      <w:pPr>
        <w:ind w:left="2386" w:hanging="360"/>
      </w:pPr>
      <w:rPr>
        <w:rFonts w:hint="default"/>
        <w:lang w:val="en-US" w:eastAsia="en-US" w:bidi="en-US"/>
      </w:rPr>
    </w:lvl>
    <w:lvl w:ilvl="2" w:tplc="4210CF06">
      <w:numFmt w:val="bullet"/>
      <w:lvlText w:val="•"/>
      <w:lvlJc w:val="left"/>
      <w:pPr>
        <w:ind w:left="3312" w:hanging="360"/>
      </w:pPr>
      <w:rPr>
        <w:rFonts w:hint="default"/>
        <w:lang w:val="en-US" w:eastAsia="en-US" w:bidi="en-US"/>
      </w:rPr>
    </w:lvl>
    <w:lvl w:ilvl="3" w:tplc="D4600D98">
      <w:numFmt w:val="bullet"/>
      <w:lvlText w:val="•"/>
      <w:lvlJc w:val="left"/>
      <w:pPr>
        <w:ind w:left="4238" w:hanging="360"/>
      </w:pPr>
      <w:rPr>
        <w:rFonts w:hint="default"/>
        <w:lang w:val="en-US" w:eastAsia="en-US" w:bidi="en-US"/>
      </w:rPr>
    </w:lvl>
    <w:lvl w:ilvl="4" w:tplc="04D23586">
      <w:numFmt w:val="bullet"/>
      <w:lvlText w:val="•"/>
      <w:lvlJc w:val="left"/>
      <w:pPr>
        <w:ind w:left="5164" w:hanging="360"/>
      </w:pPr>
      <w:rPr>
        <w:rFonts w:hint="default"/>
        <w:lang w:val="en-US" w:eastAsia="en-US" w:bidi="en-US"/>
      </w:rPr>
    </w:lvl>
    <w:lvl w:ilvl="5" w:tplc="E294D028">
      <w:numFmt w:val="bullet"/>
      <w:lvlText w:val="•"/>
      <w:lvlJc w:val="left"/>
      <w:pPr>
        <w:ind w:left="6090" w:hanging="360"/>
      </w:pPr>
      <w:rPr>
        <w:rFonts w:hint="default"/>
        <w:lang w:val="en-US" w:eastAsia="en-US" w:bidi="en-US"/>
      </w:rPr>
    </w:lvl>
    <w:lvl w:ilvl="6" w:tplc="3B0CAE1C">
      <w:numFmt w:val="bullet"/>
      <w:lvlText w:val="•"/>
      <w:lvlJc w:val="left"/>
      <w:pPr>
        <w:ind w:left="7016" w:hanging="360"/>
      </w:pPr>
      <w:rPr>
        <w:rFonts w:hint="default"/>
        <w:lang w:val="en-US" w:eastAsia="en-US" w:bidi="en-US"/>
      </w:rPr>
    </w:lvl>
    <w:lvl w:ilvl="7" w:tplc="180E4824">
      <w:numFmt w:val="bullet"/>
      <w:lvlText w:val="•"/>
      <w:lvlJc w:val="left"/>
      <w:pPr>
        <w:ind w:left="7942" w:hanging="360"/>
      </w:pPr>
      <w:rPr>
        <w:rFonts w:hint="default"/>
        <w:lang w:val="en-US" w:eastAsia="en-US" w:bidi="en-US"/>
      </w:rPr>
    </w:lvl>
    <w:lvl w:ilvl="8" w:tplc="DD0003F6">
      <w:numFmt w:val="bullet"/>
      <w:lvlText w:val="•"/>
      <w:lvlJc w:val="left"/>
      <w:pPr>
        <w:ind w:left="8868" w:hanging="360"/>
      </w:pPr>
      <w:rPr>
        <w:rFonts w:hint="default"/>
        <w:lang w:val="en-US" w:eastAsia="en-US" w:bidi="en-US"/>
      </w:rPr>
    </w:lvl>
  </w:abstractNum>
  <w:abstractNum w:abstractNumId="14" w15:restartNumberingAfterBreak="0">
    <w:nsid w:val="3A0A552C"/>
    <w:multiLevelType w:val="hybridMultilevel"/>
    <w:tmpl w:val="71F8CB14"/>
    <w:lvl w:ilvl="0" w:tplc="4F5C14BC">
      <w:start w:val="1"/>
      <w:numFmt w:val="decimal"/>
      <w:lvlText w:val="(%1)"/>
      <w:lvlJc w:val="left"/>
      <w:pPr>
        <w:ind w:left="748" w:hanging="360"/>
      </w:pPr>
      <w:rPr>
        <w:rFonts w:ascii="Calibri" w:eastAsia="Calibri" w:hAnsi="Calibri" w:cs="Calibri" w:hint="default"/>
        <w:i/>
        <w:spacing w:val="-1"/>
        <w:w w:val="100"/>
        <w:sz w:val="22"/>
        <w:szCs w:val="22"/>
        <w:lang w:val="en-US" w:eastAsia="en-US" w:bidi="en-US"/>
      </w:rPr>
    </w:lvl>
    <w:lvl w:ilvl="1" w:tplc="C218A8EA">
      <w:start w:val="1"/>
      <w:numFmt w:val="lowerRoman"/>
      <w:lvlText w:val="(%2)"/>
      <w:lvlJc w:val="left"/>
      <w:pPr>
        <w:ind w:left="1468" w:hanging="360"/>
      </w:pPr>
      <w:rPr>
        <w:rFonts w:ascii="Calibri" w:eastAsia="Calibri" w:hAnsi="Calibri" w:cs="Calibri" w:hint="default"/>
        <w:spacing w:val="-1"/>
        <w:w w:val="100"/>
        <w:sz w:val="22"/>
        <w:szCs w:val="22"/>
        <w:lang w:val="en-US" w:eastAsia="en-US" w:bidi="en-US"/>
      </w:rPr>
    </w:lvl>
    <w:lvl w:ilvl="2" w:tplc="A912B4F2">
      <w:numFmt w:val="bullet"/>
      <w:lvlText w:val="•"/>
      <w:lvlJc w:val="left"/>
      <w:pPr>
        <w:ind w:left="2488" w:hanging="360"/>
      </w:pPr>
      <w:rPr>
        <w:rFonts w:hint="default"/>
        <w:lang w:val="en-US" w:eastAsia="en-US" w:bidi="en-US"/>
      </w:rPr>
    </w:lvl>
    <w:lvl w:ilvl="3" w:tplc="570E4E38">
      <w:numFmt w:val="bullet"/>
      <w:lvlText w:val="•"/>
      <w:lvlJc w:val="left"/>
      <w:pPr>
        <w:ind w:left="3517" w:hanging="360"/>
      </w:pPr>
      <w:rPr>
        <w:rFonts w:hint="default"/>
        <w:lang w:val="en-US" w:eastAsia="en-US" w:bidi="en-US"/>
      </w:rPr>
    </w:lvl>
    <w:lvl w:ilvl="4" w:tplc="0E88C3E8">
      <w:numFmt w:val="bullet"/>
      <w:lvlText w:val="•"/>
      <w:lvlJc w:val="left"/>
      <w:pPr>
        <w:ind w:left="4546" w:hanging="360"/>
      </w:pPr>
      <w:rPr>
        <w:rFonts w:hint="default"/>
        <w:lang w:val="en-US" w:eastAsia="en-US" w:bidi="en-US"/>
      </w:rPr>
    </w:lvl>
    <w:lvl w:ilvl="5" w:tplc="186C3720">
      <w:numFmt w:val="bullet"/>
      <w:lvlText w:val="•"/>
      <w:lvlJc w:val="left"/>
      <w:pPr>
        <w:ind w:left="5575" w:hanging="360"/>
      </w:pPr>
      <w:rPr>
        <w:rFonts w:hint="default"/>
        <w:lang w:val="en-US" w:eastAsia="en-US" w:bidi="en-US"/>
      </w:rPr>
    </w:lvl>
    <w:lvl w:ilvl="6" w:tplc="443E80D6">
      <w:numFmt w:val="bullet"/>
      <w:lvlText w:val="•"/>
      <w:lvlJc w:val="left"/>
      <w:pPr>
        <w:ind w:left="6604" w:hanging="360"/>
      </w:pPr>
      <w:rPr>
        <w:rFonts w:hint="default"/>
        <w:lang w:val="en-US" w:eastAsia="en-US" w:bidi="en-US"/>
      </w:rPr>
    </w:lvl>
    <w:lvl w:ilvl="7" w:tplc="28AEFF58">
      <w:numFmt w:val="bullet"/>
      <w:lvlText w:val="•"/>
      <w:lvlJc w:val="left"/>
      <w:pPr>
        <w:ind w:left="7633" w:hanging="360"/>
      </w:pPr>
      <w:rPr>
        <w:rFonts w:hint="default"/>
        <w:lang w:val="en-US" w:eastAsia="en-US" w:bidi="en-US"/>
      </w:rPr>
    </w:lvl>
    <w:lvl w:ilvl="8" w:tplc="8E944A0A">
      <w:numFmt w:val="bullet"/>
      <w:lvlText w:val="•"/>
      <w:lvlJc w:val="left"/>
      <w:pPr>
        <w:ind w:left="8662" w:hanging="360"/>
      </w:pPr>
      <w:rPr>
        <w:rFonts w:hint="default"/>
        <w:lang w:val="en-US" w:eastAsia="en-US" w:bidi="en-US"/>
      </w:rPr>
    </w:lvl>
  </w:abstractNum>
  <w:abstractNum w:abstractNumId="15" w15:restartNumberingAfterBreak="0">
    <w:nsid w:val="56C05A0D"/>
    <w:multiLevelType w:val="hybridMultilevel"/>
    <w:tmpl w:val="CE8EAEDC"/>
    <w:lvl w:ilvl="0" w:tplc="D2F6E3DC">
      <w:start w:val="1"/>
      <w:numFmt w:val="decimal"/>
      <w:lvlText w:val="(%1)"/>
      <w:lvlJc w:val="left"/>
      <w:pPr>
        <w:ind w:left="748" w:hanging="360"/>
      </w:pPr>
      <w:rPr>
        <w:rFonts w:ascii="Calibri" w:eastAsia="Calibri" w:hAnsi="Calibri" w:cs="Calibri" w:hint="default"/>
        <w:spacing w:val="-1"/>
        <w:w w:val="100"/>
        <w:sz w:val="22"/>
        <w:szCs w:val="22"/>
        <w:lang w:val="en-US" w:eastAsia="en-US" w:bidi="en-US"/>
      </w:rPr>
    </w:lvl>
    <w:lvl w:ilvl="1" w:tplc="F7F4157C">
      <w:numFmt w:val="bullet"/>
      <w:lvlText w:val="•"/>
      <w:lvlJc w:val="left"/>
      <w:pPr>
        <w:ind w:left="1738" w:hanging="360"/>
      </w:pPr>
      <w:rPr>
        <w:rFonts w:hint="default"/>
        <w:lang w:val="en-US" w:eastAsia="en-US" w:bidi="en-US"/>
      </w:rPr>
    </w:lvl>
    <w:lvl w:ilvl="2" w:tplc="7D54A342">
      <w:numFmt w:val="bullet"/>
      <w:lvlText w:val="•"/>
      <w:lvlJc w:val="left"/>
      <w:pPr>
        <w:ind w:left="2736" w:hanging="360"/>
      </w:pPr>
      <w:rPr>
        <w:rFonts w:hint="default"/>
        <w:lang w:val="en-US" w:eastAsia="en-US" w:bidi="en-US"/>
      </w:rPr>
    </w:lvl>
    <w:lvl w:ilvl="3" w:tplc="85720B1A">
      <w:numFmt w:val="bullet"/>
      <w:lvlText w:val="•"/>
      <w:lvlJc w:val="left"/>
      <w:pPr>
        <w:ind w:left="3734" w:hanging="360"/>
      </w:pPr>
      <w:rPr>
        <w:rFonts w:hint="default"/>
        <w:lang w:val="en-US" w:eastAsia="en-US" w:bidi="en-US"/>
      </w:rPr>
    </w:lvl>
    <w:lvl w:ilvl="4" w:tplc="431854C4">
      <w:numFmt w:val="bullet"/>
      <w:lvlText w:val="•"/>
      <w:lvlJc w:val="left"/>
      <w:pPr>
        <w:ind w:left="4732" w:hanging="360"/>
      </w:pPr>
      <w:rPr>
        <w:rFonts w:hint="default"/>
        <w:lang w:val="en-US" w:eastAsia="en-US" w:bidi="en-US"/>
      </w:rPr>
    </w:lvl>
    <w:lvl w:ilvl="5" w:tplc="70D658BA">
      <w:numFmt w:val="bullet"/>
      <w:lvlText w:val="•"/>
      <w:lvlJc w:val="left"/>
      <w:pPr>
        <w:ind w:left="5730" w:hanging="360"/>
      </w:pPr>
      <w:rPr>
        <w:rFonts w:hint="default"/>
        <w:lang w:val="en-US" w:eastAsia="en-US" w:bidi="en-US"/>
      </w:rPr>
    </w:lvl>
    <w:lvl w:ilvl="6" w:tplc="3E26872C">
      <w:numFmt w:val="bullet"/>
      <w:lvlText w:val="•"/>
      <w:lvlJc w:val="left"/>
      <w:pPr>
        <w:ind w:left="6728" w:hanging="360"/>
      </w:pPr>
      <w:rPr>
        <w:rFonts w:hint="default"/>
        <w:lang w:val="en-US" w:eastAsia="en-US" w:bidi="en-US"/>
      </w:rPr>
    </w:lvl>
    <w:lvl w:ilvl="7" w:tplc="387C3440">
      <w:numFmt w:val="bullet"/>
      <w:lvlText w:val="•"/>
      <w:lvlJc w:val="left"/>
      <w:pPr>
        <w:ind w:left="7726" w:hanging="360"/>
      </w:pPr>
      <w:rPr>
        <w:rFonts w:hint="default"/>
        <w:lang w:val="en-US" w:eastAsia="en-US" w:bidi="en-US"/>
      </w:rPr>
    </w:lvl>
    <w:lvl w:ilvl="8" w:tplc="F280B3C0">
      <w:numFmt w:val="bullet"/>
      <w:lvlText w:val="•"/>
      <w:lvlJc w:val="left"/>
      <w:pPr>
        <w:ind w:left="8724" w:hanging="360"/>
      </w:pPr>
      <w:rPr>
        <w:rFonts w:hint="default"/>
        <w:lang w:val="en-US" w:eastAsia="en-US" w:bidi="en-US"/>
      </w:rPr>
    </w:lvl>
  </w:abstractNum>
  <w:abstractNum w:abstractNumId="16" w15:restartNumberingAfterBreak="0">
    <w:nsid w:val="5E995C76"/>
    <w:multiLevelType w:val="hybridMultilevel"/>
    <w:tmpl w:val="FA6A7718"/>
    <w:lvl w:ilvl="0" w:tplc="4988492A">
      <w:start w:val="1"/>
      <w:numFmt w:val="lowerLetter"/>
      <w:lvlText w:val="(%1)"/>
      <w:lvlJc w:val="left"/>
      <w:pPr>
        <w:ind w:left="541" w:hanging="361"/>
      </w:pPr>
      <w:rPr>
        <w:rFonts w:ascii="Calibri" w:eastAsia="Calibri" w:hAnsi="Calibri" w:cs="Calibri" w:hint="default"/>
        <w:b/>
        <w:bCs/>
        <w:i/>
        <w:w w:val="100"/>
        <w:sz w:val="22"/>
        <w:szCs w:val="22"/>
        <w:lang w:val="en-US" w:eastAsia="en-US" w:bidi="en-US"/>
      </w:rPr>
    </w:lvl>
    <w:lvl w:ilvl="1" w:tplc="48D45912">
      <w:start w:val="1"/>
      <w:numFmt w:val="decimal"/>
      <w:lvlText w:val="(%2)"/>
      <w:lvlJc w:val="left"/>
      <w:pPr>
        <w:ind w:left="1261" w:hanging="720"/>
      </w:pPr>
      <w:rPr>
        <w:rFonts w:ascii="Calibri" w:eastAsia="Calibri" w:hAnsi="Calibri" w:cs="Calibri" w:hint="default"/>
        <w:spacing w:val="-1"/>
        <w:w w:val="100"/>
        <w:sz w:val="22"/>
        <w:szCs w:val="22"/>
        <w:lang w:val="en-US" w:eastAsia="en-US" w:bidi="en-US"/>
      </w:rPr>
    </w:lvl>
    <w:lvl w:ilvl="2" w:tplc="946694AA">
      <w:numFmt w:val="bullet"/>
      <w:lvlText w:val="•"/>
      <w:lvlJc w:val="left"/>
      <w:pPr>
        <w:ind w:left="1363" w:hanging="720"/>
      </w:pPr>
      <w:rPr>
        <w:rFonts w:hint="default"/>
        <w:lang w:val="en-US" w:eastAsia="en-US" w:bidi="en-US"/>
      </w:rPr>
    </w:lvl>
    <w:lvl w:ilvl="3" w:tplc="B52A78CC">
      <w:numFmt w:val="bullet"/>
      <w:lvlText w:val="•"/>
      <w:lvlJc w:val="left"/>
      <w:pPr>
        <w:ind w:left="1474" w:hanging="720"/>
      </w:pPr>
      <w:rPr>
        <w:rFonts w:hint="default"/>
        <w:lang w:val="en-US" w:eastAsia="en-US" w:bidi="en-US"/>
      </w:rPr>
    </w:lvl>
    <w:lvl w:ilvl="4" w:tplc="9D124896">
      <w:numFmt w:val="bullet"/>
      <w:lvlText w:val="•"/>
      <w:lvlJc w:val="left"/>
      <w:pPr>
        <w:ind w:left="1585" w:hanging="720"/>
      </w:pPr>
      <w:rPr>
        <w:rFonts w:hint="default"/>
        <w:lang w:val="en-US" w:eastAsia="en-US" w:bidi="en-US"/>
      </w:rPr>
    </w:lvl>
    <w:lvl w:ilvl="5" w:tplc="1DE67616">
      <w:numFmt w:val="bullet"/>
      <w:lvlText w:val="•"/>
      <w:lvlJc w:val="left"/>
      <w:pPr>
        <w:ind w:left="1695" w:hanging="720"/>
      </w:pPr>
      <w:rPr>
        <w:rFonts w:hint="default"/>
        <w:lang w:val="en-US" w:eastAsia="en-US" w:bidi="en-US"/>
      </w:rPr>
    </w:lvl>
    <w:lvl w:ilvl="6" w:tplc="CA129730">
      <w:numFmt w:val="bullet"/>
      <w:lvlText w:val="•"/>
      <w:lvlJc w:val="left"/>
      <w:pPr>
        <w:ind w:left="1806" w:hanging="720"/>
      </w:pPr>
      <w:rPr>
        <w:rFonts w:hint="default"/>
        <w:lang w:val="en-US" w:eastAsia="en-US" w:bidi="en-US"/>
      </w:rPr>
    </w:lvl>
    <w:lvl w:ilvl="7" w:tplc="905A70E6">
      <w:numFmt w:val="bullet"/>
      <w:lvlText w:val="•"/>
      <w:lvlJc w:val="left"/>
      <w:pPr>
        <w:ind w:left="1917" w:hanging="720"/>
      </w:pPr>
      <w:rPr>
        <w:rFonts w:hint="default"/>
        <w:lang w:val="en-US" w:eastAsia="en-US" w:bidi="en-US"/>
      </w:rPr>
    </w:lvl>
    <w:lvl w:ilvl="8" w:tplc="BB72BB16">
      <w:numFmt w:val="bullet"/>
      <w:lvlText w:val="•"/>
      <w:lvlJc w:val="left"/>
      <w:pPr>
        <w:ind w:left="2027" w:hanging="720"/>
      </w:pPr>
      <w:rPr>
        <w:rFonts w:hint="default"/>
        <w:lang w:val="en-US" w:eastAsia="en-US" w:bidi="en-US"/>
      </w:rPr>
    </w:lvl>
  </w:abstractNum>
  <w:abstractNum w:abstractNumId="17" w15:restartNumberingAfterBreak="0">
    <w:nsid w:val="6E6C75C3"/>
    <w:multiLevelType w:val="hybridMultilevel"/>
    <w:tmpl w:val="04188C20"/>
    <w:lvl w:ilvl="0" w:tplc="3A6A6532">
      <w:start w:val="1"/>
      <w:numFmt w:val="decimal"/>
      <w:lvlText w:val="(%1)"/>
      <w:lvlJc w:val="left"/>
      <w:pPr>
        <w:ind w:left="540" w:hanging="360"/>
      </w:pPr>
      <w:rPr>
        <w:rFonts w:ascii="Calibri" w:eastAsia="Calibri" w:hAnsi="Calibri" w:cs="Calibri" w:hint="default"/>
        <w:spacing w:val="-1"/>
        <w:w w:val="100"/>
        <w:sz w:val="22"/>
        <w:szCs w:val="22"/>
        <w:lang w:val="en-US" w:eastAsia="en-US" w:bidi="en-US"/>
      </w:rPr>
    </w:lvl>
    <w:lvl w:ilvl="1" w:tplc="B5EA62FE">
      <w:numFmt w:val="bullet"/>
      <w:lvlText w:val="•"/>
      <w:lvlJc w:val="left"/>
      <w:pPr>
        <w:ind w:left="1530" w:hanging="360"/>
      </w:pPr>
      <w:rPr>
        <w:rFonts w:hint="default"/>
        <w:lang w:val="en-US" w:eastAsia="en-US" w:bidi="en-US"/>
      </w:rPr>
    </w:lvl>
    <w:lvl w:ilvl="2" w:tplc="2304D220">
      <w:numFmt w:val="bullet"/>
      <w:lvlText w:val="•"/>
      <w:lvlJc w:val="left"/>
      <w:pPr>
        <w:ind w:left="2528" w:hanging="360"/>
      </w:pPr>
      <w:rPr>
        <w:rFonts w:hint="default"/>
        <w:lang w:val="en-US" w:eastAsia="en-US" w:bidi="en-US"/>
      </w:rPr>
    </w:lvl>
    <w:lvl w:ilvl="3" w:tplc="CC0C8212">
      <w:numFmt w:val="bullet"/>
      <w:lvlText w:val="•"/>
      <w:lvlJc w:val="left"/>
      <w:pPr>
        <w:ind w:left="3526" w:hanging="360"/>
      </w:pPr>
      <w:rPr>
        <w:rFonts w:hint="default"/>
        <w:lang w:val="en-US" w:eastAsia="en-US" w:bidi="en-US"/>
      </w:rPr>
    </w:lvl>
    <w:lvl w:ilvl="4" w:tplc="7AC8D270">
      <w:numFmt w:val="bullet"/>
      <w:lvlText w:val="•"/>
      <w:lvlJc w:val="left"/>
      <w:pPr>
        <w:ind w:left="4524" w:hanging="360"/>
      </w:pPr>
      <w:rPr>
        <w:rFonts w:hint="default"/>
        <w:lang w:val="en-US" w:eastAsia="en-US" w:bidi="en-US"/>
      </w:rPr>
    </w:lvl>
    <w:lvl w:ilvl="5" w:tplc="9CE211E8">
      <w:numFmt w:val="bullet"/>
      <w:lvlText w:val="•"/>
      <w:lvlJc w:val="left"/>
      <w:pPr>
        <w:ind w:left="5522" w:hanging="360"/>
      </w:pPr>
      <w:rPr>
        <w:rFonts w:hint="default"/>
        <w:lang w:val="en-US" w:eastAsia="en-US" w:bidi="en-US"/>
      </w:rPr>
    </w:lvl>
    <w:lvl w:ilvl="6" w:tplc="6D4A2F58">
      <w:numFmt w:val="bullet"/>
      <w:lvlText w:val="•"/>
      <w:lvlJc w:val="left"/>
      <w:pPr>
        <w:ind w:left="6520" w:hanging="360"/>
      </w:pPr>
      <w:rPr>
        <w:rFonts w:hint="default"/>
        <w:lang w:val="en-US" w:eastAsia="en-US" w:bidi="en-US"/>
      </w:rPr>
    </w:lvl>
    <w:lvl w:ilvl="7" w:tplc="8CBEE71E">
      <w:numFmt w:val="bullet"/>
      <w:lvlText w:val="•"/>
      <w:lvlJc w:val="left"/>
      <w:pPr>
        <w:ind w:left="7518" w:hanging="360"/>
      </w:pPr>
      <w:rPr>
        <w:rFonts w:hint="default"/>
        <w:lang w:val="en-US" w:eastAsia="en-US" w:bidi="en-US"/>
      </w:rPr>
    </w:lvl>
    <w:lvl w:ilvl="8" w:tplc="25441C78">
      <w:numFmt w:val="bullet"/>
      <w:lvlText w:val="•"/>
      <w:lvlJc w:val="left"/>
      <w:pPr>
        <w:ind w:left="8516" w:hanging="360"/>
      </w:pPr>
      <w:rPr>
        <w:rFonts w:hint="default"/>
        <w:lang w:val="en-US" w:eastAsia="en-US" w:bidi="en-US"/>
      </w:rPr>
    </w:lvl>
  </w:abstractNum>
  <w:abstractNum w:abstractNumId="18" w15:restartNumberingAfterBreak="0">
    <w:nsid w:val="7A8E5B35"/>
    <w:multiLevelType w:val="hybridMultilevel"/>
    <w:tmpl w:val="7C205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7"/>
  </w:num>
  <w:num w:numId="15">
    <w:abstractNumId w:val="14"/>
  </w:num>
  <w:num w:numId="16">
    <w:abstractNumId w:val="13"/>
  </w:num>
  <w:num w:numId="17">
    <w:abstractNumId w:val="1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33"/>
    <w:rsid w:val="00060CD0"/>
    <w:rsid w:val="00061255"/>
    <w:rsid w:val="000A4439"/>
    <w:rsid w:val="000C18DA"/>
    <w:rsid w:val="000C2F28"/>
    <w:rsid w:val="000C5F65"/>
    <w:rsid w:val="000D3C77"/>
    <w:rsid w:val="000E1ACF"/>
    <w:rsid w:val="001045F7"/>
    <w:rsid w:val="001B33A3"/>
    <w:rsid w:val="001C4FEF"/>
    <w:rsid w:val="00203B8A"/>
    <w:rsid w:val="0020401A"/>
    <w:rsid w:val="00220F69"/>
    <w:rsid w:val="00234F23"/>
    <w:rsid w:val="00246BF6"/>
    <w:rsid w:val="0026344F"/>
    <w:rsid w:val="002D2435"/>
    <w:rsid w:val="002D6726"/>
    <w:rsid w:val="00327642"/>
    <w:rsid w:val="00355DD5"/>
    <w:rsid w:val="00367412"/>
    <w:rsid w:val="0037280A"/>
    <w:rsid w:val="00376008"/>
    <w:rsid w:val="003A5CB5"/>
    <w:rsid w:val="003C2052"/>
    <w:rsid w:val="00404B0C"/>
    <w:rsid w:val="00422BDE"/>
    <w:rsid w:val="00464A26"/>
    <w:rsid w:val="004836B6"/>
    <w:rsid w:val="00507C82"/>
    <w:rsid w:val="00532EC4"/>
    <w:rsid w:val="00544E72"/>
    <w:rsid w:val="00581CAB"/>
    <w:rsid w:val="005A4BC5"/>
    <w:rsid w:val="005B6F2B"/>
    <w:rsid w:val="005F2534"/>
    <w:rsid w:val="00650402"/>
    <w:rsid w:val="006544C7"/>
    <w:rsid w:val="00655A8A"/>
    <w:rsid w:val="006764B7"/>
    <w:rsid w:val="006C3671"/>
    <w:rsid w:val="006F0571"/>
    <w:rsid w:val="0075010D"/>
    <w:rsid w:val="00785814"/>
    <w:rsid w:val="007D738F"/>
    <w:rsid w:val="00814DC8"/>
    <w:rsid w:val="0083582F"/>
    <w:rsid w:val="00856427"/>
    <w:rsid w:val="00882442"/>
    <w:rsid w:val="008B6A52"/>
    <w:rsid w:val="008C3B7C"/>
    <w:rsid w:val="00927554"/>
    <w:rsid w:val="00985F85"/>
    <w:rsid w:val="009A4B0A"/>
    <w:rsid w:val="009A747A"/>
    <w:rsid w:val="009C4602"/>
    <w:rsid w:val="009E42BF"/>
    <w:rsid w:val="009E4518"/>
    <w:rsid w:val="00AA3417"/>
    <w:rsid w:val="00AD74FA"/>
    <w:rsid w:val="00B00C83"/>
    <w:rsid w:val="00B25F74"/>
    <w:rsid w:val="00B321D1"/>
    <w:rsid w:val="00B34DEF"/>
    <w:rsid w:val="00B75657"/>
    <w:rsid w:val="00BA0686"/>
    <w:rsid w:val="00BF4CCF"/>
    <w:rsid w:val="00C4690C"/>
    <w:rsid w:val="00C648BA"/>
    <w:rsid w:val="00C84324"/>
    <w:rsid w:val="00C950EC"/>
    <w:rsid w:val="00CA2B57"/>
    <w:rsid w:val="00CA5DB1"/>
    <w:rsid w:val="00CB1046"/>
    <w:rsid w:val="00CB5672"/>
    <w:rsid w:val="00CD732C"/>
    <w:rsid w:val="00CE459D"/>
    <w:rsid w:val="00D158D2"/>
    <w:rsid w:val="00D35BD5"/>
    <w:rsid w:val="00DA3408"/>
    <w:rsid w:val="00DA52CE"/>
    <w:rsid w:val="00DA5413"/>
    <w:rsid w:val="00DB7F53"/>
    <w:rsid w:val="00DC7D58"/>
    <w:rsid w:val="00DD2C26"/>
    <w:rsid w:val="00E13FDE"/>
    <w:rsid w:val="00E23E48"/>
    <w:rsid w:val="00E77E47"/>
    <w:rsid w:val="00EA08C4"/>
    <w:rsid w:val="00EA1437"/>
    <w:rsid w:val="00EF7712"/>
    <w:rsid w:val="00F01A54"/>
    <w:rsid w:val="00F4221F"/>
    <w:rsid w:val="00F73EB9"/>
    <w:rsid w:val="00F81BC3"/>
    <w:rsid w:val="00FA3337"/>
    <w:rsid w:val="00FC1574"/>
    <w:rsid w:val="00FC2B26"/>
    <w:rsid w:val="00FD0133"/>
    <w:rsid w:val="00FD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38C8635"/>
  <w15:chartTrackingRefBased/>
  <w15:docId w15:val="{318257C0-1691-4CB6-8BCF-40A7CB4B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F69"/>
  </w:style>
  <w:style w:type="paragraph" w:styleId="Heading1">
    <w:name w:val="heading 1"/>
    <w:basedOn w:val="Normal"/>
    <w:next w:val="Normal"/>
    <w:link w:val="Heading1Char"/>
    <w:uiPriority w:val="9"/>
    <w:qFormat/>
    <w:rsid w:val="00507C82"/>
    <w:pPr>
      <w:keepNext/>
      <w:keepLines/>
      <w:spacing w:before="240" w:after="240" w:line="440" w:lineRule="exact"/>
      <w:contextualSpacing/>
      <w:outlineLvl w:val="0"/>
    </w:pPr>
    <w:rPr>
      <w:rFonts w:ascii="Calibri" w:eastAsiaTheme="majorEastAsia" w:hAnsi="Calibri" w:cstheme="majorBidi"/>
      <w:b/>
      <w:sz w:val="24"/>
      <w:szCs w:val="44"/>
    </w:rPr>
  </w:style>
  <w:style w:type="paragraph" w:styleId="Heading2">
    <w:name w:val="heading 2"/>
    <w:basedOn w:val="Normal"/>
    <w:next w:val="Normal"/>
    <w:link w:val="Heading2Char"/>
    <w:uiPriority w:val="9"/>
    <w:unhideWhenUsed/>
    <w:qFormat/>
    <w:rsid w:val="00234F23"/>
    <w:pPr>
      <w:keepNext/>
      <w:keepLines/>
      <w:spacing w:before="40" w:after="0"/>
      <w:outlineLvl w:val="1"/>
    </w:pPr>
    <w:rPr>
      <w:rFonts w:eastAsiaTheme="majorEastAsia" w:cstheme="minorHAnsi"/>
      <w:b/>
      <w:color w:val="1B75BC" w:themeColor="accent1"/>
      <w:sz w:val="28"/>
      <w:szCs w:val="28"/>
    </w:rPr>
  </w:style>
  <w:style w:type="paragraph" w:styleId="Heading3">
    <w:name w:val="heading 3"/>
    <w:basedOn w:val="Normal"/>
    <w:next w:val="Normal"/>
    <w:link w:val="Heading3Char"/>
    <w:uiPriority w:val="9"/>
    <w:unhideWhenUsed/>
    <w:qFormat/>
    <w:rsid w:val="00234F23"/>
    <w:pPr>
      <w:keepNext/>
      <w:keepLines/>
      <w:spacing w:before="40" w:after="0"/>
      <w:outlineLvl w:val="2"/>
    </w:pPr>
    <w:rPr>
      <w:rFonts w:eastAsiaTheme="majorEastAsia" w:cstheme="minorHAnsi"/>
      <w:b/>
      <w:color w:val="000000" w:themeColor="text1"/>
      <w:sz w:val="26"/>
      <w:szCs w:val="26"/>
    </w:rPr>
  </w:style>
  <w:style w:type="paragraph" w:styleId="Heading4">
    <w:name w:val="heading 4"/>
    <w:basedOn w:val="Normal"/>
    <w:next w:val="Normal"/>
    <w:link w:val="Heading4Char"/>
    <w:uiPriority w:val="9"/>
    <w:unhideWhenUsed/>
    <w:qFormat/>
    <w:rsid w:val="00856427"/>
    <w:pPr>
      <w:keepNext/>
      <w:keepLines/>
      <w:spacing w:before="40" w:after="0"/>
      <w:outlineLvl w:val="3"/>
    </w:pPr>
    <w:rPr>
      <w:rFonts w:eastAsiaTheme="majorEastAsia" w:cstheme="minorHAnsi"/>
      <w:b/>
      <w:iCs/>
      <w:color w:val="000000" w:themeColor="text1"/>
    </w:rPr>
  </w:style>
  <w:style w:type="paragraph" w:styleId="Heading5">
    <w:name w:val="heading 5"/>
    <w:basedOn w:val="Normal"/>
    <w:next w:val="Normal"/>
    <w:link w:val="Heading5Char"/>
    <w:uiPriority w:val="9"/>
    <w:unhideWhenUsed/>
    <w:qFormat/>
    <w:rsid w:val="00856427"/>
    <w:pPr>
      <w:keepNext/>
      <w:keepLines/>
      <w:spacing w:before="40" w:after="0"/>
      <w:outlineLvl w:val="4"/>
    </w:pPr>
    <w:rPr>
      <w:rFonts w:asciiTheme="majorHAnsi" w:eastAsiaTheme="majorEastAsia" w:hAnsiTheme="majorHAnsi" w:cstheme="majorBidi"/>
      <w:color w:val="1457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64A26"/>
    <w:pPr>
      <w:spacing w:after="0" w:line="700" w:lineRule="exact"/>
      <w:contextualSpacing/>
    </w:pPr>
    <w:rPr>
      <w:rFonts w:eastAsiaTheme="majorEastAsia" w:cstheme="minorHAnsi"/>
      <w:color w:val="000000" w:themeColor="text1"/>
      <w:sz w:val="70"/>
      <w:szCs w:val="70"/>
    </w:rPr>
  </w:style>
  <w:style w:type="character" w:customStyle="1" w:styleId="TitleChar">
    <w:name w:val="Title Char"/>
    <w:basedOn w:val="DefaultParagraphFont"/>
    <w:link w:val="Title"/>
    <w:uiPriority w:val="99"/>
    <w:rsid w:val="00464A26"/>
    <w:rPr>
      <w:rFonts w:eastAsiaTheme="majorEastAsia" w:cstheme="minorHAnsi"/>
      <w:color w:val="000000" w:themeColor="text1"/>
      <w:sz w:val="70"/>
      <w:szCs w:val="70"/>
    </w:rPr>
  </w:style>
  <w:style w:type="character" w:customStyle="1" w:styleId="Heading1Char">
    <w:name w:val="Heading 1 Char"/>
    <w:basedOn w:val="DefaultParagraphFont"/>
    <w:link w:val="Heading1"/>
    <w:uiPriority w:val="9"/>
    <w:rsid w:val="00507C82"/>
    <w:rPr>
      <w:rFonts w:ascii="Calibri" w:eastAsiaTheme="majorEastAsia" w:hAnsi="Calibri" w:cstheme="majorBidi"/>
      <w:b/>
      <w:sz w:val="24"/>
      <w:szCs w:val="44"/>
    </w:rPr>
  </w:style>
  <w:style w:type="character" w:customStyle="1" w:styleId="Heading2Char">
    <w:name w:val="Heading 2 Char"/>
    <w:basedOn w:val="DefaultParagraphFont"/>
    <w:link w:val="Heading2"/>
    <w:uiPriority w:val="9"/>
    <w:rsid w:val="00234F23"/>
    <w:rPr>
      <w:rFonts w:eastAsiaTheme="majorEastAsia" w:cstheme="minorHAnsi"/>
      <w:b/>
      <w:color w:val="1B75BC" w:themeColor="accent1"/>
      <w:sz w:val="28"/>
      <w:szCs w:val="28"/>
    </w:rPr>
  </w:style>
  <w:style w:type="paragraph" w:styleId="ListParagraph">
    <w:name w:val="List Paragraph"/>
    <w:basedOn w:val="Normal"/>
    <w:uiPriority w:val="1"/>
    <w:qFormat/>
    <w:rsid w:val="000E1ACF"/>
    <w:pPr>
      <w:ind w:left="720"/>
      <w:contextualSpacing/>
    </w:pPr>
  </w:style>
  <w:style w:type="paragraph" w:styleId="ListBullet">
    <w:name w:val="List Bullet"/>
    <w:basedOn w:val="Normal"/>
    <w:uiPriority w:val="99"/>
    <w:unhideWhenUsed/>
    <w:qFormat/>
    <w:rsid w:val="00234F23"/>
    <w:pPr>
      <w:numPr>
        <w:numId w:val="2"/>
      </w:numPr>
      <w:contextualSpacing/>
    </w:pPr>
  </w:style>
  <w:style w:type="paragraph" w:styleId="ListBullet2">
    <w:name w:val="List Bullet 2"/>
    <w:basedOn w:val="Normal"/>
    <w:uiPriority w:val="99"/>
    <w:unhideWhenUsed/>
    <w:qFormat/>
    <w:rsid w:val="00856427"/>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AD74FA"/>
    <w:rPr>
      <w:b/>
      <w:bCs/>
    </w:rPr>
  </w:style>
  <w:style w:type="paragraph" w:styleId="BalloonText">
    <w:name w:val="Balloon Text"/>
    <w:basedOn w:val="Normal"/>
    <w:link w:val="BalloonTextChar"/>
    <w:uiPriority w:val="99"/>
    <w:semiHidden/>
    <w:unhideWhenUsed/>
    <w:rsid w:val="00CA5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B1"/>
    <w:rPr>
      <w:rFonts w:ascii="Segoe UI" w:hAnsi="Segoe UI" w:cs="Segoe UI"/>
      <w:sz w:val="18"/>
      <w:szCs w:val="18"/>
    </w:rPr>
  </w:style>
  <w:style w:type="character" w:customStyle="1" w:styleId="Heading3Char">
    <w:name w:val="Heading 3 Char"/>
    <w:basedOn w:val="DefaultParagraphFont"/>
    <w:link w:val="Heading3"/>
    <w:uiPriority w:val="9"/>
    <w:rsid w:val="00234F23"/>
    <w:rPr>
      <w:rFonts w:eastAsiaTheme="majorEastAsia" w:cstheme="minorHAnsi"/>
      <w:b/>
      <w:color w:val="000000" w:themeColor="text1"/>
      <w:sz w:val="26"/>
      <w:szCs w:val="26"/>
    </w:rPr>
  </w:style>
  <w:style w:type="character" w:customStyle="1" w:styleId="Heading4Char">
    <w:name w:val="Heading 4 Char"/>
    <w:basedOn w:val="DefaultParagraphFont"/>
    <w:link w:val="Heading4"/>
    <w:uiPriority w:val="9"/>
    <w:rsid w:val="00856427"/>
    <w:rPr>
      <w:rFonts w:eastAsiaTheme="majorEastAsia" w:cstheme="minorHAnsi"/>
      <w:b/>
      <w:iCs/>
      <w:color w:val="000000" w:themeColor="text1"/>
    </w:rPr>
  </w:style>
  <w:style w:type="character" w:styleId="Emphasis">
    <w:name w:val="Emphasis"/>
    <w:basedOn w:val="DefaultParagraphFont"/>
    <w:uiPriority w:val="20"/>
    <w:qFormat/>
    <w:rsid w:val="00D35BD5"/>
    <w:rPr>
      <w:i/>
      <w:iCs/>
    </w:rPr>
  </w:style>
  <w:style w:type="character" w:styleId="SubtleEmphasis">
    <w:name w:val="Subtle Emphasis"/>
    <w:basedOn w:val="DefaultParagraphFont"/>
    <w:uiPriority w:val="19"/>
    <w:qFormat/>
    <w:rsid w:val="00D35BD5"/>
    <w:rPr>
      <w:i/>
      <w:iCs/>
      <w:color w:val="404040" w:themeColor="text1" w:themeTint="BF"/>
    </w:rPr>
  </w:style>
  <w:style w:type="paragraph" w:styleId="IntenseQuote">
    <w:name w:val="Intense Quote"/>
    <w:basedOn w:val="Normal"/>
    <w:next w:val="Normal"/>
    <w:link w:val="IntenseQuoteChar"/>
    <w:uiPriority w:val="30"/>
    <w:qFormat/>
    <w:rsid w:val="00D35BD5"/>
    <w:pPr>
      <w:pBdr>
        <w:top w:val="single" w:sz="4" w:space="10" w:color="1B75BC" w:themeColor="accent1"/>
        <w:bottom w:val="single" w:sz="4" w:space="10" w:color="1B75BC" w:themeColor="accent1"/>
      </w:pBdr>
      <w:spacing w:before="360" w:after="360"/>
      <w:ind w:left="864" w:right="864"/>
      <w:jc w:val="center"/>
    </w:pPr>
    <w:rPr>
      <w:i/>
      <w:iCs/>
      <w:color w:val="1B75BC" w:themeColor="accent1"/>
    </w:rPr>
  </w:style>
  <w:style w:type="character" w:customStyle="1" w:styleId="IntenseQuoteChar">
    <w:name w:val="Intense Quote Char"/>
    <w:basedOn w:val="DefaultParagraphFont"/>
    <w:link w:val="IntenseQuote"/>
    <w:uiPriority w:val="30"/>
    <w:rsid w:val="00D35BD5"/>
    <w:rPr>
      <w:i/>
      <w:iCs/>
      <w:color w:val="1B75BC" w:themeColor="accent1"/>
    </w:rPr>
  </w:style>
  <w:style w:type="paragraph" w:styleId="Quote">
    <w:name w:val="Quote"/>
    <w:basedOn w:val="Normal"/>
    <w:next w:val="Normal"/>
    <w:link w:val="QuoteChar"/>
    <w:uiPriority w:val="29"/>
    <w:qFormat/>
    <w:rsid w:val="00D35B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35BD5"/>
    <w:rPr>
      <w:i/>
      <w:iCs/>
      <w:color w:val="404040" w:themeColor="text1" w:themeTint="BF"/>
    </w:rPr>
  </w:style>
  <w:style w:type="character" w:styleId="IntenseReference">
    <w:name w:val="Intense Reference"/>
    <w:basedOn w:val="DefaultParagraphFont"/>
    <w:uiPriority w:val="32"/>
    <w:qFormat/>
    <w:rsid w:val="00D35BD5"/>
    <w:rPr>
      <w:b/>
      <w:bCs/>
      <w:smallCaps/>
      <w:color w:val="1B75BC" w:themeColor="accent1"/>
      <w:spacing w:val="5"/>
    </w:rPr>
  </w:style>
  <w:style w:type="character" w:styleId="SubtleReference">
    <w:name w:val="Subtle Reference"/>
    <w:basedOn w:val="DefaultParagraphFont"/>
    <w:uiPriority w:val="31"/>
    <w:qFormat/>
    <w:rsid w:val="00D35BD5"/>
    <w:rPr>
      <w:smallCaps/>
      <w:color w:val="5A5A5A" w:themeColor="text1" w:themeTint="A5"/>
    </w:rPr>
  </w:style>
  <w:style w:type="character" w:styleId="BookTitle">
    <w:name w:val="Book Title"/>
    <w:basedOn w:val="DefaultParagraphFont"/>
    <w:uiPriority w:val="33"/>
    <w:qFormat/>
    <w:rsid w:val="00D35BD5"/>
    <w:rPr>
      <w:b/>
      <w:bCs/>
      <w:i/>
      <w:iCs/>
      <w:spacing w:val="5"/>
    </w:rPr>
  </w:style>
  <w:style w:type="paragraph" w:styleId="Subtitle">
    <w:name w:val="Subtitle"/>
    <w:basedOn w:val="Normal"/>
    <w:next w:val="Normal"/>
    <w:link w:val="SubtitleChar"/>
    <w:uiPriority w:val="11"/>
    <w:qFormat/>
    <w:rsid w:val="00D35BD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35BD5"/>
    <w:rPr>
      <w:rFonts w:eastAsiaTheme="minorEastAsia"/>
      <w:color w:val="5A5A5A" w:themeColor="text1" w:themeTint="A5"/>
      <w:spacing w:val="15"/>
      <w:sz w:val="22"/>
      <w:szCs w:val="22"/>
    </w:rPr>
  </w:style>
  <w:style w:type="paragraph" w:customStyle="1" w:styleId="CoverTitle">
    <w:name w:val="Cover Title"/>
    <w:basedOn w:val="Normal"/>
    <w:qFormat/>
    <w:rsid w:val="00DD2C26"/>
    <w:pPr>
      <w:spacing w:before="400" w:after="280" w:line="700" w:lineRule="exact"/>
      <w:ind w:left="2246"/>
    </w:pPr>
    <w:rPr>
      <w:rFonts w:cstheme="minorHAnsi"/>
      <w:b/>
      <w:sz w:val="70"/>
      <w:szCs w:val="70"/>
    </w:rPr>
  </w:style>
  <w:style w:type="paragraph" w:customStyle="1" w:styleId="CoveSubheading">
    <w:name w:val="Cove Subheading"/>
    <w:basedOn w:val="Normal"/>
    <w:qFormat/>
    <w:rsid w:val="00DD2C26"/>
    <w:pPr>
      <w:spacing w:after="280" w:line="480" w:lineRule="exact"/>
      <w:ind w:left="2246"/>
    </w:pPr>
    <w:rPr>
      <w:color w:val="1B75BC" w:themeColor="accent1"/>
      <w:sz w:val="48"/>
      <w:szCs w:val="48"/>
    </w:rPr>
  </w:style>
  <w:style w:type="character" w:styleId="PlaceholderText">
    <w:name w:val="Placeholder Text"/>
    <w:basedOn w:val="DefaultParagraphFont"/>
    <w:uiPriority w:val="99"/>
    <w:semiHidden/>
    <w:rsid w:val="00DD2C26"/>
    <w:rPr>
      <w:color w:val="808080"/>
    </w:rPr>
  </w:style>
  <w:style w:type="paragraph" w:customStyle="1" w:styleId="Coverdate">
    <w:name w:val="Cover date"/>
    <w:basedOn w:val="Normal"/>
    <w:qFormat/>
    <w:rsid w:val="00DD2C26"/>
    <w:pPr>
      <w:ind w:left="2250"/>
    </w:pPr>
    <w:rPr>
      <w:b/>
      <w:sz w:val="36"/>
      <w:szCs w:val="36"/>
    </w:rPr>
  </w:style>
  <w:style w:type="character" w:styleId="Hyperlink">
    <w:name w:val="Hyperlink"/>
    <w:basedOn w:val="DefaultParagraphFont"/>
    <w:uiPriority w:val="99"/>
    <w:unhideWhenUsed/>
    <w:rsid w:val="00785814"/>
    <w:rPr>
      <w:color w:val="1B75BC" w:themeColor="hyperlink"/>
      <w:u w:val="single"/>
    </w:rPr>
  </w:style>
  <w:style w:type="character" w:customStyle="1" w:styleId="Heading5Char">
    <w:name w:val="Heading 5 Char"/>
    <w:basedOn w:val="DefaultParagraphFont"/>
    <w:link w:val="Heading5"/>
    <w:uiPriority w:val="9"/>
    <w:rsid w:val="00856427"/>
    <w:rPr>
      <w:rFonts w:asciiTheme="majorHAnsi" w:eastAsiaTheme="majorEastAsia" w:hAnsiTheme="majorHAnsi" w:cstheme="majorBidi"/>
      <w:color w:val="14578C" w:themeColor="accent1" w:themeShade="BF"/>
    </w:rPr>
  </w:style>
  <w:style w:type="paragraph" w:styleId="TOC1">
    <w:name w:val="toc 1"/>
    <w:basedOn w:val="Normal"/>
    <w:next w:val="Normal"/>
    <w:autoRedefine/>
    <w:uiPriority w:val="39"/>
    <w:unhideWhenUsed/>
    <w:rsid w:val="00327642"/>
    <w:pPr>
      <w:tabs>
        <w:tab w:val="right" w:leader="dot" w:pos="9350"/>
      </w:tabs>
      <w:spacing w:after="100"/>
    </w:pPr>
    <w:rPr>
      <w:sz w:val="24"/>
      <w:szCs w:val="24"/>
    </w:rPr>
  </w:style>
  <w:style w:type="paragraph" w:styleId="TOC2">
    <w:name w:val="toc 2"/>
    <w:basedOn w:val="Normal"/>
    <w:next w:val="Normal"/>
    <w:autoRedefine/>
    <w:uiPriority w:val="39"/>
    <w:unhideWhenUsed/>
    <w:rsid w:val="009A4B0A"/>
    <w:pPr>
      <w:spacing w:after="100"/>
      <w:ind w:left="210"/>
    </w:pPr>
  </w:style>
  <w:style w:type="paragraph" w:styleId="TOC3">
    <w:name w:val="toc 3"/>
    <w:basedOn w:val="Normal"/>
    <w:next w:val="Normal"/>
    <w:autoRedefine/>
    <w:uiPriority w:val="39"/>
    <w:unhideWhenUsed/>
    <w:rsid w:val="009A4B0A"/>
    <w:pPr>
      <w:spacing w:after="100"/>
      <w:ind w:left="420"/>
    </w:pPr>
  </w:style>
  <w:style w:type="paragraph" w:styleId="BodyText">
    <w:name w:val="Body Text"/>
    <w:basedOn w:val="Normal"/>
    <w:link w:val="BodyTextChar"/>
    <w:uiPriority w:val="1"/>
    <w:qFormat/>
    <w:rsid w:val="00FD0133"/>
    <w:pPr>
      <w:widowControl w:val="0"/>
      <w:autoSpaceDE w:val="0"/>
      <w:autoSpaceDN w:val="0"/>
      <w:spacing w:after="0" w:line="240" w:lineRule="auto"/>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FD0133"/>
    <w:rPr>
      <w:rFonts w:ascii="Calibri" w:eastAsia="Calibri" w:hAnsi="Calibri" w:cs="Calibri"/>
      <w:sz w:val="22"/>
      <w:szCs w:val="22"/>
      <w:lang w:bidi="en-US"/>
    </w:rPr>
  </w:style>
  <w:style w:type="paragraph" w:customStyle="1" w:styleId="TableParagraph">
    <w:name w:val="Table Paragraph"/>
    <w:basedOn w:val="Normal"/>
    <w:uiPriority w:val="1"/>
    <w:qFormat/>
    <w:rsid w:val="00FD0133"/>
    <w:pPr>
      <w:widowControl w:val="0"/>
      <w:autoSpaceDE w:val="0"/>
      <w:autoSpaceDN w:val="0"/>
      <w:spacing w:after="0" w:line="265" w:lineRule="exact"/>
      <w:ind w:left="107"/>
    </w:pPr>
    <w:rPr>
      <w:rFonts w:ascii="Calibri" w:eastAsia="Calibri" w:hAnsi="Calibri" w:cs="Calibri"/>
      <w:sz w:val="22"/>
      <w:szCs w:val="22"/>
      <w:lang w:bidi="en-US"/>
    </w:rPr>
  </w:style>
  <w:style w:type="character" w:styleId="CommentReference">
    <w:name w:val="annotation reference"/>
    <w:basedOn w:val="DefaultParagraphFont"/>
    <w:uiPriority w:val="99"/>
    <w:semiHidden/>
    <w:unhideWhenUsed/>
    <w:rsid w:val="00581CAB"/>
    <w:rPr>
      <w:sz w:val="16"/>
      <w:szCs w:val="16"/>
    </w:rPr>
  </w:style>
  <w:style w:type="paragraph" w:styleId="CommentText">
    <w:name w:val="annotation text"/>
    <w:basedOn w:val="Normal"/>
    <w:link w:val="CommentTextChar"/>
    <w:uiPriority w:val="99"/>
    <w:semiHidden/>
    <w:unhideWhenUsed/>
    <w:rsid w:val="00581CAB"/>
    <w:pPr>
      <w:spacing w:line="240" w:lineRule="auto"/>
    </w:pPr>
    <w:rPr>
      <w:sz w:val="20"/>
      <w:szCs w:val="20"/>
    </w:rPr>
  </w:style>
  <w:style w:type="character" w:customStyle="1" w:styleId="CommentTextChar">
    <w:name w:val="Comment Text Char"/>
    <w:basedOn w:val="DefaultParagraphFont"/>
    <w:link w:val="CommentText"/>
    <w:uiPriority w:val="99"/>
    <w:semiHidden/>
    <w:rsid w:val="00581CAB"/>
    <w:rPr>
      <w:sz w:val="20"/>
      <w:szCs w:val="20"/>
    </w:rPr>
  </w:style>
  <w:style w:type="paragraph" w:styleId="CommentSubject">
    <w:name w:val="annotation subject"/>
    <w:basedOn w:val="CommentText"/>
    <w:next w:val="CommentText"/>
    <w:link w:val="CommentSubjectChar"/>
    <w:uiPriority w:val="99"/>
    <w:semiHidden/>
    <w:unhideWhenUsed/>
    <w:rsid w:val="00581CAB"/>
    <w:rPr>
      <w:b/>
      <w:bCs/>
    </w:rPr>
  </w:style>
  <w:style w:type="character" w:customStyle="1" w:styleId="CommentSubjectChar">
    <w:name w:val="Comment Subject Char"/>
    <w:basedOn w:val="CommentTextChar"/>
    <w:link w:val="CommentSubject"/>
    <w:uiPriority w:val="99"/>
    <w:semiHidden/>
    <w:rsid w:val="00581CAB"/>
    <w:rPr>
      <w:b/>
      <w:bCs/>
      <w:sz w:val="20"/>
      <w:szCs w:val="20"/>
    </w:rPr>
  </w:style>
  <w:style w:type="character" w:styleId="FollowedHyperlink">
    <w:name w:val="FollowedHyperlink"/>
    <w:basedOn w:val="DefaultParagraphFont"/>
    <w:uiPriority w:val="99"/>
    <w:semiHidden/>
    <w:unhideWhenUsed/>
    <w:rsid w:val="00E13FDE"/>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s.usda.gov/fdd/foods-expected-be-available" TargetMode="External"/><Relationship Id="rId18" Type="http://schemas.openxmlformats.org/officeDocument/2006/relationships/hyperlink" Target="http://www.ocio.usda.gov/sites/default/files/docs/2012/Complain_combined_6_8_12.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regon.gov/ode/students-and-family/childnutrition/USDAFoods/Pages/Processing-Diversion.aspx" TargetMode="External"/><Relationship Id="rId17" Type="http://schemas.openxmlformats.org/officeDocument/2006/relationships/hyperlink" Target="http://www.ocio.usda.gov/sites/default/files/docs/2012/Complain_combined_6_8_1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gon.gov/ode/students-and-family/childnutrition/USDAFoods/Pages/Processing-Diversion.aspx"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students-and-family/childnutrition/USDAFoods/Pages/StatewideProcessingAgreements.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ns.usda.gov/fdd/npa-approved-processor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scr.usda.gov/complaint_filing_cus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s.usda.gov/fdd/npa-approved-processo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ac\Desktop\ode-report-template-march-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82BCA8B7B441B8C0AD979DF36CCE1"/>
        <w:category>
          <w:name w:val="General"/>
          <w:gallery w:val="placeholder"/>
        </w:category>
        <w:types>
          <w:type w:val="bbPlcHdr"/>
        </w:types>
        <w:behaviors>
          <w:behavior w:val="content"/>
        </w:behaviors>
        <w:guid w:val="{38151AFE-56F4-424D-9740-8B77B3A5B65A}"/>
      </w:docPartPr>
      <w:docPartBody>
        <w:p w:rsidR="00DF14D3" w:rsidRDefault="00DF14D3">
          <w:pPr>
            <w:pStyle w:val="66E82BCA8B7B441B8C0AD979DF36CCE1"/>
          </w:pPr>
          <w:r w:rsidRPr="00EE2F9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D3"/>
    <w:rsid w:val="00855A6A"/>
    <w:rsid w:val="00DF14D3"/>
    <w:rsid w:val="00E9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53C1A18971C4D11B11BBFBD5C1A76C0">
    <w:name w:val="C53C1A18971C4D11B11BBFBD5C1A76C0"/>
  </w:style>
  <w:style w:type="paragraph" w:customStyle="1" w:styleId="66E82BCA8B7B441B8C0AD979DF36CCE1">
    <w:name w:val="66E82BCA8B7B441B8C0AD979DF36C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1B75BC"/>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95D7B4FD22A4A9C390F7B0E997D3F" ma:contentTypeVersion="7" ma:contentTypeDescription="Create a new document." ma:contentTypeScope="" ma:versionID="78d7bd49f711d3aa5cbb090d4a7360d0">
  <xsd:schema xmlns:xsd="http://www.w3.org/2001/XMLSchema" xmlns:xs="http://www.w3.org/2001/XMLSchema" xmlns:p="http://schemas.microsoft.com/office/2006/metadata/properties" xmlns:ns1="http://schemas.microsoft.com/sharepoint/v3" xmlns:ns2="365df3b4-2938-4962-8750-b3f089551ef3" xmlns:ns3="54031767-dd6d-417c-ab73-583408f47564" targetNamespace="http://schemas.microsoft.com/office/2006/metadata/properties" ma:root="true" ma:fieldsID="588d825b507c8e642fe3917ef671a92c" ns1:_="" ns2:_="" ns3:_="">
    <xsd:import namespace="http://schemas.microsoft.com/sharepoint/v3"/>
    <xsd:import namespace="365df3b4-2938-4962-8750-b3f089551ef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df3b4-2938-4962-8750-b3f089551ef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365df3b4-2938-4962-8750-b3f089551ef3" xsi:nil="true"/>
    <Remediation_x0020_Date xmlns="365df3b4-2938-4962-8750-b3f089551ef3">2019-09-06T07:00:00+00:00</Remediation_x0020_Date>
    <Priority xmlns="365df3b4-2938-4962-8750-b3f089551ef3">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FD2B-879B-4BE8-8252-FBB8EEC4FB43}"/>
</file>

<file path=customXml/itemProps2.xml><?xml version="1.0" encoding="utf-8"?>
<ds:datastoreItem xmlns:ds="http://schemas.openxmlformats.org/officeDocument/2006/customXml" ds:itemID="{CE87718E-A5B9-4D93-BB06-D9DB6F9566D3}">
  <ds:schemaRefs>
    <ds:schemaRef ds:uri="http://purl.org/dc/terms/"/>
    <ds:schemaRef ds:uri="bc7c8446-061a-4b03-abda-842e9fe31439"/>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254C12E-6F8E-4C54-B1AB-2071692CBDCD}">
  <ds:schemaRefs>
    <ds:schemaRef ds:uri="http://schemas.microsoft.com/sharepoint/v3/contenttype/forms"/>
  </ds:schemaRefs>
</ds:datastoreItem>
</file>

<file path=customXml/itemProps4.xml><?xml version="1.0" encoding="utf-8"?>
<ds:datastoreItem xmlns:ds="http://schemas.openxmlformats.org/officeDocument/2006/customXml" ds:itemID="{B8969213-32BB-4C3C-8EB0-5EB35DC5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ode-report-template-march-2019</Template>
  <TotalTime>0</TotalTime>
  <Pages>7</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ODE USDA Food Distribution Program</vt:lpstr>
    </vt:vector>
  </TitlesOfParts>
  <Company>State of Oregon, DAS</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USDA Food Distribution Program Processing Manual</dc:title>
  <dc:subject>Processing/Diversion Guidance Manual</dc:subject>
  <dc:creator>"fachac"</dc:creator>
  <cp:keywords/>
  <dc:description/>
  <cp:lastModifiedBy>FACHA Chris - ODE</cp:lastModifiedBy>
  <cp:revision>2</cp:revision>
  <cp:lastPrinted>2017-01-11T16:49:00Z</cp:lastPrinted>
  <dcterms:created xsi:type="dcterms:W3CDTF">2019-09-06T22:43:00Z</dcterms:created>
  <dcterms:modified xsi:type="dcterms:W3CDTF">2019-09-06T22:43:00Z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0x01010046895D7B4FD22A4A9C390F7B0E997D3F</vt:lpwstr>
  </property>
</Properties>
</file>