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8" w:type="dxa"/>
        <w:tblInd w:w="108" w:type="dxa"/>
        <w:tblLook w:val="04A0" w:firstRow="1" w:lastRow="0" w:firstColumn="1" w:lastColumn="0" w:noHBand="0" w:noVBand="1"/>
      </w:tblPr>
      <w:tblGrid>
        <w:gridCol w:w="8544"/>
        <w:gridCol w:w="1469"/>
      </w:tblGrid>
      <w:tr w:rsidR="008D45F8" w:rsidRPr="008D45F8" w14:paraId="2D5E4F38" w14:textId="77777777" w:rsidTr="008D45F8">
        <w:trPr>
          <w:trHeight w:val="888"/>
        </w:trPr>
        <w:tc>
          <w:tcPr>
            <w:tcW w:w="9868" w:type="dxa"/>
            <w:gridSpan w:val="2"/>
            <w:tcBorders>
              <w:top w:val="nil"/>
              <w:left w:val="nil"/>
              <w:bottom w:val="nil"/>
              <w:right w:val="nil"/>
            </w:tcBorders>
            <w:shd w:val="clear" w:color="auto" w:fill="auto"/>
            <w:noWrap/>
            <w:hideMark/>
          </w:tcPr>
          <w:p w14:paraId="4379A93D" w14:textId="77777777" w:rsidR="008D45F8" w:rsidRPr="008D45F8" w:rsidRDefault="008D45F8" w:rsidP="008D45F8">
            <w:pPr>
              <w:spacing w:after="0" w:line="240" w:lineRule="auto"/>
              <w:jc w:val="center"/>
              <w:rPr>
                <w:rFonts w:ascii="Trebuchet MS" w:eastAsia="Times New Roman" w:hAnsi="Trebuchet MS" w:cs="Times New Roman"/>
                <w:b/>
                <w:bCs/>
                <w:color w:val="000000"/>
                <w:sz w:val="32"/>
                <w:szCs w:val="32"/>
              </w:rPr>
            </w:pPr>
            <w:r w:rsidRPr="008D45F8">
              <w:rPr>
                <w:rFonts w:ascii="Trebuchet MS" w:eastAsia="Times New Roman" w:hAnsi="Trebuchet MS" w:cs="Times New Roman"/>
                <w:b/>
                <w:bCs/>
                <w:color w:val="000000"/>
                <w:sz w:val="32"/>
                <w:szCs w:val="32"/>
              </w:rPr>
              <w:t>Allocating Expenses to the Grant</w:t>
            </w:r>
          </w:p>
        </w:tc>
      </w:tr>
      <w:tr w:rsidR="008D45F8" w:rsidRPr="008D45F8" w14:paraId="28AA7512" w14:textId="77777777" w:rsidTr="008D45F8">
        <w:trPr>
          <w:trHeight w:val="331"/>
        </w:trPr>
        <w:tc>
          <w:tcPr>
            <w:tcW w:w="8544" w:type="dxa"/>
            <w:tcBorders>
              <w:top w:val="single" w:sz="4" w:space="0" w:color="auto"/>
              <w:left w:val="single" w:sz="4" w:space="0" w:color="auto"/>
              <w:bottom w:val="nil"/>
              <w:right w:val="nil"/>
            </w:tcBorders>
            <w:shd w:val="clear" w:color="000000" w:fill="D9D9D9"/>
            <w:noWrap/>
            <w:vAlign w:val="bottom"/>
            <w:hideMark/>
          </w:tcPr>
          <w:p w14:paraId="1611EAD1" w14:textId="77777777" w:rsidR="008D45F8" w:rsidRPr="008D45F8" w:rsidRDefault="008D45F8" w:rsidP="008D45F8">
            <w:pPr>
              <w:spacing w:after="0" w:line="240" w:lineRule="auto"/>
              <w:jc w:val="center"/>
              <w:rPr>
                <w:rFonts w:ascii="Trebuchet MS" w:eastAsia="Times New Roman" w:hAnsi="Trebuchet MS" w:cs="Times New Roman"/>
                <w:b/>
                <w:bCs/>
              </w:rPr>
            </w:pPr>
            <w:r w:rsidRPr="008D45F8">
              <w:rPr>
                <w:rFonts w:ascii="Trebuchet MS" w:eastAsia="Times New Roman" w:hAnsi="Trebuchet MS" w:cs="Times New Roman"/>
                <w:b/>
                <w:bCs/>
              </w:rPr>
              <w:t>Allocation Calculator</w:t>
            </w:r>
          </w:p>
        </w:tc>
        <w:tc>
          <w:tcPr>
            <w:tcW w:w="1324" w:type="dxa"/>
            <w:tcBorders>
              <w:top w:val="single" w:sz="4" w:space="0" w:color="auto"/>
              <w:left w:val="nil"/>
              <w:bottom w:val="nil"/>
              <w:right w:val="single" w:sz="4" w:space="0" w:color="auto"/>
            </w:tcBorders>
            <w:shd w:val="clear" w:color="000000" w:fill="D9D9D9"/>
            <w:vAlign w:val="bottom"/>
            <w:hideMark/>
          </w:tcPr>
          <w:p w14:paraId="486A14BD" w14:textId="77777777" w:rsidR="008D45F8" w:rsidRPr="008D45F8" w:rsidRDefault="008D45F8" w:rsidP="008D45F8">
            <w:pPr>
              <w:spacing w:after="0" w:line="240" w:lineRule="auto"/>
              <w:jc w:val="center"/>
              <w:rPr>
                <w:rFonts w:ascii="Trebuchet MS" w:eastAsia="Times New Roman" w:hAnsi="Trebuchet MS" w:cs="Times New Roman"/>
                <w:color w:val="D9D9D9"/>
              </w:rPr>
            </w:pPr>
            <w:r w:rsidRPr="003E2F6E">
              <w:rPr>
                <w:rFonts w:ascii="Trebuchet MS" w:eastAsia="Times New Roman" w:hAnsi="Trebuchet MS" w:cs="Times New Roman"/>
              </w:rPr>
              <w:t>Cell intentionally left blank</w:t>
            </w:r>
          </w:p>
        </w:tc>
      </w:tr>
      <w:tr w:rsidR="008D45F8" w:rsidRPr="008D45F8" w14:paraId="4C148A78" w14:textId="77777777" w:rsidTr="008D45F8">
        <w:trPr>
          <w:trHeight w:val="291"/>
        </w:trPr>
        <w:tc>
          <w:tcPr>
            <w:tcW w:w="8544" w:type="dxa"/>
            <w:tcBorders>
              <w:top w:val="nil"/>
              <w:left w:val="single" w:sz="4" w:space="0" w:color="auto"/>
              <w:bottom w:val="nil"/>
              <w:right w:val="nil"/>
            </w:tcBorders>
            <w:shd w:val="clear" w:color="000000" w:fill="D9D9D9"/>
            <w:noWrap/>
            <w:vAlign w:val="bottom"/>
            <w:hideMark/>
          </w:tcPr>
          <w:p w14:paraId="2E5A0849" w14:textId="77777777" w:rsidR="008D45F8" w:rsidRPr="008D45F8" w:rsidRDefault="008D45F8" w:rsidP="008D45F8">
            <w:pPr>
              <w:spacing w:after="0" w:line="240" w:lineRule="auto"/>
              <w:rPr>
                <w:rFonts w:ascii="Trebuchet MS" w:eastAsia="Times New Roman" w:hAnsi="Trebuchet MS" w:cs="Times New Roman"/>
                <w:color w:val="000000"/>
                <w:sz w:val="18"/>
                <w:szCs w:val="18"/>
              </w:rPr>
            </w:pPr>
            <w:r w:rsidRPr="008D45F8">
              <w:rPr>
                <w:rFonts w:ascii="Trebuchet MS" w:eastAsia="Times New Roman" w:hAnsi="Trebuchet MS" w:cs="Times New Roman"/>
                <w:color w:val="000000"/>
                <w:sz w:val="18"/>
                <w:szCs w:val="18"/>
              </w:rPr>
              <w:t>Weeks of NSLP operation or CACFP Childcare operation</w:t>
            </w:r>
          </w:p>
        </w:tc>
        <w:tc>
          <w:tcPr>
            <w:tcW w:w="132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FC9CB4" w14:textId="77777777" w:rsidR="008D45F8" w:rsidRPr="008D45F8" w:rsidRDefault="008D45F8" w:rsidP="008D45F8">
            <w:pPr>
              <w:spacing w:after="0" w:line="240" w:lineRule="auto"/>
              <w:jc w:val="center"/>
              <w:rPr>
                <w:rFonts w:ascii="Trebuchet MS" w:eastAsia="Times New Roman" w:hAnsi="Trebuchet MS" w:cs="Times New Roman"/>
                <w:color w:val="000000"/>
              </w:rPr>
            </w:pPr>
            <w:r w:rsidRPr="008D45F8">
              <w:rPr>
                <w:rFonts w:ascii="Trebuchet MS" w:eastAsia="Times New Roman" w:hAnsi="Trebuchet MS" w:cs="Times New Roman"/>
                <w:color w:val="000000"/>
              </w:rPr>
              <w:t>0</w:t>
            </w:r>
          </w:p>
        </w:tc>
      </w:tr>
      <w:tr w:rsidR="008D45F8" w:rsidRPr="008D45F8" w14:paraId="6651CE2A" w14:textId="77777777" w:rsidTr="008D45F8">
        <w:trPr>
          <w:trHeight w:val="291"/>
        </w:trPr>
        <w:tc>
          <w:tcPr>
            <w:tcW w:w="8544" w:type="dxa"/>
            <w:tcBorders>
              <w:top w:val="nil"/>
              <w:left w:val="single" w:sz="4" w:space="0" w:color="auto"/>
              <w:bottom w:val="nil"/>
              <w:right w:val="nil"/>
            </w:tcBorders>
            <w:shd w:val="clear" w:color="000000" w:fill="D9D9D9"/>
            <w:vAlign w:val="bottom"/>
            <w:hideMark/>
          </w:tcPr>
          <w:p w14:paraId="4B10F8B5" w14:textId="77777777" w:rsidR="008D45F8" w:rsidRPr="008D45F8" w:rsidRDefault="008D45F8" w:rsidP="008D45F8">
            <w:pPr>
              <w:spacing w:after="0" w:line="240" w:lineRule="auto"/>
              <w:rPr>
                <w:rFonts w:ascii="Trebuchet MS" w:eastAsia="Times New Roman" w:hAnsi="Trebuchet MS" w:cs="Times New Roman"/>
                <w:color w:val="000000"/>
                <w:sz w:val="18"/>
                <w:szCs w:val="18"/>
              </w:rPr>
            </w:pPr>
            <w:r w:rsidRPr="008D45F8">
              <w:rPr>
                <w:rFonts w:ascii="Trebuchet MS" w:eastAsia="Times New Roman" w:hAnsi="Trebuchet MS" w:cs="Times New Roman"/>
                <w:color w:val="000000"/>
                <w:sz w:val="18"/>
                <w:szCs w:val="18"/>
              </w:rPr>
              <w:t>Week of CACFP At-Risk Afterschool operation</w:t>
            </w:r>
          </w:p>
        </w:tc>
        <w:tc>
          <w:tcPr>
            <w:tcW w:w="1324" w:type="dxa"/>
            <w:tcBorders>
              <w:top w:val="nil"/>
              <w:left w:val="single" w:sz="4" w:space="0" w:color="auto"/>
              <w:bottom w:val="single" w:sz="4" w:space="0" w:color="auto"/>
              <w:right w:val="single" w:sz="4" w:space="0" w:color="auto"/>
            </w:tcBorders>
            <w:shd w:val="clear" w:color="000000" w:fill="D9D9D9"/>
            <w:noWrap/>
            <w:vAlign w:val="bottom"/>
            <w:hideMark/>
          </w:tcPr>
          <w:p w14:paraId="65220CCC" w14:textId="77777777" w:rsidR="008D45F8" w:rsidRPr="008D45F8" w:rsidRDefault="008D45F8" w:rsidP="008D45F8">
            <w:pPr>
              <w:spacing w:after="0" w:line="240" w:lineRule="auto"/>
              <w:jc w:val="center"/>
              <w:rPr>
                <w:rFonts w:ascii="Trebuchet MS" w:eastAsia="Times New Roman" w:hAnsi="Trebuchet MS" w:cs="Times New Roman"/>
                <w:color w:val="000000"/>
              </w:rPr>
            </w:pPr>
            <w:r w:rsidRPr="008D45F8">
              <w:rPr>
                <w:rFonts w:ascii="Trebuchet MS" w:eastAsia="Times New Roman" w:hAnsi="Trebuchet MS" w:cs="Times New Roman"/>
                <w:color w:val="000000"/>
              </w:rPr>
              <w:t>0</w:t>
            </w:r>
          </w:p>
        </w:tc>
      </w:tr>
      <w:tr w:rsidR="008D45F8" w:rsidRPr="008D45F8" w14:paraId="7D02FC2C" w14:textId="77777777" w:rsidTr="008D45F8">
        <w:trPr>
          <w:trHeight w:val="291"/>
        </w:trPr>
        <w:tc>
          <w:tcPr>
            <w:tcW w:w="8544" w:type="dxa"/>
            <w:tcBorders>
              <w:top w:val="nil"/>
              <w:left w:val="single" w:sz="4" w:space="0" w:color="auto"/>
              <w:bottom w:val="nil"/>
              <w:right w:val="nil"/>
            </w:tcBorders>
            <w:shd w:val="clear" w:color="000000" w:fill="D9D9D9"/>
            <w:noWrap/>
            <w:vAlign w:val="bottom"/>
            <w:hideMark/>
          </w:tcPr>
          <w:p w14:paraId="6B5F1C36" w14:textId="77777777" w:rsidR="008D45F8" w:rsidRPr="008D45F8" w:rsidRDefault="008D45F8" w:rsidP="008D45F8">
            <w:pPr>
              <w:spacing w:after="0" w:line="240" w:lineRule="auto"/>
              <w:rPr>
                <w:rFonts w:ascii="Trebuchet MS" w:eastAsia="Times New Roman" w:hAnsi="Trebuchet MS" w:cs="Times New Roman"/>
                <w:color w:val="000000"/>
                <w:sz w:val="18"/>
                <w:szCs w:val="18"/>
              </w:rPr>
            </w:pPr>
            <w:r w:rsidRPr="008D45F8">
              <w:rPr>
                <w:rFonts w:ascii="Trebuchet MS" w:eastAsia="Times New Roman" w:hAnsi="Trebuchet MS" w:cs="Times New Roman"/>
                <w:color w:val="000000"/>
                <w:sz w:val="18"/>
                <w:szCs w:val="18"/>
              </w:rPr>
              <w:t>Weeks of SFSP/SSO operation</w:t>
            </w:r>
          </w:p>
        </w:tc>
        <w:tc>
          <w:tcPr>
            <w:tcW w:w="1324" w:type="dxa"/>
            <w:tcBorders>
              <w:top w:val="nil"/>
              <w:left w:val="single" w:sz="4" w:space="0" w:color="auto"/>
              <w:bottom w:val="single" w:sz="4" w:space="0" w:color="auto"/>
              <w:right w:val="single" w:sz="4" w:space="0" w:color="auto"/>
            </w:tcBorders>
            <w:shd w:val="clear" w:color="000000" w:fill="D9D9D9"/>
            <w:noWrap/>
            <w:vAlign w:val="bottom"/>
            <w:hideMark/>
          </w:tcPr>
          <w:p w14:paraId="3ACA4698" w14:textId="77777777" w:rsidR="008D45F8" w:rsidRPr="008D45F8" w:rsidRDefault="008D45F8" w:rsidP="008D45F8">
            <w:pPr>
              <w:spacing w:after="0" w:line="240" w:lineRule="auto"/>
              <w:jc w:val="center"/>
              <w:rPr>
                <w:rFonts w:ascii="Trebuchet MS" w:eastAsia="Times New Roman" w:hAnsi="Trebuchet MS" w:cs="Times New Roman"/>
                <w:color w:val="000000"/>
              </w:rPr>
            </w:pPr>
            <w:r w:rsidRPr="008D45F8">
              <w:rPr>
                <w:rFonts w:ascii="Trebuchet MS" w:eastAsia="Times New Roman" w:hAnsi="Trebuchet MS" w:cs="Times New Roman"/>
                <w:color w:val="000000"/>
              </w:rPr>
              <w:t>0</w:t>
            </w:r>
          </w:p>
        </w:tc>
      </w:tr>
      <w:tr w:rsidR="008D45F8" w:rsidRPr="008D45F8" w14:paraId="09440B9E" w14:textId="77777777" w:rsidTr="008D45F8">
        <w:trPr>
          <w:trHeight w:val="291"/>
        </w:trPr>
        <w:tc>
          <w:tcPr>
            <w:tcW w:w="8544" w:type="dxa"/>
            <w:tcBorders>
              <w:top w:val="nil"/>
              <w:left w:val="single" w:sz="4" w:space="0" w:color="auto"/>
              <w:bottom w:val="nil"/>
              <w:right w:val="nil"/>
            </w:tcBorders>
            <w:shd w:val="clear" w:color="000000" w:fill="D9D9D9"/>
            <w:noWrap/>
            <w:vAlign w:val="bottom"/>
            <w:hideMark/>
          </w:tcPr>
          <w:p w14:paraId="769124B5" w14:textId="77777777" w:rsidR="008D45F8" w:rsidRPr="008D45F8" w:rsidRDefault="008D45F8" w:rsidP="008D45F8">
            <w:pPr>
              <w:spacing w:after="0" w:line="240" w:lineRule="auto"/>
              <w:rPr>
                <w:rFonts w:ascii="Trebuchet MS" w:eastAsia="Times New Roman" w:hAnsi="Trebuchet MS" w:cs="Times New Roman"/>
                <w:color w:val="000000"/>
                <w:sz w:val="18"/>
                <w:szCs w:val="18"/>
              </w:rPr>
            </w:pPr>
            <w:r w:rsidRPr="008D45F8">
              <w:rPr>
                <w:rFonts w:ascii="Trebuchet MS" w:eastAsia="Times New Roman" w:hAnsi="Trebuchet MS" w:cs="Times New Roman"/>
                <w:color w:val="000000"/>
                <w:sz w:val="18"/>
                <w:szCs w:val="18"/>
              </w:rPr>
              <w:t>Weeks of non-child nutrition programs operation (i.e. catering, youth activities, rentals)</w:t>
            </w:r>
          </w:p>
        </w:tc>
        <w:tc>
          <w:tcPr>
            <w:tcW w:w="1324" w:type="dxa"/>
            <w:tcBorders>
              <w:top w:val="nil"/>
              <w:left w:val="single" w:sz="4" w:space="0" w:color="auto"/>
              <w:bottom w:val="single" w:sz="4" w:space="0" w:color="auto"/>
              <w:right w:val="single" w:sz="4" w:space="0" w:color="auto"/>
            </w:tcBorders>
            <w:shd w:val="clear" w:color="000000" w:fill="D9D9D9"/>
            <w:noWrap/>
            <w:vAlign w:val="bottom"/>
            <w:hideMark/>
          </w:tcPr>
          <w:p w14:paraId="393A365B" w14:textId="77777777" w:rsidR="008D45F8" w:rsidRPr="008D45F8" w:rsidRDefault="008D45F8" w:rsidP="008D45F8">
            <w:pPr>
              <w:spacing w:after="0" w:line="240" w:lineRule="auto"/>
              <w:jc w:val="center"/>
              <w:rPr>
                <w:rFonts w:ascii="Trebuchet MS" w:eastAsia="Times New Roman" w:hAnsi="Trebuchet MS" w:cs="Times New Roman"/>
                <w:color w:val="000000"/>
              </w:rPr>
            </w:pPr>
            <w:r w:rsidRPr="008D45F8">
              <w:rPr>
                <w:rFonts w:ascii="Trebuchet MS" w:eastAsia="Times New Roman" w:hAnsi="Trebuchet MS" w:cs="Times New Roman"/>
                <w:color w:val="000000"/>
              </w:rPr>
              <w:t>0</w:t>
            </w:r>
          </w:p>
        </w:tc>
      </w:tr>
      <w:tr w:rsidR="008D45F8" w:rsidRPr="008D45F8" w14:paraId="0C4788BB" w14:textId="77777777" w:rsidTr="008D45F8">
        <w:trPr>
          <w:trHeight w:val="256"/>
        </w:trPr>
        <w:tc>
          <w:tcPr>
            <w:tcW w:w="8544" w:type="dxa"/>
            <w:tcBorders>
              <w:top w:val="nil"/>
              <w:left w:val="single" w:sz="4" w:space="0" w:color="auto"/>
              <w:bottom w:val="nil"/>
              <w:right w:val="nil"/>
            </w:tcBorders>
            <w:shd w:val="clear" w:color="000000" w:fill="D9D9D9"/>
            <w:vAlign w:val="bottom"/>
            <w:hideMark/>
          </w:tcPr>
          <w:p w14:paraId="127E559D" w14:textId="77777777" w:rsidR="008D45F8" w:rsidRPr="008D45F8" w:rsidRDefault="008D45F8" w:rsidP="008D45F8">
            <w:pPr>
              <w:spacing w:after="0" w:line="240" w:lineRule="auto"/>
              <w:jc w:val="center"/>
              <w:rPr>
                <w:rFonts w:ascii="Trebuchet MS" w:eastAsia="Times New Roman" w:hAnsi="Trebuchet MS" w:cs="Times New Roman"/>
                <w:color w:val="D9D9D9"/>
                <w:sz w:val="18"/>
                <w:szCs w:val="18"/>
              </w:rPr>
            </w:pPr>
            <w:r w:rsidRPr="003E2F6E">
              <w:rPr>
                <w:rFonts w:ascii="Trebuchet MS" w:eastAsia="Times New Roman" w:hAnsi="Trebuchet MS" w:cs="Times New Roman"/>
                <w:sz w:val="18"/>
                <w:szCs w:val="18"/>
              </w:rPr>
              <w:t>Cell intentionally left blank</w:t>
            </w:r>
          </w:p>
        </w:tc>
        <w:tc>
          <w:tcPr>
            <w:tcW w:w="1324" w:type="dxa"/>
            <w:tcBorders>
              <w:top w:val="nil"/>
              <w:left w:val="nil"/>
              <w:bottom w:val="nil"/>
              <w:right w:val="single" w:sz="4" w:space="0" w:color="auto"/>
            </w:tcBorders>
            <w:shd w:val="clear" w:color="000000" w:fill="D9D9D9"/>
            <w:vAlign w:val="bottom"/>
            <w:hideMark/>
          </w:tcPr>
          <w:p w14:paraId="13A717C4" w14:textId="77777777" w:rsidR="008D45F8" w:rsidRPr="008D45F8" w:rsidRDefault="008D45F8" w:rsidP="008D45F8">
            <w:pPr>
              <w:spacing w:after="0" w:line="240" w:lineRule="auto"/>
              <w:jc w:val="center"/>
              <w:rPr>
                <w:rFonts w:ascii="Trebuchet MS" w:eastAsia="Times New Roman" w:hAnsi="Trebuchet MS" w:cs="Times New Roman"/>
                <w:color w:val="D9D9D9"/>
              </w:rPr>
            </w:pPr>
            <w:r w:rsidRPr="003E2F6E">
              <w:rPr>
                <w:rFonts w:ascii="Trebuchet MS" w:eastAsia="Times New Roman" w:hAnsi="Trebuchet MS" w:cs="Times New Roman"/>
              </w:rPr>
              <w:t>Cell intentionally left blank</w:t>
            </w:r>
          </w:p>
        </w:tc>
      </w:tr>
      <w:tr w:rsidR="008D45F8" w:rsidRPr="008D45F8" w14:paraId="16496933" w14:textId="77777777" w:rsidTr="008D45F8">
        <w:trPr>
          <w:trHeight w:val="617"/>
        </w:trPr>
        <w:tc>
          <w:tcPr>
            <w:tcW w:w="8544" w:type="dxa"/>
            <w:tcBorders>
              <w:top w:val="nil"/>
              <w:left w:val="single" w:sz="4" w:space="0" w:color="auto"/>
              <w:bottom w:val="nil"/>
              <w:right w:val="nil"/>
            </w:tcBorders>
            <w:shd w:val="clear" w:color="000000" w:fill="D9D9D9"/>
            <w:vAlign w:val="bottom"/>
            <w:hideMark/>
          </w:tcPr>
          <w:p w14:paraId="2F552F33" w14:textId="77777777" w:rsidR="008D45F8" w:rsidRPr="008D45F8" w:rsidRDefault="008D45F8" w:rsidP="008D45F8">
            <w:pPr>
              <w:spacing w:after="0" w:line="240" w:lineRule="auto"/>
              <w:rPr>
                <w:rFonts w:ascii="Trebuchet MS" w:eastAsia="Times New Roman" w:hAnsi="Trebuchet MS" w:cs="Times New Roman"/>
                <w:b/>
                <w:bCs/>
                <w:color w:val="000000"/>
                <w:sz w:val="18"/>
                <w:szCs w:val="18"/>
              </w:rPr>
            </w:pPr>
            <w:r w:rsidRPr="008D45F8">
              <w:rPr>
                <w:rFonts w:ascii="Trebuchet MS" w:eastAsia="Times New Roman" w:hAnsi="Trebuchet MS" w:cs="Times New Roman"/>
                <w:b/>
                <w:bCs/>
                <w:color w:val="000000"/>
                <w:sz w:val="18"/>
                <w:szCs w:val="18"/>
              </w:rPr>
              <w:t>Allocation of reusable equipment and supplies to Start-up and Expansion Grant for Educational/Enrichment Equipment/Supplies:</w:t>
            </w:r>
          </w:p>
        </w:tc>
        <w:tc>
          <w:tcPr>
            <w:tcW w:w="1324"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72007305" w14:textId="77777777" w:rsidR="008D45F8" w:rsidRPr="008D45F8" w:rsidRDefault="008D45F8" w:rsidP="008D45F8">
            <w:pPr>
              <w:spacing w:after="0" w:line="240" w:lineRule="auto"/>
              <w:jc w:val="center"/>
              <w:rPr>
                <w:rFonts w:ascii="Trebuchet MS" w:eastAsia="Times New Roman" w:hAnsi="Trebuchet MS" w:cs="Times New Roman"/>
                <w:color w:val="000000"/>
              </w:rPr>
            </w:pPr>
            <w:r w:rsidRPr="008D45F8">
              <w:rPr>
                <w:rFonts w:ascii="Trebuchet MS" w:eastAsia="Times New Roman" w:hAnsi="Trebuchet MS" w:cs="Times New Roman"/>
                <w:color w:val="000000"/>
              </w:rPr>
              <w:t>#DIV/0!</w:t>
            </w:r>
          </w:p>
        </w:tc>
      </w:tr>
      <w:tr w:rsidR="008D45F8" w:rsidRPr="008D45F8" w14:paraId="09D97FE4" w14:textId="77777777" w:rsidTr="008D45F8">
        <w:trPr>
          <w:trHeight w:val="662"/>
        </w:trPr>
        <w:tc>
          <w:tcPr>
            <w:tcW w:w="8544" w:type="dxa"/>
            <w:tcBorders>
              <w:top w:val="nil"/>
              <w:left w:val="single" w:sz="4" w:space="0" w:color="auto"/>
              <w:bottom w:val="single" w:sz="4" w:space="0" w:color="auto"/>
              <w:right w:val="nil"/>
            </w:tcBorders>
            <w:shd w:val="clear" w:color="000000" w:fill="D9D9D9"/>
            <w:vAlign w:val="bottom"/>
            <w:hideMark/>
          </w:tcPr>
          <w:p w14:paraId="1955900A" w14:textId="77777777" w:rsidR="008D45F8" w:rsidRPr="008D45F8" w:rsidRDefault="008D45F8" w:rsidP="008D45F8">
            <w:pPr>
              <w:spacing w:after="0" w:line="240" w:lineRule="auto"/>
              <w:rPr>
                <w:rFonts w:ascii="Trebuchet MS" w:eastAsia="Times New Roman" w:hAnsi="Trebuchet MS" w:cs="Times New Roman"/>
                <w:b/>
                <w:bCs/>
                <w:color w:val="000000"/>
                <w:sz w:val="18"/>
                <w:szCs w:val="18"/>
              </w:rPr>
            </w:pPr>
            <w:r w:rsidRPr="008D45F8">
              <w:rPr>
                <w:rFonts w:ascii="Trebuchet MS" w:eastAsia="Times New Roman" w:hAnsi="Trebuchet MS" w:cs="Times New Roman"/>
                <w:b/>
                <w:bCs/>
                <w:color w:val="000000"/>
                <w:sz w:val="18"/>
                <w:szCs w:val="18"/>
              </w:rPr>
              <w:t>Allocation to the Start-up and Expansion Grant for Food Service Equipment, Transportation related purchases, and Staff time allocated requests:</w:t>
            </w:r>
          </w:p>
        </w:tc>
        <w:tc>
          <w:tcPr>
            <w:tcW w:w="1324" w:type="dxa"/>
            <w:tcBorders>
              <w:top w:val="nil"/>
              <w:left w:val="single" w:sz="8" w:space="0" w:color="auto"/>
              <w:bottom w:val="single" w:sz="8" w:space="0" w:color="auto"/>
              <w:right w:val="single" w:sz="8" w:space="0" w:color="auto"/>
            </w:tcBorders>
            <w:shd w:val="clear" w:color="000000" w:fill="D9D9D9"/>
            <w:noWrap/>
            <w:vAlign w:val="bottom"/>
            <w:hideMark/>
          </w:tcPr>
          <w:p w14:paraId="02838031" w14:textId="77777777" w:rsidR="008D45F8" w:rsidRPr="008D45F8" w:rsidRDefault="008D45F8" w:rsidP="008D45F8">
            <w:pPr>
              <w:spacing w:after="0" w:line="240" w:lineRule="auto"/>
              <w:jc w:val="center"/>
              <w:rPr>
                <w:rFonts w:ascii="Trebuchet MS" w:eastAsia="Times New Roman" w:hAnsi="Trebuchet MS" w:cs="Times New Roman"/>
                <w:color w:val="000000"/>
              </w:rPr>
            </w:pPr>
            <w:r w:rsidRPr="008D45F8">
              <w:rPr>
                <w:rFonts w:ascii="Trebuchet MS" w:eastAsia="Times New Roman" w:hAnsi="Trebuchet MS" w:cs="Times New Roman"/>
                <w:color w:val="000000"/>
              </w:rPr>
              <w:t>#DIV/0!</w:t>
            </w:r>
          </w:p>
        </w:tc>
      </w:tr>
      <w:tr w:rsidR="008D45F8" w:rsidRPr="008D45F8" w14:paraId="29E3E99A" w14:textId="77777777" w:rsidTr="008D45F8">
        <w:trPr>
          <w:trHeight w:val="888"/>
        </w:trPr>
        <w:tc>
          <w:tcPr>
            <w:tcW w:w="8544" w:type="dxa"/>
            <w:tcBorders>
              <w:top w:val="nil"/>
              <w:left w:val="nil"/>
              <w:bottom w:val="nil"/>
              <w:right w:val="nil"/>
            </w:tcBorders>
            <w:shd w:val="clear" w:color="auto" w:fill="auto"/>
            <w:noWrap/>
            <w:vAlign w:val="bottom"/>
            <w:hideMark/>
          </w:tcPr>
          <w:p w14:paraId="780C081F" w14:textId="77777777" w:rsidR="008D45F8" w:rsidRPr="008D45F8" w:rsidRDefault="008D45F8" w:rsidP="008D45F8">
            <w:pPr>
              <w:spacing w:after="0" w:line="240" w:lineRule="auto"/>
              <w:rPr>
                <w:rFonts w:ascii="Trebuchet MS" w:eastAsia="Times New Roman" w:hAnsi="Trebuchet MS" w:cs="Times New Roman"/>
                <w:b/>
                <w:bCs/>
                <w:color w:val="000000"/>
                <w:u w:val="single"/>
              </w:rPr>
            </w:pPr>
            <w:r w:rsidRPr="008D45F8">
              <w:rPr>
                <w:rFonts w:ascii="Trebuchet MS" w:eastAsia="Times New Roman" w:hAnsi="Trebuchet MS" w:cs="Times New Roman"/>
                <w:b/>
                <w:bCs/>
                <w:color w:val="000000"/>
                <w:u w:val="single"/>
              </w:rPr>
              <w:t>Categories requiring allocation from total cost</w:t>
            </w:r>
          </w:p>
        </w:tc>
        <w:tc>
          <w:tcPr>
            <w:tcW w:w="1324" w:type="dxa"/>
            <w:tcBorders>
              <w:top w:val="nil"/>
              <w:left w:val="nil"/>
              <w:bottom w:val="nil"/>
              <w:right w:val="nil"/>
            </w:tcBorders>
            <w:shd w:val="clear" w:color="auto" w:fill="auto"/>
            <w:noWrap/>
            <w:vAlign w:val="bottom"/>
            <w:hideMark/>
          </w:tcPr>
          <w:p w14:paraId="00A08A3D" w14:textId="77777777" w:rsidR="008D45F8" w:rsidRPr="008D45F8" w:rsidRDefault="008D45F8" w:rsidP="008D45F8">
            <w:pPr>
              <w:spacing w:after="0" w:line="240" w:lineRule="auto"/>
              <w:rPr>
                <w:rFonts w:ascii="Trebuchet MS" w:eastAsia="Times New Roman" w:hAnsi="Trebuchet MS" w:cs="Times New Roman"/>
                <w:b/>
                <w:bCs/>
                <w:color w:val="000000"/>
                <w:u w:val="single"/>
              </w:rPr>
            </w:pPr>
          </w:p>
        </w:tc>
      </w:tr>
      <w:tr w:rsidR="008D45F8" w:rsidRPr="008D45F8" w14:paraId="67EFA48A" w14:textId="77777777" w:rsidTr="008D45F8">
        <w:trPr>
          <w:trHeight w:val="692"/>
        </w:trPr>
        <w:tc>
          <w:tcPr>
            <w:tcW w:w="8544" w:type="dxa"/>
            <w:tcBorders>
              <w:top w:val="nil"/>
              <w:left w:val="nil"/>
              <w:bottom w:val="nil"/>
              <w:right w:val="nil"/>
            </w:tcBorders>
            <w:shd w:val="clear" w:color="auto" w:fill="auto"/>
            <w:hideMark/>
          </w:tcPr>
          <w:p w14:paraId="27858F91" w14:textId="77777777" w:rsidR="008D45F8" w:rsidRPr="008D45F8" w:rsidRDefault="008D45F8" w:rsidP="008D45F8">
            <w:pPr>
              <w:spacing w:after="0" w:line="240" w:lineRule="auto"/>
              <w:rPr>
                <w:rFonts w:ascii="Trebuchet MS" w:eastAsia="Times New Roman" w:hAnsi="Trebuchet MS" w:cs="Times New Roman"/>
                <w:color w:val="000000"/>
                <w:sz w:val="18"/>
                <w:szCs w:val="18"/>
              </w:rPr>
            </w:pPr>
            <w:r w:rsidRPr="008D45F8">
              <w:rPr>
                <w:rFonts w:ascii="Trebuchet MS" w:eastAsia="Times New Roman" w:hAnsi="Trebuchet MS" w:cs="Times New Roman"/>
                <w:color w:val="000000"/>
                <w:sz w:val="18"/>
                <w:szCs w:val="18"/>
              </w:rPr>
              <w:t>Allocation is the proportion of a total items or services cost based on the amount of time said item or service is used for each program the sponsor participates in, in weeks.</w:t>
            </w:r>
          </w:p>
        </w:tc>
        <w:tc>
          <w:tcPr>
            <w:tcW w:w="1324" w:type="dxa"/>
            <w:tcBorders>
              <w:top w:val="nil"/>
              <w:left w:val="nil"/>
              <w:bottom w:val="nil"/>
              <w:right w:val="nil"/>
            </w:tcBorders>
            <w:shd w:val="clear" w:color="auto" w:fill="auto"/>
            <w:noWrap/>
            <w:vAlign w:val="bottom"/>
            <w:hideMark/>
          </w:tcPr>
          <w:p w14:paraId="49E16BC1" w14:textId="77777777" w:rsidR="008D45F8" w:rsidRPr="008D45F8" w:rsidRDefault="008D45F8" w:rsidP="008D45F8">
            <w:pPr>
              <w:spacing w:after="0" w:line="240" w:lineRule="auto"/>
              <w:rPr>
                <w:rFonts w:ascii="Trebuchet MS" w:eastAsia="Times New Roman" w:hAnsi="Trebuchet MS" w:cs="Times New Roman"/>
                <w:color w:val="000000"/>
                <w:sz w:val="18"/>
                <w:szCs w:val="18"/>
              </w:rPr>
            </w:pPr>
          </w:p>
        </w:tc>
      </w:tr>
      <w:tr w:rsidR="008D45F8" w:rsidRPr="008D45F8" w14:paraId="728F2661" w14:textId="77777777" w:rsidTr="008D45F8">
        <w:trPr>
          <w:trHeight w:val="617"/>
        </w:trPr>
        <w:tc>
          <w:tcPr>
            <w:tcW w:w="8544" w:type="dxa"/>
            <w:tcBorders>
              <w:top w:val="nil"/>
              <w:left w:val="nil"/>
              <w:bottom w:val="nil"/>
              <w:right w:val="nil"/>
            </w:tcBorders>
            <w:shd w:val="clear" w:color="auto" w:fill="auto"/>
            <w:noWrap/>
            <w:vAlign w:val="bottom"/>
            <w:hideMark/>
          </w:tcPr>
          <w:p w14:paraId="6F8826FC" w14:textId="77777777" w:rsidR="008D45F8" w:rsidRPr="008D45F8" w:rsidRDefault="008D45F8" w:rsidP="008D45F8">
            <w:pPr>
              <w:spacing w:after="0" w:line="240" w:lineRule="auto"/>
              <w:rPr>
                <w:rFonts w:ascii="Trebuchet MS" w:eastAsia="Times New Roman" w:hAnsi="Trebuchet MS" w:cs="Times New Roman"/>
                <w:b/>
                <w:bCs/>
                <w:color w:val="000000"/>
                <w:sz w:val="20"/>
                <w:szCs w:val="20"/>
              </w:rPr>
            </w:pPr>
            <w:r w:rsidRPr="008D45F8">
              <w:rPr>
                <w:rFonts w:ascii="Trebuchet MS" w:eastAsia="Times New Roman" w:hAnsi="Trebuchet MS" w:cs="Times New Roman"/>
                <w:b/>
                <w:bCs/>
                <w:color w:val="000000"/>
                <w:sz w:val="20"/>
                <w:szCs w:val="20"/>
              </w:rPr>
              <w:t>Food Service Equipment</w:t>
            </w:r>
          </w:p>
        </w:tc>
        <w:tc>
          <w:tcPr>
            <w:tcW w:w="1324" w:type="dxa"/>
            <w:tcBorders>
              <w:top w:val="nil"/>
              <w:left w:val="nil"/>
              <w:bottom w:val="nil"/>
              <w:right w:val="nil"/>
            </w:tcBorders>
            <w:shd w:val="clear" w:color="auto" w:fill="auto"/>
            <w:noWrap/>
            <w:vAlign w:val="bottom"/>
            <w:hideMark/>
          </w:tcPr>
          <w:p w14:paraId="554C7E1E" w14:textId="77777777" w:rsidR="008D45F8" w:rsidRPr="008D45F8" w:rsidRDefault="008D45F8" w:rsidP="008D45F8">
            <w:pPr>
              <w:spacing w:after="0" w:line="240" w:lineRule="auto"/>
              <w:rPr>
                <w:rFonts w:ascii="Trebuchet MS" w:eastAsia="Times New Roman" w:hAnsi="Trebuchet MS" w:cs="Times New Roman"/>
                <w:b/>
                <w:bCs/>
                <w:color w:val="000000"/>
                <w:sz w:val="20"/>
                <w:szCs w:val="20"/>
              </w:rPr>
            </w:pPr>
          </w:p>
        </w:tc>
      </w:tr>
      <w:tr w:rsidR="008D45F8" w:rsidRPr="008D45F8" w14:paraId="652B720C" w14:textId="77777777" w:rsidTr="008D45F8">
        <w:trPr>
          <w:trHeight w:val="391"/>
        </w:trPr>
        <w:tc>
          <w:tcPr>
            <w:tcW w:w="8544" w:type="dxa"/>
            <w:tcBorders>
              <w:top w:val="nil"/>
              <w:left w:val="nil"/>
              <w:bottom w:val="nil"/>
              <w:right w:val="nil"/>
            </w:tcBorders>
            <w:shd w:val="clear" w:color="auto" w:fill="auto"/>
            <w:vAlign w:val="center"/>
            <w:hideMark/>
          </w:tcPr>
          <w:p w14:paraId="78C03D23" w14:textId="77777777" w:rsidR="008D45F8" w:rsidRPr="008D45F8" w:rsidRDefault="008D45F8" w:rsidP="008D45F8">
            <w:pPr>
              <w:spacing w:after="0" w:line="240" w:lineRule="auto"/>
              <w:ind w:firstLineChars="300" w:firstLine="540"/>
              <w:rPr>
                <w:rFonts w:ascii="Trebuchet MS" w:eastAsia="Times New Roman" w:hAnsi="Trebuchet MS" w:cs="Times New Roman"/>
                <w:color w:val="000000"/>
                <w:sz w:val="18"/>
                <w:szCs w:val="18"/>
              </w:rPr>
            </w:pPr>
            <w:r w:rsidRPr="008D45F8">
              <w:rPr>
                <w:rFonts w:ascii="Trebuchet MS" w:eastAsia="Times New Roman" w:hAnsi="Trebuchet MS" w:cs="Times New Roman"/>
                <w:color w:val="000000"/>
                <w:sz w:val="18"/>
                <w:szCs w:val="18"/>
              </w:rPr>
              <w:t>Example of cost allocation:</w:t>
            </w:r>
          </w:p>
        </w:tc>
        <w:tc>
          <w:tcPr>
            <w:tcW w:w="1324" w:type="dxa"/>
            <w:tcBorders>
              <w:top w:val="nil"/>
              <w:left w:val="nil"/>
              <w:bottom w:val="nil"/>
              <w:right w:val="nil"/>
            </w:tcBorders>
            <w:shd w:val="clear" w:color="auto" w:fill="auto"/>
            <w:noWrap/>
            <w:vAlign w:val="bottom"/>
            <w:hideMark/>
          </w:tcPr>
          <w:p w14:paraId="01F6691F" w14:textId="77777777" w:rsidR="008D45F8" w:rsidRPr="008D45F8" w:rsidRDefault="008D45F8" w:rsidP="008D45F8">
            <w:pPr>
              <w:spacing w:after="0" w:line="240" w:lineRule="auto"/>
              <w:ind w:firstLineChars="300" w:firstLine="540"/>
              <w:rPr>
                <w:rFonts w:ascii="Trebuchet MS" w:eastAsia="Times New Roman" w:hAnsi="Trebuchet MS" w:cs="Times New Roman"/>
                <w:color w:val="000000"/>
                <w:sz w:val="18"/>
                <w:szCs w:val="18"/>
              </w:rPr>
            </w:pPr>
          </w:p>
        </w:tc>
      </w:tr>
      <w:tr w:rsidR="008D45F8" w:rsidRPr="008D45F8" w14:paraId="49FAF0F5" w14:textId="77777777" w:rsidTr="008D45F8">
        <w:trPr>
          <w:trHeight w:val="2259"/>
        </w:trPr>
        <w:tc>
          <w:tcPr>
            <w:tcW w:w="8544" w:type="dxa"/>
            <w:tcBorders>
              <w:top w:val="nil"/>
              <w:left w:val="nil"/>
              <w:bottom w:val="nil"/>
              <w:right w:val="nil"/>
            </w:tcBorders>
            <w:shd w:val="clear" w:color="auto" w:fill="auto"/>
            <w:hideMark/>
          </w:tcPr>
          <w:p w14:paraId="4EC32182"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r w:rsidRPr="008D45F8">
              <w:rPr>
                <w:rFonts w:ascii="Trebuchet MS" w:eastAsia="Times New Roman" w:hAnsi="Trebuchet MS" w:cs="Times New Roman"/>
                <w:i/>
                <w:iCs/>
                <w:color w:val="000000"/>
                <w:sz w:val="18"/>
                <w:szCs w:val="18"/>
              </w:rPr>
              <w:t xml:space="preserve">o   </w:t>
            </w:r>
            <w:proofErr w:type="gramStart"/>
            <w:r w:rsidRPr="008D45F8">
              <w:rPr>
                <w:rFonts w:ascii="Trebuchet MS" w:eastAsia="Times New Roman" w:hAnsi="Trebuchet MS" w:cs="Times New Roman"/>
                <w:i/>
                <w:iCs/>
                <w:color w:val="000000"/>
                <w:sz w:val="18"/>
                <w:szCs w:val="18"/>
              </w:rPr>
              <w:t>An</w:t>
            </w:r>
            <w:proofErr w:type="gramEnd"/>
            <w:r w:rsidRPr="008D45F8">
              <w:rPr>
                <w:rFonts w:ascii="Trebuchet MS" w:eastAsia="Times New Roman" w:hAnsi="Trebuchet MS" w:cs="Times New Roman"/>
                <w:i/>
                <w:iCs/>
                <w:color w:val="000000"/>
                <w:sz w:val="18"/>
                <w:szCs w:val="18"/>
              </w:rPr>
              <w:t xml:space="preserve"> applicant is applying for reimbursement of an oven that will be used for preparing meals for NSLP, CACFP, and SFSP, but only requesting funds for SFSP expansion then the grant award will be allocated based on time used for SFSP meal production. NSLP operates 40 weeks a year, CACFP operates 40 weeks a year, and SFSP operates 12 weeks a year. The applicant will total the total weeks of operation (40 + 40 + 12 = 92) and then divide the 12 allowable weeks by the total weeks (12/92 = 0.13) to get a 13% allocation. If the oven costs $5000, this grant can pay up to 13% of the cost of the oven which would be $650. The other 87% may be charged to CACFP and NSLP funds. If charging to CACFP funds outside of this grant, a revised CACFP budget may be required. </w:t>
            </w:r>
          </w:p>
        </w:tc>
        <w:tc>
          <w:tcPr>
            <w:tcW w:w="1324" w:type="dxa"/>
            <w:tcBorders>
              <w:top w:val="nil"/>
              <w:left w:val="nil"/>
              <w:bottom w:val="nil"/>
              <w:right w:val="nil"/>
            </w:tcBorders>
            <w:shd w:val="clear" w:color="auto" w:fill="auto"/>
            <w:noWrap/>
            <w:vAlign w:val="bottom"/>
            <w:hideMark/>
          </w:tcPr>
          <w:p w14:paraId="2EE95F54"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p>
        </w:tc>
      </w:tr>
      <w:tr w:rsidR="008D45F8" w:rsidRPr="008D45F8" w14:paraId="44AA0DE4" w14:textId="77777777" w:rsidTr="008D45F8">
        <w:trPr>
          <w:trHeight w:val="642"/>
        </w:trPr>
        <w:tc>
          <w:tcPr>
            <w:tcW w:w="8544" w:type="dxa"/>
            <w:tcBorders>
              <w:top w:val="nil"/>
              <w:left w:val="nil"/>
              <w:bottom w:val="nil"/>
              <w:right w:val="nil"/>
            </w:tcBorders>
            <w:shd w:val="clear" w:color="auto" w:fill="auto"/>
            <w:noWrap/>
            <w:vAlign w:val="bottom"/>
            <w:hideMark/>
          </w:tcPr>
          <w:p w14:paraId="3AFABFDF" w14:textId="77777777" w:rsidR="008D45F8" w:rsidRPr="008D45F8" w:rsidRDefault="008D45F8" w:rsidP="008D45F8">
            <w:pPr>
              <w:spacing w:after="0" w:line="240" w:lineRule="auto"/>
              <w:rPr>
                <w:rFonts w:ascii="Trebuchet MS" w:eastAsia="Times New Roman" w:hAnsi="Trebuchet MS" w:cs="Times New Roman"/>
                <w:b/>
                <w:bCs/>
                <w:color w:val="000000"/>
                <w:sz w:val="20"/>
                <w:szCs w:val="20"/>
              </w:rPr>
            </w:pPr>
            <w:r w:rsidRPr="008D45F8">
              <w:rPr>
                <w:rFonts w:ascii="Trebuchet MS" w:eastAsia="Times New Roman" w:hAnsi="Trebuchet MS" w:cs="Times New Roman"/>
                <w:b/>
                <w:bCs/>
                <w:color w:val="000000"/>
                <w:sz w:val="20"/>
                <w:szCs w:val="20"/>
              </w:rPr>
              <w:t>Transportation Related Purchases</w:t>
            </w:r>
          </w:p>
        </w:tc>
        <w:tc>
          <w:tcPr>
            <w:tcW w:w="1324" w:type="dxa"/>
            <w:tcBorders>
              <w:top w:val="nil"/>
              <w:left w:val="nil"/>
              <w:bottom w:val="nil"/>
              <w:right w:val="nil"/>
            </w:tcBorders>
            <w:shd w:val="clear" w:color="auto" w:fill="auto"/>
            <w:noWrap/>
            <w:vAlign w:val="bottom"/>
            <w:hideMark/>
          </w:tcPr>
          <w:p w14:paraId="409F91D2" w14:textId="77777777" w:rsidR="008D45F8" w:rsidRPr="008D45F8" w:rsidRDefault="008D45F8" w:rsidP="008D45F8">
            <w:pPr>
              <w:spacing w:after="0" w:line="240" w:lineRule="auto"/>
              <w:rPr>
                <w:rFonts w:ascii="Trebuchet MS" w:eastAsia="Times New Roman" w:hAnsi="Trebuchet MS" w:cs="Times New Roman"/>
                <w:b/>
                <w:bCs/>
                <w:color w:val="000000"/>
                <w:sz w:val="20"/>
                <w:szCs w:val="20"/>
              </w:rPr>
            </w:pPr>
          </w:p>
        </w:tc>
      </w:tr>
      <w:tr w:rsidR="008D45F8" w:rsidRPr="008D45F8" w14:paraId="5ABDB730" w14:textId="77777777" w:rsidTr="008D45F8">
        <w:trPr>
          <w:trHeight w:val="291"/>
        </w:trPr>
        <w:tc>
          <w:tcPr>
            <w:tcW w:w="8544" w:type="dxa"/>
            <w:tcBorders>
              <w:top w:val="nil"/>
              <w:left w:val="nil"/>
              <w:bottom w:val="nil"/>
              <w:right w:val="nil"/>
            </w:tcBorders>
            <w:shd w:val="clear" w:color="auto" w:fill="auto"/>
            <w:vAlign w:val="center"/>
            <w:hideMark/>
          </w:tcPr>
          <w:p w14:paraId="4AE3AD2F" w14:textId="77777777" w:rsidR="008D45F8" w:rsidRPr="008D45F8" w:rsidRDefault="008D45F8" w:rsidP="008D45F8">
            <w:pPr>
              <w:spacing w:after="0" w:line="240" w:lineRule="auto"/>
              <w:ind w:firstLineChars="300" w:firstLine="540"/>
              <w:rPr>
                <w:rFonts w:ascii="Trebuchet MS" w:eastAsia="Times New Roman" w:hAnsi="Trebuchet MS" w:cs="Times New Roman"/>
                <w:color w:val="000000"/>
                <w:sz w:val="18"/>
                <w:szCs w:val="18"/>
              </w:rPr>
            </w:pPr>
            <w:r w:rsidRPr="008D45F8">
              <w:rPr>
                <w:rFonts w:ascii="Trebuchet MS" w:eastAsia="Times New Roman" w:hAnsi="Trebuchet MS" w:cs="Times New Roman"/>
                <w:color w:val="000000"/>
                <w:sz w:val="18"/>
                <w:szCs w:val="18"/>
              </w:rPr>
              <w:t xml:space="preserve">Allocation based on amount of time in weeks being used for each program </w:t>
            </w:r>
          </w:p>
        </w:tc>
        <w:tc>
          <w:tcPr>
            <w:tcW w:w="1324" w:type="dxa"/>
            <w:tcBorders>
              <w:top w:val="nil"/>
              <w:left w:val="nil"/>
              <w:bottom w:val="nil"/>
              <w:right w:val="nil"/>
            </w:tcBorders>
            <w:shd w:val="clear" w:color="auto" w:fill="auto"/>
            <w:noWrap/>
            <w:vAlign w:val="bottom"/>
            <w:hideMark/>
          </w:tcPr>
          <w:p w14:paraId="1B77B73F" w14:textId="77777777" w:rsidR="008D45F8" w:rsidRPr="008D45F8" w:rsidRDefault="008D45F8" w:rsidP="008D45F8">
            <w:pPr>
              <w:spacing w:after="0" w:line="240" w:lineRule="auto"/>
              <w:ind w:firstLineChars="300" w:firstLine="540"/>
              <w:rPr>
                <w:rFonts w:ascii="Trebuchet MS" w:eastAsia="Times New Roman" w:hAnsi="Trebuchet MS" w:cs="Times New Roman"/>
                <w:color w:val="000000"/>
                <w:sz w:val="18"/>
                <w:szCs w:val="18"/>
              </w:rPr>
            </w:pPr>
          </w:p>
        </w:tc>
      </w:tr>
      <w:tr w:rsidR="008D45F8" w:rsidRPr="008D45F8" w14:paraId="0ED4A0E6" w14:textId="77777777" w:rsidTr="008D45F8">
        <w:trPr>
          <w:trHeight w:val="291"/>
        </w:trPr>
        <w:tc>
          <w:tcPr>
            <w:tcW w:w="8544" w:type="dxa"/>
            <w:tcBorders>
              <w:top w:val="nil"/>
              <w:left w:val="nil"/>
              <w:bottom w:val="nil"/>
              <w:right w:val="nil"/>
            </w:tcBorders>
            <w:shd w:val="clear" w:color="auto" w:fill="auto"/>
            <w:vAlign w:val="center"/>
            <w:hideMark/>
          </w:tcPr>
          <w:p w14:paraId="3B299B55" w14:textId="77777777" w:rsidR="008D45F8" w:rsidRPr="008D45F8" w:rsidRDefault="008D45F8" w:rsidP="008D45F8">
            <w:pPr>
              <w:spacing w:after="0" w:line="240" w:lineRule="auto"/>
              <w:ind w:firstLineChars="300" w:firstLine="540"/>
              <w:rPr>
                <w:rFonts w:ascii="Trebuchet MS" w:eastAsia="Times New Roman" w:hAnsi="Trebuchet MS" w:cs="Times New Roman"/>
                <w:color w:val="000000"/>
                <w:sz w:val="18"/>
                <w:szCs w:val="18"/>
              </w:rPr>
            </w:pPr>
            <w:r w:rsidRPr="008D45F8">
              <w:rPr>
                <w:rFonts w:ascii="Trebuchet MS" w:eastAsia="Times New Roman" w:hAnsi="Trebuchet MS" w:cs="Times New Roman"/>
                <w:color w:val="000000"/>
                <w:sz w:val="18"/>
                <w:szCs w:val="18"/>
              </w:rPr>
              <w:t>Example of cost allocation:</w:t>
            </w:r>
          </w:p>
        </w:tc>
        <w:tc>
          <w:tcPr>
            <w:tcW w:w="1324" w:type="dxa"/>
            <w:tcBorders>
              <w:top w:val="nil"/>
              <w:left w:val="nil"/>
              <w:bottom w:val="nil"/>
              <w:right w:val="nil"/>
            </w:tcBorders>
            <w:shd w:val="clear" w:color="auto" w:fill="auto"/>
            <w:noWrap/>
            <w:vAlign w:val="bottom"/>
            <w:hideMark/>
          </w:tcPr>
          <w:p w14:paraId="4638DF20" w14:textId="77777777" w:rsidR="008D45F8" w:rsidRPr="008D45F8" w:rsidRDefault="008D45F8" w:rsidP="008D45F8">
            <w:pPr>
              <w:spacing w:after="0" w:line="240" w:lineRule="auto"/>
              <w:ind w:firstLineChars="300" w:firstLine="540"/>
              <w:rPr>
                <w:rFonts w:ascii="Trebuchet MS" w:eastAsia="Times New Roman" w:hAnsi="Trebuchet MS" w:cs="Times New Roman"/>
                <w:color w:val="000000"/>
                <w:sz w:val="18"/>
                <w:szCs w:val="18"/>
              </w:rPr>
            </w:pPr>
          </w:p>
        </w:tc>
      </w:tr>
      <w:tr w:rsidR="008D45F8" w:rsidRPr="008D45F8" w14:paraId="64EAD971" w14:textId="77777777" w:rsidTr="008D45F8">
        <w:trPr>
          <w:trHeight w:val="2058"/>
        </w:trPr>
        <w:tc>
          <w:tcPr>
            <w:tcW w:w="8544" w:type="dxa"/>
            <w:tcBorders>
              <w:top w:val="nil"/>
              <w:left w:val="nil"/>
              <w:bottom w:val="nil"/>
              <w:right w:val="nil"/>
            </w:tcBorders>
            <w:shd w:val="clear" w:color="auto" w:fill="auto"/>
            <w:hideMark/>
          </w:tcPr>
          <w:p w14:paraId="0E2D5BF8"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r w:rsidRPr="008D45F8">
              <w:rPr>
                <w:rFonts w:ascii="Trebuchet MS" w:eastAsia="Times New Roman" w:hAnsi="Trebuchet MS" w:cs="Times New Roman"/>
                <w:i/>
                <w:iCs/>
                <w:color w:val="000000"/>
                <w:sz w:val="18"/>
                <w:szCs w:val="18"/>
              </w:rPr>
              <w:lastRenderedPageBreak/>
              <w:t>o   If applying for repairs to a vehicle that will be used to deliver meals to sites for CACFP Afterschool At-Risk and NSLP, but only requesting funds for CACFP Afterschool At-Risk expansion then the grant award will be allocated based on time used for CACFP Afterschool At-Risk program use. CACFP Afterschool At-Risk programing operates 40 weeks a year and NSLP operates 40 weeks a year. Since both programs run for the same amount of time, the grant can be used to cover 50% of the cost. The repairs cost $7500, this grant can pay up to 50% of the cost of the repairs which would be $3750.</w:t>
            </w:r>
          </w:p>
        </w:tc>
        <w:tc>
          <w:tcPr>
            <w:tcW w:w="1324" w:type="dxa"/>
            <w:tcBorders>
              <w:top w:val="nil"/>
              <w:left w:val="nil"/>
              <w:bottom w:val="nil"/>
              <w:right w:val="nil"/>
            </w:tcBorders>
            <w:shd w:val="clear" w:color="auto" w:fill="auto"/>
            <w:noWrap/>
            <w:vAlign w:val="bottom"/>
            <w:hideMark/>
          </w:tcPr>
          <w:p w14:paraId="7D2DE659"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p>
        </w:tc>
      </w:tr>
      <w:tr w:rsidR="008D45F8" w:rsidRPr="008D45F8" w14:paraId="2061C629" w14:textId="77777777" w:rsidTr="008D45F8">
        <w:trPr>
          <w:trHeight w:val="512"/>
        </w:trPr>
        <w:tc>
          <w:tcPr>
            <w:tcW w:w="8544" w:type="dxa"/>
            <w:tcBorders>
              <w:top w:val="nil"/>
              <w:left w:val="nil"/>
              <w:bottom w:val="nil"/>
              <w:right w:val="nil"/>
            </w:tcBorders>
            <w:shd w:val="clear" w:color="auto" w:fill="auto"/>
            <w:noWrap/>
            <w:vAlign w:val="bottom"/>
            <w:hideMark/>
          </w:tcPr>
          <w:p w14:paraId="20A4C0A9" w14:textId="77777777" w:rsidR="008D45F8" w:rsidRPr="008D45F8" w:rsidRDefault="008D45F8" w:rsidP="008D45F8">
            <w:pPr>
              <w:spacing w:after="0" w:line="240" w:lineRule="auto"/>
              <w:rPr>
                <w:rFonts w:ascii="Trebuchet MS" w:eastAsia="Times New Roman" w:hAnsi="Trebuchet MS" w:cs="Times New Roman"/>
                <w:b/>
                <w:bCs/>
                <w:color w:val="000000"/>
                <w:sz w:val="20"/>
                <w:szCs w:val="20"/>
              </w:rPr>
            </w:pPr>
            <w:r w:rsidRPr="008D45F8">
              <w:rPr>
                <w:rFonts w:ascii="Trebuchet MS" w:eastAsia="Times New Roman" w:hAnsi="Trebuchet MS" w:cs="Times New Roman"/>
                <w:b/>
                <w:bCs/>
                <w:color w:val="000000"/>
                <w:sz w:val="20"/>
                <w:szCs w:val="20"/>
              </w:rPr>
              <w:t>Enrichment/Educational Activities Equipment &amp; Supplies</w:t>
            </w:r>
          </w:p>
        </w:tc>
        <w:tc>
          <w:tcPr>
            <w:tcW w:w="1324" w:type="dxa"/>
            <w:tcBorders>
              <w:top w:val="nil"/>
              <w:left w:val="nil"/>
              <w:bottom w:val="nil"/>
              <w:right w:val="nil"/>
            </w:tcBorders>
            <w:shd w:val="clear" w:color="auto" w:fill="auto"/>
            <w:noWrap/>
            <w:vAlign w:val="bottom"/>
            <w:hideMark/>
          </w:tcPr>
          <w:p w14:paraId="6B7FC97E" w14:textId="77777777" w:rsidR="008D45F8" w:rsidRPr="008D45F8" w:rsidRDefault="008D45F8" w:rsidP="008D45F8">
            <w:pPr>
              <w:spacing w:after="0" w:line="240" w:lineRule="auto"/>
              <w:rPr>
                <w:rFonts w:ascii="Trebuchet MS" w:eastAsia="Times New Roman" w:hAnsi="Trebuchet MS" w:cs="Times New Roman"/>
                <w:b/>
                <w:bCs/>
                <w:color w:val="000000"/>
                <w:sz w:val="20"/>
                <w:szCs w:val="20"/>
              </w:rPr>
            </w:pPr>
          </w:p>
        </w:tc>
      </w:tr>
      <w:tr w:rsidR="008D45F8" w:rsidRPr="008D45F8" w14:paraId="564D3F90" w14:textId="77777777" w:rsidTr="008D45F8">
        <w:trPr>
          <w:trHeight w:val="492"/>
        </w:trPr>
        <w:tc>
          <w:tcPr>
            <w:tcW w:w="8544" w:type="dxa"/>
            <w:tcBorders>
              <w:top w:val="nil"/>
              <w:left w:val="nil"/>
              <w:bottom w:val="nil"/>
              <w:right w:val="nil"/>
            </w:tcBorders>
            <w:shd w:val="clear" w:color="auto" w:fill="auto"/>
            <w:vAlign w:val="bottom"/>
            <w:hideMark/>
          </w:tcPr>
          <w:p w14:paraId="61FBCF36" w14:textId="77777777" w:rsidR="008D45F8" w:rsidRPr="008D45F8" w:rsidRDefault="008D45F8" w:rsidP="008D45F8">
            <w:pPr>
              <w:spacing w:after="0" w:line="240" w:lineRule="auto"/>
              <w:ind w:firstLineChars="300" w:firstLine="540"/>
              <w:rPr>
                <w:rFonts w:ascii="Trebuchet MS" w:eastAsia="Times New Roman" w:hAnsi="Trebuchet MS" w:cs="Times New Roman"/>
                <w:color w:val="000000"/>
                <w:sz w:val="18"/>
                <w:szCs w:val="18"/>
              </w:rPr>
            </w:pPr>
            <w:r w:rsidRPr="008D45F8">
              <w:rPr>
                <w:rFonts w:ascii="Trebuchet MS" w:eastAsia="Times New Roman" w:hAnsi="Trebuchet MS" w:cs="Times New Roman"/>
                <w:color w:val="000000"/>
                <w:sz w:val="18"/>
                <w:szCs w:val="18"/>
              </w:rPr>
              <w:t>Allocation based on amount of time in weeks being used for each program for individual or set of items over $250</w:t>
            </w:r>
          </w:p>
        </w:tc>
        <w:tc>
          <w:tcPr>
            <w:tcW w:w="1324" w:type="dxa"/>
            <w:tcBorders>
              <w:top w:val="nil"/>
              <w:left w:val="nil"/>
              <w:bottom w:val="nil"/>
              <w:right w:val="nil"/>
            </w:tcBorders>
            <w:shd w:val="clear" w:color="auto" w:fill="auto"/>
            <w:noWrap/>
            <w:vAlign w:val="bottom"/>
            <w:hideMark/>
          </w:tcPr>
          <w:p w14:paraId="14492CED" w14:textId="77777777" w:rsidR="008D45F8" w:rsidRPr="008D45F8" w:rsidRDefault="008D45F8" w:rsidP="008D45F8">
            <w:pPr>
              <w:spacing w:after="0" w:line="240" w:lineRule="auto"/>
              <w:ind w:firstLineChars="300" w:firstLine="540"/>
              <w:rPr>
                <w:rFonts w:ascii="Trebuchet MS" w:eastAsia="Times New Roman" w:hAnsi="Trebuchet MS" w:cs="Times New Roman"/>
                <w:color w:val="000000"/>
                <w:sz w:val="18"/>
                <w:szCs w:val="18"/>
              </w:rPr>
            </w:pPr>
          </w:p>
        </w:tc>
      </w:tr>
      <w:tr w:rsidR="008D45F8" w:rsidRPr="008D45F8" w14:paraId="4BD535FD" w14:textId="77777777" w:rsidTr="008D45F8">
        <w:trPr>
          <w:trHeight w:val="291"/>
        </w:trPr>
        <w:tc>
          <w:tcPr>
            <w:tcW w:w="8544" w:type="dxa"/>
            <w:tcBorders>
              <w:top w:val="nil"/>
              <w:left w:val="nil"/>
              <w:bottom w:val="nil"/>
              <w:right w:val="nil"/>
            </w:tcBorders>
            <w:shd w:val="clear" w:color="auto" w:fill="auto"/>
            <w:vAlign w:val="bottom"/>
            <w:hideMark/>
          </w:tcPr>
          <w:p w14:paraId="6C8C4B61" w14:textId="77777777" w:rsidR="008D45F8" w:rsidRPr="008D45F8" w:rsidRDefault="008D45F8" w:rsidP="008D45F8">
            <w:pPr>
              <w:spacing w:after="0" w:line="240" w:lineRule="auto"/>
              <w:ind w:firstLineChars="300" w:firstLine="540"/>
              <w:rPr>
                <w:rFonts w:ascii="Trebuchet MS" w:eastAsia="Times New Roman" w:hAnsi="Trebuchet MS" w:cs="Times New Roman"/>
                <w:color w:val="000000"/>
                <w:sz w:val="18"/>
                <w:szCs w:val="18"/>
              </w:rPr>
            </w:pPr>
            <w:r w:rsidRPr="008D45F8">
              <w:rPr>
                <w:rFonts w:ascii="Trebuchet MS" w:eastAsia="Times New Roman" w:hAnsi="Trebuchet MS" w:cs="Times New Roman"/>
                <w:color w:val="000000"/>
                <w:sz w:val="18"/>
                <w:szCs w:val="18"/>
              </w:rPr>
              <w:t>Example of cost allocation:</w:t>
            </w:r>
          </w:p>
        </w:tc>
        <w:tc>
          <w:tcPr>
            <w:tcW w:w="1324" w:type="dxa"/>
            <w:tcBorders>
              <w:top w:val="nil"/>
              <w:left w:val="nil"/>
              <w:bottom w:val="nil"/>
              <w:right w:val="nil"/>
            </w:tcBorders>
            <w:shd w:val="clear" w:color="auto" w:fill="auto"/>
            <w:noWrap/>
            <w:vAlign w:val="bottom"/>
            <w:hideMark/>
          </w:tcPr>
          <w:p w14:paraId="5D34C0CC" w14:textId="77777777" w:rsidR="008D45F8" w:rsidRPr="008D45F8" w:rsidRDefault="008D45F8" w:rsidP="008D45F8">
            <w:pPr>
              <w:spacing w:after="0" w:line="240" w:lineRule="auto"/>
              <w:ind w:firstLineChars="300" w:firstLine="540"/>
              <w:rPr>
                <w:rFonts w:ascii="Trebuchet MS" w:eastAsia="Times New Roman" w:hAnsi="Trebuchet MS" w:cs="Times New Roman"/>
                <w:color w:val="000000"/>
                <w:sz w:val="18"/>
                <w:szCs w:val="18"/>
              </w:rPr>
            </w:pPr>
          </w:p>
        </w:tc>
      </w:tr>
      <w:tr w:rsidR="008D45F8" w:rsidRPr="008D45F8" w14:paraId="32E7EA85" w14:textId="77777777" w:rsidTr="008D45F8">
        <w:trPr>
          <w:trHeight w:val="1867"/>
        </w:trPr>
        <w:tc>
          <w:tcPr>
            <w:tcW w:w="8544" w:type="dxa"/>
            <w:tcBorders>
              <w:top w:val="nil"/>
              <w:left w:val="nil"/>
              <w:bottom w:val="nil"/>
              <w:right w:val="nil"/>
            </w:tcBorders>
            <w:shd w:val="clear" w:color="auto" w:fill="auto"/>
            <w:hideMark/>
          </w:tcPr>
          <w:p w14:paraId="4D85099E"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r w:rsidRPr="008D45F8">
              <w:rPr>
                <w:rFonts w:ascii="Trebuchet MS" w:eastAsia="Times New Roman" w:hAnsi="Trebuchet MS" w:cs="Times New Roman"/>
                <w:i/>
                <w:iCs/>
                <w:color w:val="000000"/>
                <w:sz w:val="18"/>
                <w:szCs w:val="18"/>
              </w:rPr>
              <w:t xml:space="preserve">o   If applying for a microscope for science activities during CACFP Afterschool At-Risk programming and to use during a science class during the school day. The grant award will be allocated based on time used for the CACFP Afterschool At-Risk program. If CACFP Afterschool At-Risk operates for the 40 weeks a year and the microscope is used in a science class during the school day 40 weeks a year, allocate at 50%. A 50% allocation is allowed because the programs run concurrently for the same amount of time. </w:t>
            </w:r>
          </w:p>
        </w:tc>
        <w:tc>
          <w:tcPr>
            <w:tcW w:w="1324" w:type="dxa"/>
            <w:tcBorders>
              <w:top w:val="nil"/>
              <w:left w:val="nil"/>
              <w:bottom w:val="nil"/>
              <w:right w:val="nil"/>
            </w:tcBorders>
            <w:shd w:val="clear" w:color="auto" w:fill="auto"/>
            <w:noWrap/>
            <w:vAlign w:val="bottom"/>
            <w:hideMark/>
          </w:tcPr>
          <w:p w14:paraId="03CEE305"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p>
        </w:tc>
      </w:tr>
      <w:tr w:rsidR="008D45F8" w:rsidRPr="008D45F8" w14:paraId="2D7557AD" w14:textId="77777777" w:rsidTr="008D45F8">
        <w:trPr>
          <w:trHeight w:val="376"/>
        </w:trPr>
        <w:tc>
          <w:tcPr>
            <w:tcW w:w="8544" w:type="dxa"/>
            <w:tcBorders>
              <w:top w:val="nil"/>
              <w:left w:val="nil"/>
              <w:bottom w:val="nil"/>
              <w:right w:val="nil"/>
            </w:tcBorders>
            <w:shd w:val="clear" w:color="auto" w:fill="auto"/>
            <w:noWrap/>
            <w:vAlign w:val="bottom"/>
            <w:hideMark/>
          </w:tcPr>
          <w:p w14:paraId="061CB089" w14:textId="77777777" w:rsidR="008D45F8" w:rsidRPr="008D45F8" w:rsidRDefault="008D45F8" w:rsidP="008D45F8">
            <w:pPr>
              <w:spacing w:after="0" w:line="240" w:lineRule="auto"/>
              <w:rPr>
                <w:rFonts w:ascii="Trebuchet MS" w:eastAsia="Times New Roman" w:hAnsi="Trebuchet MS" w:cs="Times New Roman"/>
                <w:b/>
                <w:bCs/>
                <w:color w:val="000000"/>
                <w:sz w:val="20"/>
                <w:szCs w:val="20"/>
              </w:rPr>
            </w:pPr>
            <w:r w:rsidRPr="008D45F8">
              <w:rPr>
                <w:rFonts w:ascii="Trebuchet MS" w:eastAsia="Times New Roman" w:hAnsi="Trebuchet MS" w:cs="Times New Roman"/>
                <w:b/>
                <w:bCs/>
                <w:color w:val="000000"/>
                <w:sz w:val="20"/>
                <w:szCs w:val="20"/>
              </w:rPr>
              <w:t>All Staff Time Costs</w:t>
            </w:r>
          </w:p>
        </w:tc>
        <w:tc>
          <w:tcPr>
            <w:tcW w:w="1324" w:type="dxa"/>
            <w:tcBorders>
              <w:top w:val="nil"/>
              <w:left w:val="nil"/>
              <w:bottom w:val="nil"/>
              <w:right w:val="nil"/>
            </w:tcBorders>
            <w:shd w:val="clear" w:color="auto" w:fill="auto"/>
            <w:noWrap/>
            <w:vAlign w:val="bottom"/>
            <w:hideMark/>
          </w:tcPr>
          <w:p w14:paraId="15AD1E6F" w14:textId="77777777" w:rsidR="008D45F8" w:rsidRPr="008D45F8" w:rsidRDefault="008D45F8" w:rsidP="008D45F8">
            <w:pPr>
              <w:spacing w:after="0" w:line="240" w:lineRule="auto"/>
              <w:rPr>
                <w:rFonts w:ascii="Trebuchet MS" w:eastAsia="Times New Roman" w:hAnsi="Trebuchet MS" w:cs="Times New Roman"/>
                <w:b/>
                <w:bCs/>
                <w:color w:val="000000"/>
                <w:sz w:val="20"/>
                <w:szCs w:val="20"/>
              </w:rPr>
            </w:pPr>
          </w:p>
        </w:tc>
      </w:tr>
      <w:tr w:rsidR="008D45F8" w:rsidRPr="008D45F8" w14:paraId="010B1A0A" w14:textId="77777777" w:rsidTr="008D45F8">
        <w:trPr>
          <w:trHeight w:val="888"/>
        </w:trPr>
        <w:tc>
          <w:tcPr>
            <w:tcW w:w="8544" w:type="dxa"/>
            <w:tcBorders>
              <w:top w:val="nil"/>
              <w:left w:val="nil"/>
              <w:bottom w:val="nil"/>
              <w:right w:val="nil"/>
            </w:tcBorders>
            <w:shd w:val="clear" w:color="auto" w:fill="auto"/>
            <w:vAlign w:val="center"/>
            <w:hideMark/>
          </w:tcPr>
          <w:p w14:paraId="09B1490A" w14:textId="77777777" w:rsidR="008D45F8" w:rsidRPr="008D45F8" w:rsidRDefault="008D45F8" w:rsidP="008D45F8">
            <w:pPr>
              <w:spacing w:after="0" w:line="240" w:lineRule="auto"/>
              <w:ind w:firstLineChars="300" w:firstLine="542"/>
              <w:rPr>
                <w:rFonts w:ascii="Trebuchet MS" w:eastAsia="Times New Roman" w:hAnsi="Trebuchet MS" w:cs="Times New Roman"/>
                <w:b/>
                <w:bCs/>
                <w:color w:val="000000"/>
                <w:sz w:val="18"/>
                <w:szCs w:val="18"/>
                <w:u w:val="single"/>
              </w:rPr>
            </w:pPr>
            <w:r w:rsidRPr="008D45F8">
              <w:rPr>
                <w:rFonts w:ascii="Trebuchet MS" w:eastAsia="Times New Roman" w:hAnsi="Trebuchet MS" w:cs="Times New Roman"/>
                <w:b/>
                <w:bCs/>
                <w:color w:val="000000"/>
                <w:sz w:val="18"/>
                <w:szCs w:val="18"/>
                <w:u w:val="single"/>
              </w:rPr>
              <w:t>Grant funds may not cover existing staff costs or replace existing staff funding. These funds are meant to be used for new staff, new hours, or new duties when existing duties are handed off to someone else.</w:t>
            </w:r>
          </w:p>
        </w:tc>
        <w:tc>
          <w:tcPr>
            <w:tcW w:w="1324" w:type="dxa"/>
            <w:tcBorders>
              <w:top w:val="nil"/>
              <w:left w:val="nil"/>
              <w:bottom w:val="nil"/>
              <w:right w:val="nil"/>
            </w:tcBorders>
            <w:shd w:val="clear" w:color="auto" w:fill="auto"/>
            <w:noWrap/>
            <w:vAlign w:val="bottom"/>
            <w:hideMark/>
          </w:tcPr>
          <w:p w14:paraId="714BB928" w14:textId="77777777" w:rsidR="008D45F8" w:rsidRPr="008D45F8" w:rsidRDefault="008D45F8" w:rsidP="008D45F8">
            <w:pPr>
              <w:spacing w:after="0" w:line="240" w:lineRule="auto"/>
              <w:ind w:firstLineChars="300" w:firstLine="542"/>
              <w:rPr>
                <w:rFonts w:ascii="Trebuchet MS" w:eastAsia="Times New Roman" w:hAnsi="Trebuchet MS" w:cs="Times New Roman"/>
                <w:b/>
                <w:bCs/>
                <w:color w:val="000000"/>
                <w:sz w:val="18"/>
                <w:szCs w:val="18"/>
                <w:u w:val="single"/>
              </w:rPr>
            </w:pPr>
          </w:p>
        </w:tc>
      </w:tr>
      <w:tr w:rsidR="008D45F8" w:rsidRPr="008D45F8" w14:paraId="2484B43A" w14:textId="77777777" w:rsidTr="008D45F8">
        <w:trPr>
          <w:trHeight w:val="733"/>
        </w:trPr>
        <w:tc>
          <w:tcPr>
            <w:tcW w:w="8544" w:type="dxa"/>
            <w:tcBorders>
              <w:top w:val="nil"/>
              <w:left w:val="nil"/>
              <w:bottom w:val="nil"/>
              <w:right w:val="nil"/>
            </w:tcBorders>
            <w:shd w:val="clear" w:color="auto" w:fill="auto"/>
            <w:vAlign w:val="bottom"/>
            <w:hideMark/>
          </w:tcPr>
          <w:p w14:paraId="21F29154"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r w:rsidRPr="008D45F8">
              <w:rPr>
                <w:rFonts w:ascii="Trebuchet MS" w:eastAsia="Times New Roman" w:hAnsi="Trebuchet MS" w:cs="Times New Roman"/>
                <w:i/>
                <w:iCs/>
                <w:color w:val="000000"/>
                <w:sz w:val="18"/>
                <w:szCs w:val="18"/>
              </w:rPr>
              <w:t>o   Example 1: A new position is created and these funds are used to pay for the new positions hours that are dedicated to food preparation, delivery, or service for CACFP Afterschool At-Risk and or SFSP meals and/or snacks is eligible.</w:t>
            </w:r>
          </w:p>
        </w:tc>
        <w:tc>
          <w:tcPr>
            <w:tcW w:w="1324" w:type="dxa"/>
            <w:tcBorders>
              <w:top w:val="nil"/>
              <w:left w:val="nil"/>
              <w:bottom w:val="nil"/>
              <w:right w:val="nil"/>
            </w:tcBorders>
            <w:shd w:val="clear" w:color="auto" w:fill="auto"/>
            <w:noWrap/>
            <w:vAlign w:val="bottom"/>
            <w:hideMark/>
          </w:tcPr>
          <w:p w14:paraId="71BE16FC"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p>
        </w:tc>
      </w:tr>
      <w:tr w:rsidR="008D45F8" w:rsidRPr="008D45F8" w14:paraId="077E1697" w14:textId="77777777" w:rsidTr="008D45F8">
        <w:trPr>
          <w:trHeight w:val="974"/>
        </w:trPr>
        <w:tc>
          <w:tcPr>
            <w:tcW w:w="8544" w:type="dxa"/>
            <w:tcBorders>
              <w:top w:val="nil"/>
              <w:left w:val="nil"/>
              <w:bottom w:val="nil"/>
              <w:right w:val="nil"/>
            </w:tcBorders>
            <w:shd w:val="clear" w:color="auto" w:fill="auto"/>
            <w:vAlign w:val="bottom"/>
            <w:hideMark/>
          </w:tcPr>
          <w:p w14:paraId="1202DBE1"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r w:rsidRPr="008D45F8">
              <w:rPr>
                <w:rFonts w:ascii="Trebuchet MS" w:eastAsia="Times New Roman" w:hAnsi="Trebuchet MS" w:cs="Times New Roman"/>
                <w:i/>
                <w:iCs/>
                <w:color w:val="000000"/>
                <w:sz w:val="18"/>
                <w:szCs w:val="18"/>
              </w:rPr>
              <w:t xml:space="preserve">o   Example 2: An existing employee is 0.25 </w:t>
            </w:r>
            <w:proofErr w:type="gramStart"/>
            <w:r w:rsidRPr="008D45F8">
              <w:rPr>
                <w:rFonts w:ascii="Trebuchet MS" w:eastAsia="Times New Roman" w:hAnsi="Trebuchet MS" w:cs="Times New Roman"/>
                <w:i/>
                <w:iCs/>
                <w:color w:val="000000"/>
                <w:sz w:val="18"/>
                <w:szCs w:val="18"/>
              </w:rPr>
              <w:t>FTE</w:t>
            </w:r>
            <w:proofErr w:type="gramEnd"/>
            <w:r w:rsidRPr="008D45F8">
              <w:rPr>
                <w:rFonts w:ascii="Trebuchet MS" w:eastAsia="Times New Roman" w:hAnsi="Trebuchet MS" w:cs="Times New Roman"/>
                <w:i/>
                <w:iCs/>
                <w:color w:val="000000"/>
                <w:sz w:val="18"/>
                <w:szCs w:val="18"/>
              </w:rPr>
              <w:t xml:space="preserve"> and these funds are used to cover an additional 0.25 FTE leading to this employee now being a 0.5 FTE employee. The 0.25 FTE added in order to do food preparation, delivery, or service for CACFP Afterschool At-Risk and or SFSP meals and/or snacks is eligible.</w:t>
            </w:r>
          </w:p>
        </w:tc>
        <w:tc>
          <w:tcPr>
            <w:tcW w:w="1324" w:type="dxa"/>
            <w:tcBorders>
              <w:top w:val="nil"/>
              <w:left w:val="nil"/>
              <w:bottom w:val="nil"/>
              <w:right w:val="nil"/>
            </w:tcBorders>
            <w:shd w:val="clear" w:color="auto" w:fill="auto"/>
            <w:noWrap/>
            <w:vAlign w:val="bottom"/>
            <w:hideMark/>
          </w:tcPr>
          <w:p w14:paraId="12BA132B"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p>
        </w:tc>
      </w:tr>
      <w:tr w:rsidR="008D45F8" w:rsidRPr="008D45F8" w14:paraId="676DDC79" w14:textId="77777777" w:rsidTr="008D45F8">
        <w:trPr>
          <w:trHeight w:val="984"/>
        </w:trPr>
        <w:tc>
          <w:tcPr>
            <w:tcW w:w="8544" w:type="dxa"/>
            <w:tcBorders>
              <w:top w:val="nil"/>
              <w:left w:val="nil"/>
              <w:bottom w:val="nil"/>
              <w:right w:val="nil"/>
            </w:tcBorders>
            <w:shd w:val="clear" w:color="auto" w:fill="auto"/>
            <w:vAlign w:val="bottom"/>
            <w:hideMark/>
          </w:tcPr>
          <w:p w14:paraId="0B355AA7"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r w:rsidRPr="008D45F8">
              <w:rPr>
                <w:rFonts w:ascii="Trebuchet MS" w:eastAsia="Times New Roman" w:hAnsi="Trebuchet MS" w:cs="Times New Roman"/>
                <w:i/>
                <w:iCs/>
                <w:color w:val="000000"/>
                <w:sz w:val="18"/>
                <w:szCs w:val="18"/>
              </w:rPr>
              <w:t xml:space="preserve">o   Example 3: An existing employee (employee A) is 1.0 FTE. Duties, resulting in 0.10 FTE, are being transferred to a different employee (employee B). Employee A is then going to add back 0.10 FTE to do food preparation, delivery, or service for CACFP Afterschool At-Risk and or SFSP meals and/or snacks, this is eligible. </w:t>
            </w:r>
          </w:p>
        </w:tc>
        <w:tc>
          <w:tcPr>
            <w:tcW w:w="1324" w:type="dxa"/>
            <w:tcBorders>
              <w:top w:val="nil"/>
              <w:left w:val="nil"/>
              <w:bottom w:val="nil"/>
              <w:right w:val="nil"/>
            </w:tcBorders>
            <w:shd w:val="clear" w:color="auto" w:fill="auto"/>
            <w:noWrap/>
            <w:vAlign w:val="bottom"/>
            <w:hideMark/>
          </w:tcPr>
          <w:p w14:paraId="18E36A33"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p>
        </w:tc>
      </w:tr>
      <w:tr w:rsidR="008D45F8" w:rsidRPr="008D45F8" w14:paraId="554C9C76" w14:textId="77777777" w:rsidTr="008D45F8">
        <w:trPr>
          <w:trHeight w:val="863"/>
        </w:trPr>
        <w:tc>
          <w:tcPr>
            <w:tcW w:w="8544" w:type="dxa"/>
            <w:tcBorders>
              <w:top w:val="nil"/>
              <w:left w:val="nil"/>
              <w:bottom w:val="nil"/>
              <w:right w:val="nil"/>
            </w:tcBorders>
            <w:shd w:val="clear" w:color="auto" w:fill="auto"/>
            <w:vAlign w:val="center"/>
            <w:hideMark/>
          </w:tcPr>
          <w:p w14:paraId="7CB005C4"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r w:rsidRPr="008D45F8">
              <w:rPr>
                <w:rFonts w:ascii="Trebuchet MS" w:eastAsia="Times New Roman" w:hAnsi="Trebuchet MS" w:cs="Times New Roman"/>
                <w:i/>
                <w:iCs/>
                <w:color w:val="000000"/>
                <w:sz w:val="18"/>
                <w:szCs w:val="18"/>
              </w:rPr>
              <w:t xml:space="preserve">o   Example 4: An employee is 1.0 FTE with current duties, no duties are being eliminated but food preparation, delivery, or service responsibilities are being added, </w:t>
            </w:r>
            <w:r w:rsidRPr="008D45F8">
              <w:rPr>
                <w:rFonts w:ascii="Trebuchet MS" w:eastAsia="Times New Roman" w:hAnsi="Trebuchet MS" w:cs="Times New Roman"/>
                <w:b/>
                <w:bCs/>
                <w:i/>
                <w:iCs/>
                <w:color w:val="000000"/>
                <w:sz w:val="18"/>
                <w:szCs w:val="18"/>
                <w:u w:val="single"/>
              </w:rPr>
              <w:t>this is not eligible</w:t>
            </w:r>
            <w:r w:rsidRPr="008D45F8">
              <w:rPr>
                <w:rFonts w:ascii="Trebuchet MS" w:eastAsia="Times New Roman" w:hAnsi="Trebuchet MS" w:cs="Times New Roman"/>
                <w:i/>
                <w:iCs/>
                <w:color w:val="000000"/>
                <w:sz w:val="18"/>
                <w:szCs w:val="18"/>
              </w:rPr>
              <w:t>.</w:t>
            </w:r>
          </w:p>
        </w:tc>
        <w:tc>
          <w:tcPr>
            <w:tcW w:w="1324" w:type="dxa"/>
            <w:tcBorders>
              <w:top w:val="nil"/>
              <w:left w:val="nil"/>
              <w:bottom w:val="nil"/>
              <w:right w:val="nil"/>
            </w:tcBorders>
            <w:shd w:val="clear" w:color="auto" w:fill="auto"/>
            <w:noWrap/>
            <w:vAlign w:val="bottom"/>
            <w:hideMark/>
          </w:tcPr>
          <w:p w14:paraId="07DA1B0E" w14:textId="77777777" w:rsidR="008D45F8" w:rsidRPr="008D45F8" w:rsidRDefault="008D45F8" w:rsidP="008D45F8">
            <w:pPr>
              <w:spacing w:after="0" w:line="240" w:lineRule="auto"/>
              <w:ind w:firstLineChars="600" w:firstLine="1080"/>
              <w:rPr>
                <w:rFonts w:ascii="Trebuchet MS" w:eastAsia="Times New Roman" w:hAnsi="Trebuchet MS" w:cs="Times New Roman"/>
                <w:i/>
                <w:iCs/>
                <w:color w:val="000000"/>
                <w:sz w:val="18"/>
                <w:szCs w:val="18"/>
              </w:rPr>
            </w:pPr>
          </w:p>
        </w:tc>
      </w:tr>
    </w:tbl>
    <w:p w14:paraId="771B336E" w14:textId="77777777" w:rsidR="001B369E" w:rsidRDefault="001B369E"/>
    <w:sectPr w:rsidR="001B3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F8"/>
    <w:rsid w:val="001B369E"/>
    <w:rsid w:val="003E2F6E"/>
    <w:rsid w:val="008D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3790"/>
  <w15:chartTrackingRefBased/>
  <w15:docId w15:val="{8F5D1C24-71E5-4667-95CF-C10D1C88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8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2024-03-01T18:46:26+00:00</Remediation_x0020_Date>
  </documentManagement>
</p:properties>
</file>

<file path=customXml/itemProps1.xml><?xml version="1.0" encoding="utf-8"?>
<ds:datastoreItem xmlns:ds="http://schemas.openxmlformats.org/officeDocument/2006/customXml" ds:itemID="{E1B9A610-7D68-4FF2-B962-D38F20DA28FC}"/>
</file>

<file path=customXml/itemProps2.xml><?xml version="1.0" encoding="utf-8"?>
<ds:datastoreItem xmlns:ds="http://schemas.openxmlformats.org/officeDocument/2006/customXml" ds:itemID="{E3FB1446-86AF-4FF6-80D7-2D63DCE451BD}"/>
</file>

<file path=customXml/itemProps3.xml><?xml version="1.0" encoding="utf-8"?>
<ds:datastoreItem xmlns:ds="http://schemas.openxmlformats.org/officeDocument/2006/customXml" ds:itemID="{BBFFC2DD-6662-42A8-8DC2-BC648EC34D43}"/>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SKREEN Kaitlin * ODE</dc:creator>
  <cp:keywords/>
  <dc:description/>
  <cp:lastModifiedBy>BROCK Cathy * ODE</cp:lastModifiedBy>
  <cp:revision>2</cp:revision>
  <dcterms:created xsi:type="dcterms:W3CDTF">2024-03-01T18:12:00Z</dcterms:created>
  <dcterms:modified xsi:type="dcterms:W3CDTF">2024-03-01T18:12:00Z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2024-03-01T18:12:39Z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d18d54c2-417d-4c57-aba2-135846d3959b</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