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AE6F" w14:textId="77777777" w:rsidR="00EB3D64" w:rsidRDefault="00EB3D64" w:rsidP="00AD3172">
      <w:pPr>
        <w:pStyle w:val="Title"/>
        <w:jc w:val="center"/>
        <w:rPr>
          <w:rFonts w:asciiTheme="minorHAnsi" w:hAnsiTheme="minorHAnsi" w:cstheme="minorHAnsi"/>
          <w:sz w:val="32"/>
          <w:szCs w:val="32"/>
        </w:rPr>
      </w:pPr>
      <w:r>
        <w:rPr>
          <w:rFonts w:asciiTheme="minorHAnsi" w:hAnsiTheme="minorHAnsi" w:cstheme="minorHAnsi"/>
          <w:sz w:val="32"/>
          <w:szCs w:val="32"/>
        </w:rPr>
        <w:t>Oregon Department of Education Child Nutrition Programs (ODE CNP)</w:t>
      </w:r>
    </w:p>
    <w:p w14:paraId="43B2D9F7" w14:textId="439815C3" w:rsidR="00AD3172" w:rsidRPr="00C30443" w:rsidRDefault="00AD3172" w:rsidP="00AD3172">
      <w:pPr>
        <w:pStyle w:val="Title"/>
        <w:jc w:val="center"/>
        <w:rPr>
          <w:rFonts w:asciiTheme="minorHAnsi" w:hAnsiTheme="minorHAnsi" w:cstheme="minorHAnsi"/>
          <w:sz w:val="32"/>
          <w:szCs w:val="32"/>
        </w:rPr>
      </w:pPr>
      <w:r w:rsidRPr="00C30443">
        <w:rPr>
          <w:rFonts w:asciiTheme="minorHAnsi" w:hAnsiTheme="minorHAnsi" w:cstheme="minorHAnsi"/>
          <w:sz w:val="32"/>
          <w:szCs w:val="32"/>
        </w:rPr>
        <w:t>Rural Non-Congregate Meals Guidance and Q&amp;A for Summer 2023</w:t>
      </w:r>
    </w:p>
    <w:p w14:paraId="3262F475" w14:textId="1948F14A" w:rsidR="00744B6B" w:rsidRPr="00C30443" w:rsidRDefault="00744B6B" w:rsidP="00744B6B">
      <w:pPr>
        <w:rPr>
          <w:rFonts w:cstheme="minorHAnsi"/>
        </w:rPr>
      </w:pPr>
    </w:p>
    <w:p w14:paraId="1E5D73FC" w14:textId="3B4FD031" w:rsidR="00744B6B" w:rsidRPr="00727116" w:rsidRDefault="00744B6B" w:rsidP="00744B6B">
      <w:pPr>
        <w:rPr>
          <w:rFonts w:cstheme="minorHAnsi"/>
          <w:b/>
          <w:sz w:val="24"/>
          <w:szCs w:val="24"/>
          <w:u w:val="single"/>
        </w:rPr>
      </w:pPr>
      <w:r w:rsidRPr="00727116">
        <w:rPr>
          <w:rFonts w:cstheme="minorHAnsi"/>
          <w:b/>
          <w:sz w:val="24"/>
          <w:szCs w:val="24"/>
          <w:u w:val="single"/>
        </w:rPr>
        <w:t>Non-Congregate Implementation</w:t>
      </w:r>
      <w:r w:rsidR="00EF1D8C">
        <w:rPr>
          <w:rFonts w:cstheme="minorHAnsi"/>
          <w:b/>
          <w:sz w:val="24"/>
          <w:szCs w:val="24"/>
          <w:u w:val="single"/>
        </w:rPr>
        <w:t>:</w:t>
      </w:r>
    </w:p>
    <w:p w14:paraId="2D93536B" w14:textId="1BD28C86" w:rsidR="00744B6B" w:rsidRPr="00EF1D8C" w:rsidRDefault="00CE1442" w:rsidP="00744B6B">
      <w:pPr>
        <w:pStyle w:val="ListParagraph"/>
        <w:numPr>
          <w:ilvl w:val="0"/>
          <w:numId w:val="7"/>
        </w:numPr>
        <w:rPr>
          <w:rFonts w:asciiTheme="minorHAnsi" w:hAnsiTheme="minorHAnsi" w:cstheme="minorHAnsi"/>
          <w:b/>
        </w:rPr>
      </w:pPr>
      <w:r w:rsidRPr="00727116">
        <w:rPr>
          <w:rFonts w:asciiTheme="minorHAnsi" w:hAnsiTheme="minorHAnsi" w:cstheme="minorHAnsi"/>
          <w:b/>
        </w:rPr>
        <w:t>In 2020 and</w:t>
      </w:r>
      <w:r w:rsidR="00744B6B" w:rsidRPr="00727116">
        <w:rPr>
          <w:rFonts w:asciiTheme="minorHAnsi" w:hAnsiTheme="minorHAnsi" w:cstheme="minorHAnsi"/>
          <w:b/>
        </w:rPr>
        <w:t xml:space="preserve"> 2021 I operated non-congregate meal service.  How is Summer 2023 </w:t>
      </w:r>
      <w:bookmarkStart w:id="0" w:name="_GoBack"/>
      <w:bookmarkEnd w:id="0"/>
      <w:r w:rsidR="00744B6B" w:rsidRPr="00727116">
        <w:rPr>
          <w:rFonts w:asciiTheme="minorHAnsi" w:hAnsiTheme="minorHAnsi" w:cstheme="minorHAnsi"/>
          <w:b/>
        </w:rPr>
        <w:t xml:space="preserve">different? </w:t>
      </w:r>
    </w:p>
    <w:p w14:paraId="156192AD" w14:textId="3023FE52" w:rsidR="00744B6B" w:rsidRPr="00727116" w:rsidRDefault="00CE1442" w:rsidP="00727116">
      <w:pPr>
        <w:ind w:left="720"/>
        <w:rPr>
          <w:rFonts w:cstheme="minorHAnsi"/>
          <w:b/>
        </w:rPr>
      </w:pPr>
      <w:r w:rsidRPr="00EF1D8C">
        <w:rPr>
          <w:rFonts w:cstheme="minorHAnsi"/>
          <w:sz w:val="24"/>
          <w:szCs w:val="24"/>
        </w:rPr>
        <w:t xml:space="preserve">Non-Congregate </w:t>
      </w:r>
      <w:r w:rsidR="00FE7552" w:rsidRPr="00EF1D8C">
        <w:rPr>
          <w:rFonts w:cstheme="minorHAnsi"/>
          <w:sz w:val="24"/>
          <w:szCs w:val="24"/>
        </w:rPr>
        <w:t xml:space="preserve">meals </w:t>
      </w:r>
      <w:r w:rsidRPr="00EF1D8C">
        <w:rPr>
          <w:rFonts w:cstheme="minorHAnsi"/>
          <w:sz w:val="24"/>
          <w:szCs w:val="24"/>
        </w:rPr>
        <w:t xml:space="preserve">during the pandemic </w:t>
      </w:r>
      <w:r w:rsidR="00FE7552" w:rsidRPr="00EF1D8C">
        <w:rPr>
          <w:rFonts w:cstheme="minorHAnsi"/>
          <w:sz w:val="24"/>
          <w:szCs w:val="24"/>
        </w:rPr>
        <w:t xml:space="preserve">and </w:t>
      </w:r>
      <w:r w:rsidRPr="00EF1D8C">
        <w:rPr>
          <w:rFonts w:cstheme="minorHAnsi"/>
          <w:sz w:val="24"/>
          <w:szCs w:val="24"/>
        </w:rPr>
        <w:t>non-congregate</w:t>
      </w:r>
      <w:r w:rsidR="00FE7552" w:rsidRPr="00EF1D8C">
        <w:rPr>
          <w:rFonts w:cstheme="minorHAnsi"/>
          <w:sz w:val="24"/>
          <w:szCs w:val="24"/>
        </w:rPr>
        <w:t xml:space="preserve"> meals</w:t>
      </w:r>
      <w:r w:rsidRPr="00EF1D8C">
        <w:rPr>
          <w:rFonts w:cstheme="minorHAnsi"/>
          <w:sz w:val="24"/>
          <w:szCs w:val="24"/>
        </w:rPr>
        <w:t xml:space="preserve"> in Summer 2023, are different.  In 2020 – 2022, the </w:t>
      </w:r>
      <w:r w:rsidR="00EB3D64" w:rsidRPr="00EF1D8C">
        <w:rPr>
          <w:rFonts w:cstheme="minorHAnsi"/>
          <w:sz w:val="24"/>
          <w:szCs w:val="24"/>
        </w:rPr>
        <w:t xml:space="preserve">purpose </w:t>
      </w:r>
      <w:r w:rsidRPr="00727116">
        <w:rPr>
          <w:rFonts w:cstheme="minorHAnsi"/>
          <w:sz w:val="24"/>
          <w:szCs w:val="24"/>
        </w:rPr>
        <w:t>of the non-congregate waivers, were to ensure safe access to meals</w:t>
      </w:r>
      <w:r w:rsidR="00A3242D" w:rsidRPr="00727116">
        <w:rPr>
          <w:rFonts w:cstheme="minorHAnsi"/>
          <w:sz w:val="24"/>
          <w:szCs w:val="24"/>
        </w:rPr>
        <w:t xml:space="preserve"> across the state</w:t>
      </w:r>
      <w:r w:rsidRPr="00727116">
        <w:rPr>
          <w:rFonts w:cstheme="minorHAnsi"/>
          <w:sz w:val="24"/>
          <w:szCs w:val="24"/>
        </w:rPr>
        <w:t xml:space="preserve">.  In Summer 2023, </w:t>
      </w:r>
      <w:r w:rsidR="00FE7552" w:rsidRPr="00727116">
        <w:rPr>
          <w:rFonts w:cstheme="minorHAnsi"/>
          <w:sz w:val="24"/>
          <w:szCs w:val="24"/>
        </w:rPr>
        <w:t xml:space="preserve">the </w:t>
      </w:r>
      <w:r w:rsidR="00A3242D" w:rsidRPr="00727116">
        <w:rPr>
          <w:rFonts w:cstheme="minorHAnsi"/>
          <w:sz w:val="24"/>
          <w:szCs w:val="24"/>
        </w:rPr>
        <w:t>n</w:t>
      </w:r>
      <w:r w:rsidRPr="00727116">
        <w:rPr>
          <w:rFonts w:cstheme="minorHAnsi"/>
          <w:sz w:val="24"/>
          <w:szCs w:val="24"/>
        </w:rPr>
        <w:t>on-</w:t>
      </w:r>
      <w:r w:rsidR="00A3242D" w:rsidRPr="00727116">
        <w:rPr>
          <w:rFonts w:cstheme="minorHAnsi"/>
          <w:sz w:val="24"/>
          <w:szCs w:val="24"/>
        </w:rPr>
        <w:t>c</w:t>
      </w:r>
      <w:r w:rsidRPr="00727116">
        <w:rPr>
          <w:rFonts w:cstheme="minorHAnsi"/>
          <w:sz w:val="24"/>
          <w:szCs w:val="24"/>
        </w:rPr>
        <w:t>ongregate</w:t>
      </w:r>
      <w:r w:rsidR="00FE7552" w:rsidRPr="00727116">
        <w:rPr>
          <w:rFonts w:cstheme="minorHAnsi"/>
          <w:sz w:val="24"/>
          <w:szCs w:val="24"/>
        </w:rPr>
        <w:t xml:space="preserve"> option</w:t>
      </w:r>
      <w:r w:rsidRPr="00727116">
        <w:rPr>
          <w:rFonts w:cstheme="minorHAnsi"/>
          <w:sz w:val="24"/>
          <w:szCs w:val="24"/>
        </w:rPr>
        <w:t xml:space="preserve"> is not </w:t>
      </w:r>
      <w:r w:rsidR="00FE7552" w:rsidRPr="00727116">
        <w:rPr>
          <w:rFonts w:cstheme="minorHAnsi"/>
          <w:sz w:val="24"/>
          <w:szCs w:val="24"/>
        </w:rPr>
        <w:t xml:space="preserve">intended </w:t>
      </w:r>
      <w:r w:rsidRPr="00727116">
        <w:rPr>
          <w:rFonts w:cstheme="minorHAnsi"/>
          <w:sz w:val="24"/>
          <w:szCs w:val="24"/>
        </w:rPr>
        <w:t>to replace congregate meal service</w:t>
      </w:r>
      <w:r w:rsidR="00E63C6F" w:rsidRPr="00727116">
        <w:rPr>
          <w:rFonts w:cstheme="minorHAnsi"/>
          <w:sz w:val="24"/>
          <w:szCs w:val="24"/>
        </w:rPr>
        <w:t xml:space="preserve"> sites</w:t>
      </w:r>
      <w:r w:rsidR="00A3242D" w:rsidRPr="00727116">
        <w:rPr>
          <w:rFonts w:cstheme="minorHAnsi"/>
          <w:sz w:val="24"/>
          <w:szCs w:val="24"/>
        </w:rPr>
        <w:t xml:space="preserve"> and is limited to rural areas. The purpose of non-congregate meals for Summer 2023  is to</w:t>
      </w:r>
      <w:r w:rsidRPr="00727116">
        <w:rPr>
          <w:rFonts w:cstheme="minorHAnsi"/>
          <w:sz w:val="24"/>
          <w:szCs w:val="24"/>
        </w:rPr>
        <w:t xml:space="preserve"> </w:t>
      </w:r>
      <w:r w:rsidRPr="00727116">
        <w:rPr>
          <w:rFonts w:cstheme="minorHAnsi"/>
          <w:sz w:val="24"/>
          <w:szCs w:val="24"/>
        </w:rPr>
        <w:t xml:space="preserve">ensure participants in areas that </w:t>
      </w:r>
      <w:r w:rsidR="00FE7552" w:rsidRPr="00727116">
        <w:rPr>
          <w:rFonts w:cstheme="minorHAnsi"/>
          <w:sz w:val="24"/>
          <w:szCs w:val="24"/>
        </w:rPr>
        <w:t>do not have access to a congregate site, are able to access summer meals</w:t>
      </w:r>
      <w:r w:rsidRPr="00727116">
        <w:rPr>
          <w:rFonts w:cstheme="minorHAnsi"/>
          <w:sz w:val="24"/>
          <w:szCs w:val="24"/>
        </w:rPr>
        <w:t xml:space="preserve">. </w:t>
      </w:r>
      <w:r w:rsidR="00E63C6F" w:rsidRPr="00727116">
        <w:rPr>
          <w:rFonts w:cstheme="minorHAnsi"/>
          <w:sz w:val="24"/>
          <w:szCs w:val="24"/>
        </w:rPr>
        <w:t xml:space="preserve"> This guidance is only specific to Summer 2023, as interim final regulations for 2024 and beyond are expected in December 2023. On the last page of this guidance we have created a comparison chart to compare the difference between 2020 – 2022 Non-Congregate Operations vs. Summer 2023 Non-Congregate Operations.</w:t>
      </w:r>
    </w:p>
    <w:p w14:paraId="7E40DF81" w14:textId="614E5FB7" w:rsidR="002C555B" w:rsidRPr="00727116" w:rsidRDefault="00560AB0" w:rsidP="00EF0C20">
      <w:pPr>
        <w:rPr>
          <w:rFonts w:cstheme="minorHAnsi"/>
          <w:b/>
          <w:sz w:val="24"/>
          <w:szCs w:val="24"/>
          <w:u w:val="single"/>
        </w:rPr>
      </w:pPr>
      <w:r w:rsidRPr="00727116">
        <w:rPr>
          <w:rFonts w:cstheme="minorHAnsi"/>
          <w:b/>
          <w:sz w:val="24"/>
          <w:szCs w:val="24"/>
          <w:u w:val="single"/>
        </w:rPr>
        <w:t>Site Eligibility</w:t>
      </w:r>
      <w:r w:rsidR="002C555B" w:rsidRPr="00727116">
        <w:rPr>
          <w:rFonts w:cstheme="minorHAnsi"/>
          <w:b/>
          <w:sz w:val="24"/>
          <w:szCs w:val="24"/>
          <w:u w:val="single"/>
        </w:rPr>
        <w:t>:</w:t>
      </w:r>
    </w:p>
    <w:p w14:paraId="381B1A69" w14:textId="6D41C265" w:rsidR="002C555B" w:rsidRPr="00EB631A" w:rsidRDefault="002C555B" w:rsidP="00744B6B">
      <w:pPr>
        <w:pStyle w:val="ListParagraph"/>
        <w:numPr>
          <w:ilvl w:val="0"/>
          <w:numId w:val="7"/>
        </w:numPr>
        <w:rPr>
          <w:rFonts w:asciiTheme="minorHAnsi" w:hAnsiTheme="minorHAnsi" w:cstheme="minorHAnsi"/>
          <w:b/>
        </w:rPr>
      </w:pPr>
      <w:r w:rsidRPr="00EB631A">
        <w:rPr>
          <w:rFonts w:asciiTheme="minorHAnsi" w:hAnsiTheme="minorHAnsi" w:cstheme="minorHAnsi"/>
          <w:b/>
        </w:rPr>
        <w:t>Can an SFSP/SSO site located in an urban area</w:t>
      </w:r>
      <w:r w:rsidR="00520439" w:rsidRPr="00EB631A">
        <w:rPr>
          <w:rFonts w:asciiTheme="minorHAnsi" w:hAnsiTheme="minorHAnsi" w:cstheme="minorHAnsi"/>
          <w:b/>
        </w:rPr>
        <w:t xml:space="preserve"> serve non-congregate meals in s</w:t>
      </w:r>
      <w:r w:rsidRPr="00EB631A">
        <w:rPr>
          <w:rFonts w:asciiTheme="minorHAnsi" w:hAnsiTheme="minorHAnsi" w:cstheme="minorHAnsi"/>
          <w:b/>
        </w:rPr>
        <w:t>ummer 2023?</w:t>
      </w:r>
    </w:p>
    <w:p w14:paraId="0D564569" w14:textId="085268BD" w:rsidR="00055CD5" w:rsidRPr="00EF1D8C" w:rsidRDefault="002C555B" w:rsidP="00EF1D8C">
      <w:pPr>
        <w:ind w:left="720"/>
        <w:rPr>
          <w:rFonts w:cstheme="minorHAnsi"/>
        </w:rPr>
      </w:pPr>
      <w:r w:rsidRPr="00EF1D8C">
        <w:rPr>
          <w:rFonts w:cstheme="minorHAnsi"/>
        </w:rPr>
        <w:t xml:space="preserve">No. Non-congregate meal service is only allowable in eligible rural areas. </w:t>
      </w:r>
    </w:p>
    <w:p w14:paraId="424CA9CA" w14:textId="41B176CE" w:rsidR="00055CD5" w:rsidRPr="00EB631A" w:rsidRDefault="00055CD5" w:rsidP="00744B6B">
      <w:pPr>
        <w:pStyle w:val="ListParagraph"/>
        <w:numPr>
          <w:ilvl w:val="0"/>
          <w:numId w:val="7"/>
        </w:numPr>
        <w:rPr>
          <w:rFonts w:asciiTheme="minorHAnsi" w:hAnsiTheme="minorHAnsi" w:cstheme="minorHAnsi"/>
          <w:b/>
        </w:rPr>
      </w:pPr>
      <w:r w:rsidRPr="00EB631A">
        <w:rPr>
          <w:rFonts w:asciiTheme="minorHAnsi" w:hAnsiTheme="minorHAnsi" w:cstheme="minorHAnsi"/>
          <w:b/>
        </w:rPr>
        <w:t>How is a site determined to be in an eligible rural area?</w:t>
      </w:r>
    </w:p>
    <w:p w14:paraId="1882A0CF" w14:textId="65C22AC8" w:rsidR="00560AB0" w:rsidRPr="00EF1D8C" w:rsidRDefault="00560AB0" w:rsidP="00EF1D8C">
      <w:pPr>
        <w:ind w:left="720"/>
        <w:rPr>
          <w:rFonts w:cstheme="minorHAnsi"/>
          <w:b/>
          <w:sz w:val="24"/>
          <w:szCs w:val="24"/>
        </w:rPr>
      </w:pPr>
      <w:r w:rsidRPr="00EF1D8C">
        <w:rPr>
          <w:rFonts w:cstheme="minorHAnsi"/>
          <w:sz w:val="24"/>
          <w:szCs w:val="24"/>
        </w:rPr>
        <w:t>A</w:t>
      </w:r>
      <w:r w:rsidR="00055CD5" w:rsidRPr="00EF1D8C">
        <w:rPr>
          <w:rFonts w:cstheme="minorHAnsi"/>
          <w:sz w:val="24"/>
          <w:szCs w:val="24"/>
        </w:rPr>
        <w:t xml:space="preserve"> site must be identified as being in a rural area using either the </w:t>
      </w:r>
      <w:hyperlink r:id="rId8" w:history="1">
        <w:r w:rsidR="00055CD5" w:rsidRPr="00EF1D8C">
          <w:rPr>
            <w:rStyle w:val="Hyperlink"/>
            <w:rFonts w:cstheme="minorHAnsi"/>
            <w:sz w:val="24"/>
            <w:szCs w:val="24"/>
          </w:rPr>
          <w:t>Rural Designation Map</w:t>
        </w:r>
      </w:hyperlink>
      <w:r w:rsidR="00055CD5" w:rsidRPr="00EF1D8C">
        <w:rPr>
          <w:rFonts w:cstheme="minorHAnsi"/>
          <w:sz w:val="24"/>
          <w:szCs w:val="24"/>
        </w:rPr>
        <w:t xml:space="preserve"> or the </w:t>
      </w:r>
      <w:hyperlink r:id="rId9" w:history="1">
        <w:r w:rsidR="00055CD5" w:rsidRPr="00EF1D8C">
          <w:rPr>
            <w:rStyle w:val="Hyperlink"/>
            <w:rFonts w:cstheme="minorHAnsi"/>
            <w:sz w:val="24"/>
            <w:szCs w:val="24"/>
          </w:rPr>
          <w:t>Rural Development Tool</w:t>
        </w:r>
      </w:hyperlink>
      <w:r w:rsidR="00055CD5" w:rsidRPr="00EF1D8C">
        <w:rPr>
          <w:rFonts w:cstheme="minorHAnsi"/>
          <w:sz w:val="24"/>
          <w:szCs w:val="24"/>
        </w:rPr>
        <w:t xml:space="preserve">. </w:t>
      </w:r>
      <w:r w:rsidRPr="00EF1D8C">
        <w:rPr>
          <w:rFonts w:cstheme="minorHAnsi"/>
          <w:sz w:val="24"/>
          <w:szCs w:val="24"/>
        </w:rPr>
        <w:t xml:space="preserve">A site located in a rural area must also meet area eligibility or participant eligibility requirements based on the type of site operated. </w:t>
      </w:r>
    </w:p>
    <w:p w14:paraId="6CAC6AFC" w14:textId="34B9D3BA" w:rsidR="00560AB0" w:rsidRPr="00EB631A" w:rsidRDefault="00560AB0" w:rsidP="00744B6B">
      <w:pPr>
        <w:pStyle w:val="ListParagraph"/>
        <w:numPr>
          <w:ilvl w:val="0"/>
          <w:numId w:val="7"/>
        </w:numPr>
        <w:rPr>
          <w:rFonts w:asciiTheme="minorHAnsi" w:hAnsiTheme="minorHAnsi" w:cstheme="minorHAnsi"/>
          <w:b/>
        </w:rPr>
      </w:pPr>
      <w:r w:rsidRPr="00EB631A">
        <w:rPr>
          <w:rFonts w:asciiTheme="minorHAnsi" w:hAnsiTheme="minorHAnsi" w:cstheme="minorHAnsi"/>
          <w:b/>
        </w:rPr>
        <w:t xml:space="preserve">Where </w:t>
      </w:r>
      <w:r w:rsidR="00D41C65" w:rsidRPr="00EB631A">
        <w:rPr>
          <w:rFonts w:asciiTheme="minorHAnsi" w:hAnsiTheme="minorHAnsi" w:cstheme="minorHAnsi"/>
          <w:b/>
        </w:rPr>
        <w:t>is</w:t>
      </w:r>
      <w:r w:rsidRPr="00EB631A">
        <w:rPr>
          <w:rFonts w:asciiTheme="minorHAnsi" w:hAnsiTheme="minorHAnsi" w:cstheme="minorHAnsi"/>
          <w:b/>
        </w:rPr>
        <w:t xml:space="preserve"> the current area eligibility data </w:t>
      </w:r>
      <w:r w:rsidR="00D41C65" w:rsidRPr="00EB631A">
        <w:rPr>
          <w:rFonts w:asciiTheme="minorHAnsi" w:hAnsiTheme="minorHAnsi" w:cstheme="minorHAnsi"/>
          <w:b/>
        </w:rPr>
        <w:t>located</w:t>
      </w:r>
      <w:r w:rsidRPr="00EB631A">
        <w:rPr>
          <w:rFonts w:asciiTheme="minorHAnsi" w:hAnsiTheme="minorHAnsi" w:cstheme="minorHAnsi"/>
          <w:b/>
        </w:rPr>
        <w:t>?</w:t>
      </w:r>
    </w:p>
    <w:p w14:paraId="062087F3" w14:textId="77777777" w:rsidR="00EF1D8C" w:rsidRPr="00EF1D8C" w:rsidRDefault="00560AB0" w:rsidP="00EF1D8C">
      <w:pPr>
        <w:ind w:left="720"/>
        <w:rPr>
          <w:rFonts w:cstheme="minorHAnsi"/>
          <w:b/>
          <w:sz w:val="24"/>
          <w:szCs w:val="24"/>
        </w:rPr>
      </w:pPr>
      <w:r w:rsidRPr="00EF1D8C">
        <w:rPr>
          <w:rFonts w:cstheme="minorHAnsi"/>
          <w:sz w:val="24"/>
          <w:szCs w:val="24"/>
        </w:rPr>
        <w:t>Area eligibility data is available in several formats</w:t>
      </w:r>
      <w:r w:rsidR="00D41C65" w:rsidRPr="00EF1D8C">
        <w:rPr>
          <w:rFonts w:cstheme="minorHAnsi"/>
          <w:sz w:val="24"/>
          <w:szCs w:val="24"/>
        </w:rPr>
        <w:t xml:space="preserve"> under the Determining Program Eligibility section of the </w:t>
      </w:r>
      <w:hyperlink r:id="rId10" w:history="1">
        <w:r w:rsidR="00D41C65" w:rsidRPr="00EF1D8C">
          <w:rPr>
            <w:rStyle w:val="Hyperlink"/>
            <w:rFonts w:cstheme="minorHAnsi"/>
            <w:sz w:val="24"/>
            <w:szCs w:val="24"/>
          </w:rPr>
          <w:t>ODE CNP Summer Food Service Program</w:t>
        </w:r>
      </w:hyperlink>
      <w:r w:rsidR="00D41C65" w:rsidRPr="00EF1D8C">
        <w:rPr>
          <w:rFonts w:cstheme="minorHAnsi"/>
          <w:sz w:val="24"/>
          <w:szCs w:val="24"/>
        </w:rPr>
        <w:t xml:space="preserve"> Webpage</w:t>
      </w:r>
      <w:r w:rsidRPr="00EF1D8C">
        <w:rPr>
          <w:rFonts w:cstheme="minorHAnsi"/>
          <w:sz w:val="24"/>
          <w:szCs w:val="24"/>
        </w:rPr>
        <w:t xml:space="preserve">. </w:t>
      </w:r>
      <w:r w:rsidR="00D41C65" w:rsidRPr="00EF1D8C">
        <w:rPr>
          <w:rFonts w:cstheme="minorHAnsi"/>
          <w:sz w:val="24"/>
          <w:szCs w:val="24"/>
        </w:rPr>
        <w:t>These include:</w:t>
      </w:r>
    </w:p>
    <w:p w14:paraId="673A5521" w14:textId="77777777" w:rsidR="00EF1D8C" w:rsidRPr="00EF1D8C" w:rsidRDefault="00727116" w:rsidP="00EF1D8C">
      <w:pPr>
        <w:pStyle w:val="ListParagraph"/>
        <w:numPr>
          <w:ilvl w:val="0"/>
          <w:numId w:val="16"/>
        </w:numPr>
        <w:rPr>
          <w:rFonts w:asciiTheme="minorHAnsi" w:hAnsiTheme="minorHAnsi" w:cstheme="minorHAnsi"/>
          <w:b/>
        </w:rPr>
      </w:pPr>
      <w:hyperlink r:id="rId11" w:history="1">
        <w:r w:rsidR="00560AB0" w:rsidRPr="00EF1D8C">
          <w:rPr>
            <w:rStyle w:val="Hyperlink"/>
            <w:rFonts w:asciiTheme="minorHAnsi" w:hAnsiTheme="minorHAnsi" w:cstheme="minorHAnsi"/>
          </w:rPr>
          <w:t>Free and Reduced Price Eligibility List – October 2022 Data</w:t>
        </w:r>
      </w:hyperlink>
      <w:r w:rsidR="00560AB0" w:rsidRPr="00EF1D8C">
        <w:rPr>
          <w:rFonts w:asciiTheme="minorHAnsi" w:hAnsiTheme="minorHAnsi" w:cstheme="minorHAnsi"/>
        </w:rPr>
        <w:t xml:space="preserve"> – sites must be located at or within the attendance boundary of a school with at least 50% Free/Reduced Price eligibility if using this option for area eligibility.</w:t>
      </w:r>
    </w:p>
    <w:p w14:paraId="218975E3" w14:textId="50910A05" w:rsidR="00560AB0" w:rsidRPr="00EF1D8C" w:rsidRDefault="00727116" w:rsidP="00EF1D8C">
      <w:pPr>
        <w:pStyle w:val="ListParagraph"/>
        <w:numPr>
          <w:ilvl w:val="0"/>
          <w:numId w:val="16"/>
        </w:numPr>
        <w:rPr>
          <w:rFonts w:asciiTheme="minorHAnsi" w:hAnsiTheme="minorHAnsi" w:cstheme="minorHAnsi"/>
          <w:b/>
        </w:rPr>
      </w:pPr>
      <w:hyperlink r:id="rId12" w:history="1">
        <w:r w:rsidR="00D41C65" w:rsidRPr="00EF1D8C">
          <w:rPr>
            <w:rStyle w:val="Hyperlink"/>
            <w:rFonts w:asciiTheme="minorHAnsi" w:hAnsiTheme="minorHAnsi" w:cstheme="minorHAnsi"/>
          </w:rPr>
          <w:t>FNS Area Eligibility Map</w:t>
        </w:r>
      </w:hyperlink>
      <w:r w:rsidR="00D41C65" w:rsidRPr="00EF1D8C">
        <w:rPr>
          <w:rFonts w:asciiTheme="minorHAnsi" w:hAnsiTheme="minorHAnsi" w:cstheme="minorHAnsi"/>
        </w:rPr>
        <w:t xml:space="preserve"> or </w:t>
      </w:r>
      <w:hyperlink r:id="rId13" w:history="1">
        <w:r w:rsidR="00D41C65" w:rsidRPr="00EF1D8C">
          <w:rPr>
            <w:rStyle w:val="Hyperlink"/>
            <w:rFonts w:asciiTheme="minorHAnsi" w:hAnsiTheme="minorHAnsi" w:cstheme="minorHAnsi"/>
          </w:rPr>
          <w:t>FRAC Map</w:t>
        </w:r>
      </w:hyperlink>
      <w:r w:rsidR="00D41C65" w:rsidRPr="00EF1D8C">
        <w:rPr>
          <w:rFonts w:asciiTheme="minorHAnsi" w:hAnsiTheme="minorHAnsi" w:cstheme="minorHAnsi"/>
        </w:rPr>
        <w:t xml:space="preserve"> – sites must be located in</w:t>
      </w:r>
      <w:r w:rsidR="00AD3172" w:rsidRPr="00EF1D8C">
        <w:rPr>
          <w:rFonts w:asciiTheme="minorHAnsi" w:hAnsiTheme="minorHAnsi" w:cstheme="minorHAnsi"/>
        </w:rPr>
        <w:t xml:space="preserve"> a</w:t>
      </w:r>
      <w:r w:rsidR="00D41C65" w:rsidRPr="00EF1D8C">
        <w:rPr>
          <w:rFonts w:asciiTheme="minorHAnsi" w:hAnsiTheme="minorHAnsi" w:cstheme="minorHAnsi"/>
        </w:rPr>
        <w:t xml:space="preserve"> census block identified as eligible. Sites located in a non-eligible census block surrounded by eligible census blocks may use the </w:t>
      </w:r>
      <w:hyperlink r:id="rId14" w:history="1">
        <w:r w:rsidR="00D41C65" w:rsidRPr="00EF1D8C">
          <w:rPr>
            <w:rStyle w:val="Hyperlink"/>
            <w:rFonts w:asciiTheme="minorHAnsi" w:hAnsiTheme="minorHAnsi" w:cstheme="minorHAnsi"/>
          </w:rPr>
          <w:t>Area Eligibility Worksheet</w:t>
        </w:r>
      </w:hyperlink>
      <w:r w:rsidR="00D41C65" w:rsidRPr="00EF1D8C">
        <w:rPr>
          <w:rFonts w:asciiTheme="minorHAnsi" w:hAnsiTheme="minorHAnsi" w:cstheme="minorHAnsi"/>
        </w:rPr>
        <w:t xml:space="preserve"> to determine if the site may be eligible.  </w:t>
      </w:r>
    </w:p>
    <w:p w14:paraId="337AD8BA" w14:textId="77777777" w:rsidR="00FE7552" w:rsidRPr="00EB631A" w:rsidRDefault="00FE7552" w:rsidP="00FE7552">
      <w:pPr>
        <w:pStyle w:val="ListParagraph"/>
        <w:ind w:left="2160"/>
        <w:rPr>
          <w:rFonts w:asciiTheme="minorHAnsi" w:hAnsiTheme="minorHAnsi" w:cstheme="minorHAnsi"/>
          <w:b/>
        </w:rPr>
      </w:pPr>
    </w:p>
    <w:p w14:paraId="5517B257" w14:textId="3D564816" w:rsidR="00E63C6F" w:rsidRPr="00EB631A" w:rsidRDefault="00E63C6F" w:rsidP="00E63C6F">
      <w:pPr>
        <w:pStyle w:val="ListParagraph"/>
        <w:numPr>
          <w:ilvl w:val="0"/>
          <w:numId w:val="7"/>
        </w:numPr>
        <w:rPr>
          <w:rFonts w:asciiTheme="minorHAnsi" w:hAnsiTheme="minorHAnsi" w:cstheme="minorHAnsi"/>
          <w:b/>
        </w:rPr>
      </w:pPr>
      <w:r w:rsidRPr="00EB631A">
        <w:rPr>
          <w:rFonts w:asciiTheme="minorHAnsi" w:hAnsiTheme="minorHAnsi" w:cstheme="minorHAnsi"/>
          <w:b/>
        </w:rPr>
        <w:t xml:space="preserve">My school is a CEP school.  Does it qualify as an area eligible school? </w:t>
      </w:r>
    </w:p>
    <w:p w14:paraId="32185B18" w14:textId="6ECA8FA0" w:rsidR="00E63C6F" w:rsidRPr="00EF1D8C" w:rsidRDefault="00525268" w:rsidP="00EF1D8C">
      <w:pPr>
        <w:ind w:left="720"/>
        <w:rPr>
          <w:rFonts w:cstheme="minorHAnsi"/>
          <w:b/>
          <w:sz w:val="24"/>
          <w:szCs w:val="24"/>
        </w:rPr>
      </w:pPr>
      <w:r w:rsidRPr="00EF1D8C">
        <w:rPr>
          <w:rFonts w:cstheme="minorHAnsi"/>
          <w:sz w:val="24"/>
          <w:szCs w:val="24"/>
        </w:rPr>
        <w:t xml:space="preserve">Possibly.  </w:t>
      </w:r>
      <w:r w:rsidR="00EB631A" w:rsidRPr="00EF1D8C">
        <w:rPr>
          <w:rFonts w:cstheme="minorHAnsi"/>
          <w:sz w:val="24"/>
          <w:szCs w:val="24"/>
        </w:rPr>
        <w:t xml:space="preserve">Please refer to the </w:t>
      </w:r>
      <w:hyperlink r:id="rId15" w:history="1">
        <w:r w:rsidR="00EB631A" w:rsidRPr="00EF1D8C">
          <w:rPr>
            <w:rStyle w:val="Hyperlink"/>
            <w:rFonts w:cstheme="minorHAnsi"/>
            <w:sz w:val="24"/>
            <w:szCs w:val="24"/>
          </w:rPr>
          <w:t>Free and Reduced Price Eligibility List – October 2022 Data</w:t>
        </w:r>
      </w:hyperlink>
      <w:r w:rsidR="00EB631A" w:rsidRPr="00EF1D8C">
        <w:rPr>
          <w:rFonts w:cstheme="minorHAnsi"/>
          <w:sz w:val="24"/>
          <w:szCs w:val="24"/>
        </w:rPr>
        <w:t xml:space="preserve"> to determine if the school qualifies. </w:t>
      </w:r>
    </w:p>
    <w:p w14:paraId="2E5F79A5" w14:textId="6AD7C90E" w:rsidR="00055CD5" w:rsidRPr="00EF1D8C" w:rsidRDefault="00055CD5" w:rsidP="00EF0C20">
      <w:pPr>
        <w:rPr>
          <w:rFonts w:cstheme="minorHAnsi"/>
          <w:b/>
          <w:sz w:val="24"/>
          <w:szCs w:val="24"/>
          <w:u w:val="single"/>
        </w:rPr>
      </w:pPr>
      <w:r w:rsidRPr="00EF1D8C">
        <w:rPr>
          <w:rFonts w:cstheme="minorHAnsi"/>
          <w:b/>
          <w:sz w:val="24"/>
          <w:szCs w:val="24"/>
          <w:u w:val="single"/>
        </w:rPr>
        <w:t>Recordkeeping:</w:t>
      </w:r>
    </w:p>
    <w:p w14:paraId="4296215F" w14:textId="77777777" w:rsidR="00EB631A" w:rsidRPr="00EB631A" w:rsidRDefault="00744B6B" w:rsidP="00EB631A">
      <w:pPr>
        <w:pStyle w:val="ListParagraph"/>
        <w:numPr>
          <w:ilvl w:val="0"/>
          <w:numId w:val="7"/>
        </w:numPr>
        <w:rPr>
          <w:rFonts w:asciiTheme="minorHAnsi" w:hAnsiTheme="minorHAnsi" w:cstheme="minorHAnsi"/>
        </w:rPr>
      </w:pPr>
      <w:r w:rsidRPr="00EB631A">
        <w:rPr>
          <w:rFonts w:asciiTheme="minorHAnsi" w:hAnsiTheme="minorHAnsi" w:cstheme="minorHAnsi"/>
          <w:b/>
        </w:rPr>
        <w:t xml:space="preserve">When are we required to use Actual Meal Count versus Head Count? </w:t>
      </w:r>
    </w:p>
    <w:p w14:paraId="51EEAA53" w14:textId="772ADE11" w:rsidR="00055CD5" w:rsidRPr="00EF1D8C" w:rsidRDefault="00744B6B" w:rsidP="00EF1D8C">
      <w:pPr>
        <w:ind w:left="720"/>
        <w:rPr>
          <w:rFonts w:cstheme="minorHAnsi"/>
          <w:sz w:val="24"/>
          <w:szCs w:val="24"/>
        </w:rPr>
      </w:pPr>
      <w:r w:rsidRPr="00EF1D8C">
        <w:rPr>
          <w:rFonts w:cstheme="minorHAnsi"/>
          <w:sz w:val="24"/>
          <w:szCs w:val="24"/>
        </w:rPr>
        <w:t xml:space="preserve">Actual Meal Count is completing a meal count by </w:t>
      </w:r>
      <w:r w:rsidR="00EB631A" w:rsidRPr="00EF1D8C">
        <w:rPr>
          <w:rFonts w:cstheme="minorHAnsi"/>
          <w:sz w:val="24"/>
          <w:szCs w:val="24"/>
        </w:rPr>
        <w:t xml:space="preserve">participant’s </w:t>
      </w:r>
      <w:r w:rsidRPr="00EF1D8C">
        <w:rPr>
          <w:rFonts w:cstheme="minorHAnsi"/>
          <w:sz w:val="24"/>
          <w:szCs w:val="24"/>
        </w:rPr>
        <w:t>name.  When serving meals non-congregate it is a best practice to use Actual Count versus Head Count (Daily Meal Count Form), however, it is not required when operating SSO or SFSP, unless you a</w:t>
      </w:r>
      <w:r w:rsidR="00FE7552" w:rsidRPr="00EF1D8C">
        <w:rPr>
          <w:rFonts w:cstheme="minorHAnsi"/>
          <w:sz w:val="24"/>
          <w:szCs w:val="24"/>
        </w:rPr>
        <w:t>re using the home delivery model</w:t>
      </w:r>
      <w:r w:rsidR="00EB631A" w:rsidRPr="00EF1D8C">
        <w:rPr>
          <w:rFonts w:cstheme="minorHAnsi"/>
          <w:sz w:val="24"/>
          <w:szCs w:val="24"/>
        </w:rPr>
        <w:t>, operating a camp, or in instances where serving all participants, but only able to claim Free and Reduced Price eligible participant meals.</w:t>
      </w:r>
      <w:r w:rsidRPr="00EF1D8C">
        <w:rPr>
          <w:rFonts w:cstheme="minorHAnsi"/>
          <w:sz w:val="24"/>
          <w:szCs w:val="24"/>
        </w:rPr>
        <w:t xml:space="preserve">  If a sponsor is operating NSLP, sponsors are required to complete the</w:t>
      </w:r>
      <w:r w:rsidR="00525268" w:rsidRPr="00EF1D8C">
        <w:rPr>
          <w:rFonts w:cstheme="minorHAnsi"/>
          <w:sz w:val="24"/>
          <w:szCs w:val="24"/>
        </w:rPr>
        <w:t xml:space="preserve"> meal count by name, </w:t>
      </w:r>
      <w:r w:rsidR="00A25DC9" w:rsidRPr="00EF1D8C">
        <w:rPr>
          <w:rFonts w:cstheme="minorHAnsi"/>
          <w:sz w:val="24"/>
          <w:szCs w:val="24"/>
        </w:rPr>
        <w:t>unless approved to operate CEP or Provision 2 non-base year</w:t>
      </w:r>
      <w:r w:rsidR="00C66DDE" w:rsidRPr="00EF1D8C">
        <w:rPr>
          <w:rFonts w:cstheme="minorHAnsi"/>
          <w:sz w:val="24"/>
          <w:szCs w:val="24"/>
        </w:rPr>
        <w:t>.</w:t>
      </w:r>
      <w:r w:rsidR="00A25DC9" w:rsidRPr="00EF1D8C">
        <w:rPr>
          <w:rFonts w:cstheme="minorHAnsi"/>
          <w:sz w:val="24"/>
          <w:szCs w:val="24"/>
        </w:rPr>
        <w:t xml:space="preserve"> </w:t>
      </w:r>
      <w:r w:rsidR="00525268" w:rsidRPr="00EF1D8C">
        <w:rPr>
          <w:rFonts w:cstheme="minorHAnsi"/>
          <w:sz w:val="24"/>
          <w:szCs w:val="24"/>
        </w:rPr>
        <w:t xml:space="preserve"> </w:t>
      </w:r>
    </w:p>
    <w:p w14:paraId="691211AD" w14:textId="149B8C3B" w:rsidR="00B3509B" w:rsidRPr="00EF1D8C" w:rsidRDefault="00B3509B" w:rsidP="00EF0C20">
      <w:pPr>
        <w:rPr>
          <w:rFonts w:cstheme="minorHAnsi"/>
          <w:b/>
          <w:sz w:val="24"/>
          <w:szCs w:val="24"/>
          <w:u w:val="single"/>
        </w:rPr>
      </w:pPr>
      <w:r w:rsidRPr="00EF1D8C">
        <w:rPr>
          <w:rFonts w:cstheme="minorHAnsi"/>
          <w:b/>
          <w:sz w:val="24"/>
          <w:szCs w:val="24"/>
          <w:u w:val="single"/>
        </w:rPr>
        <w:t>Meal Service:</w:t>
      </w:r>
    </w:p>
    <w:p w14:paraId="676EC34D" w14:textId="2B5119B5" w:rsidR="00B0247C" w:rsidRPr="002E769F" w:rsidRDefault="00B0247C" w:rsidP="00744B6B">
      <w:pPr>
        <w:pStyle w:val="ListParagraph"/>
        <w:numPr>
          <w:ilvl w:val="0"/>
          <w:numId w:val="7"/>
        </w:numPr>
        <w:rPr>
          <w:rFonts w:asciiTheme="minorHAnsi" w:hAnsiTheme="minorHAnsi" w:cstheme="minorHAnsi"/>
        </w:rPr>
      </w:pPr>
      <w:r w:rsidRPr="002E769F">
        <w:rPr>
          <w:rFonts w:asciiTheme="minorHAnsi" w:hAnsiTheme="minorHAnsi" w:cstheme="minorHAnsi"/>
          <w:b/>
        </w:rPr>
        <w:t xml:space="preserve">Who is allowed to complete meal pick up? </w:t>
      </w:r>
    </w:p>
    <w:p w14:paraId="13B7DB65" w14:textId="6BF4CE4E" w:rsidR="005610DC" w:rsidRPr="002E769F" w:rsidRDefault="00B0247C" w:rsidP="002E769F">
      <w:pPr>
        <w:ind w:left="720"/>
        <w:rPr>
          <w:rFonts w:cstheme="minorHAnsi"/>
          <w:sz w:val="24"/>
          <w:szCs w:val="24"/>
        </w:rPr>
      </w:pPr>
      <w:r w:rsidRPr="002E769F">
        <w:rPr>
          <w:rFonts w:cstheme="minorHAnsi"/>
          <w:sz w:val="24"/>
          <w:szCs w:val="24"/>
        </w:rPr>
        <w:t xml:space="preserve">Best Practice for meal pick up is for parents/guardians </w:t>
      </w:r>
      <w:r w:rsidR="00FE7552" w:rsidRPr="002E769F">
        <w:rPr>
          <w:rFonts w:cstheme="minorHAnsi"/>
          <w:sz w:val="24"/>
          <w:szCs w:val="24"/>
        </w:rPr>
        <w:t xml:space="preserve">to arrive </w:t>
      </w:r>
      <w:r w:rsidRPr="002E769F">
        <w:rPr>
          <w:rFonts w:cstheme="minorHAnsi"/>
          <w:sz w:val="24"/>
          <w:szCs w:val="24"/>
        </w:rPr>
        <w:t>with the child present.  However,</w:t>
      </w:r>
      <w:r w:rsidR="005610DC" w:rsidRPr="002E769F">
        <w:rPr>
          <w:rFonts w:cstheme="minorHAnsi"/>
          <w:sz w:val="24"/>
          <w:szCs w:val="24"/>
        </w:rPr>
        <w:t xml:space="preserve"> with a way to ensure the participant receives the meal, others who have been approved to complete meal pick up, can with sponsor permission.  ODE CNP recommends that the sponsor maintain documentation from the parent/guardian if someone other than them are pick up meals for the participant. </w:t>
      </w:r>
    </w:p>
    <w:p w14:paraId="299B76CE" w14:textId="77777777" w:rsidR="00EB631A" w:rsidRPr="002E769F" w:rsidRDefault="00EB631A" w:rsidP="00EB631A">
      <w:pPr>
        <w:pStyle w:val="ListParagraph"/>
        <w:ind w:left="1440"/>
        <w:rPr>
          <w:rFonts w:asciiTheme="minorHAnsi" w:hAnsiTheme="minorHAnsi" w:cstheme="minorHAnsi"/>
        </w:rPr>
      </w:pPr>
    </w:p>
    <w:p w14:paraId="1979D0BB" w14:textId="7AC589B2" w:rsidR="00055CD5" w:rsidRPr="002E769F" w:rsidRDefault="00B0247C" w:rsidP="005610DC">
      <w:pPr>
        <w:pStyle w:val="ListParagraph"/>
        <w:numPr>
          <w:ilvl w:val="0"/>
          <w:numId w:val="7"/>
        </w:numPr>
        <w:rPr>
          <w:rFonts w:asciiTheme="minorHAnsi" w:hAnsiTheme="minorHAnsi" w:cstheme="minorHAnsi"/>
        </w:rPr>
      </w:pPr>
      <w:r w:rsidRPr="002E769F">
        <w:rPr>
          <w:rFonts w:asciiTheme="minorHAnsi" w:hAnsiTheme="minorHAnsi" w:cstheme="minorHAnsi"/>
        </w:rPr>
        <w:t xml:space="preserve"> </w:t>
      </w:r>
      <w:r w:rsidR="005610DC" w:rsidRPr="002E769F">
        <w:rPr>
          <w:rFonts w:asciiTheme="minorHAnsi" w:hAnsiTheme="minorHAnsi" w:cstheme="minorHAnsi"/>
          <w:b/>
        </w:rPr>
        <w:t>Can Childcare Providers or Camp Counselors pick up meals</w:t>
      </w:r>
      <w:r w:rsidR="005610DC" w:rsidRPr="002E769F">
        <w:rPr>
          <w:rFonts w:asciiTheme="minorHAnsi" w:hAnsiTheme="minorHAnsi" w:cstheme="minorHAnsi"/>
        </w:rPr>
        <w:t xml:space="preserve">? </w:t>
      </w:r>
    </w:p>
    <w:p w14:paraId="42B8BBA2" w14:textId="011C50BF" w:rsidR="00EB631A" w:rsidRPr="002E769F" w:rsidRDefault="005610DC" w:rsidP="002E769F">
      <w:pPr>
        <w:ind w:left="720"/>
        <w:rPr>
          <w:rFonts w:cstheme="minorHAnsi"/>
          <w:sz w:val="24"/>
          <w:szCs w:val="24"/>
        </w:rPr>
      </w:pPr>
      <w:r w:rsidRPr="002E769F">
        <w:rPr>
          <w:rFonts w:cstheme="minorHAnsi"/>
          <w:sz w:val="24"/>
          <w:szCs w:val="24"/>
        </w:rPr>
        <w:t>No.  However, sponsors can work with child care providers, and camps to set them up as a site un</w:t>
      </w:r>
      <w:r w:rsidR="00EB631A" w:rsidRPr="002E769F">
        <w:rPr>
          <w:rFonts w:cstheme="minorHAnsi"/>
          <w:sz w:val="24"/>
          <w:szCs w:val="24"/>
        </w:rPr>
        <w:t>der the program, as long as the site is</w:t>
      </w:r>
      <w:r w:rsidRPr="002E769F">
        <w:rPr>
          <w:rFonts w:cstheme="minorHAnsi"/>
          <w:sz w:val="24"/>
          <w:szCs w:val="24"/>
        </w:rPr>
        <w:t xml:space="preserve"> eligible.  Non-Congregate meals </w:t>
      </w:r>
      <w:r w:rsidR="00EB631A" w:rsidRPr="002E769F">
        <w:rPr>
          <w:rFonts w:cstheme="minorHAnsi"/>
          <w:sz w:val="24"/>
          <w:szCs w:val="24"/>
        </w:rPr>
        <w:t>may</w:t>
      </w:r>
      <w:r w:rsidRPr="002E769F">
        <w:rPr>
          <w:rFonts w:cstheme="minorHAnsi"/>
          <w:sz w:val="24"/>
          <w:szCs w:val="24"/>
        </w:rPr>
        <w:t xml:space="preserve"> not to be used to circumvent congregate requirements.  </w:t>
      </w:r>
    </w:p>
    <w:p w14:paraId="7D027191" w14:textId="3CBD4B9B" w:rsidR="00EB631A" w:rsidRPr="002E769F" w:rsidRDefault="00EB631A" w:rsidP="00EB631A">
      <w:pPr>
        <w:pStyle w:val="ListParagraph"/>
        <w:ind w:left="1440"/>
        <w:rPr>
          <w:rFonts w:asciiTheme="minorHAnsi" w:hAnsiTheme="minorHAnsi" w:cstheme="minorHAnsi"/>
        </w:rPr>
      </w:pPr>
    </w:p>
    <w:p w14:paraId="65F855F0" w14:textId="6700E52B" w:rsidR="005F53E4" w:rsidRPr="002E769F" w:rsidRDefault="002D7F80" w:rsidP="002D7F80">
      <w:pPr>
        <w:pStyle w:val="ListParagraph"/>
        <w:numPr>
          <w:ilvl w:val="0"/>
          <w:numId w:val="7"/>
        </w:numPr>
        <w:rPr>
          <w:rFonts w:asciiTheme="minorHAnsi" w:hAnsiTheme="minorHAnsi" w:cstheme="minorHAnsi"/>
          <w:b/>
        </w:rPr>
      </w:pPr>
      <w:r w:rsidRPr="002E769F">
        <w:rPr>
          <w:rFonts w:asciiTheme="minorHAnsi" w:hAnsiTheme="minorHAnsi" w:cstheme="minorHAnsi"/>
          <w:b/>
        </w:rPr>
        <w:t xml:space="preserve">ODE CNP mentioned collecting documentation on identified persons allowed to pick up.  How does this look at an open site? </w:t>
      </w:r>
    </w:p>
    <w:p w14:paraId="47E6F57C" w14:textId="61CBCACC" w:rsidR="002D7F80" w:rsidRPr="002E769F" w:rsidRDefault="002D7F80" w:rsidP="002E769F">
      <w:pPr>
        <w:ind w:left="720"/>
        <w:rPr>
          <w:rFonts w:cstheme="minorHAnsi"/>
          <w:sz w:val="24"/>
          <w:szCs w:val="24"/>
        </w:rPr>
      </w:pPr>
      <w:r w:rsidRPr="002E769F">
        <w:rPr>
          <w:rFonts w:cstheme="minorHAnsi"/>
          <w:sz w:val="24"/>
          <w:szCs w:val="24"/>
        </w:rPr>
        <w:t xml:space="preserve">This is a best practice, not a requirement. It is the responsibility of the Sponsor to ensure program integrity is intact, meaning, preventing duplicate meals, and that the meals received are for eligible participants.  It will be sponsors policy to determine how to best manage meal pick up. </w:t>
      </w:r>
    </w:p>
    <w:p w14:paraId="622FEF84" w14:textId="1A80F13B" w:rsidR="00EB631A" w:rsidRDefault="00EB631A" w:rsidP="00EB631A">
      <w:pPr>
        <w:pStyle w:val="ListParagraph"/>
        <w:ind w:left="1440"/>
        <w:rPr>
          <w:rFonts w:asciiTheme="minorHAnsi" w:hAnsiTheme="minorHAnsi" w:cstheme="minorHAnsi"/>
        </w:rPr>
      </w:pPr>
    </w:p>
    <w:p w14:paraId="5FB321CC" w14:textId="6617D301" w:rsidR="00727116" w:rsidRDefault="00727116" w:rsidP="00EB631A">
      <w:pPr>
        <w:pStyle w:val="ListParagraph"/>
        <w:ind w:left="1440"/>
        <w:rPr>
          <w:rFonts w:asciiTheme="minorHAnsi" w:hAnsiTheme="minorHAnsi" w:cstheme="minorHAnsi"/>
        </w:rPr>
      </w:pPr>
    </w:p>
    <w:p w14:paraId="3B06ADB9" w14:textId="77777777" w:rsidR="00727116" w:rsidRPr="00EB631A" w:rsidRDefault="00727116" w:rsidP="00EB631A">
      <w:pPr>
        <w:pStyle w:val="ListParagraph"/>
        <w:ind w:left="1440"/>
        <w:rPr>
          <w:rFonts w:asciiTheme="minorHAnsi" w:hAnsiTheme="minorHAnsi" w:cstheme="minorHAnsi"/>
        </w:rPr>
      </w:pPr>
    </w:p>
    <w:p w14:paraId="23869356" w14:textId="7F7C5E7B" w:rsidR="00055CD5" w:rsidRPr="002E769F" w:rsidRDefault="005F53E4" w:rsidP="00744B6B">
      <w:pPr>
        <w:pStyle w:val="ListParagraph"/>
        <w:numPr>
          <w:ilvl w:val="0"/>
          <w:numId w:val="7"/>
        </w:numPr>
        <w:rPr>
          <w:rFonts w:asciiTheme="minorHAnsi" w:hAnsiTheme="minorHAnsi" w:cstheme="minorHAnsi"/>
          <w:b/>
        </w:rPr>
      </w:pPr>
      <w:r w:rsidRPr="002E769F">
        <w:rPr>
          <w:rFonts w:asciiTheme="minorHAnsi" w:hAnsiTheme="minorHAnsi" w:cstheme="minorHAnsi"/>
          <w:b/>
        </w:rPr>
        <w:lastRenderedPageBreak/>
        <w:t>Do participants have to sign up to receive non-congregate meals?</w:t>
      </w:r>
    </w:p>
    <w:p w14:paraId="6C14E4B0" w14:textId="1D9C97B2" w:rsidR="007D3367" w:rsidRPr="002E769F" w:rsidRDefault="005F53E4" w:rsidP="002E769F">
      <w:pPr>
        <w:ind w:left="720"/>
        <w:rPr>
          <w:rFonts w:cstheme="minorHAnsi"/>
          <w:b/>
          <w:sz w:val="24"/>
          <w:szCs w:val="24"/>
        </w:rPr>
      </w:pPr>
      <w:r w:rsidRPr="002E769F">
        <w:rPr>
          <w:rFonts w:cstheme="minorHAnsi"/>
          <w:sz w:val="24"/>
          <w:szCs w:val="24"/>
        </w:rPr>
        <w:t xml:space="preserve">This will depend on the type of meal distribution, site type, and sponsor policy. Sites providing non-congregate meal pick up to eligible participants are not required to have participants sign up for meal service, but are required to notify potential participants of the availability of non-congregate meals for equitable access. Sites providing home delivery for non-congregate meals are required to have parent/guardian permission prior to delivering meals. Additionally, site types, such as closed enrolled and camps, have requirements for participant enrollment documentation outside of non-congregate meal service. </w:t>
      </w:r>
    </w:p>
    <w:p w14:paraId="218966B3" w14:textId="6153EF6C" w:rsidR="00520439" w:rsidRPr="002E769F" w:rsidRDefault="00520439" w:rsidP="00744B6B">
      <w:pPr>
        <w:pStyle w:val="ListParagraph"/>
        <w:numPr>
          <w:ilvl w:val="0"/>
          <w:numId w:val="7"/>
        </w:numPr>
        <w:rPr>
          <w:rFonts w:asciiTheme="minorHAnsi" w:hAnsiTheme="minorHAnsi" w:cstheme="minorHAnsi"/>
        </w:rPr>
      </w:pPr>
      <w:r w:rsidRPr="002E769F">
        <w:rPr>
          <w:rFonts w:asciiTheme="minorHAnsi" w:hAnsiTheme="minorHAnsi" w:cstheme="minorHAnsi"/>
          <w:b/>
        </w:rPr>
        <w:t xml:space="preserve">Does home delivery need to be offered to all </w:t>
      </w:r>
      <w:r w:rsidR="000F1630" w:rsidRPr="002E769F">
        <w:rPr>
          <w:rFonts w:asciiTheme="minorHAnsi" w:hAnsiTheme="minorHAnsi" w:cstheme="minorHAnsi"/>
          <w:b/>
        </w:rPr>
        <w:t>participants?</w:t>
      </w:r>
    </w:p>
    <w:p w14:paraId="33CF802D" w14:textId="3EE3E470" w:rsidR="000F1630" w:rsidRPr="002E769F" w:rsidRDefault="000F1630" w:rsidP="002E769F">
      <w:pPr>
        <w:ind w:left="720"/>
        <w:rPr>
          <w:rFonts w:cstheme="minorHAnsi"/>
          <w:sz w:val="24"/>
          <w:szCs w:val="24"/>
        </w:rPr>
      </w:pPr>
      <w:r w:rsidRPr="002E769F">
        <w:rPr>
          <w:rFonts w:cstheme="minorHAnsi"/>
          <w:sz w:val="24"/>
          <w:szCs w:val="24"/>
        </w:rPr>
        <w:t xml:space="preserve">No. Sponsor may develop criteria to determine which participants are eligible for home delivery and offer this meal distribution option only to those participants. </w:t>
      </w:r>
    </w:p>
    <w:p w14:paraId="0D0442C9" w14:textId="7A4AF354" w:rsidR="005F53E4" w:rsidRPr="002E769F" w:rsidRDefault="00604CAA" w:rsidP="00744B6B">
      <w:pPr>
        <w:pStyle w:val="ListParagraph"/>
        <w:numPr>
          <w:ilvl w:val="0"/>
          <w:numId w:val="7"/>
        </w:numPr>
        <w:rPr>
          <w:rFonts w:asciiTheme="minorHAnsi" w:hAnsiTheme="minorHAnsi" w:cstheme="minorHAnsi"/>
          <w:b/>
        </w:rPr>
      </w:pPr>
      <w:r w:rsidRPr="002E769F">
        <w:rPr>
          <w:rFonts w:asciiTheme="minorHAnsi" w:hAnsiTheme="minorHAnsi" w:cstheme="minorHAnsi"/>
          <w:b/>
        </w:rPr>
        <w:t xml:space="preserve">What methods should be used to get parent/guardian permission for home delivered meals? </w:t>
      </w:r>
    </w:p>
    <w:p w14:paraId="7B9766AD" w14:textId="1C87CB5A" w:rsidR="00604CAA" w:rsidRPr="002E769F" w:rsidRDefault="00604CAA" w:rsidP="002E769F">
      <w:pPr>
        <w:ind w:left="720"/>
        <w:rPr>
          <w:rFonts w:cstheme="minorHAnsi"/>
          <w:b/>
          <w:sz w:val="24"/>
          <w:szCs w:val="24"/>
        </w:rPr>
      </w:pPr>
      <w:r w:rsidRPr="002E769F">
        <w:rPr>
          <w:rFonts w:cstheme="minorHAnsi"/>
          <w:sz w:val="24"/>
          <w:szCs w:val="24"/>
        </w:rPr>
        <w:t xml:space="preserve">Sponsors are required to obtain and document parent/guardian permission prior to serving non-congregate meals through the home delivery option. The method used to collect this information is up to the sponsor. Recommended methods include online or offline form, email, or documented record of phone conversation. Other methods may be used to meet the requirement. </w:t>
      </w:r>
    </w:p>
    <w:p w14:paraId="2798F915" w14:textId="05DA5C82" w:rsidR="00B3509B" w:rsidRPr="002E769F" w:rsidRDefault="00B3509B" w:rsidP="00744B6B">
      <w:pPr>
        <w:pStyle w:val="ListParagraph"/>
        <w:numPr>
          <w:ilvl w:val="0"/>
          <w:numId w:val="7"/>
        </w:numPr>
        <w:rPr>
          <w:rFonts w:asciiTheme="minorHAnsi" w:hAnsiTheme="minorHAnsi" w:cstheme="minorHAnsi"/>
          <w:b/>
        </w:rPr>
      </w:pPr>
      <w:r w:rsidRPr="002E769F">
        <w:rPr>
          <w:rFonts w:asciiTheme="minorHAnsi" w:hAnsiTheme="minorHAnsi" w:cstheme="minorHAnsi"/>
          <w:b/>
        </w:rPr>
        <w:t xml:space="preserve">Can a site utilize offer versus serve (OVS) with non-congregate meal service? </w:t>
      </w:r>
    </w:p>
    <w:p w14:paraId="72A96D3E" w14:textId="7167C074" w:rsidR="005F53E4" w:rsidRPr="002E769F" w:rsidRDefault="00B3509B" w:rsidP="002E769F">
      <w:pPr>
        <w:ind w:left="720"/>
        <w:rPr>
          <w:rFonts w:cstheme="minorHAnsi"/>
          <w:b/>
          <w:sz w:val="24"/>
          <w:szCs w:val="24"/>
        </w:rPr>
      </w:pPr>
      <w:r w:rsidRPr="002E769F">
        <w:rPr>
          <w:rFonts w:cstheme="minorHAnsi"/>
          <w:sz w:val="24"/>
          <w:szCs w:val="24"/>
        </w:rPr>
        <w:t xml:space="preserve">No. School Food Authority (SFA) sponsors may only utilize OVS at sites during congregate meal service. Non-SFA sponsors may not utilize OVS at all for SFSP. </w:t>
      </w:r>
    </w:p>
    <w:p w14:paraId="7D06A264" w14:textId="77777777" w:rsidR="002D7F80" w:rsidRPr="002E769F" w:rsidRDefault="002D7F80" w:rsidP="00744B6B">
      <w:pPr>
        <w:pStyle w:val="ListParagraph"/>
        <w:numPr>
          <w:ilvl w:val="0"/>
          <w:numId w:val="7"/>
        </w:numPr>
        <w:rPr>
          <w:rFonts w:asciiTheme="minorHAnsi" w:hAnsiTheme="minorHAnsi" w:cstheme="minorHAnsi"/>
          <w:b/>
        </w:rPr>
      </w:pPr>
      <w:r w:rsidRPr="002E769F">
        <w:rPr>
          <w:rFonts w:asciiTheme="minorHAnsi" w:hAnsiTheme="minorHAnsi" w:cstheme="minorHAnsi"/>
          <w:b/>
        </w:rPr>
        <w:t>Can a site switch between congregate and non-congregate during periods of the summer?</w:t>
      </w:r>
    </w:p>
    <w:p w14:paraId="49589C34" w14:textId="67F40693" w:rsidR="008B2FCD" w:rsidRPr="002E769F" w:rsidRDefault="002D7F80" w:rsidP="002E769F">
      <w:pPr>
        <w:ind w:left="720"/>
        <w:rPr>
          <w:rFonts w:cstheme="minorHAnsi"/>
          <w:b/>
          <w:sz w:val="24"/>
          <w:szCs w:val="24"/>
        </w:rPr>
      </w:pPr>
      <w:r w:rsidRPr="002E769F">
        <w:rPr>
          <w:rFonts w:cstheme="minorHAnsi"/>
          <w:sz w:val="24"/>
          <w:szCs w:val="24"/>
        </w:rPr>
        <w:t xml:space="preserve">Yes, a site may switch between congregate and non-congregate during periods of the summer.  This must be approved in advance and documented on the Meal Distribution Plan. </w:t>
      </w:r>
      <w:r w:rsidRPr="002E769F">
        <w:rPr>
          <w:rFonts w:cstheme="minorHAnsi"/>
          <w:b/>
          <w:sz w:val="24"/>
          <w:szCs w:val="24"/>
        </w:rPr>
        <w:t xml:space="preserve"> </w:t>
      </w:r>
    </w:p>
    <w:p w14:paraId="65C244E2" w14:textId="5AC31CF4" w:rsidR="00055CD5" w:rsidRPr="002E769F" w:rsidRDefault="00055CD5" w:rsidP="00744B6B">
      <w:pPr>
        <w:pStyle w:val="ListParagraph"/>
        <w:numPr>
          <w:ilvl w:val="0"/>
          <w:numId w:val="7"/>
        </w:numPr>
        <w:rPr>
          <w:rFonts w:asciiTheme="minorHAnsi" w:hAnsiTheme="minorHAnsi" w:cstheme="minorHAnsi"/>
          <w:b/>
        </w:rPr>
      </w:pPr>
      <w:r w:rsidRPr="002E769F">
        <w:rPr>
          <w:rFonts w:asciiTheme="minorHAnsi" w:hAnsiTheme="minorHAnsi" w:cstheme="minorHAnsi"/>
          <w:b/>
        </w:rPr>
        <w:t xml:space="preserve">Can </w:t>
      </w:r>
      <w:r w:rsidR="008B2FCD" w:rsidRPr="002E769F">
        <w:rPr>
          <w:rFonts w:asciiTheme="minorHAnsi" w:hAnsiTheme="minorHAnsi" w:cstheme="minorHAnsi"/>
          <w:b/>
        </w:rPr>
        <w:t>non-congregate meals be served from a Mobile Meals site</w:t>
      </w:r>
      <w:r w:rsidRPr="002E769F">
        <w:rPr>
          <w:rFonts w:asciiTheme="minorHAnsi" w:hAnsiTheme="minorHAnsi" w:cstheme="minorHAnsi"/>
          <w:b/>
        </w:rPr>
        <w:t>?</w:t>
      </w:r>
    </w:p>
    <w:p w14:paraId="02D77431" w14:textId="6AB9342D" w:rsidR="00EB631A" w:rsidRDefault="008B2FCD" w:rsidP="002E769F">
      <w:pPr>
        <w:ind w:left="720"/>
        <w:rPr>
          <w:rFonts w:cstheme="minorHAnsi"/>
          <w:sz w:val="24"/>
          <w:szCs w:val="24"/>
        </w:rPr>
      </w:pPr>
      <w:r w:rsidRPr="002E769F">
        <w:rPr>
          <w:rFonts w:cstheme="minorHAnsi"/>
          <w:sz w:val="24"/>
          <w:szCs w:val="24"/>
        </w:rPr>
        <w:t xml:space="preserve">Yes, but each stop where non-congregate meal pick-up is served must be approved as its’ own SFSP site in CNPweb. Mobile meal routes may </w:t>
      </w:r>
      <w:r w:rsidRPr="002E769F">
        <w:rPr>
          <w:rFonts w:cstheme="minorHAnsi"/>
          <w:sz w:val="24"/>
          <w:szCs w:val="24"/>
          <w:u w:val="single"/>
        </w:rPr>
        <w:t>not</w:t>
      </w:r>
      <w:r w:rsidRPr="002E769F">
        <w:rPr>
          <w:rFonts w:cstheme="minorHAnsi"/>
          <w:sz w:val="24"/>
          <w:szCs w:val="24"/>
        </w:rPr>
        <w:t xml:space="preserve"> be consolidated under a</w:t>
      </w:r>
      <w:r w:rsidR="008013B6" w:rsidRPr="002E769F">
        <w:rPr>
          <w:rFonts w:cstheme="minorHAnsi"/>
          <w:sz w:val="24"/>
          <w:szCs w:val="24"/>
        </w:rPr>
        <w:t xml:space="preserve"> single</w:t>
      </w:r>
      <w:r w:rsidRPr="002E769F">
        <w:rPr>
          <w:rFonts w:cstheme="minorHAnsi"/>
          <w:sz w:val="24"/>
          <w:szCs w:val="24"/>
        </w:rPr>
        <w:t xml:space="preserve"> site. </w:t>
      </w:r>
      <w:r w:rsidR="007D3367" w:rsidRPr="002E769F">
        <w:rPr>
          <w:rFonts w:cstheme="minorHAnsi"/>
          <w:sz w:val="24"/>
          <w:szCs w:val="24"/>
        </w:rPr>
        <w:t xml:space="preserve"> SSO Sponsors please work with your assigned SNP Specialist. </w:t>
      </w:r>
    </w:p>
    <w:p w14:paraId="5E139B5B" w14:textId="1297568D" w:rsidR="00727116" w:rsidRDefault="00727116" w:rsidP="002E769F">
      <w:pPr>
        <w:ind w:left="720"/>
        <w:rPr>
          <w:rFonts w:cstheme="minorHAnsi"/>
          <w:sz w:val="24"/>
          <w:szCs w:val="24"/>
        </w:rPr>
      </w:pPr>
    </w:p>
    <w:p w14:paraId="52E02A26" w14:textId="77777777" w:rsidR="00727116" w:rsidRPr="002E769F" w:rsidRDefault="00727116" w:rsidP="002E769F">
      <w:pPr>
        <w:ind w:left="720"/>
        <w:rPr>
          <w:rFonts w:cstheme="minorHAnsi"/>
          <w:b/>
          <w:sz w:val="24"/>
          <w:szCs w:val="24"/>
        </w:rPr>
      </w:pPr>
    </w:p>
    <w:p w14:paraId="14D1F73E" w14:textId="1ED2C00E" w:rsidR="002D7F80" w:rsidRPr="002E769F" w:rsidRDefault="002D7F80" w:rsidP="002D7F80">
      <w:pPr>
        <w:pStyle w:val="ListParagraph"/>
        <w:numPr>
          <w:ilvl w:val="0"/>
          <w:numId w:val="7"/>
        </w:numPr>
        <w:rPr>
          <w:rFonts w:asciiTheme="minorHAnsi" w:hAnsiTheme="minorHAnsi" w:cstheme="minorHAnsi"/>
          <w:b/>
        </w:rPr>
      </w:pPr>
      <w:r w:rsidRPr="002E769F">
        <w:rPr>
          <w:rFonts w:asciiTheme="minorHAnsi" w:hAnsiTheme="minorHAnsi" w:cstheme="minorHAnsi"/>
          <w:b/>
        </w:rPr>
        <w:lastRenderedPageBreak/>
        <w:t xml:space="preserve"> Can we use bus stops to deliver meals? </w:t>
      </w:r>
    </w:p>
    <w:p w14:paraId="6D5CA06D" w14:textId="2CF90FBE" w:rsidR="00055CD5" w:rsidRPr="002E769F" w:rsidRDefault="002D7F80" w:rsidP="002E769F">
      <w:pPr>
        <w:ind w:left="720"/>
        <w:rPr>
          <w:rFonts w:cstheme="minorHAnsi"/>
          <w:b/>
          <w:sz w:val="24"/>
          <w:szCs w:val="24"/>
        </w:rPr>
      </w:pPr>
      <w:r w:rsidRPr="002E769F">
        <w:rPr>
          <w:rFonts w:cstheme="minorHAnsi"/>
          <w:sz w:val="24"/>
          <w:szCs w:val="24"/>
        </w:rPr>
        <w:t xml:space="preserve">No.  Bus stops are not allowable in Summer 2023 per USDA guidance. </w:t>
      </w:r>
      <w:r w:rsidR="008013B6" w:rsidRPr="002E769F">
        <w:rPr>
          <w:rFonts w:cstheme="minorHAnsi"/>
          <w:sz w:val="24"/>
          <w:szCs w:val="24"/>
        </w:rPr>
        <w:t xml:space="preserve">Sponsors wanting to deliver non-congregate meals along an established route must treat each site as a mobile meal site, see question 15. </w:t>
      </w:r>
    </w:p>
    <w:p w14:paraId="05AA8CFB" w14:textId="659D92B5" w:rsidR="002C555B" w:rsidRPr="002E769F" w:rsidRDefault="002C555B" w:rsidP="00EF0C20">
      <w:pPr>
        <w:rPr>
          <w:rFonts w:cstheme="minorHAnsi"/>
          <w:b/>
          <w:sz w:val="24"/>
          <w:szCs w:val="24"/>
          <w:u w:val="single"/>
        </w:rPr>
      </w:pPr>
      <w:r w:rsidRPr="002E769F">
        <w:rPr>
          <w:rFonts w:cstheme="minorHAnsi"/>
          <w:b/>
          <w:sz w:val="24"/>
          <w:szCs w:val="24"/>
          <w:u w:val="single"/>
        </w:rPr>
        <w:t>Serving Summer School:</w:t>
      </w:r>
    </w:p>
    <w:p w14:paraId="4F97D168" w14:textId="216CC444" w:rsidR="002C555B" w:rsidRPr="00EB631A" w:rsidRDefault="006558FE" w:rsidP="00744B6B">
      <w:pPr>
        <w:pStyle w:val="ListParagraph"/>
        <w:numPr>
          <w:ilvl w:val="0"/>
          <w:numId w:val="7"/>
        </w:numPr>
        <w:rPr>
          <w:rFonts w:asciiTheme="minorHAnsi" w:hAnsiTheme="minorHAnsi" w:cstheme="minorHAnsi"/>
          <w:b/>
        </w:rPr>
      </w:pPr>
      <w:r w:rsidRPr="00EB631A">
        <w:rPr>
          <w:rFonts w:asciiTheme="minorHAnsi" w:hAnsiTheme="minorHAnsi" w:cstheme="minorHAnsi"/>
          <w:b/>
        </w:rPr>
        <w:t xml:space="preserve">If we are operating Summer School as a closed enrolled site, do we serve our non-congregate participants at another site? </w:t>
      </w:r>
    </w:p>
    <w:p w14:paraId="49223362" w14:textId="18840F68" w:rsidR="002C555B" w:rsidRPr="002E769F" w:rsidRDefault="006558FE" w:rsidP="002E769F">
      <w:pPr>
        <w:ind w:left="720"/>
        <w:rPr>
          <w:rFonts w:cstheme="minorHAnsi"/>
          <w:b/>
          <w:sz w:val="24"/>
          <w:szCs w:val="24"/>
        </w:rPr>
      </w:pPr>
      <w:r w:rsidRPr="002E769F">
        <w:rPr>
          <w:rFonts w:cstheme="minorHAnsi"/>
          <w:sz w:val="24"/>
          <w:szCs w:val="24"/>
        </w:rPr>
        <w:t xml:space="preserve">Summer School (grade advancement or recovery) cannot be a closed enrolled site in SSO or SFSP unless there are enrichment and educational activities in addition to summer school.   </w:t>
      </w:r>
      <w:r w:rsidR="00C66DDE" w:rsidRPr="002E769F">
        <w:rPr>
          <w:rFonts w:cstheme="minorHAnsi"/>
          <w:sz w:val="24"/>
          <w:szCs w:val="24"/>
        </w:rPr>
        <w:t xml:space="preserve">Summer school that do not offer enrichment and educational activities in addition to summer school must participate in NSLP. </w:t>
      </w:r>
      <w:r w:rsidRPr="002E769F">
        <w:rPr>
          <w:rFonts w:cstheme="minorHAnsi"/>
          <w:sz w:val="24"/>
          <w:szCs w:val="24"/>
        </w:rPr>
        <w:t xml:space="preserve">For sponsors operating a closed enrolled site, there are some circumstances that may allow for a non-congregate site to be served nearby.  </w:t>
      </w:r>
    </w:p>
    <w:p w14:paraId="61229281" w14:textId="7A179922" w:rsidR="002C555B" w:rsidRPr="002E769F" w:rsidRDefault="002C555B" w:rsidP="00EF0C20">
      <w:pPr>
        <w:rPr>
          <w:rFonts w:cstheme="minorHAnsi"/>
          <w:b/>
          <w:sz w:val="24"/>
          <w:szCs w:val="24"/>
          <w:u w:val="single"/>
        </w:rPr>
      </w:pPr>
      <w:r w:rsidRPr="002E769F">
        <w:rPr>
          <w:rFonts w:cstheme="minorHAnsi"/>
          <w:b/>
          <w:sz w:val="24"/>
          <w:szCs w:val="24"/>
          <w:u w:val="single"/>
        </w:rPr>
        <w:t>Serving Daycares:</w:t>
      </w:r>
    </w:p>
    <w:p w14:paraId="0C898FD3" w14:textId="65B58816" w:rsidR="006558FE" w:rsidRPr="002E769F" w:rsidRDefault="006558FE" w:rsidP="006558FE">
      <w:pPr>
        <w:pStyle w:val="ListParagraph"/>
        <w:numPr>
          <w:ilvl w:val="0"/>
          <w:numId w:val="7"/>
        </w:numPr>
        <w:rPr>
          <w:rFonts w:asciiTheme="minorHAnsi" w:hAnsiTheme="minorHAnsi" w:cstheme="minorHAnsi"/>
          <w:b/>
        </w:rPr>
      </w:pPr>
      <w:r w:rsidRPr="002E769F">
        <w:rPr>
          <w:rFonts w:asciiTheme="minorHAnsi" w:hAnsiTheme="minorHAnsi" w:cstheme="minorHAnsi"/>
          <w:b/>
        </w:rPr>
        <w:t xml:space="preserve">Can we deliver meals to daycares in our area? </w:t>
      </w:r>
    </w:p>
    <w:p w14:paraId="0032AEBB" w14:textId="6047E2A7" w:rsidR="006558FE" w:rsidRPr="002E769F" w:rsidRDefault="00C30443" w:rsidP="002E769F">
      <w:pPr>
        <w:ind w:left="720"/>
        <w:rPr>
          <w:rFonts w:cstheme="minorHAnsi"/>
          <w:b/>
          <w:sz w:val="24"/>
          <w:szCs w:val="24"/>
        </w:rPr>
      </w:pPr>
      <w:r w:rsidRPr="002E769F">
        <w:rPr>
          <w:rFonts w:cstheme="minorHAnsi"/>
          <w:sz w:val="24"/>
          <w:szCs w:val="24"/>
        </w:rPr>
        <w:t xml:space="preserve">Not under the non-congregate model, however, they can become a closed enrolled site under your sponsorship.  It is the responsibility of the sponsor to verify that the daycare is not operating the CACFP.  </w:t>
      </w:r>
    </w:p>
    <w:p w14:paraId="0811A3A4" w14:textId="468570EF" w:rsidR="002C555B" w:rsidRPr="002E769F" w:rsidRDefault="002C555B" w:rsidP="00EF0C20">
      <w:pPr>
        <w:rPr>
          <w:rFonts w:cstheme="minorHAnsi"/>
          <w:b/>
          <w:sz w:val="24"/>
          <w:szCs w:val="24"/>
          <w:u w:val="single"/>
        </w:rPr>
      </w:pPr>
      <w:r w:rsidRPr="002E769F">
        <w:rPr>
          <w:rFonts w:cstheme="minorHAnsi"/>
          <w:b/>
          <w:sz w:val="24"/>
          <w:szCs w:val="24"/>
          <w:u w:val="single"/>
        </w:rPr>
        <w:t>Partnerships:</w:t>
      </w:r>
    </w:p>
    <w:p w14:paraId="48EB2EBF" w14:textId="77777777" w:rsidR="00FE7552" w:rsidRPr="002E769F" w:rsidRDefault="00FE7552" w:rsidP="00FE7552">
      <w:pPr>
        <w:pStyle w:val="ListParagraph"/>
        <w:numPr>
          <w:ilvl w:val="0"/>
          <w:numId w:val="7"/>
        </w:numPr>
        <w:rPr>
          <w:rFonts w:asciiTheme="minorHAnsi" w:hAnsiTheme="minorHAnsi" w:cstheme="minorHAnsi"/>
          <w:b/>
        </w:rPr>
      </w:pPr>
      <w:r w:rsidRPr="002E769F">
        <w:rPr>
          <w:rFonts w:asciiTheme="minorHAnsi" w:hAnsiTheme="minorHAnsi" w:cstheme="minorHAnsi"/>
          <w:b/>
        </w:rPr>
        <w:t>Can sponsors partner with other organizations to distribute non-congregate meals?</w:t>
      </w:r>
    </w:p>
    <w:p w14:paraId="0831AB70" w14:textId="0C703D45" w:rsidR="00FE7552" w:rsidRPr="002E769F" w:rsidRDefault="00FE7552" w:rsidP="002E769F">
      <w:pPr>
        <w:ind w:left="720"/>
        <w:rPr>
          <w:rFonts w:cstheme="minorHAnsi"/>
          <w:b/>
          <w:sz w:val="24"/>
          <w:szCs w:val="24"/>
        </w:rPr>
      </w:pPr>
      <w:r w:rsidRPr="002E769F">
        <w:rPr>
          <w:rFonts w:cstheme="minorHAnsi"/>
          <w:sz w:val="24"/>
          <w:szCs w:val="24"/>
        </w:rPr>
        <w:t xml:space="preserve">Yes. Sponsors are encouraged to form partnerships with other organizations to expand the reach of summer meals. Examples include partnering with libraries, school administrators, public safety officers, meal delivery organizations, and foodbanks. Partnering organizations may help through promoting summer meals, hosting site(s), or providing the transportation of prepared meals to meal sites or participant homes. Sponsors must ensure that all sites operating summer meals are eligible and approved by ODE CNP prior to starting operations. ODE CNP encourages sponsors to look for partnerships within their communities and surrounding communities to ensure Oregon children have access to summer meals in their area. </w:t>
      </w:r>
    </w:p>
    <w:p w14:paraId="2C0F5F91" w14:textId="77777777" w:rsidR="00727116" w:rsidRDefault="00727116" w:rsidP="00EF0C20">
      <w:pPr>
        <w:rPr>
          <w:rFonts w:cstheme="minorHAnsi"/>
          <w:b/>
          <w:sz w:val="24"/>
          <w:szCs w:val="24"/>
          <w:u w:val="single"/>
        </w:rPr>
      </w:pPr>
    </w:p>
    <w:p w14:paraId="3D49178A" w14:textId="77777777" w:rsidR="00727116" w:rsidRDefault="00727116" w:rsidP="00EF0C20">
      <w:pPr>
        <w:rPr>
          <w:rFonts w:cstheme="minorHAnsi"/>
          <w:b/>
          <w:sz w:val="24"/>
          <w:szCs w:val="24"/>
          <w:u w:val="single"/>
        </w:rPr>
      </w:pPr>
    </w:p>
    <w:p w14:paraId="663B8E45" w14:textId="77777777" w:rsidR="00727116" w:rsidRDefault="00727116" w:rsidP="00EF0C20">
      <w:pPr>
        <w:rPr>
          <w:rFonts w:cstheme="minorHAnsi"/>
          <w:b/>
          <w:sz w:val="24"/>
          <w:szCs w:val="24"/>
          <w:u w:val="single"/>
        </w:rPr>
      </w:pPr>
    </w:p>
    <w:p w14:paraId="733CC05C" w14:textId="77777777" w:rsidR="00727116" w:rsidRDefault="00727116" w:rsidP="00EF0C20">
      <w:pPr>
        <w:rPr>
          <w:rFonts w:cstheme="minorHAnsi"/>
          <w:b/>
          <w:sz w:val="24"/>
          <w:szCs w:val="24"/>
          <w:u w:val="single"/>
        </w:rPr>
      </w:pPr>
    </w:p>
    <w:p w14:paraId="2B625BBC" w14:textId="303EC5F3" w:rsidR="00BE5D6B" w:rsidRPr="002E769F" w:rsidRDefault="00EB631A" w:rsidP="00EF0C20">
      <w:pPr>
        <w:rPr>
          <w:rFonts w:cstheme="minorHAnsi"/>
          <w:b/>
          <w:sz w:val="24"/>
          <w:szCs w:val="24"/>
          <w:u w:val="single"/>
        </w:rPr>
      </w:pPr>
      <w:r w:rsidRPr="002E769F">
        <w:rPr>
          <w:rFonts w:cstheme="minorHAnsi"/>
          <w:b/>
          <w:sz w:val="24"/>
          <w:szCs w:val="24"/>
          <w:u w:val="single"/>
        </w:rPr>
        <w:lastRenderedPageBreak/>
        <w:t>Miscellaneous Questions</w:t>
      </w:r>
      <w:r w:rsidR="00055CD5" w:rsidRPr="002E769F">
        <w:rPr>
          <w:rFonts w:cstheme="minorHAnsi"/>
          <w:b/>
          <w:sz w:val="24"/>
          <w:szCs w:val="24"/>
          <w:u w:val="single"/>
        </w:rPr>
        <w:t>:</w:t>
      </w:r>
    </w:p>
    <w:p w14:paraId="42C48635" w14:textId="332D5A70" w:rsidR="00055CD5" w:rsidRPr="002E769F" w:rsidRDefault="000820B1" w:rsidP="00744B6B">
      <w:pPr>
        <w:pStyle w:val="ListParagraph"/>
        <w:numPr>
          <w:ilvl w:val="0"/>
          <w:numId w:val="7"/>
        </w:numPr>
        <w:rPr>
          <w:rFonts w:asciiTheme="minorHAnsi" w:hAnsiTheme="minorHAnsi" w:cstheme="minorHAnsi"/>
          <w:b/>
        </w:rPr>
      </w:pPr>
      <w:r w:rsidRPr="002E769F">
        <w:rPr>
          <w:rFonts w:asciiTheme="minorHAnsi" w:hAnsiTheme="minorHAnsi" w:cstheme="minorHAnsi"/>
          <w:b/>
        </w:rPr>
        <w:t>Whom</w:t>
      </w:r>
      <w:r w:rsidR="001E5EDF" w:rsidRPr="002E769F">
        <w:rPr>
          <w:rFonts w:asciiTheme="minorHAnsi" w:hAnsiTheme="minorHAnsi" w:cstheme="minorHAnsi"/>
          <w:b/>
        </w:rPr>
        <w:t xml:space="preserve"> should sponsors contact with questions about non-congregate meal service for summer 2023?</w:t>
      </w:r>
    </w:p>
    <w:p w14:paraId="6DF34F0E" w14:textId="4D7AA3FC" w:rsidR="000820B1" w:rsidRPr="002E769F" w:rsidRDefault="000820B1" w:rsidP="002E769F">
      <w:pPr>
        <w:ind w:left="720"/>
        <w:rPr>
          <w:rFonts w:cstheme="minorHAnsi"/>
          <w:b/>
          <w:sz w:val="24"/>
          <w:szCs w:val="24"/>
        </w:rPr>
      </w:pPr>
      <w:r w:rsidRPr="002E769F">
        <w:rPr>
          <w:rFonts w:cstheme="minorHAnsi"/>
          <w:sz w:val="24"/>
          <w:szCs w:val="24"/>
        </w:rPr>
        <w:t xml:space="preserve">Sponsors with an existing Summer Food Service Program (SFSP) agreement should contact their assigned SFSP Child Nutrition Specialist. This information can be found at the top of the packet tab for the current SFSP fiscal year (FY) in CNPweb. A list of </w:t>
      </w:r>
      <w:hyperlink r:id="rId16" w:history="1">
        <w:r w:rsidRPr="002E769F">
          <w:rPr>
            <w:rStyle w:val="Hyperlink"/>
            <w:rFonts w:cstheme="minorHAnsi"/>
            <w:sz w:val="24"/>
            <w:szCs w:val="24"/>
          </w:rPr>
          <w:t>specialist assignments</w:t>
        </w:r>
      </w:hyperlink>
      <w:r w:rsidRPr="002E769F">
        <w:rPr>
          <w:rFonts w:cstheme="minorHAnsi"/>
          <w:sz w:val="24"/>
          <w:szCs w:val="24"/>
        </w:rPr>
        <w:t xml:space="preserve"> is also available on our ODE CNP SFSP Webpage. Organizations operating the SFSP may also contact </w:t>
      </w:r>
      <w:hyperlink r:id="rId17" w:history="1">
        <w:r w:rsidRPr="002E769F">
          <w:rPr>
            <w:rStyle w:val="Hyperlink"/>
            <w:rFonts w:cstheme="minorHAnsi"/>
            <w:sz w:val="24"/>
            <w:szCs w:val="24"/>
          </w:rPr>
          <w:t>ode.communitynutrition@ode.oregon.gov</w:t>
        </w:r>
      </w:hyperlink>
      <w:r w:rsidRPr="002E769F">
        <w:rPr>
          <w:rFonts w:cstheme="minorHAnsi"/>
          <w:sz w:val="24"/>
          <w:szCs w:val="24"/>
        </w:rPr>
        <w:t xml:space="preserve"> for assistance. </w:t>
      </w:r>
    </w:p>
    <w:p w14:paraId="3191DEC0" w14:textId="22D6141E" w:rsidR="005F53E4" w:rsidRPr="002E769F" w:rsidRDefault="000820B1" w:rsidP="002E769F">
      <w:pPr>
        <w:ind w:left="720"/>
        <w:rPr>
          <w:rFonts w:cstheme="minorHAnsi"/>
          <w:b/>
          <w:sz w:val="24"/>
          <w:szCs w:val="24"/>
        </w:rPr>
      </w:pPr>
      <w:r w:rsidRPr="002E769F">
        <w:rPr>
          <w:rFonts w:cstheme="minorHAnsi"/>
          <w:sz w:val="24"/>
          <w:szCs w:val="24"/>
        </w:rPr>
        <w:t xml:space="preserve">Current School Food Authorities (SFA) that operate the National School Lunch Program (NSLP) may elect to operate the Seamless Summer Option (SSO). SFAs choosing to operate SSO should contact their assigned NSLP Child Nutrition Specialist. This information can be found at the top of the packet tab for the current NSLP fiscal year in CNPweb. A list of </w:t>
      </w:r>
      <w:hyperlink r:id="rId18" w:history="1">
        <w:r w:rsidRPr="002E769F">
          <w:rPr>
            <w:rStyle w:val="Hyperlink"/>
            <w:rFonts w:cstheme="minorHAnsi"/>
            <w:sz w:val="24"/>
            <w:szCs w:val="24"/>
          </w:rPr>
          <w:t>specialist assignments</w:t>
        </w:r>
      </w:hyperlink>
      <w:r w:rsidRPr="002E769F">
        <w:rPr>
          <w:rFonts w:cstheme="minorHAnsi"/>
          <w:sz w:val="24"/>
          <w:szCs w:val="24"/>
        </w:rPr>
        <w:t xml:space="preserve"> is also available on our ODE CNP NSLP Webpage. SFAs operating the SSO may also contact </w:t>
      </w:r>
      <w:hyperlink r:id="rId19" w:history="1">
        <w:r w:rsidRPr="002E769F">
          <w:rPr>
            <w:rStyle w:val="Hyperlink"/>
            <w:rFonts w:cstheme="minorHAnsi"/>
            <w:sz w:val="24"/>
            <w:szCs w:val="24"/>
          </w:rPr>
          <w:t>ode.schoolnutrition@ode.oregon.gov</w:t>
        </w:r>
      </w:hyperlink>
      <w:r w:rsidRPr="002E769F">
        <w:rPr>
          <w:rFonts w:cstheme="minorHAnsi"/>
          <w:sz w:val="24"/>
          <w:szCs w:val="24"/>
        </w:rPr>
        <w:t xml:space="preserve"> for assistance. </w:t>
      </w:r>
    </w:p>
    <w:p w14:paraId="09CE830A" w14:textId="1003DB9E" w:rsidR="005F53E4" w:rsidRPr="00C30443" w:rsidRDefault="005F53E4">
      <w:pPr>
        <w:rPr>
          <w:rFonts w:cstheme="minorHAnsi"/>
          <w:b/>
        </w:rPr>
      </w:pPr>
      <w:r w:rsidRPr="00C30443">
        <w:rPr>
          <w:rFonts w:cstheme="minorHAnsi"/>
          <w:b/>
        </w:rPr>
        <w:br w:type="page"/>
      </w:r>
    </w:p>
    <w:p w14:paraId="0CE400C8" w14:textId="77777777" w:rsidR="00EB631A" w:rsidRDefault="00EB631A" w:rsidP="006558FE">
      <w:pPr>
        <w:ind w:left="1080"/>
        <w:jc w:val="center"/>
        <w:rPr>
          <w:rFonts w:cstheme="minorHAnsi"/>
          <w:b/>
          <w:sz w:val="32"/>
          <w:szCs w:val="32"/>
        </w:rPr>
        <w:sectPr w:rsidR="00EB631A" w:rsidSect="00EB631A">
          <w:footerReference w:type="default" r:id="rId20"/>
          <w:pgSz w:w="12240" w:h="15840"/>
          <w:pgMar w:top="1440" w:right="1440" w:bottom="1440" w:left="1440" w:header="720" w:footer="720" w:gutter="0"/>
          <w:cols w:space="720"/>
          <w:docGrid w:linePitch="360"/>
        </w:sectPr>
      </w:pPr>
    </w:p>
    <w:p w14:paraId="7F0CFB7C" w14:textId="36D462ED" w:rsidR="005F53E4" w:rsidRPr="00C30443" w:rsidRDefault="006558FE" w:rsidP="006558FE">
      <w:pPr>
        <w:ind w:left="1080"/>
        <w:jc w:val="center"/>
        <w:rPr>
          <w:rFonts w:cstheme="minorHAnsi"/>
          <w:b/>
          <w:sz w:val="32"/>
          <w:szCs w:val="32"/>
        </w:rPr>
      </w:pPr>
      <w:r w:rsidRPr="00C30443">
        <w:rPr>
          <w:rFonts w:cstheme="minorHAnsi"/>
          <w:b/>
          <w:sz w:val="32"/>
          <w:szCs w:val="32"/>
        </w:rPr>
        <w:lastRenderedPageBreak/>
        <w:t>Non-Congregate Comparison Chart of Nationwide Waivers versus Summer 2023</w:t>
      </w:r>
    </w:p>
    <w:tbl>
      <w:tblPr>
        <w:tblStyle w:val="TableGrid"/>
        <w:tblW w:w="14670" w:type="dxa"/>
        <w:tblInd w:w="-995" w:type="dxa"/>
        <w:tblLook w:val="04A0" w:firstRow="1" w:lastRow="0" w:firstColumn="1" w:lastColumn="0" w:noHBand="0" w:noVBand="1"/>
        <w:tblCaption w:val="Non-Congregate Comparison Chart of Nationwide Waviers versus Summer 2023"/>
        <w:tblDescription w:val="The table compares the following areas between non-congregate meals during 2020 through 2022 and non-congregate meals for summer 2023: Site Eligibility and Site Types, Meal Distribution Methods, Multiple Days of Unitized Meals, Bulk Meals, Parent/Guardian Pick-Up, Multiple Meal Types, Integrity Plan, Second Meals, and How to Apply. "/>
      </w:tblPr>
      <w:tblGrid>
        <w:gridCol w:w="2790"/>
        <w:gridCol w:w="5310"/>
        <w:gridCol w:w="6570"/>
      </w:tblGrid>
      <w:tr w:rsidR="00142D9A" w:rsidRPr="00C30443" w14:paraId="365DEEB9" w14:textId="77777777" w:rsidTr="002E769F">
        <w:trPr>
          <w:tblHeader/>
        </w:trPr>
        <w:tc>
          <w:tcPr>
            <w:tcW w:w="2790" w:type="dxa"/>
          </w:tcPr>
          <w:p w14:paraId="22796F10" w14:textId="77777777" w:rsidR="00142D9A" w:rsidRPr="00C30443" w:rsidRDefault="00142D9A" w:rsidP="006558FE">
            <w:pPr>
              <w:jc w:val="center"/>
              <w:rPr>
                <w:rFonts w:asciiTheme="minorHAnsi" w:hAnsiTheme="minorHAnsi" w:cstheme="minorHAnsi"/>
                <w:b/>
              </w:rPr>
            </w:pPr>
            <w:r w:rsidRPr="00C30443">
              <w:rPr>
                <w:rFonts w:asciiTheme="minorHAnsi" w:hAnsiTheme="minorHAnsi" w:cstheme="minorHAnsi"/>
                <w:b/>
              </w:rPr>
              <w:t>Topic</w:t>
            </w:r>
          </w:p>
        </w:tc>
        <w:tc>
          <w:tcPr>
            <w:tcW w:w="5310" w:type="dxa"/>
            <w:shd w:val="clear" w:color="auto" w:fill="D9D9D9" w:themeFill="background1" w:themeFillShade="D9"/>
          </w:tcPr>
          <w:p w14:paraId="36E5A0EF" w14:textId="711B3FB5" w:rsidR="00142D9A" w:rsidRPr="00C30443" w:rsidRDefault="00142D9A" w:rsidP="006558FE">
            <w:pPr>
              <w:jc w:val="center"/>
              <w:rPr>
                <w:rFonts w:asciiTheme="minorHAnsi" w:hAnsiTheme="minorHAnsi" w:cstheme="minorHAnsi"/>
                <w:b/>
              </w:rPr>
            </w:pPr>
            <w:r w:rsidRPr="00C30443">
              <w:rPr>
                <w:rFonts w:asciiTheme="minorHAnsi" w:hAnsiTheme="minorHAnsi" w:cstheme="minorHAnsi"/>
                <w:b/>
              </w:rPr>
              <w:t>2020 - 2022</w:t>
            </w:r>
          </w:p>
        </w:tc>
        <w:tc>
          <w:tcPr>
            <w:tcW w:w="6570" w:type="dxa"/>
          </w:tcPr>
          <w:p w14:paraId="225BC9EB" w14:textId="77777777" w:rsidR="00142D9A" w:rsidRPr="00C30443" w:rsidRDefault="00142D9A" w:rsidP="006558FE">
            <w:pPr>
              <w:jc w:val="center"/>
              <w:rPr>
                <w:rFonts w:asciiTheme="minorHAnsi" w:hAnsiTheme="minorHAnsi" w:cstheme="minorHAnsi"/>
                <w:b/>
              </w:rPr>
            </w:pPr>
            <w:r w:rsidRPr="00C30443">
              <w:rPr>
                <w:rFonts w:asciiTheme="minorHAnsi" w:hAnsiTheme="minorHAnsi" w:cstheme="minorHAnsi"/>
                <w:b/>
              </w:rPr>
              <w:t>2023</w:t>
            </w:r>
          </w:p>
        </w:tc>
      </w:tr>
      <w:tr w:rsidR="00142D9A" w:rsidRPr="00C30443" w14:paraId="5DE76C0E" w14:textId="77777777" w:rsidTr="002E769F">
        <w:tc>
          <w:tcPr>
            <w:tcW w:w="2790" w:type="dxa"/>
          </w:tcPr>
          <w:p w14:paraId="4C9C0B71" w14:textId="44EB6330"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Site Eligibility</w:t>
            </w:r>
            <w:r w:rsidR="00B82727" w:rsidRPr="00C30443">
              <w:rPr>
                <w:rFonts w:asciiTheme="minorHAnsi" w:hAnsiTheme="minorHAnsi" w:cstheme="minorHAnsi"/>
                <w:sz w:val="22"/>
                <w:szCs w:val="22"/>
              </w:rPr>
              <w:t xml:space="preserve"> and Site Types</w:t>
            </w:r>
          </w:p>
        </w:tc>
        <w:tc>
          <w:tcPr>
            <w:tcW w:w="5310" w:type="dxa"/>
            <w:shd w:val="clear" w:color="auto" w:fill="D9D9D9" w:themeFill="background1" w:themeFillShade="D9"/>
          </w:tcPr>
          <w:p w14:paraId="73C6BFCB" w14:textId="571700B2"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u w:val="single"/>
              </w:rPr>
              <w:t>Open</w:t>
            </w:r>
            <w:r w:rsidRPr="00C30443">
              <w:rPr>
                <w:rFonts w:asciiTheme="minorHAnsi" w:hAnsiTheme="minorHAnsi" w:cstheme="minorHAnsi"/>
                <w:sz w:val="22"/>
                <w:szCs w:val="22"/>
              </w:rPr>
              <w:t xml:space="preserve"> sites had all area eligibility requirements waived. </w:t>
            </w:r>
          </w:p>
          <w:p w14:paraId="2AB8CF53" w14:textId="77777777" w:rsidR="00142D9A" w:rsidRPr="00C30443" w:rsidRDefault="00142D9A" w:rsidP="003F79A4">
            <w:pPr>
              <w:rPr>
                <w:rFonts w:asciiTheme="minorHAnsi" w:hAnsiTheme="minorHAnsi" w:cstheme="minorHAnsi"/>
                <w:sz w:val="22"/>
                <w:szCs w:val="22"/>
              </w:rPr>
            </w:pPr>
          </w:p>
          <w:p w14:paraId="6A727297"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u w:val="single"/>
              </w:rPr>
              <w:t>Closed enrolled</w:t>
            </w:r>
            <w:r w:rsidRPr="00C30443">
              <w:rPr>
                <w:rFonts w:asciiTheme="minorHAnsi" w:hAnsiTheme="minorHAnsi" w:cstheme="minorHAnsi"/>
                <w:sz w:val="22"/>
                <w:szCs w:val="22"/>
              </w:rPr>
              <w:t xml:space="preserve"> sites had to meet area or participant eligibility requirements. </w:t>
            </w:r>
          </w:p>
          <w:p w14:paraId="612B4D46" w14:textId="77777777" w:rsidR="00142D9A" w:rsidRPr="00C30443" w:rsidRDefault="00142D9A" w:rsidP="003F79A4">
            <w:pPr>
              <w:rPr>
                <w:rFonts w:asciiTheme="minorHAnsi" w:hAnsiTheme="minorHAnsi" w:cstheme="minorHAnsi"/>
                <w:sz w:val="22"/>
                <w:szCs w:val="22"/>
              </w:rPr>
            </w:pPr>
          </w:p>
          <w:p w14:paraId="0EF6714E" w14:textId="12895113" w:rsidR="00142D9A" w:rsidRPr="00C30443" w:rsidRDefault="00142D9A" w:rsidP="00142D9A">
            <w:pPr>
              <w:rPr>
                <w:rFonts w:asciiTheme="minorHAnsi" w:hAnsiTheme="minorHAnsi" w:cstheme="minorHAnsi"/>
                <w:sz w:val="22"/>
                <w:szCs w:val="22"/>
              </w:rPr>
            </w:pPr>
            <w:r w:rsidRPr="00C30443">
              <w:rPr>
                <w:rFonts w:asciiTheme="minorHAnsi" w:hAnsiTheme="minorHAnsi" w:cstheme="minorHAnsi"/>
                <w:b/>
                <w:sz w:val="22"/>
                <w:szCs w:val="22"/>
                <w:u w:val="single"/>
              </w:rPr>
              <w:t>Camp</w:t>
            </w:r>
            <w:r w:rsidRPr="00C30443">
              <w:rPr>
                <w:rFonts w:asciiTheme="minorHAnsi" w:hAnsiTheme="minorHAnsi" w:cstheme="minorHAnsi"/>
                <w:sz w:val="22"/>
                <w:szCs w:val="22"/>
              </w:rPr>
              <w:t xml:space="preserve"> </w:t>
            </w:r>
            <w:r w:rsidR="00F4194B" w:rsidRPr="00C30443">
              <w:rPr>
                <w:rFonts w:asciiTheme="minorHAnsi" w:hAnsiTheme="minorHAnsi" w:cstheme="minorHAnsi"/>
                <w:sz w:val="22"/>
                <w:szCs w:val="22"/>
              </w:rPr>
              <w:t xml:space="preserve"> </w:t>
            </w:r>
            <w:r w:rsidRPr="00C30443">
              <w:rPr>
                <w:rFonts w:asciiTheme="minorHAnsi" w:hAnsiTheme="minorHAnsi" w:cstheme="minorHAnsi"/>
                <w:sz w:val="22"/>
                <w:szCs w:val="22"/>
              </w:rPr>
              <w:t xml:space="preserve">sites serving residential participants were required to collect income applications. </w:t>
            </w:r>
          </w:p>
        </w:tc>
        <w:tc>
          <w:tcPr>
            <w:tcW w:w="6570" w:type="dxa"/>
          </w:tcPr>
          <w:p w14:paraId="4DE1BF51" w14:textId="7E9E892F" w:rsidR="00DE3CE0" w:rsidRPr="00C30443" w:rsidRDefault="00F4194B" w:rsidP="00DE3CE0">
            <w:pPr>
              <w:rPr>
                <w:rFonts w:asciiTheme="minorHAnsi" w:hAnsiTheme="minorHAnsi" w:cstheme="minorHAnsi"/>
                <w:sz w:val="22"/>
                <w:szCs w:val="22"/>
              </w:rPr>
            </w:pPr>
            <w:r w:rsidRPr="00C30443">
              <w:rPr>
                <w:rFonts w:asciiTheme="minorHAnsi" w:hAnsiTheme="minorHAnsi" w:cstheme="minorHAnsi"/>
                <w:sz w:val="22"/>
                <w:szCs w:val="22"/>
              </w:rPr>
              <w:t xml:space="preserve">All site types may be eligible if the following is met. See </w:t>
            </w:r>
            <w:hyperlink r:id="rId21" w:history="1">
              <w:r w:rsidRPr="00EB631A">
                <w:rPr>
                  <w:rStyle w:val="Hyperlink"/>
                  <w:rFonts w:asciiTheme="minorHAnsi" w:hAnsiTheme="minorHAnsi" w:cstheme="minorHAnsi"/>
                  <w:sz w:val="22"/>
                  <w:szCs w:val="22"/>
                </w:rPr>
                <w:t>SFSP Site Type Comparison Chart</w:t>
              </w:r>
            </w:hyperlink>
            <w:r w:rsidRPr="00C30443">
              <w:rPr>
                <w:rFonts w:asciiTheme="minorHAnsi" w:hAnsiTheme="minorHAnsi" w:cstheme="minorHAnsi"/>
                <w:sz w:val="22"/>
                <w:szCs w:val="22"/>
              </w:rPr>
              <w:t xml:space="preserve"> for information about different site types operated under SFSP. </w:t>
            </w:r>
          </w:p>
          <w:p w14:paraId="1F65821F" w14:textId="18BE0C12" w:rsidR="00142D9A" w:rsidRPr="00C30443" w:rsidRDefault="00142D9A" w:rsidP="00BE5D6B">
            <w:pPr>
              <w:pStyle w:val="ListParagraph"/>
              <w:numPr>
                <w:ilvl w:val="0"/>
                <w:numId w:val="3"/>
              </w:numPr>
              <w:spacing w:after="0"/>
              <w:rPr>
                <w:rFonts w:asciiTheme="minorHAnsi" w:hAnsiTheme="minorHAnsi" w:cstheme="minorHAnsi"/>
                <w:sz w:val="22"/>
                <w:szCs w:val="22"/>
              </w:rPr>
            </w:pPr>
            <w:r w:rsidRPr="00C30443">
              <w:rPr>
                <w:rFonts w:asciiTheme="minorHAnsi" w:hAnsiTheme="minorHAnsi" w:cstheme="minorHAnsi"/>
                <w:b/>
                <w:sz w:val="22"/>
                <w:szCs w:val="22"/>
              </w:rPr>
              <w:t>Rural Area</w:t>
            </w:r>
            <w:r w:rsidRPr="00C30443">
              <w:rPr>
                <w:rFonts w:asciiTheme="minorHAnsi" w:hAnsiTheme="minorHAnsi" w:cstheme="minorHAnsi"/>
                <w:sz w:val="22"/>
                <w:szCs w:val="22"/>
              </w:rPr>
              <w:t xml:space="preserve"> – the address of the site must be located in a rural area per either:</w:t>
            </w:r>
          </w:p>
          <w:p w14:paraId="143DAF5D" w14:textId="2B9ADEE0" w:rsidR="00142D9A" w:rsidRPr="00C30443" w:rsidRDefault="00727116" w:rsidP="00BE5D6B">
            <w:pPr>
              <w:pStyle w:val="ListParagraph"/>
              <w:numPr>
                <w:ilvl w:val="0"/>
                <w:numId w:val="2"/>
              </w:numPr>
              <w:spacing w:after="0"/>
              <w:rPr>
                <w:rFonts w:asciiTheme="minorHAnsi" w:hAnsiTheme="minorHAnsi" w:cstheme="minorHAnsi"/>
                <w:sz w:val="22"/>
                <w:szCs w:val="22"/>
              </w:rPr>
            </w:pPr>
            <w:hyperlink r:id="rId22" w:history="1">
              <w:r w:rsidR="00142D9A" w:rsidRPr="00075418">
                <w:rPr>
                  <w:rStyle w:val="Hyperlink"/>
                  <w:rFonts w:asciiTheme="minorHAnsi" w:hAnsiTheme="minorHAnsi" w:cstheme="minorHAnsi"/>
                  <w:sz w:val="22"/>
                  <w:szCs w:val="22"/>
                </w:rPr>
                <w:t>Rural Determination Map</w:t>
              </w:r>
            </w:hyperlink>
          </w:p>
          <w:p w14:paraId="68974E80" w14:textId="4B99345E" w:rsidR="00142D9A" w:rsidRPr="002E769F" w:rsidRDefault="00727116" w:rsidP="003F79A4">
            <w:pPr>
              <w:pStyle w:val="ListParagraph"/>
              <w:numPr>
                <w:ilvl w:val="0"/>
                <w:numId w:val="2"/>
              </w:numPr>
              <w:spacing w:after="0"/>
              <w:rPr>
                <w:rFonts w:asciiTheme="minorHAnsi" w:hAnsiTheme="minorHAnsi" w:cstheme="minorHAnsi"/>
                <w:sz w:val="22"/>
                <w:szCs w:val="22"/>
              </w:rPr>
            </w:pPr>
            <w:hyperlink r:id="rId23" w:history="1">
              <w:r w:rsidR="00142D9A" w:rsidRPr="00075418">
                <w:rPr>
                  <w:rStyle w:val="Hyperlink"/>
                  <w:rFonts w:asciiTheme="minorHAnsi" w:hAnsiTheme="minorHAnsi" w:cstheme="minorHAnsi"/>
                  <w:sz w:val="22"/>
                  <w:szCs w:val="22"/>
                </w:rPr>
                <w:t>Rural Development Tool</w:t>
              </w:r>
            </w:hyperlink>
          </w:p>
          <w:p w14:paraId="3EC484F5" w14:textId="4740161D" w:rsidR="00142D9A" w:rsidRPr="00C30443" w:rsidRDefault="00142D9A" w:rsidP="003F79A4">
            <w:pPr>
              <w:rPr>
                <w:rFonts w:asciiTheme="minorHAnsi" w:hAnsiTheme="minorHAnsi" w:cstheme="minorHAnsi"/>
                <w:b/>
                <w:sz w:val="22"/>
                <w:szCs w:val="22"/>
              </w:rPr>
            </w:pPr>
            <w:r w:rsidRPr="00C30443">
              <w:rPr>
                <w:rFonts w:asciiTheme="minorHAnsi" w:hAnsiTheme="minorHAnsi" w:cstheme="minorHAnsi"/>
                <w:b/>
                <w:sz w:val="22"/>
                <w:szCs w:val="22"/>
              </w:rPr>
              <w:t>AND</w:t>
            </w:r>
          </w:p>
          <w:p w14:paraId="142D703E" w14:textId="3850C85B" w:rsidR="00142D9A" w:rsidRPr="00C30443" w:rsidRDefault="00727116" w:rsidP="00BE5D6B">
            <w:pPr>
              <w:pStyle w:val="ListParagraph"/>
              <w:numPr>
                <w:ilvl w:val="0"/>
                <w:numId w:val="3"/>
              </w:numPr>
              <w:spacing w:after="0"/>
              <w:rPr>
                <w:rFonts w:asciiTheme="minorHAnsi" w:hAnsiTheme="minorHAnsi" w:cstheme="minorHAnsi"/>
                <w:b/>
                <w:sz w:val="22"/>
                <w:szCs w:val="22"/>
              </w:rPr>
            </w:pPr>
            <w:hyperlink r:id="rId24" w:history="1">
              <w:r w:rsidR="00142D9A" w:rsidRPr="00075418">
                <w:rPr>
                  <w:rStyle w:val="Hyperlink"/>
                  <w:rFonts w:asciiTheme="minorHAnsi" w:hAnsiTheme="minorHAnsi" w:cstheme="minorHAnsi"/>
                  <w:b/>
                  <w:sz w:val="22"/>
                  <w:szCs w:val="22"/>
                </w:rPr>
                <w:t>Area Eligible</w:t>
              </w:r>
            </w:hyperlink>
            <w:r w:rsidR="00142D9A" w:rsidRPr="00C30443">
              <w:rPr>
                <w:rFonts w:asciiTheme="minorHAnsi" w:hAnsiTheme="minorHAnsi" w:cstheme="minorHAnsi"/>
                <w:sz w:val="22"/>
                <w:szCs w:val="22"/>
              </w:rPr>
              <w:t xml:space="preserve"> – the address of the site must be located in an area with 50% Free/Reduced Price eligible participants.  </w:t>
            </w:r>
            <w:r w:rsidR="00F4194B" w:rsidRPr="00C30443">
              <w:rPr>
                <w:rFonts w:asciiTheme="minorHAnsi" w:hAnsiTheme="minorHAnsi" w:cstheme="minorHAnsi"/>
                <w:sz w:val="22"/>
                <w:szCs w:val="22"/>
              </w:rPr>
              <w:t xml:space="preserve">Available for open and closed enrolled sites. </w:t>
            </w:r>
          </w:p>
          <w:p w14:paraId="2E37A7B5" w14:textId="77777777" w:rsidR="00142D9A" w:rsidRPr="00C30443" w:rsidRDefault="00142D9A" w:rsidP="003F79A4">
            <w:pPr>
              <w:rPr>
                <w:rFonts w:asciiTheme="minorHAnsi" w:hAnsiTheme="minorHAnsi" w:cstheme="minorHAnsi"/>
                <w:b/>
                <w:sz w:val="22"/>
                <w:szCs w:val="22"/>
              </w:rPr>
            </w:pPr>
            <w:r w:rsidRPr="00C30443">
              <w:rPr>
                <w:rFonts w:asciiTheme="minorHAnsi" w:hAnsiTheme="minorHAnsi" w:cstheme="minorHAnsi"/>
                <w:b/>
                <w:sz w:val="22"/>
                <w:szCs w:val="22"/>
              </w:rPr>
              <w:t>OR</w:t>
            </w:r>
          </w:p>
          <w:p w14:paraId="28299289" w14:textId="11B0E353" w:rsidR="00142D9A" w:rsidRPr="00C30443" w:rsidRDefault="00727116" w:rsidP="003F79A4">
            <w:pPr>
              <w:ind w:left="434"/>
              <w:rPr>
                <w:rFonts w:asciiTheme="minorHAnsi" w:hAnsiTheme="minorHAnsi" w:cstheme="minorHAnsi"/>
                <w:sz w:val="22"/>
                <w:szCs w:val="22"/>
              </w:rPr>
            </w:pPr>
            <w:hyperlink r:id="rId25" w:history="1">
              <w:r w:rsidR="00142D9A" w:rsidRPr="00075418">
                <w:rPr>
                  <w:rStyle w:val="Hyperlink"/>
                  <w:rFonts w:asciiTheme="minorHAnsi" w:hAnsiTheme="minorHAnsi" w:cstheme="minorHAnsi"/>
                  <w:b/>
                  <w:sz w:val="22"/>
                  <w:szCs w:val="22"/>
                </w:rPr>
                <w:t>Participant Eligibility</w:t>
              </w:r>
            </w:hyperlink>
            <w:r w:rsidR="00142D9A" w:rsidRPr="00C30443">
              <w:rPr>
                <w:rFonts w:asciiTheme="minorHAnsi" w:hAnsiTheme="minorHAnsi" w:cstheme="minorHAnsi"/>
                <w:b/>
                <w:sz w:val="22"/>
                <w:szCs w:val="22"/>
              </w:rPr>
              <w:t xml:space="preserve"> </w:t>
            </w:r>
            <w:r w:rsidR="00142D9A" w:rsidRPr="00C30443">
              <w:rPr>
                <w:rFonts w:asciiTheme="minorHAnsi" w:hAnsiTheme="minorHAnsi" w:cstheme="minorHAnsi"/>
                <w:sz w:val="22"/>
                <w:szCs w:val="22"/>
              </w:rPr>
              <w:t xml:space="preserve">– Participants attending the summer site are determined eligible based on income and/or categorical eligibility. </w:t>
            </w:r>
            <w:r w:rsidR="00F4194B" w:rsidRPr="00C30443">
              <w:rPr>
                <w:rFonts w:asciiTheme="minorHAnsi" w:hAnsiTheme="minorHAnsi" w:cstheme="minorHAnsi"/>
                <w:sz w:val="22"/>
                <w:szCs w:val="22"/>
              </w:rPr>
              <w:t xml:space="preserve">Available for closed enrolled and camp sites. </w:t>
            </w:r>
          </w:p>
        </w:tc>
      </w:tr>
      <w:tr w:rsidR="00142D9A" w:rsidRPr="00C30443" w14:paraId="3FA1377B" w14:textId="77777777" w:rsidTr="002E769F">
        <w:tc>
          <w:tcPr>
            <w:tcW w:w="2790" w:type="dxa"/>
          </w:tcPr>
          <w:p w14:paraId="7963CB67"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Meal Distribution Methods</w:t>
            </w:r>
          </w:p>
          <w:p w14:paraId="047F32BF" w14:textId="77777777" w:rsidR="00142D9A" w:rsidRPr="00C30443" w:rsidRDefault="00142D9A" w:rsidP="00BE5D6B">
            <w:pPr>
              <w:pStyle w:val="ListParagraph"/>
              <w:numPr>
                <w:ilvl w:val="0"/>
                <w:numId w:val="1"/>
              </w:numPr>
              <w:spacing w:after="0"/>
              <w:rPr>
                <w:rFonts w:asciiTheme="minorHAnsi" w:hAnsiTheme="minorHAnsi" w:cstheme="minorHAnsi"/>
                <w:sz w:val="22"/>
                <w:szCs w:val="22"/>
              </w:rPr>
            </w:pPr>
            <w:r w:rsidRPr="00C30443">
              <w:rPr>
                <w:rFonts w:asciiTheme="minorHAnsi" w:hAnsiTheme="minorHAnsi" w:cstheme="minorHAnsi"/>
                <w:sz w:val="22"/>
                <w:szCs w:val="22"/>
              </w:rPr>
              <w:t>Meal Pick-Up</w:t>
            </w:r>
          </w:p>
          <w:p w14:paraId="1ECA7479" w14:textId="77777777" w:rsidR="00142D9A" w:rsidRPr="00C30443" w:rsidRDefault="00142D9A" w:rsidP="00BE5D6B">
            <w:pPr>
              <w:pStyle w:val="ListParagraph"/>
              <w:numPr>
                <w:ilvl w:val="0"/>
                <w:numId w:val="1"/>
              </w:numPr>
              <w:spacing w:after="0"/>
              <w:rPr>
                <w:rFonts w:asciiTheme="minorHAnsi" w:hAnsiTheme="minorHAnsi" w:cstheme="minorHAnsi"/>
                <w:sz w:val="22"/>
                <w:szCs w:val="22"/>
              </w:rPr>
            </w:pPr>
            <w:r w:rsidRPr="00C30443">
              <w:rPr>
                <w:rFonts w:asciiTheme="minorHAnsi" w:hAnsiTheme="minorHAnsi" w:cstheme="minorHAnsi"/>
                <w:sz w:val="22"/>
                <w:szCs w:val="22"/>
              </w:rPr>
              <w:t>Home Delivery</w:t>
            </w:r>
          </w:p>
          <w:p w14:paraId="57E30A71" w14:textId="77777777" w:rsidR="00142D9A" w:rsidRPr="00C30443" w:rsidRDefault="00142D9A" w:rsidP="003F79A4">
            <w:pPr>
              <w:pStyle w:val="ListParagraph"/>
              <w:numPr>
                <w:ilvl w:val="0"/>
                <w:numId w:val="1"/>
              </w:numPr>
              <w:spacing w:after="0"/>
              <w:rPr>
                <w:rFonts w:asciiTheme="minorHAnsi" w:hAnsiTheme="minorHAnsi" w:cstheme="minorHAnsi"/>
                <w:sz w:val="22"/>
                <w:szCs w:val="22"/>
              </w:rPr>
            </w:pPr>
            <w:r w:rsidRPr="00C30443">
              <w:rPr>
                <w:rFonts w:asciiTheme="minorHAnsi" w:hAnsiTheme="minorHAnsi" w:cstheme="minorHAnsi"/>
                <w:sz w:val="22"/>
                <w:szCs w:val="22"/>
              </w:rPr>
              <w:t>Bus Routes</w:t>
            </w:r>
          </w:p>
        </w:tc>
        <w:tc>
          <w:tcPr>
            <w:tcW w:w="5310" w:type="dxa"/>
            <w:shd w:val="clear" w:color="auto" w:fill="D9D9D9" w:themeFill="background1" w:themeFillShade="D9"/>
          </w:tcPr>
          <w:p w14:paraId="47FF610A"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rPr>
              <w:t xml:space="preserve">Meal Pick-Up </w:t>
            </w:r>
            <w:r w:rsidRPr="00C30443">
              <w:rPr>
                <w:rFonts w:asciiTheme="minorHAnsi" w:hAnsiTheme="minorHAnsi" w:cstheme="minorHAnsi"/>
                <w:sz w:val="22"/>
                <w:szCs w:val="22"/>
              </w:rPr>
              <w:t xml:space="preserve">– Meals were allowed to be picked up from an approved site listed in CNPweb. </w:t>
            </w:r>
          </w:p>
          <w:p w14:paraId="2B3A8A43" w14:textId="77777777" w:rsidR="00142D9A" w:rsidRPr="00C30443" w:rsidRDefault="00142D9A" w:rsidP="003F79A4">
            <w:pPr>
              <w:rPr>
                <w:rFonts w:asciiTheme="minorHAnsi" w:hAnsiTheme="minorHAnsi" w:cstheme="minorHAnsi"/>
                <w:sz w:val="22"/>
                <w:szCs w:val="22"/>
              </w:rPr>
            </w:pPr>
          </w:p>
          <w:p w14:paraId="7FD6E6B5"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rPr>
              <w:t>Home Delivery</w:t>
            </w:r>
            <w:r w:rsidRPr="00C30443">
              <w:rPr>
                <w:rFonts w:asciiTheme="minorHAnsi" w:hAnsiTheme="minorHAnsi" w:cstheme="minorHAnsi"/>
                <w:sz w:val="22"/>
                <w:szCs w:val="22"/>
              </w:rPr>
              <w:t xml:space="preserve"> – Meals were allowed to be delivered directly to participant residences. </w:t>
            </w:r>
          </w:p>
          <w:p w14:paraId="725D9AB2" w14:textId="77777777" w:rsidR="00142D9A" w:rsidRPr="00C30443" w:rsidRDefault="00142D9A" w:rsidP="003F79A4">
            <w:pPr>
              <w:rPr>
                <w:rFonts w:asciiTheme="minorHAnsi" w:hAnsiTheme="minorHAnsi" w:cstheme="minorHAnsi"/>
                <w:sz w:val="22"/>
                <w:szCs w:val="22"/>
              </w:rPr>
            </w:pPr>
          </w:p>
          <w:p w14:paraId="0C04A311"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rPr>
              <w:t>Bus Routes</w:t>
            </w:r>
            <w:r w:rsidRPr="00C30443">
              <w:rPr>
                <w:rFonts w:asciiTheme="minorHAnsi" w:hAnsiTheme="minorHAnsi" w:cstheme="minorHAnsi"/>
                <w:sz w:val="22"/>
                <w:szCs w:val="22"/>
              </w:rPr>
              <w:t xml:space="preserve"> – Meals were allowed to be distributed at multiple bus stops along a route that left an approved site listed in CNPweb.</w:t>
            </w:r>
          </w:p>
        </w:tc>
        <w:tc>
          <w:tcPr>
            <w:tcW w:w="6570" w:type="dxa"/>
          </w:tcPr>
          <w:p w14:paraId="28F07528"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rPr>
              <w:t xml:space="preserve">Meal Pick-Up </w:t>
            </w:r>
            <w:r w:rsidRPr="00C30443">
              <w:rPr>
                <w:rFonts w:asciiTheme="minorHAnsi" w:hAnsiTheme="minorHAnsi" w:cstheme="minorHAnsi"/>
                <w:sz w:val="22"/>
                <w:szCs w:val="22"/>
              </w:rPr>
              <w:t xml:space="preserve">– Meals are allowed to be picked up from an approved site listed in CNPweb. </w:t>
            </w:r>
          </w:p>
          <w:p w14:paraId="2BCB38EE" w14:textId="77777777" w:rsidR="00142D9A" w:rsidRPr="00C30443" w:rsidRDefault="00142D9A" w:rsidP="003F79A4">
            <w:pPr>
              <w:rPr>
                <w:rFonts w:asciiTheme="minorHAnsi" w:hAnsiTheme="minorHAnsi" w:cstheme="minorHAnsi"/>
                <w:sz w:val="22"/>
                <w:szCs w:val="22"/>
              </w:rPr>
            </w:pPr>
          </w:p>
          <w:p w14:paraId="2E53BB2F"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rPr>
              <w:t>Home Delivery</w:t>
            </w:r>
            <w:r w:rsidRPr="00C30443">
              <w:rPr>
                <w:rFonts w:asciiTheme="minorHAnsi" w:hAnsiTheme="minorHAnsi" w:cstheme="minorHAnsi"/>
                <w:sz w:val="22"/>
                <w:szCs w:val="22"/>
              </w:rPr>
              <w:t xml:space="preserve"> – Meals are allowed to be delivered directly to participant residences. </w:t>
            </w:r>
          </w:p>
          <w:p w14:paraId="5D40C0CE" w14:textId="77777777" w:rsidR="00142D9A" w:rsidRPr="00C30443" w:rsidRDefault="00142D9A" w:rsidP="003F79A4">
            <w:pPr>
              <w:rPr>
                <w:rFonts w:asciiTheme="minorHAnsi" w:hAnsiTheme="minorHAnsi" w:cstheme="minorHAnsi"/>
                <w:sz w:val="22"/>
                <w:szCs w:val="22"/>
              </w:rPr>
            </w:pPr>
          </w:p>
          <w:p w14:paraId="18318AA9"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b/>
                <w:sz w:val="22"/>
                <w:szCs w:val="22"/>
              </w:rPr>
              <w:t>Bus Routes</w:t>
            </w:r>
            <w:r w:rsidRPr="00C30443">
              <w:rPr>
                <w:rFonts w:asciiTheme="minorHAnsi" w:hAnsiTheme="minorHAnsi" w:cstheme="minorHAnsi"/>
                <w:sz w:val="22"/>
                <w:szCs w:val="22"/>
              </w:rPr>
              <w:t xml:space="preserve"> – Not allowed. Sponsors that want to do a mobile meal route with non-congregate meal service must have each stop approved as an individual site in CNPweb. </w:t>
            </w:r>
          </w:p>
        </w:tc>
      </w:tr>
      <w:tr w:rsidR="00142D9A" w:rsidRPr="00C30443" w14:paraId="2C098636" w14:textId="77777777" w:rsidTr="002E769F">
        <w:tc>
          <w:tcPr>
            <w:tcW w:w="2790" w:type="dxa"/>
          </w:tcPr>
          <w:p w14:paraId="26DA4B78"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Multiple Days of Unitized Meals</w:t>
            </w:r>
          </w:p>
        </w:tc>
        <w:tc>
          <w:tcPr>
            <w:tcW w:w="5310" w:type="dxa"/>
            <w:shd w:val="clear" w:color="auto" w:fill="D9D9D9" w:themeFill="background1" w:themeFillShade="D9"/>
          </w:tcPr>
          <w:p w14:paraId="232F577F"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Sites were approved to serve up to 7 days’ worth of meals at one time.</w:t>
            </w:r>
          </w:p>
        </w:tc>
        <w:tc>
          <w:tcPr>
            <w:tcW w:w="6570" w:type="dxa"/>
          </w:tcPr>
          <w:p w14:paraId="6A3C72B5"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 xml:space="preserve">May be approved to serve up to 7 days’ worth of meals at one time.  </w:t>
            </w:r>
          </w:p>
        </w:tc>
      </w:tr>
      <w:tr w:rsidR="00142D9A" w:rsidRPr="00C30443" w14:paraId="790D877F" w14:textId="77777777" w:rsidTr="002E769F">
        <w:tc>
          <w:tcPr>
            <w:tcW w:w="2790" w:type="dxa"/>
          </w:tcPr>
          <w:p w14:paraId="046E9425"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Bulk Meals</w:t>
            </w:r>
          </w:p>
        </w:tc>
        <w:tc>
          <w:tcPr>
            <w:tcW w:w="5310" w:type="dxa"/>
            <w:shd w:val="clear" w:color="auto" w:fill="D9D9D9" w:themeFill="background1" w:themeFillShade="D9"/>
          </w:tcPr>
          <w:p w14:paraId="322BAB40" w14:textId="6DBB1B26"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 xml:space="preserve">Sites were allowed to distribute </w:t>
            </w:r>
            <w:r w:rsidR="00DA2DDA" w:rsidRPr="00C30443">
              <w:rPr>
                <w:rFonts w:asciiTheme="minorHAnsi" w:hAnsiTheme="minorHAnsi" w:cstheme="minorHAnsi"/>
                <w:sz w:val="22"/>
                <w:szCs w:val="22"/>
              </w:rPr>
              <w:t xml:space="preserve">bulk meals </w:t>
            </w:r>
          </w:p>
        </w:tc>
        <w:tc>
          <w:tcPr>
            <w:tcW w:w="6570" w:type="dxa"/>
          </w:tcPr>
          <w:p w14:paraId="50557244"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Not allowed</w:t>
            </w:r>
          </w:p>
        </w:tc>
      </w:tr>
      <w:tr w:rsidR="00142D9A" w:rsidRPr="00C30443" w14:paraId="62431CF6" w14:textId="77777777" w:rsidTr="002E769F">
        <w:tc>
          <w:tcPr>
            <w:tcW w:w="2790" w:type="dxa"/>
          </w:tcPr>
          <w:p w14:paraId="17140974"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Parent/Guardian Pick-Up</w:t>
            </w:r>
          </w:p>
        </w:tc>
        <w:tc>
          <w:tcPr>
            <w:tcW w:w="5310" w:type="dxa"/>
            <w:shd w:val="clear" w:color="auto" w:fill="D9D9D9" w:themeFill="background1" w:themeFillShade="D9"/>
          </w:tcPr>
          <w:p w14:paraId="0B7C3D7D" w14:textId="0AA9512A"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Allowed</w:t>
            </w:r>
          </w:p>
        </w:tc>
        <w:tc>
          <w:tcPr>
            <w:tcW w:w="6570" w:type="dxa"/>
          </w:tcPr>
          <w:p w14:paraId="384FA393"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Allowed</w:t>
            </w:r>
          </w:p>
        </w:tc>
      </w:tr>
      <w:tr w:rsidR="00142D9A" w:rsidRPr="00C30443" w14:paraId="24984562" w14:textId="77777777" w:rsidTr="002E769F">
        <w:tc>
          <w:tcPr>
            <w:tcW w:w="2790" w:type="dxa"/>
          </w:tcPr>
          <w:p w14:paraId="43BAEC0C"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Multiple Meal Types</w:t>
            </w:r>
          </w:p>
        </w:tc>
        <w:tc>
          <w:tcPr>
            <w:tcW w:w="5310" w:type="dxa"/>
            <w:shd w:val="clear" w:color="auto" w:fill="D9D9D9" w:themeFill="background1" w:themeFillShade="D9"/>
          </w:tcPr>
          <w:p w14:paraId="5F4EE195"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Allowed</w:t>
            </w:r>
          </w:p>
        </w:tc>
        <w:tc>
          <w:tcPr>
            <w:tcW w:w="6570" w:type="dxa"/>
          </w:tcPr>
          <w:p w14:paraId="70310BA2"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Allowed</w:t>
            </w:r>
          </w:p>
        </w:tc>
      </w:tr>
      <w:tr w:rsidR="00142D9A" w:rsidRPr="00C30443" w14:paraId="40ADA8B2" w14:textId="77777777" w:rsidTr="002E769F">
        <w:tc>
          <w:tcPr>
            <w:tcW w:w="2790" w:type="dxa"/>
          </w:tcPr>
          <w:p w14:paraId="00AA7A13"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Integrity Plan</w:t>
            </w:r>
          </w:p>
        </w:tc>
        <w:tc>
          <w:tcPr>
            <w:tcW w:w="5310" w:type="dxa"/>
            <w:shd w:val="clear" w:color="auto" w:fill="D9D9D9" w:themeFill="background1" w:themeFillShade="D9"/>
          </w:tcPr>
          <w:p w14:paraId="28498BD5"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Sponsors were required to have a plan in place to ensure that duplicate meals were not claimed for participants.</w:t>
            </w:r>
          </w:p>
        </w:tc>
        <w:tc>
          <w:tcPr>
            <w:tcW w:w="6570" w:type="dxa"/>
          </w:tcPr>
          <w:p w14:paraId="28863BB7"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Sponsors are required to have a plan in place to ensure that duplicate meals were not claimed for participants.</w:t>
            </w:r>
          </w:p>
        </w:tc>
      </w:tr>
      <w:tr w:rsidR="00142D9A" w:rsidRPr="00C30443" w14:paraId="761BD814" w14:textId="77777777" w:rsidTr="002E769F">
        <w:tc>
          <w:tcPr>
            <w:tcW w:w="2790" w:type="dxa"/>
          </w:tcPr>
          <w:p w14:paraId="612D8240"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Second Meals</w:t>
            </w:r>
          </w:p>
        </w:tc>
        <w:tc>
          <w:tcPr>
            <w:tcW w:w="5310" w:type="dxa"/>
            <w:shd w:val="clear" w:color="auto" w:fill="D9D9D9" w:themeFill="background1" w:themeFillShade="D9"/>
          </w:tcPr>
          <w:p w14:paraId="2E139C1A"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Not allowed</w:t>
            </w:r>
          </w:p>
        </w:tc>
        <w:tc>
          <w:tcPr>
            <w:tcW w:w="6570" w:type="dxa"/>
          </w:tcPr>
          <w:p w14:paraId="41585E06"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Not allowed</w:t>
            </w:r>
          </w:p>
        </w:tc>
      </w:tr>
      <w:tr w:rsidR="00142D9A" w:rsidRPr="00C30443" w14:paraId="3434F709" w14:textId="77777777" w:rsidTr="002E769F">
        <w:tc>
          <w:tcPr>
            <w:tcW w:w="2790" w:type="dxa"/>
          </w:tcPr>
          <w:p w14:paraId="253D778B"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How to Apply</w:t>
            </w:r>
          </w:p>
        </w:tc>
        <w:tc>
          <w:tcPr>
            <w:tcW w:w="5310" w:type="dxa"/>
            <w:shd w:val="clear" w:color="auto" w:fill="D9D9D9" w:themeFill="background1" w:themeFillShade="D9"/>
          </w:tcPr>
          <w:p w14:paraId="5D195BFB"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Meal Distribution Plan and CNPweb Application</w:t>
            </w:r>
          </w:p>
        </w:tc>
        <w:tc>
          <w:tcPr>
            <w:tcW w:w="6570" w:type="dxa"/>
          </w:tcPr>
          <w:p w14:paraId="30EAA126" w14:textId="77777777" w:rsidR="00142D9A" w:rsidRPr="00C30443" w:rsidRDefault="00142D9A" w:rsidP="003F79A4">
            <w:pPr>
              <w:rPr>
                <w:rFonts w:asciiTheme="minorHAnsi" w:hAnsiTheme="minorHAnsi" w:cstheme="minorHAnsi"/>
                <w:sz w:val="22"/>
                <w:szCs w:val="22"/>
              </w:rPr>
            </w:pPr>
            <w:r w:rsidRPr="00C30443">
              <w:rPr>
                <w:rFonts w:asciiTheme="minorHAnsi" w:hAnsiTheme="minorHAnsi" w:cstheme="minorHAnsi"/>
                <w:sz w:val="22"/>
                <w:szCs w:val="22"/>
              </w:rPr>
              <w:t>Meal Distribution Plan and CNPweb Application</w:t>
            </w:r>
          </w:p>
        </w:tc>
      </w:tr>
    </w:tbl>
    <w:p w14:paraId="6C51F31E" w14:textId="610523B8" w:rsidR="001A2074" w:rsidRDefault="001A2074" w:rsidP="002E769F"/>
    <w:sectPr w:rsidR="001A2074" w:rsidSect="002E769F">
      <w:pgSz w:w="15840" w:h="12240" w:orient="landscape"/>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8149C" w14:textId="77777777" w:rsidR="00EB3D64" w:rsidRDefault="00EB3D64" w:rsidP="00EB3D64">
      <w:pPr>
        <w:spacing w:after="0" w:line="240" w:lineRule="auto"/>
      </w:pPr>
      <w:r>
        <w:separator/>
      </w:r>
    </w:p>
  </w:endnote>
  <w:endnote w:type="continuationSeparator" w:id="0">
    <w:p w14:paraId="60408A76" w14:textId="77777777" w:rsidR="00EB3D64" w:rsidRDefault="00EB3D64" w:rsidP="00EB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FA36" w14:textId="483A25ED" w:rsidR="00EF1D8C" w:rsidRDefault="002E769F" w:rsidP="002E769F">
    <w:pPr>
      <w:pStyle w:val="Footer"/>
    </w:pPr>
    <w:r>
      <w:t>4/13/2023</w:t>
    </w:r>
    <w:r>
      <w:tab/>
    </w:r>
    <w:r w:rsidR="00EF1D8C">
      <w:tab/>
    </w:r>
    <w:sdt>
      <w:sdtPr>
        <w:id w:val="-444085241"/>
        <w:docPartObj>
          <w:docPartGallery w:val="Page Numbers (Bottom of Page)"/>
          <w:docPartUnique/>
        </w:docPartObj>
      </w:sdtPr>
      <w:sdtEndPr>
        <w:rPr>
          <w:noProof/>
        </w:rPr>
      </w:sdtEndPr>
      <w:sdtContent>
        <w:r w:rsidR="00EF1D8C">
          <w:fldChar w:fldCharType="begin"/>
        </w:r>
        <w:r w:rsidR="00EF1D8C">
          <w:instrText xml:space="preserve"> PAGE   \* MERGEFORMAT </w:instrText>
        </w:r>
        <w:r w:rsidR="00EF1D8C">
          <w:fldChar w:fldCharType="separate"/>
        </w:r>
        <w:r w:rsidR="00727116">
          <w:rPr>
            <w:noProof/>
          </w:rPr>
          <w:t>6</w:t>
        </w:r>
        <w:r w:rsidR="00EF1D8C">
          <w:rPr>
            <w:noProof/>
          </w:rPr>
          <w:fldChar w:fldCharType="end"/>
        </w:r>
      </w:sdtContent>
    </w:sdt>
  </w:p>
  <w:p w14:paraId="19E9BA7E" w14:textId="1C496D11" w:rsidR="00EB3D64" w:rsidRDefault="00EB3D64" w:rsidP="00EB3D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55604" w14:textId="77777777" w:rsidR="00EB3D64" w:rsidRDefault="00EB3D64" w:rsidP="00EB3D64">
      <w:pPr>
        <w:spacing w:after="0" w:line="240" w:lineRule="auto"/>
      </w:pPr>
      <w:r>
        <w:separator/>
      </w:r>
    </w:p>
  </w:footnote>
  <w:footnote w:type="continuationSeparator" w:id="0">
    <w:p w14:paraId="039B30BE" w14:textId="77777777" w:rsidR="00EB3D64" w:rsidRDefault="00EB3D64" w:rsidP="00EB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A67"/>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50DB0"/>
    <w:multiLevelType w:val="hybridMultilevel"/>
    <w:tmpl w:val="B6986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92789"/>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5B0381"/>
    <w:multiLevelType w:val="hybridMultilevel"/>
    <w:tmpl w:val="BE2407C6"/>
    <w:lvl w:ilvl="0" w:tplc="0409000F">
      <w:start w:val="1"/>
      <w:numFmt w:val="decimal"/>
      <w:lvlText w:val="%1."/>
      <w:lvlJc w:val="left"/>
      <w:pPr>
        <w:ind w:left="720" w:hanging="360"/>
      </w:pPr>
      <w:rPr>
        <w:rFonts w:hint="default"/>
      </w:rPr>
    </w:lvl>
    <w:lvl w:ilvl="1" w:tplc="7B328B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22299"/>
    <w:multiLevelType w:val="hybridMultilevel"/>
    <w:tmpl w:val="F6DCE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C45F9F"/>
    <w:multiLevelType w:val="hybridMultilevel"/>
    <w:tmpl w:val="C576DD26"/>
    <w:lvl w:ilvl="0" w:tplc="961409F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0F605F"/>
    <w:multiLevelType w:val="hybridMultilevel"/>
    <w:tmpl w:val="B694EF72"/>
    <w:lvl w:ilvl="0" w:tplc="D6E47868">
      <w:start w:val="20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A792F"/>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5C0F13"/>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594CCC"/>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D00191"/>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5F1F39"/>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7D7F4A"/>
    <w:multiLevelType w:val="hybridMultilevel"/>
    <w:tmpl w:val="569CF676"/>
    <w:lvl w:ilvl="0" w:tplc="33A6E3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012341"/>
    <w:multiLevelType w:val="hybridMultilevel"/>
    <w:tmpl w:val="9A98621E"/>
    <w:lvl w:ilvl="0" w:tplc="75DA944E">
      <w:start w:val="1"/>
      <w:numFmt w:val="decimal"/>
      <w:lvlText w:val="%1."/>
      <w:lvlJc w:val="left"/>
      <w:pPr>
        <w:ind w:left="720" w:hanging="360"/>
      </w:pPr>
      <w:rPr>
        <w:rFonts w:asciiTheme="minorHAnsi" w:hAnsiTheme="minorHAnsi" w:cstheme="minorHAnsi" w:hint="default"/>
        <w:b/>
      </w:r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D6E76"/>
    <w:multiLevelType w:val="hybridMultilevel"/>
    <w:tmpl w:val="1CB8345E"/>
    <w:lvl w:ilvl="0" w:tplc="85F0D8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EC79BC"/>
    <w:multiLevelType w:val="hybridMultilevel"/>
    <w:tmpl w:val="C2A85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D8CFDE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2"/>
  </w:num>
  <w:num w:numId="4">
    <w:abstractNumId w:val="15"/>
  </w:num>
  <w:num w:numId="5">
    <w:abstractNumId w:val="3"/>
  </w:num>
  <w:num w:numId="6">
    <w:abstractNumId w:val="1"/>
  </w:num>
  <w:num w:numId="7">
    <w:abstractNumId w:val="13"/>
  </w:num>
  <w:num w:numId="8">
    <w:abstractNumId w:val="10"/>
  </w:num>
  <w:num w:numId="9">
    <w:abstractNumId w:val="14"/>
  </w:num>
  <w:num w:numId="10">
    <w:abstractNumId w:val="0"/>
  </w:num>
  <w:num w:numId="11">
    <w:abstractNumId w:val="7"/>
  </w:num>
  <w:num w:numId="12">
    <w:abstractNumId w:val="11"/>
  </w:num>
  <w:num w:numId="13">
    <w:abstractNumId w:val="2"/>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20"/>
    <w:rsid w:val="0002054F"/>
    <w:rsid w:val="00055CD5"/>
    <w:rsid w:val="00075418"/>
    <w:rsid w:val="000820B1"/>
    <w:rsid w:val="000F1630"/>
    <w:rsid w:val="000F3FF4"/>
    <w:rsid w:val="00142D9A"/>
    <w:rsid w:val="001A2074"/>
    <w:rsid w:val="001E5EDF"/>
    <w:rsid w:val="002820EE"/>
    <w:rsid w:val="002C555B"/>
    <w:rsid w:val="002D7F80"/>
    <w:rsid w:val="002E769F"/>
    <w:rsid w:val="004058C9"/>
    <w:rsid w:val="004640C1"/>
    <w:rsid w:val="00520439"/>
    <w:rsid w:val="00525268"/>
    <w:rsid w:val="00560AB0"/>
    <w:rsid w:val="005610DC"/>
    <w:rsid w:val="00587935"/>
    <w:rsid w:val="0059735D"/>
    <w:rsid w:val="005F53E4"/>
    <w:rsid w:val="00604CAA"/>
    <w:rsid w:val="006558FE"/>
    <w:rsid w:val="00684C4B"/>
    <w:rsid w:val="00727116"/>
    <w:rsid w:val="00744B6B"/>
    <w:rsid w:val="007D3367"/>
    <w:rsid w:val="008013B6"/>
    <w:rsid w:val="008B2FCD"/>
    <w:rsid w:val="00932BB4"/>
    <w:rsid w:val="00A25DC9"/>
    <w:rsid w:val="00A3242D"/>
    <w:rsid w:val="00AD3172"/>
    <w:rsid w:val="00B0247C"/>
    <w:rsid w:val="00B102C4"/>
    <w:rsid w:val="00B3509B"/>
    <w:rsid w:val="00B82727"/>
    <w:rsid w:val="00BE5D6B"/>
    <w:rsid w:val="00C30443"/>
    <w:rsid w:val="00C6197D"/>
    <w:rsid w:val="00C66DDE"/>
    <w:rsid w:val="00CE1442"/>
    <w:rsid w:val="00D41C65"/>
    <w:rsid w:val="00DA2DDA"/>
    <w:rsid w:val="00DE3CE0"/>
    <w:rsid w:val="00E63C6F"/>
    <w:rsid w:val="00EB3D64"/>
    <w:rsid w:val="00EB631A"/>
    <w:rsid w:val="00EF0C20"/>
    <w:rsid w:val="00EF1D8C"/>
    <w:rsid w:val="00F4194B"/>
    <w:rsid w:val="00FE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64CD5"/>
  <w15:chartTrackingRefBased/>
  <w15:docId w15:val="{24068C2C-1F56-4819-AC35-9649FB09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D6B"/>
    <w:rPr>
      <w:color w:val="0563C1" w:themeColor="hyperlink"/>
      <w:u w:val="single"/>
    </w:rPr>
  </w:style>
  <w:style w:type="table" w:styleId="TableGrid">
    <w:name w:val="Table Grid"/>
    <w:basedOn w:val="TableNormal"/>
    <w:uiPriority w:val="59"/>
    <w:rsid w:val="00BE5D6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D6B"/>
    <w:pPr>
      <w:spacing w:after="200"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E5D6B"/>
    <w:rPr>
      <w:sz w:val="16"/>
      <w:szCs w:val="16"/>
    </w:rPr>
  </w:style>
  <w:style w:type="paragraph" w:styleId="CommentText">
    <w:name w:val="annotation text"/>
    <w:basedOn w:val="Normal"/>
    <w:link w:val="CommentTextChar"/>
    <w:uiPriority w:val="99"/>
    <w:semiHidden/>
    <w:unhideWhenUsed/>
    <w:rsid w:val="00BE5D6B"/>
    <w:pPr>
      <w:spacing w:after="20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E5D6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E5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D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2D9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42D9A"/>
    <w:rPr>
      <w:rFonts w:ascii="Times New Roman" w:hAnsi="Times New Roman" w:cs="Times New Roman"/>
      <w:b/>
      <w:bCs/>
      <w:sz w:val="20"/>
      <w:szCs w:val="20"/>
    </w:rPr>
  </w:style>
  <w:style w:type="paragraph" w:styleId="Title">
    <w:name w:val="Title"/>
    <w:basedOn w:val="Normal"/>
    <w:next w:val="Normal"/>
    <w:link w:val="TitleChar"/>
    <w:uiPriority w:val="10"/>
    <w:qFormat/>
    <w:rsid w:val="00AD31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7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B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D64"/>
  </w:style>
  <w:style w:type="paragraph" w:styleId="Footer">
    <w:name w:val="footer"/>
    <w:basedOn w:val="Normal"/>
    <w:link w:val="FooterChar"/>
    <w:uiPriority w:val="99"/>
    <w:unhideWhenUsed/>
    <w:rsid w:val="00EB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7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fsp/rural-designation" TargetMode="External"/><Relationship Id="rId13" Type="http://schemas.openxmlformats.org/officeDocument/2006/relationships/hyperlink" Target="http://www.fairdata2000.com/SummerFood/" TargetMode="External"/><Relationship Id="rId18" Type="http://schemas.openxmlformats.org/officeDocument/2006/relationships/hyperlink" Target="https://www.oregon.gov/ode/students-and-family/childnutrition/SNP/Documents/Sponsor%20Support%20List.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regon.gov/ode/students-and-family/childnutrition/sfsp/Documents/SFSP%20Comparison%20Handout%20Accessible.pdf" TargetMode="External"/><Relationship Id="rId7" Type="http://schemas.openxmlformats.org/officeDocument/2006/relationships/endnotes" Target="endnotes.xml"/><Relationship Id="rId12" Type="http://schemas.openxmlformats.org/officeDocument/2006/relationships/hyperlink" Target="https://www.fns.usda.gov/area-eligibility" TargetMode="External"/><Relationship Id="rId17" Type="http://schemas.openxmlformats.org/officeDocument/2006/relationships/hyperlink" Target="mailto:ode.communitynutrition@ode.oregon.gov" TargetMode="External"/><Relationship Id="rId25" Type="http://schemas.openxmlformats.org/officeDocument/2006/relationships/hyperlink" Target="https://youtu.be/isHhmt7tDx8" TargetMode="External"/><Relationship Id="rId2" Type="http://schemas.openxmlformats.org/officeDocument/2006/relationships/numbering" Target="numbering.xml"/><Relationship Id="rId16" Type="http://schemas.openxmlformats.org/officeDocument/2006/relationships/hyperlink" Target="https://www.oregon.gov/ode/students-and-family/childnutrition/sfsp/Pages/default.aspx" TargetMode="External"/><Relationship Id="rId20" Type="http://schemas.openxmlformats.org/officeDocument/2006/relationships/footer" Target="foot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childnutrition/sfsp/Documents/2023%20Site%20Eligibility%20for%20CACFP%20and%20SFSP.pdf" TargetMode="External"/><Relationship Id="rId24" Type="http://schemas.openxmlformats.org/officeDocument/2006/relationships/hyperlink" Target="https://youtu.be/Wu8l9m13aNk" TargetMode="External"/><Relationship Id="rId5" Type="http://schemas.openxmlformats.org/officeDocument/2006/relationships/webSettings" Target="webSettings.xml"/><Relationship Id="rId15" Type="http://schemas.openxmlformats.org/officeDocument/2006/relationships/hyperlink" Target="https://www.oregon.gov/ode/students-and-family/childnutrition/sfsp/Documents/2023%20Site%20Eligibility%20for%20CACFP%20and%20SFSP.pdf" TargetMode="External"/><Relationship Id="rId23" Type="http://schemas.openxmlformats.org/officeDocument/2006/relationships/hyperlink" Target="https://eligibility.sc.egov.usda.gov/eligibility/welcomeAction.do?pageAction=CFG" TargetMode="External"/><Relationship Id="rId28" Type="http://schemas.openxmlformats.org/officeDocument/2006/relationships/customXml" Target="../customXml/item2.xml"/><Relationship Id="rId10" Type="http://schemas.openxmlformats.org/officeDocument/2006/relationships/hyperlink" Target="https://www.oregon.gov/ode/students-and-family/childnutrition/sfsp/Pages/default.aspx" TargetMode="External"/><Relationship Id="rId19" Type="http://schemas.openxmlformats.org/officeDocument/2006/relationships/hyperlink" Target="mailto:ode.schoolnutrition@ode.oregon.gov" TargetMode="External"/><Relationship Id="rId4" Type="http://schemas.openxmlformats.org/officeDocument/2006/relationships/settings" Target="settings.xml"/><Relationship Id="rId9" Type="http://schemas.openxmlformats.org/officeDocument/2006/relationships/hyperlink" Target="https://eligibility.sc.egov.usda.gov/eligibility/welcomeAction.do" TargetMode="External"/><Relationship Id="rId14" Type="http://schemas.openxmlformats.org/officeDocument/2006/relationships/hyperlink" Target="https://www.oregon.gov/ode/students-and-family/childnutrition/sfsp/Documents/area-eligibility-worksheet.xlsx" TargetMode="External"/><Relationship Id="rId22" Type="http://schemas.openxmlformats.org/officeDocument/2006/relationships/hyperlink" Target="https://www.fns.usda.gov/sfsp/rural-designation"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2023-04-14T14:45:41+00:00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EAF5E9FF-0E3C-4F22-9A1F-868E49BD9907}">
  <ds:schemaRefs>
    <ds:schemaRef ds:uri="http://schemas.openxmlformats.org/officeDocument/2006/bibliography"/>
  </ds:schemaRefs>
</ds:datastoreItem>
</file>

<file path=customXml/itemProps2.xml><?xml version="1.0" encoding="utf-8"?>
<ds:datastoreItem xmlns:ds="http://schemas.openxmlformats.org/officeDocument/2006/customXml" ds:itemID="{85DE5795-F57C-43F4-9FAC-97B9FD8D8EA2}"/>
</file>

<file path=customXml/itemProps3.xml><?xml version="1.0" encoding="utf-8"?>
<ds:datastoreItem xmlns:ds="http://schemas.openxmlformats.org/officeDocument/2006/customXml" ds:itemID="{BDBC35F0-D520-4701-B43D-8D4FFD6A7A25}"/>
</file>

<file path=customXml/itemProps4.xml><?xml version="1.0" encoding="utf-8"?>
<ds:datastoreItem xmlns:ds="http://schemas.openxmlformats.org/officeDocument/2006/customXml" ds:itemID="{DB5056A6-FF5D-4FD5-A3CF-47A56B190E3D}"/>
</file>

<file path=docProps/app.xml><?xml version="1.0" encoding="utf-8"?>
<Properties xmlns="http://schemas.openxmlformats.org/officeDocument/2006/extended-properties" xmlns:vt="http://schemas.openxmlformats.org/officeDocument/2006/docPropsVTypes">
  <Template>Normal</Template>
  <TotalTime>719</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Cathy * ODE</dc:creator>
  <cp:keywords/>
  <dc:description/>
  <cp:lastModifiedBy>TSCHIDA Meghan * ODE</cp:lastModifiedBy>
  <cp:revision>24</cp:revision>
  <dcterms:created xsi:type="dcterms:W3CDTF">2023-04-06T21:02:00Z</dcterms:created>
  <dcterms:modified xsi:type="dcterms:W3CDTF">2023-04-13T21:08:00Z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