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A3B4" w14:textId="77777777" w:rsidR="002C696B" w:rsidRDefault="002C696B" w:rsidP="002C696B">
      <w:pPr>
        <w:jc w:val="center"/>
        <w:rPr>
          <w:rFonts w:ascii="Segoe UI" w:hAnsi="Segoe UI" w:cs="Segoe UI"/>
          <w:b/>
          <w:szCs w:val="24"/>
        </w:rPr>
      </w:pPr>
    </w:p>
    <w:p w14:paraId="7F15E80F" w14:textId="77777777" w:rsidR="001770D2" w:rsidRPr="002C696B" w:rsidRDefault="002C696B" w:rsidP="002C696B">
      <w:pPr>
        <w:jc w:val="center"/>
        <w:rPr>
          <w:rFonts w:ascii="Segoe UI" w:hAnsi="Segoe UI" w:cs="Segoe UI"/>
          <w:b/>
          <w:szCs w:val="24"/>
        </w:rPr>
      </w:pPr>
      <w:r>
        <w:rPr>
          <w:rFonts w:ascii="Segoe UI" w:hAnsi="Segoe UI" w:cs="Segoe UI"/>
          <w:b/>
          <w:szCs w:val="24"/>
        </w:rPr>
        <w:t>Dental Screenings at School</w:t>
      </w:r>
    </w:p>
    <w:p w14:paraId="06748615" w14:textId="77777777" w:rsidR="001770D2" w:rsidRPr="002C696B" w:rsidRDefault="001770D2" w:rsidP="001770D2">
      <w:pPr>
        <w:rPr>
          <w:rFonts w:ascii="Segoe UI" w:hAnsi="Segoe UI" w:cs="Segoe UI"/>
          <w:szCs w:val="24"/>
        </w:rPr>
      </w:pPr>
      <w:r w:rsidRPr="002C696B">
        <w:rPr>
          <w:rFonts w:ascii="Segoe UI" w:hAnsi="Segoe UI" w:cs="Segoe UI"/>
          <w:szCs w:val="24"/>
        </w:rPr>
        <w:t>A school may choose to provide dental certification screenings at school.  The screenings may be conducted using passive consent (i.e. all children are screened except those children providing an opt-out form).</w:t>
      </w:r>
    </w:p>
    <w:p w14:paraId="3F488635" w14:textId="77777777" w:rsidR="001770D2" w:rsidRPr="002C696B" w:rsidRDefault="001770D2" w:rsidP="001770D2">
      <w:pPr>
        <w:rPr>
          <w:rFonts w:ascii="Segoe UI" w:hAnsi="Segoe UI" w:cs="Segoe UI"/>
          <w:szCs w:val="24"/>
        </w:rPr>
      </w:pPr>
      <w:r w:rsidRPr="002C696B">
        <w:rPr>
          <w:rFonts w:ascii="Segoe UI" w:hAnsi="Segoe UI" w:cs="Segoe UI"/>
          <w:szCs w:val="24"/>
        </w:rPr>
        <w:t xml:space="preserve">The screenings must be provided by one of the following: </w:t>
      </w:r>
    </w:p>
    <w:p w14:paraId="5C516A08" w14:textId="77777777" w:rsidR="001770D2" w:rsidRPr="002C696B" w:rsidRDefault="001770D2" w:rsidP="001770D2">
      <w:pPr>
        <w:pStyle w:val="ListParagraph"/>
        <w:numPr>
          <w:ilvl w:val="0"/>
          <w:numId w:val="4"/>
        </w:numPr>
        <w:rPr>
          <w:rFonts w:ascii="Segoe UI" w:hAnsi="Segoe UI" w:cs="Segoe UI"/>
          <w:szCs w:val="24"/>
        </w:rPr>
      </w:pPr>
      <w:r w:rsidRPr="002C696B">
        <w:rPr>
          <w:rFonts w:ascii="Segoe UI" w:hAnsi="Segoe UI" w:cs="Segoe UI"/>
          <w:szCs w:val="24"/>
        </w:rPr>
        <w:t>Dentist;</w:t>
      </w:r>
    </w:p>
    <w:p w14:paraId="3A5D9963" w14:textId="77777777" w:rsidR="001770D2" w:rsidRPr="002C696B" w:rsidRDefault="001770D2" w:rsidP="001770D2">
      <w:pPr>
        <w:pStyle w:val="ListParagraph"/>
        <w:numPr>
          <w:ilvl w:val="0"/>
          <w:numId w:val="4"/>
        </w:numPr>
        <w:rPr>
          <w:rFonts w:ascii="Segoe UI" w:hAnsi="Segoe UI" w:cs="Segoe UI"/>
          <w:szCs w:val="24"/>
        </w:rPr>
      </w:pPr>
      <w:r w:rsidRPr="002C696B">
        <w:rPr>
          <w:rFonts w:ascii="Segoe UI" w:hAnsi="Segoe UI" w:cs="Segoe UI"/>
          <w:szCs w:val="24"/>
        </w:rPr>
        <w:t>Dental hygienist;</w:t>
      </w:r>
    </w:p>
    <w:p w14:paraId="33D234B2" w14:textId="77777777" w:rsidR="001770D2" w:rsidRPr="002C696B" w:rsidRDefault="001770D2" w:rsidP="001770D2">
      <w:pPr>
        <w:pStyle w:val="ListParagraph"/>
        <w:numPr>
          <w:ilvl w:val="0"/>
          <w:numId w:val="4"/>
        </w:numPr>
        <w:rPr>
          <w:rFonts w:ascii="Segoe UI" w:hAnsi="Segoe UI" w:cs="Segoe UI"/>
          <w:szCs w:val="24"/>
        </w:rPr>
      </w:pPr>
      <w:r w:rsidRPr="002C696B">
        <w:rPr>
          <w:rFonts w:ascii="Segoe UI" w:hAnsi="Segoe UI" w:cs="Segoe UI"/>
          <w:szCs w:val="24"/>
        </w:rPr>
        <w:t>Health care practitioner; or</w:t>
      </w:r>
    </w:p>
    <w:p w14:paraId="223C6051" w14:textId="77777777" w:rsidR="001770D2" w:rsidRPr="002C696B" w:rsidRDefault="001770D2" w:rsidP="001770D2">
      <w:pPr>
        <w:pStyle w:val="ListParagraph"/>
        <w:numPr>
          <w:ilvl w:val="0"/>
          <w:numId w:val="4"/>
        </w:numPr>
        <w:rPr>
          <w:rFonts w:ascii="Segoe UI" w:hAnsi="Segoe UI" w:cs="Segoe UI"/>
          <w:szCs w:val="24"/>
        </w:rPr>
      </w:pPr>
      <w:r w:rsidRPr="002C696B">
        <w:rPr>
          <w:rFonts w:ascii="Segoe UI" w:hAnsi="Segoe UI" w:cs="Segoe UI"/>
          <w:szCs w:val="24"/>
        </w:rPr>
        <w:t xml:space="preserve">Employee of an education provider trained by the guidelines established by the State Dental Director </w:t>
      </w:r>
    </w:p>
    <w:p w14:paraId="0147BA21" w14:textId="77777777" w:rsidR="001770D2" w:rsidRPr="002C696B" w:rsidRDefault="001770D2" w:rsidP="001770D2">
      <w:pPr>
        <w:spacing w:line="240" w:lineRule="auto"/>
        <w:rPr>
          <w:rFonts w:ascii="Segoe UI" w:hAnsi="Segoe UI" w:cs="Segoe UI"/>
          <w:szCs w:val="24"/>
        </w:rPr>
      </w:pPr>
      <w:r w:rsidRPr="002C696B">
        <w:rPr>
          <w:rFonts w:ascii="Segoe UI" w:hAnsi="Segoe UI" w:cs="Segoe UI"/>
          <w:b/>
          <w:szCs w:val="24"/>
        </w:rPr>
        <w:t>Training guidelines</w:t>
      </w:r>
      <w:r w:rsidRPr="002C696B">
        <w:rPr>
          <w:rFonts w:ascii="Segoe UI" w:hAnsi="Segoe UI" w:cs="Segoe UI"/>
          <w:szCs w:val="24"/>
        </w:rPr>
        <w:t>: The State Dental Director requires screeners to follow the Basic Screening Survey (BSS) guidelines established by the Association of State and Territorial Dental Directors (ASTDD).  The guidelines are presented in these videos:</w:t>
      </w:r>
    </w:p>
    <w:p w14:paraId="37BC2808" w14:textId="77777777" w:rsidR="001770D2" w:rsidRPr="002C696B" w:rsidRDefault="001770D2" w:rsidP="001770D2">
      <w:pPr>
        <w:pStyle w:val="ListParagraph"/>
        <w:numPr>
          <w:ilvl w:val="0"/>
          <w:numId w:val="2"/>
        </w:numPr>
        <w:rPr>
          <w:rFonts w:ascii="Segoe UI" w:hAnsi="Segoe UI" w:cs="Segoe UI"/>
          <w:szCs w:val="24"/>
        </w:rPr>
      </w:pPr>
      <w:r w:rsidRPr="002C696B">
        <w:rPr>
          <w:rFonts w:ascii="Segoe UI" w:hAnsi="Segoe UI" w:cs="Segoe UI"/>
          <w:szCs w:val="24"/>
        </w:rPr>
        <w:t>Video: ASTDD Basic Screening Survey for Dental Professionals (20 minutes)</w:t>
      </w:r>
    </w:p>
    <w:p w14:paraId="48587C8B" w14:textId="77777777" w:rsidR="001770D2" w:rsidRPr="002C696B" w:rsidRDefault="001770D2" w:rsidP="001770D2">
      <w:pPr>
        <w:pStyle w:val="ListParagraph"/>
        <w:numPr>
          <w:ilvl w:val="0"/>
          <w:numId w:val="2"/>
        </w:numPr>
        <w:rPr>
          <w:rFonts w:ascii="Segoe UI" w:hAnsi="Segoe UI" w:cs="Segoe UI"/>
          <w:szCs w:val="24"/>
        </w:rPr>
      </w:pPr>
      <w:r w:rsidRPr="002C696B">
        <w:rPr>
          <w:rFonts w:ascii="Segoe UI" w:hAnsi="Segoe UI" w:cs="Segoe UI"/>
          <w:szCs w:val="24"/>
        </w:rPr>
        <w:t>Video: ASTDD Basic Screening Survey for Non-Dental Professionals (20 minutes)</w:t>
      </w:r>
    </w:p>
    <w:p w14:paraId="05AECA4C" w14:textId="77777777" w:rsidR="001770D2" w:rsidRPr="002C696B" w:rsidRDefault="001770D2" w:rsidP="001770D2">
      <w:pPr>
        <w:rPr>
          <w:rFonts w:ascii="Segoe UI" w:hAnsi="Segoe UI" w:cs="Segoe UI"/>
          <w:szCs w:val="24"/>
        </w:rPr>
      </w:pPr>
      <w:r w:rsidRPr="002C696B">
        <w:rPr>
          <w:rFonts w:ascii="Segoe UI" w:hAnsi="Segoe UI" w:cs="Segoe UI"/>
          <w:b/>
          <w:szCs w:val="24"/>
        </w:rPr>
        <w:t>Please note:</w:t>
      </w:r>
      <w:r w:rsidRPr="002C696B">
        <w:rPr>
          <w:rFonts w:ascii="Segoe UI" w:hAnsi="Segoe UI" w:cs="Segoe UI"/>
          <w:szCs w:val="24"/>
        </w:rPr>
        <w:t xml:space="preserve">  </w:t>
      </w:r>
    </w:p>
    <w:p w14:paraId="1D938B5F" w14:textId="77777777" w:rsidR="001770D2" w:rsidRPr="002C696B" w:rsidRDefault="001770D2" w:rsidP="001770D2">
      <w:pPr>
        <w:pStyle w:val="ListParagraph"/>
        <w:numPr>
          <w:ilvl w:val="0"/>
          <w:numId w:val="5"/>
        </w:numPr>
        <w:rPr>
          <w:rFonts w:ascii="Segoe UI" w:hAnsi="Segoe UI" w:cs="Segoe UI"/>
          <w:szCs w:val="24"/>
        </w:rPr>
      </w:pPr>
      <w:r w:rsidRPr="002C696B">
        <w:rPr>
          <w:rFonts w:ascii="Segoe UI" w:hAnsi="Segoe UI" w:cs="Segoe UI"/>
          <w:szCs w:val="24"/>
        </w:rPr>
        <w:t>For certification screenings, only the categories of need are documented (i.e. untreated decay).  It is not necessary to document the presence of fillings or sealants.</w:t>
      </w:r>
    </w:p>
    <w:p w14:paraId="4056731C" w14:textId="77777777" w:rsidR="001770D2" w:rsidRPr="002C696B" w:rsidRDefault="001770D2" w:rsidP="001770D2">
      <w:pPr>
        <w:pStyle w:val="ListParagraph"/>
        <w:numPr>
          <w:ilvl w:val="0"/>
          <w:numId w:val="3"/>
        </w:numPr>
        <w:rPr>
          <w:rFonts w:ascii="Segoe UI" w:hAnsi="Segoe UI" w:cs="Segoe UI"/>
          <w:szCs w:val="24"/>
        </w:rPr>
      </w:pPr>
      <w:r w:rsidRPr="002C696B">
        <w:rPr>
          <w:rFonts w:ascii="Segoe UI" w:hAnsi="Segoe UI" w:cs="Segoe UI"/>
          <w:szCs w:val="24"/>
        </w:rPr>
        <w:t>An oral health screening conducted in Oregon must comply with the Oregon Board of Dentistry requirements (</w:t>
      </w:r>
      <w:hyperlink r:id="rId10" w:history="1">
        <w:r w:rsidRPr="002C696B">
          <w:rPr>
            <w:rStyle w:val="Hyperlink"/>
            <w:rFonts w:ascii="Segoe UI" w:hAnsi="Segoe UI" w:cs="Segoe UI"/>
            <w:szCs w:val="24"/>
          </w:rPr>
          <w:t>http://www.oregon.gov/dentistry/pages/screen_pol.aspx</w:t>
        </w:r>
      </w:hyperlink>
      <w:r w:rsidRPr="002C696B">
        <w:rPr>
          <w:rFonts w:ascii="Segoe UI" w:hAnsi="Segoe UI" w:cs="Segoe UI"/>
          <w:szCs w:val="24"/>
        </w:rPr>
        <w:t>):</w:t>
      </w:r>
    </w:p>
    <w:p w14:paraId="4F8ACA78" w14:textId="77777777" w:rsidR="001770D2" w:rsidRPr="002C696B" w:rsidRDefault="001770D2" w:rsidP="001770D2">
      <w:pPr>
        <w:pStyle w:val="ListParagraph"/>
        <w:numPr>
          <w:ilvl w:val="0"/>
          <w:numId w:val="1"/>
        </w:numPr>
        <w:spacing w:after="0" w:line="240" w:lineRule="auto"/>
        <w:rPr>
          <w:rFonts w:ascii="Segoe UI" w:eastAsia="Times New Roman" w:hAnsi="Segoe UI" w:cs="Segoe UI"/>
          <w:color w:val="000000"/>
          <w:szCs w:val="24"/>
        </w:rPr>
      </w:pPr>
      <w:r w:rsidRPr="002C696B">
        <w:rPr>
          <w:rFonts w:ascii="Segoe UI" w:eastAsia="Times New Roman" w:hAnsi="Segoe UI" w:cs="Segoe UI"/>
          <w:color w:val="000000"/>
          <w:szCs w:val="24"/>
        </w:rPr>
        <w:t>Screeners must provide results of the screening to the parents using th</w:t>
      </w:r>
      <w:r w:rsidR="00251AD2" w:rsidRPr="002C696B">
        <w:rPr>
          <w:rFonts w:ascii="Segoe UI" w:eastAsia="Times New Roman" w:hAnsi="Segoe UI" w:cs="Segoe UI"/>
          <w:color w:val="000000"/>
          <w:szCs w:val="24"/>
        </w:rPr>
        <w:t xml:space="preserve">e </w:t>
      </w:r>
      <w:r w:rsidRPr="002C696B">
        <w:rPr>
          <w:rFonts w:ascii="Segoe UI" w:eastAsia="Times New Roman" w:hAnsi="Segoe UI" w:cs="Segoe UI"/>
          <w:color w:val="000000"/>
          <w:szCs w:val="24"/>
        </w:rPr>
        <w:t xml:space="preserve">approved template </w:t>
      </w:r>
      <w:r w:rsidR="00251AD2" w:rsidRPr="002C696B">
        <w:rPr>
          <w:rFonts w:ascii="Segoe UI" w:eastAsia="Times New Roman" w:hAnsi="Segoe UI" w:cs="Segoe UI"/>
          <w:color w:val="000000"/>
          <w:szCs w:val="24"/>
        </w:rPr>
        <w:t xml:space="preserve">of the Parent Notification form, located on the </w:t>
      </w:r>
      <w:hyperlink r:id="rId11" w:history="1">
        <w:r w:rsidR="00251AD2" w:rsidRPr="002C696B">
          <w:rPr>
            <w:rStyle w:val="Hyperlink"/>
            <w:rFonts w:ascii="Segoe UI" w:hAnsi="Segoe UI" w:cs="Segoe UI"/>
          </w:rPr>
          <w:t>Dental Screening - Resources and Information</w:t>
        </w:r>
      </w:hyperlink>
      <w:r w:rsidR="00251AD2" w:rsidRPr="002C696B">
        <w:rPr>
          <w:rFonts w:ascii="Segoe UI" w:hAnsi="Segoe UI" w:cs="Segoe UI"/>
          <w:color w:val="1F497D"/>
        </w:rPr>
        <w:t xml:space="preserve"> </w:t>
      </w:r>
      <w:r w:rsidR="00251AD2" w:rsidRPr="002C696B">
        <w:rPr>
          <w:rFonts w:ascii="Segoe UI" w:hAnsi="Segoe UI" w:cs="Segoe UI"/>
        </w:rPr>
        <w:t>webpage.</w:t>
      </w:r>
    </w:p>
    <w:p w14:paraId="1A863A82" w14:textId="77777777" w:rsidR="001770D2" w:rsidRPr="002C696B" w:rsidRDefault="001770D2" w:rsidP="001770D2">
      <w:pPr>
        <w:spacing w:after="0" w:line="240" w:lineRule="auto"/>
        <w:ind w:left="360"/>
        <w:rPr>
          <w:rFonts w:ascii="Segoe UI" w:eastAsia="Times New Roman" w:hAnsi="Segoe UI" w:cs="Segoe UI"/>
          <w:color w:val="000000"/>
          <w:szCs w:val="24"/>
        </w:rPr>
      </w:pPr>
    </w:p>
    <w:p w14:paraId="2A7F49B2" w14:textId="77777777" w:rsidR="001770D2" w:rsidRPr="002C696B" w:rsidRDefault="001770D2" w:rsidP="001770D2">
      <w:pPr>
        <w:rPr>
          <w:rFonts w:ascii="Segoe UI" w:hAnsi="Segoe UI" w:cs="Segoe UI"/>
          <w:b/>
          <w:szCs w:val="24"/>
        </w:rPr>
      </w:pPr>
      <w:r w:rsidRPr="002C696B">
        <w:rPr>
          <w:rFonts w:ascii="Segoe UI" w:hAnsi="Segoe UI" w:cs="Segoe UI"/>
          <w:b/>
          <w:szCs w:val="24"/>
        </w:rPr>
        <w:t>Supplies needed for screening:</w:t>
      </w:r>
    </w:p>
    <w:p w14:paraId="703AFB8A"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Disposable dental mirrors</w:t>
      </w:r>
    </w:p>
    <w:p w14:paraId="21D0E115"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Pen lights</w:t>
      </w:r>
    </w:p>
    <w:p w14:paraId="6557B785"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Hand sanitizer</w:t>
      </w:r>
    </w:p>
    <w:p w14:paraId="712861CC"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Non-latex gloves</w:t>
      </w:r>
    </w:p>
    <w:p w14:paraId="353CD24F"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Toothpicks or toothbrushes to remove food debris</w:t>
      </w:r>
    </w:p>
    <w:p w14:paraId="795CFCA2"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Paper towels on which to lay supplies</w:t>
      </w:r>
    </w:p>
    <w:p w14:paraId="7F54CE2E" w14:textId="77777777" w:rsidR="001770D2" w:rsidRPr="002C696B" w:rsidRDefault="001770D2" w:rsidP="001770D2">
      <w:pPr>
        <w:pStyle w:val="ListParagraph"/>
        <w:numPr>
          <w:ilvl w:val="0"/>
          <w:numId w:val="1"/>
        </w:numPr>
        <w:rPr>
          <w:rFonts w:ascii="Segoe UI" w:hAnsi="Segoe UI" w:cs="Segoe UI"/>
          <w:szCs w:val="24"/>
        </w:rPr>
      </w:pPr>
      <w:r w:rsidRPr="002C696B">
        <w:rPr>
          <w:rFonts w:ascii="Segoe UI" w:hAnsi="Segoe UI" w:cs="Segoe UI"/>
          <w:szCs w:val="24"/>
        </w:rPr>
        <w:t>Garbage bags</w:t>
      </w:r>
    </w:p>
    <w:p w14:paraId="7376BA50" w14:textId="675A56A9" w:rsidR="008B2465" w:rsidRPr="002C696B" w:rsidRDefault="001770D2" w:rsidP="005B73D3">
      <w:pPr>
        <w:rPr>
          <w:rFonts w:ascii="Segoe UI" w:hAnsi="Segoe UI" w:cs="Segoe UI"/>
          <w:szCs w:val="24"/>
        </w:rPr>
      </w:pPr>
      <w:r w:rsidRPr="002C696B">
        <w:rPr>
          <w:rFonts w:ascii="Segoe UI" w:hAnsi="Segoe UI" w:cs="Segoe UI"/>
          <w:szCs w:val="24"/>
        </w:rPr>
        <w:lastRenderedPageBreak/>
        <w:t xml:space="preserve">If you have further questions about certification screening protocols, please contact </w:t>
      </w:r>
      <w:r w:rsidR="005B73D3" w:rsidRPr="005B73D3">
        <w:rPr>
          <w:rFonts w:ascii="Segoe UI" w:hAnsi="Segoe UI" w:cs="Segoe UI"/>
          <w:bCs/>
        </w:rPr>
        <w:t>Karen Phillips,</w:t>
      </w:r>
      <w:r w:rsidR="00723B24">
        <w:rPr>
          <w:rFonts w:ascii="Segoe UI" w:hAnsi="Segoe UI" w:cs="Segoe UI"/>
          <w:bCs/>
        </w:rPr>
        <w:t xml:space="preserve"> School Oral Health Programs Coordinator, Oregon Health Authority,</w:t>
      </w:r>
      <w:r w:rsidR="005B73D3" w:rsidRPr="005B73D3">
        <w:rPr>
          <w:rFonts w:ascii="Segoe UI" w:hAnsi="Segoe UI" w:cs="Segoe UI"/>
          <w:bCs/>
        </w:rPr>
        <w:t xml:space="preserve"> </w:t>
      </w:r>
      <w:bookmarkStart w:id="0" w:name="_GoBack"/>
      <w:bookmarkEnd w:id="0"/>
      <w:r w:rsidR="006C42E2">
        <w:fldChar w:fldCharType="begin"/>
      </w:r>
      <w:r w:rsidR="006C42E2">
        <w:instrText xml:space="preserve"> HYPERLINK "mailto:karen.phillips@state.or.us" </w:instrText>
      </w:r>
      <w:r w:rsidR="006C42E2">
        <w:fldChar w:fldCharType="separate"/>
      </w:r>
      <w:r w:rsidR="005B73D3" w:rsidRPr="005B73D3">
        <w:rPr>
          <w:rStyle w:val="Hyperlink"/>
          <w:rFonts w:ascii="Segoe UI" w:hAnsi="Segoe UI" w:cs="Segoe UI"/>
        </w:rPr>
        <w:t>karen.phillips@state.or.us</w:t>
      </w:r>
      <w:r w:rsidR="006C42E2">
        <w:rPr>
          <w:rStyle w:val="Hyperlink"/>
          <w:rFonts w:ascii="Segoe UI" w:hAnsi="Segoe UI" w:cs="Segoe UI"/>
        </w:rPr>
        <w:fldChar w:fldCharType="end"/>
      </w:r>
      <w:r w:rsidR="005B73D3">
        <w:rPr>
          <w:rFonts w:ascii="Segoe UI" w:hAnsi="Segoe UI" w:cs="Segoe UI"/>
        </w:rPr>
        <w:t>, 971.673.0235</w:t>
      </w:r>
      <w:r w:rsidR="00723B24">
        <w:rPr>
          <w:rFonts w:ascii="Segoe UI" w:hAnsi="Segoe UI" w:cs="Segoe UI"/>
        </w:rPr>
        <w:t>.</w:t>
      </w:r>
    </w:p>
    <w:sectPr w:rsidR="008B2465" w:rsidRPr="002C696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D0D2" w14:textId="77777777" w:rsidR="00375A09" w:rsidRDefault="00375A09" w:rsidP="002C696B">
      <w:pPr>
        <w:spacing w:after="0" w:line="240" w:lineRule="auto"/>
      </w:pPr>
      <w:r>
        <w:separator/>
      </w:r>
    </w:p>
  </w:endnote>
  <w:endnote w:type="continuationSeparator" w:id="0">
    <w:p w14:paraId="11A35C0E" w14:textId="77777777" w:rsidR="00375A09" w:rsidRDefault="00375A09" w:rsidP="002C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8222" w14:textId="77777777" w:rsidR="00375A09" w:rsidRDefault="00375A09" w:rsidP="002C696B">
      <w:pPr>
        <w:spacing w:after="0" w:line="240" w:lineRule="auto"/>
      </w:pPr>
      <w:r>
        <w:separator/>
      </w:r>
    </w:p>
  </w:footnote>
  <w:footnote w:type="continuationSeparator" w:id="0">
    <w:p w14:paraId="0E030070" w14:textId="77777777" w:rsidR="00375A09" w:rsidRDefault="00375A09" w:rsidP="002C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CE98" w14:textId="77777777" w:rsidR="002C696B" w:rsidRDefault="003561E3" w:rsidP="002C696B">
    <w:pPr>
      <w:pStyle w:val="Header"/>
      <w:jc w:val="center"/>
    </w:pPr>
    <w:r>
      <w:rPr>
        <w:noProof/>
      </w:rPr>
      <w:drawing>
        <wp:inline distT="0" distB="0" distL="0" distR="0" wp14:anchorId="6E47893E" wp14:editId="49690C21">
          <wp:extent cx="2188845" cy="591185"/>
          <wp:effectExtent l="0" t="0" r="1905" b="0"/>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F45"/>
    <w:multiLevelType w:val="hybridMultilevel"/>
    <w:tmpl w:val="730890DA"/>
    <w:lvl w:ilvl="0" w:tplc="A34C25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10275"/>
    <w:multiLevelType w:val="hybridMultilevel"/>
    <w:tmpl w:val="618E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E2E5C"/>
    <w:multiLevelType w:val="hybridMultilevel"/>
    <w:tmpl w:val="8BC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1785E"/>
    <w:multiLevelType w:val="hybridMultilevel"/>
    <w:tmpl w:val="15F2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41624"/>
    <w:multiLevelType w:val="hybridMultilevel"/>
    <w:tmpl w:val="0F08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D2"/>
    <w:rsid w:val="000B4C00"/>
    <w:rsid w:val="001770D2"/>
    <w:rsid w:val="00251AD2"/>
    <w:rsid w:val="002C696B"/>
    <w:rsid w:val="002D3343"/>
    <w:rsid w:val="003561E3"/>
    <w:rsid w:val="00375A09"/>
    <w:rsid w:val="005B73D3"/>
    <w:rsid w:val="006C42E2"/>
    <w:rsid w:val="006E5536"/>
    <w:rsid w:val="00723B24"/>
    <w:rsid w:val="007B2156"/>
    <w:rsid w:val="008B2465"/>
    <w:rsid w:val="00CF1CC1"/>
    <w:rsid w:val="00DD05DC"/>
    <w:rsid w:val="00DD367B"/>
    <w:rsid w:val="00F8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833D08"/>
  <w15:chartTrackingRefBased/>
  <w15:docId w15:val="{0FA86E1C-6B93-4C21-B618-8FB4E715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D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D2"/>
    <w:pPr>
      <w:ind w:left="720"/>
      <w:contextualSpacing/>
    </w:pPr>
  </w:style>
  <w:style w:type="character" w:styleId="Hyperlink">
    <w:name w:val="Hyperlink"/>
    <w:uiPriority w:val="99"/>
    <w:unhideWhenUsed/>
    <w:rsid w:val="001770D2"/>
    <w:rPr>
      <w:color w:val="0563C1"/>
      <w:u w:val="single"/>
    </w:rPr>
  </w:style>
  <w:style w:type="paragraph" w:styleId="Header">
    <w:name w:val="header"/>
    <w:basedOn w:val="Normal"/>
    <w:link w:val="HeaderChar"/>
    <w:uiPriority w:val="99"/>
    <w:unhideWhenUsed/>
    <w:rsid w:val="002C696B"/>
    <w:pPr>
      <w:tabs>
        <w:tab w:val="center" w:pos="4680"/>
        <w:tab w:val="right" w:pos="9360"/>
      </w:tabs>
    </w:pPr>
  </w:style>
  <w:style w:type="character" w:customStyle="1" w:styleId="HeaderChar">
    <w:name w:val="Header Char"/>
    <w:link w:val="Header"/>
    <w:uiPriority w:val="99"/>
    <w:rsid w:val="002C696B"/>
    <w:rPr>
      <w:sz w:val="22"/>
      <w:szCs w:val="22"/>
    </w:rPr>
  </w:style>
  <w:style w:type="paragraph" w:styleId="Footer">
    <w:name w:val="footer"/>
    <w:basedOn w:val="Normal"/>
    <w:link w:val="FooterChar"/>
    <w:uiPriority w:val="99"/>
    <w:unhideWhenUsed/>
    <w:rsid w:val="002C696B"/>
    <w:pPr>
      <w:tabs>
        <w:tab w:val="center" w:pos="4680"/>
        <w:tab w:val="right" w:pos="9360"/>
      </w:tabs>
    </w:pPr>
  </w:style>
  <w:style w:type="character" w:customStyle="1" w:styleId="FooterChar">
    <w:name w:val="Footer Char"/>
    <w:link w:val="Footer"/>
    <w:uiPriority w:val="99"/>
    <w:rsid w:val="002C696B"/>
    <w:rPr>
      <w:sz w:val="22"/>
      <w:szCs w:val="22"/>
    </w:rPr>
  </w:style>
  <w:style w:type="character" w:styleId="CommentReference">
    <w:name w:val="annotation reference"/>
    <w:basedOn w:val="DefaultParagraphFont"/>
    <w:uiPriority w:val="99"/>
    <w:semiHidden/>
    <w:unhideWhenUsed/>
    <w:rsid w:val="005B73D3"/>
    <w:rPr>
      <w:sz w:val="16"/>
      <w:szCs w:val="16"/>
    </w:rPr>
  </w:style>
  <w:style w:type="paragraph" w:styleId="CommentText">
    <w:name w:val="annotation text"/>
    <w:basedOn w:val="Normal"/>
    <w:link w:val="CommentTextChar"/>
    <w:uiPriority w:val="99"/>
    <w:semiHidden/>
    <w:unhideWhenUsed/>
    <w:rsid w:val="005B73D3"/>
    <w:pPr>
      <w:spacing w:line="240" w:lineRule="auto"/>
    </w:pPr>
    <w:rPr>
      <w:sz w:val="20"/>
      <w:szCs w:val="20"/>
    </w:rPr>
  </w:style>
  <w:style w:type="character" w:customStyle="1" w:styleId="CommentTextChar">
    <w:name w:val="Comment Text Char"/>
    <w:basedOn w:val="DefaultParagraphFont"/>
    <w:link w:val="CommentText"/>
    <w:uiPriority w:val="99"/>
    <w:semiHidden/>
    <w:rsid w:val="005B73D3"/>
  </w:style>
  <w:style w:type="paragraph" w:styleId="CommentSubject">
    <w:name w:val="annotation subject"/>
    <w:basedOn w:val="CommentText"/>
    <w:next w:val="CommentText"/>
    <w:link w:val="CommentSubjectChar"/>
    <w:uiPriority w:val="99"/>
    <w:semiHidden/>
    <w:unhideWhenUsed/>
    <w:rsid w:val="005B73D3"/>
    <w:rPr>
      <w:b/>
      <w:bCs/>
    </w:rPr>
  </w:style>
  <w:style w:type="character" w:customStyle="1" w:styleId="CommentSubjectChar">
    <w:name w:val="Comment Subject Char"/>
    <w:basedOn w:val="CommentTextChar"/>
    <w:link w:val="CommentSubject"/>
    <w:uiPriority w:val="99"/>
    <w:semiHidden/>
    <w:rsid w:val="005B73D3"/>
    <w:rPr>
      <w:b/>
      <w:bCs/>
    </w:rPr>
  </w:style>
  <w:style w:type="paragraph" w:styleId="BalloonText">
    <w:name w:val="Balloon Text"/>
    <w:basedOn w:val="Normal"/>
    <w:link w:val="BalloonTextChar"/>
    <w:uiPriority w:val="99"/>
    <w:semiHidden/>
    <w:unhideWhenUsed/>
    <w:rsid w:val="005B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and-family/healthsafety/Pages/Dental-Screening---Resources-and-Information.aspx" TargetMode="External"/><Relationship Id="rId5" Type="http://schemas.openxmlformats.org/officeDocument/2006/relationships/styles" Target="styles.xml"/><Relationship Id="rId10" Type="http://schemas.openxmlformats.org/officeDocument/2006/relationships/hyperlink" Target="https://www.oregon.gov/dentistry/pages/screen_pol.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ffice xmlns="http://schemas.microsoft.com/sharepoint/v3" xsi:nil="true"/>
    <Priority xmlns="c30eb2c4-08af-4681-9c46-ce44a6085b67">New</Priority>
    <Remediation_x0020_Date xmlns="c30eb2c4-08af-4681-9c46-ce44a6085b67">2020-03-02T08:00:00+00:00</Remediation_x0020_Date>
    <Estimated_x0020_Creation_x0020_Date xmlns="c30eb2c4-08af-4681-9c46-ce44a6085b67">2020-03-02T08:00:00+00:00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79C14-EBA5-4ADC-8CF3-7520053E189B}"/>
</file>

<file path=customXml/itemProps2.xml><?xml version="1.0" encoding="utf-8"?>
<ds:datastoreItem xmlns:ds="http://schemas.openxmlformats.org/officeDocument/2006/customXml" ds:itemID="{E398424B-5ABB-4835-86E4-AFE4492412AB}"/>
</file>

<file path=customXml/itemProps3.xml><?xml version="1.0" encoding="utf-8"?>
<ds:datastoreItem xmlns:ds="http://schemas.openxmlformats.org/officeDocument/2006/customXml" ds:itemID="{07583F2D-0D66-4C74-8FAF-2A6F30083919}"/>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2055</CharactersWithSpaces>
  <SharedDoc>false</SharedDoc>
  <HLinks>
    <vt:vector size="18" baseType="variant">
      <vt:variant>
        <vt:i4>3866645</vt:i4>
      </vt:variant>
      <vt:variant>
        <vt:i4>6</vt:i4>
      </vt:variant>
      <vt:variant>
        <vt:i4>0</vt:i4>
      </vt:variant>
      <vt:variant>
        <vt:i4>5</vt:i4>
      </vt:variant>
      <vt:variant>
        <vt:lpwstr>mailto:laurie.johnson@state.or.us</vt:lpwstr>
      </vt:variant>
      <vt:variant>
        <vt:lpwstr/>
      </vt:variant>
      <vt:variant>
        <vt:i4>6881313</vt:i4>
      </vt:variant>
      <vt:variant>
        <vt:i4>3</vt:i4>
      </vt:variant>
      <vt:variant>
        <vt:i4>0</vt:i4>
      </vt:variant>
      <vt:variant>
        <vt:i4>5</vt:i4>
      </vt:variant>
      <vt:variant>
        <vt:lpwstr>https://www.oregon.gov/ode/students-and-family/healthsafety/Pages/Dental-Screening---Resources-and-Information.aspx</vt:lpwstr>
      </vt:variant>
      <vt:variant>
        <vt:lpwstr/>
      </vt:variant>
      <vt:variant>
        <vt:i4>5308473</vt:i4>
      </vt:variant>
      <vt:variant>
        <vt:i4>0</vt:i4>
      </vt:variant>
      <vt:variant>
        <vt:i4>0</vt:i4>
      </vt:variant>
      <vt:variant>
        <vt:i4>5</vt:i4>
      </vt:variant>
      <vt:variant>
        <vt:lpwstr>http://www.oregon.gov/dentistry/pages/screen_pol.aspx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Laurie</dc:creator>
  <cp:keywords/>
  <cp:lastModifiedBy>TURNBULL Mariana - ODE</cp:lastModifiedBy>
  <cp:revision>2</cp:revision>
  <dcterms:created xsi:type="dcterms:W3CDTF">2020-03-02T17:49:00Z</dcterms:created>
  <dcterms:modified xsi:type="dcterms:W3CDTF">2020-03-02T17:49:00Z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