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5FF5" w14:textId="77777777" w:rsidR="00F32490" w:rsidRPr="00355909" w:rsidRDefault="00A77FB3" w:rsidP="00164E8E">
      <w:pPr>
        <w:pStyle w:val="Title"/>
        <w:spacing w:before="60"/>
        <w:ind w:left="0"/>
        <w:rPr>
          <w:color w:val="1B75BB"/>
        </w:rPr>
      </w:pPr>
      <w:bookmarkStart w:id="0" w:name="Sample_letter/email_to_students_and_fami"/>
      <w:bookmarkEnd w:id="0"/>
      <w:r w:rsidRPr="00355909">
        <w:rPr>
          <w:color w:val="1B75BB"/>
        </w:rPr>
        <w:t>Carta o correo electrónico de muestra para los estudiantes y sus familias</w:t>
      </w:r>
    </w:p>
    <w:p w14:paraId="6406F499" w14:textId="7D0F55C4" w:rsidR="00F32490" w:rsidRPr="00355909" w:rsidRDefault="00A77FB3" w:rsidP="00F32490">
      <w:pPr>
        <w:spacing w:before="79" w:line="276" w:lineRule="auto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SEGÚN</w:t>
      </w:r>
      <w:r w:rsidR="004D4930">
        <w:rPr>
          <w:b/>
          <w:bCs/>
          <w:color w:val="212121"/>
          <w:sz w:val="24"/>
          <w:szCs w:val="24"/>
        </w:rPr>
        <w:t xml:space="preserve"> </w:t>
      </w:r>
      <w:r w:rsidR="004D4930" w:rsidRPr="00AF7FE9">
        <w:rPr>
          <w:b/>
          <w:bCs/>
          <w:color w:val="212121"/>
          <w:sz w:val="24"/>
          <w:szCs w:val="24"/>
        </w:rPr>
        <w:t xml:space="preserve">los Estatutos Revisados de Oregon (Oregon </w:t>
      </w:r>
      <w:proofErr w:type="spellStart"/>
      <w:r w:rsidR="004D4930" w:rsidRPr="00AF7FE9">
        <w:rPr>
          <w:b/>
          <w:bCs/>
          <w:color w:val="212121"/>
          <w:sz w:val="24"/>
          <w:szCs w:val="24"/>
        </w:rPr>
        <w:t>Revised</w:t>
      </w:r>
      <w:proofErr w:type="spellEnd"/>
      <w:r w:rsidR="004D4930" w:rsidRPr="00AF7FE9">
        <w:rPr>
          <w:b/>
          <w:bCs/>
          <w:color w:val="212121"/>
          <w:sz w:val="24"/>
          <w:szCs w:val="24"/>
        </w:rPr>
        <w:t xml:space="preserve"> </w:t>
      </w:r>
      <w:proofErr w:type="spellStart"/>
      <w:r w:rsidR="004D4930" w:rsidRPr="00AF7FE9">
        <w:rPr>
          <w:b/>
          <w:bCs/>
          <w:color w:val="212121"/>
          <w:sz w:val="24"/>
          <w:szCs w:val="24"/>
        </w:rPr>
        <w:t>Statutes</w:t>
      </w:r>
      <w:proofErr w:type="spellEnd"/>
      <w:r w:rsidR="004D4930" w:rsidRPr="00AF7FE9">
        <w:rPr>
          <w:b/>
          <w:bCs/>
          <w:color w:val="212121"/>
          <w:sz w:val="24"/>
          <w:szCs w:val="24"/>
        </w:rPr>
        <w:t>, ORS por sus siglas en inglés)</w:t>
      </w:r>
      <w:r w:rsidRPr="00355909">
        <w:rPr>
          <w:b/>
          <w:bCs/>
          <w:color w:val="212121"/>
          <w:sz w:val="24"/>
          <w:szCs w:val="24"/>
        </w:rPr>
        <w:t xml:space="preserve"> 339.869 y </w:t>
      </w:r>
      <w:r w:rsidR="00AF7FE9">
        <w:rPr>
          <w:b/>
          <w:bCs/>
          <w:color w:val="212121"/>
          <w:sz w:val="24"/>
          <w:szCs w:val="24"/>
        </w:rPr>
        <w:t xml:space="preserve">las Normas Administrativas de Oregon (Oregon Administrative Rules, OAR por sus siglas en inglés) </w:t>
      </w:r>
      <w:r w:rsidRPr="00355909">
        <w:rPr>
          <w:b/>
          <w:bCs/>
          <w:color w:val="212121"/>
          <w:sz w:val="24"/>
          <w:szCs w:val="24"/>
        </w:rPr>
        <w:t>581-021-0037, los distritos escolares deben proporcionar información relacionada con los antagonistas opioides (naloxona) a los padres o tutores de cada estudiante menor. La información proporcionada debe incluir, como mínimo, lo siguiente:</w:t>
      </w:r>
    </w:p>
    <w:p w14:paraId="79E26D11" w14:textId="77777777" w:rsidR="00F32490" w:rsidRPr="00355909" w:rsidRDefault="00A77FB3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93" w:lineRule="exact"/>
        <w:ind w:left="720" w:firstLine="0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Una descripción de los antagonistas opioides de acción corta y su propósito.</w:t>
      </w:r>
    </w:p>
    <w:p w14:paraId="7E7F1D0F" w14:textId="77777777" w:rsidR="00F32490" w:rsidRPr="00355909" w:rsidRDefault="00F32490" w:rsidP="00F32490">
      <w:pPr>
        <w:pStyle w:val="BodyText"/>
        <w:tabs>
          <w:tab w:val="left" w:pos="1106"/>
        </w:tabs>
        <w:spacing w:before="3"/>
        <w:rPr>
          <w:b/>
          <w:sz w:val="31"/>
        </w:rPr>
      </w:pPr>
    </w:p>
    <w:p w14:paraId="6D8ABA43" w14:textId="77777777" w:rsidR="00F32490" w:rsidRPr="00355909" w:rsidRDefault="00A77FB3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3" w:lineRule="auto"/>
        <w:ind w:left="720" w:firstLine="0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Una declaración sobre los riesgos de administrar y de no administrar un antagonista opioide de acción corta a una persona en una situación de emergencia.</w:t>
      </w:r>
    </w:p>
    <w:p w14:paraId="7E18993E" w14:textId="77777777" w:rsidR="00F32490" w:rsidRPr="00355909" w:rsidRDefault="00F32490" w:rsidP="00F32490">
      <w:pPr>
        <w:pStyle w:val="BodyText"/>
        <w:tabs>
          <w:tab w:val="left" w:pos="1106"/>
        </w:tabs>
        <w:spacing w:before="2"/>
        <w:rPr>
          <w:b/>
          <w:sz w:val="28"/>
        </w:rPr>
      </w:pPr>
    </w:p>
    <w:p w14:paraId="10BBD7F0" w14:textId="77777777" w:rsidR="00F32490" w:rsidRPr="00355909" w:rsidRDefault="00A77FB3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Una declaración en la que se identifiquen las escuelas del distrito, si las hay, que tendrán, en el sitio y disponibles para situaciones de emergencia, antagonistas opioides de acción corta y los suministros médicos necesarios para administrarlos.</w:t>
      </w:r>
    </w:p>
    <w:p w14:paraId="1157C1C5" w14:textId="77777777" w:rsidR="00F32490" w:rsidRPr="00355909" w:rsidRDefault="00F32490" w:rsidP="00F32490">
      <w:pPr>
        <w:pStyle w:val="BodyText"/>
        <w:tabs>
          <w:tab w:val="left" w:pos="1106"/>
        </w:tabs>
        <w:spacing w:before="10"/>
        <w:rPr>
          <w:b/>
          <w:sz w:val="27"/>
        </w:rPr>
      </w:pPr>
    </w:p>
    <w:p w14:paraId="6EB16327" w14:textId="77777777" w:rsidR="00F32490" w:rsidRPr="00355909" w:rsidRDefault="00A77FB3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Y una declaración de que un representante de un distrito puede administrar a un estudiante un antagonista opioide de acción corta en caso de emergencia si el estudiante parece estar inconsciente y experimenta una sobredosis de opioides.</w:t>
      </w:r>
    </w:p>
    <w:p w14:paraId="2635BF0A" w14:textId="77777777" w:rsidR="00F32490" w:rsidRPr="00355909" w:rsidRDefault="00A77FB3" w:rsidP="00F32490">
      <w:pPr>
        <w:spacing w:line="273" w:lineRule="auto"/>
        <w:rPr>
          <w:b/>
          <w:color w:val="212121"/>
          <w:sz w:val="24"/>
        </w:rPr>
      </w:pPr>
      <w:r w:rsidRPr="00355909">
        <w:rPr>
          <w:b/>
          <w:bCs/>
          <w:color w:val="212121"/>
          <w:sz w:val="24"/>
          <w:szCs w:val="24"/>
        </w:rPr>
        <w:t>Los distritos pueden utilizar esta carta o correo electrónico para cumplir con este requisito y ayudar a generar conciencia sobre los peligros del uso de opioides y la disponibilidad de naloxona en las escuelas.</w:t>
      </w:r>
    </w:p>
    <w:p w14:paraId="76EE9D73" w14:textId="77777777" w:rsidR="00F32490" w:rsidRPr="00355909" w:rsidRDefault="00F32490" w:rsidP="00F32490">
      <w:pPr>
        <w:pStyle w:val="BodyText"/>
        <w:rPr>
          <w:b/>
          <w:sz w:val="28"/>
        </w:rPr>
      </w:pPr>
    </w:p>
    <w:p w14:paraId="3B1B352C" w14:textId="77777777" w:rsidR="00F32490" w:rsidRPr="00355909" w:rsidRDefault="00A77FB3" w:rsidP="00F32490">
      <w:pPr>
        <w:rPr>
          <w:b/>
          <w:color w:val="212121"/>
          <w:sz w:val="24"/>
        </w:rPr>
      </w:pPr>
      <w:r w:rsidRPr="00355909">
        <w:rPr>
          <w:b/>
          <w:color w:val="212121"/>
          <w:sz w:val="24"/>
        </w:rPr>
        <w:t>--------------------------------------------------------------------------------------------------------------------------------------------------</w:t>
      </w:r>
    </w:p>
    <w:p w14:paraId="1DD39E25" w14:textId="77777777" w:rsidR="00F32490" w:rsidRPr="00355909" w:rsidRDefault="00F32490" w:rsidP="00F32490">
      <w:pPr>
        <w:pStyle w:val="BodyText"/>
        <w:spacing w:before="10"/>
        <w:rPr>
          <w:b/>
          <w:sz w:val="28"/>
        </w:rPr>
      </w:pPr>
    </w:p>
    <w:p w14:paraId="5A66BE04" w14:textId="77777777" w:rsidR="00F32490" w:rsidRPr="00355909" w:rsidRDefault="00A77FB3" w:rsidP="00F32490">
      <w:pPr>
        <w:spacing w:line="491" w:lineRule="auto"/>
      </w:pPr>
      <w:r w:rsidRPr="00355909">
        <w:rPr>
          <w:b/>
          <w:bCs/>
        </w:rPr>
        <w:t xml:space="preserve">Asunto sugerido: </w:t>
      </w:r>
      <w:r w:rsidRPr="00355909">
        <w:t>Importante: Lo que los padres deben saber sobre la seguridad de la naloxona y los opioides</w:t>
      </w:r>
    </w:p>
    <w:p w14:paraId="329491B8" w14:textId="0FE1469D" w:rsidR="00F32490" w:rsidRPr="00355909" w:rsidRDefault="00AF7FE9" w:rsidP="00F32490">
      <w:pPr>
        <w:spacing w:line="491" w:lineRule="auto"/>
      </w:pPr>
      <w:r>
        <w:t xml:space="preserve">Estimados </w:t>
      </w:r>
      <w:r w:rsidR="00A77FB3" w:rsidRPr="00355909">
        <w:t>estudiantes y familias:</w:t>
      </w:r>
    </w:p>
    <w:p w14:paraId="08A719C3" w14:textId="5F191E23" w:rsidR="00F32490" w:rsidRPr="00355909" w:rsidRDefault="00A77FB3" w:rsidP="00F32490">
      <w:pPr>
        <w:pStyle w:val="BodyText"/>
        <w:spacing w:line="276" w:lineRule="auto"/>
        <w:ind w:right="57"/>
      </w:pPr>
      <w:r w:rsidRPr="00355909">
        <w:t xml:space="preserve">Nuestra escuela tiene como prioridad el bienestar de los estudiantes en todo lo que hacemos. Les escribimos para compartir con ustedes nuestras inquietudes sobre los opioides y el fentanilo. </w:t>
      </w:r>
      <w:r w:rsidR="00AF7FE9">
        <w:t xml:space="preserve">Estas drogas </w:t>
      </w:r>
      <w:r w:rsidRPr="00355909">
        <w:t xml:space="preserve">están dañando a las personas de nuestra comunidad. Esperamos que esta información ayude a proteger a los estudiantes. Esta carta contiene información importante, </w:t>
      </w:r>
      <w:r w:rsidR="00AF7FE9">
        <w:t xml:space="preserve">incluyendo orientación </w:t>
      </w:r>
      <w:r w:rsidRPr="00355909">
        <w:t>sobre cómo responder ante un</w:t>
      </w:r>
      <w:r w:rsidR="00AF7FE9">
        <w:t>a</w:t>
      </w:r>
      <w:r w:rsidRPr="00355909">
        <w:t xml:space="preserve"> sobredosis y enlaces a recursos.</w:t>
      </w:r>
    </w:p>
    <w:p w14:paraId="0D94001F" w14:textId="77777777" w:rsidR="00F32490" w:rsidRPr="00355909" w:rsidRDefault="00F32490" w:rsidP="00F32490">
      <w:pPr>
        <w:pStyle w:val="BodyText"/>
        <w:spacing w:before="7"/>
        <w:rPr>
          <w:sz w:val="19"/>
        </w:rPr>
      </w:pPr>
    </w:p>
    <w:p w14:paraId="01D5542C" w14:textId="7E85FCDB" w:rsidR="00F32490" w:rsidRPr="00355909" w:rsidRDefault="00A77FB3" w:rsidP="00F32490">
      <w:pPr>
        <w:pStyle w:val="BodyText"/>
        <w:spacing w:line="276" w:lineRule="auto"/>
      </w:pPr>
      <w:r w:rsidRPr="00355909">
        <w:rPr>
          <w:b/>
          <w:bCs/>
        </w:rPr>
        <w:t xml:space="preserve">El consumo de drogas en adolescentes </w:t>
      </w:r>
      <w:r w:rsidRPr="00355909">
        <w:t xml:space="preserve">ha ido disminuyendo con el tiempo. Sin embargo, los datos muestran que hubo un aumento </w:t>
      </w:r>
      <w:r w:rsidR="00FB3897">
        <w:t xml:space="preserve">en </w:t>
      </w:r>
      <w:r w:rsidRPr="00355909">
        <w:t>las sobredosis, principalmente debido al fentanilo ilícito en el mercado de las drogas (Instituto Nacional Sobre el Abuso de Drogas [</w:t>
      </w:r>
      <w:proofErr w:type="spellStart"/>
      <w:r w:rsidRPr="00355909">
        <w:t>National</w:t>
      </w:r>
      <w:proofErr w:type="spellEnd"/>
      <w:r w:rsidRPr="00355909">
        <w:t xml:space="preserve"> </w:t>
      </w:r>
      <w:proofErr w:type="spellStart"/>
      <w:r w:rsidRPr="00355909">
        <w:t>Institute</w:t>
      </w:r>
      <w:proofErr w:type="spellEnd"/>
      <w:r w:rsidRPr="00355909">
        <w:t xml:space="preserve"> of </w:t>
      </w:r>
      <w:proofErr w:type="spellStart"/>
      <w:r w:rsidRPr="00355909">
        <w:t>Drug</w:t>
      </w:r>
      <w:proofErr w:type="spellEnd"/>
      <w:r w:rsidRPr="00355909">
        <w:t xml:space="preserve"> Abuse, NIDA], 2023). Es fundamental educar a los estudiantes y jóvenes sobre los riesgos del uso de sustancias, incluido el potencial de presencia de fentanilo en pastillas y otras sustancias ilícitas. También es importante crear conciencia sobre los antagonistas opioides (como la naloxona).</w:t>
      </w:r>
    </w:p>
    <w:p w14:paraId="700AC438" w14:textId="77777777" w:rsidR="00F32490" w:rsidRPr="00355909" w:rsidRDefault="00F32490" w:rsidP="00F32490">
      <w:pPr>
        <w:pStyle w:val="BodyText"/>
        <w:spacing w:before="8"/>
        <w:rPr>
          <w:sz w:val="19"/>
        </w:rPr>
      </w:pPr>
    </w:p>
    <w:p w14:paraId="681686F0" w14:textId="43690537" w:rsidR="00F32490" w:rsidRPr="00355909" w:rsidRDefault="00A77FB3" w:rsidP="00F32490">
      <w:pPr>
        <w:pStyle w:val="BodyText"/>
        <w:spacing w:line="276" w:lineRule="auto"/>
        <w:ind w:right="57"/>
      </w:pPr>
      <w:r w:rsidRPr="00355909">
        <w:rPr>
          <w:b/>
          <w:bCs/>
        </w:rPr>
        <w:t xml:space="preserve">¿Qué es un opioide? </w:t>
      </w:r>
      <w:r w:rsidRPr="00355909">
        <w:t xml:space="preserve">Los opioides provienen de la planta de la amapola del opio e incluyen drogas como la morfina, la oxicodona, el </w:t>
      </w:r>
      <w:proofErr w:type="spellStart"/>
      <w:r w:rsidRPr="00355909">
        <w:t>dilaudid</w:t>
      </w:r>
      <w:proofErr w:type="spellEnd"/>
      <w:r w:rsidRPr="00355909">
        <w:t xml:space="preserve">, la heroína y el fentanilo. Esto se adhieren a los receptores para bloquear el dolor y aumentar el placer. La sobredosis es un riesgo común asociado con los opioides y puede ser intencional o accidental. El fentanilo es </w:t>
      </w:r>
      <w:r w:rsidRPr="00355909">
        <w:lastRenderedPageBreak/>
        <w:t>un opioide poderoso: una dosis tan pequeña como un</w:t>
      </w:r>
      <w:r w:rsidR="00FB3897">
        <w:t>os</w:t>
      </w:r>
      <w:r w:rsidRPr="00355909">
        <w:t xml:space="preserve"> grano</w:t>
      </w:r>
      <w:r w:rsidR="00FB3897">
        <w:t>s</w:t>
      </w:r>
      <w:r w:rsidRPr="00355909">
        <w:t xml:space="preserve"> de arena puede hacer que una persona deje de respirar en tan solo unos minutos.</w:t>
      </w:r>
    </w:p>
    <w:p w14:paraId="43439A00" w14:textId="77777777" w:rsidR="00F32490" w:rsidRPr="00355909" w:rsidRDefault="00F32490" w:rsidP="00F32490">
      <w:pPr>
        <w:pStyle w:val="BodyText"/>
        <w:spacing w:before="8"/>
        <w:rPr>
          <w:sz w:val="19"/>
        </w:rPr>
      </w:pPr>
    </w:p>
    <w:p w14:paraId="1377D2A9" w14:textId="3D3984AC" w:rsidR="00F32490" w:rsidRPr="00355909" w:rsidRDefault="00A77FB3" w:rsidP="00F32490">
      <w:pPr>
        <w:pStyle w:val="BodyText"/>
        <w:spacing w:before="1" w:line="276" w:lineRule="auto"/>
      </w:pPr>
      <w:r w:rsidRPr="00355909">
        <w:rPr>
          <w:b/>
          <w:bCs/>
        </w:rPr>
        <w:t xml:space="preserve">¿Por qué las personas usan opioides? </w:t>
      </w:r>
      <w:r w:rsidRPr="00355909">
        <w:t>Los opioides se pueden recetar como</w:t>
      </w:r>
      <w:r w:rsidR="00FB3897">
        <w:t xml:space="preserve"> medicamento para el dolor</w:t>
      </w:r>
      <w:r w:rsidRPr="00355909">
        <w:t>. Algunos jóvenes prueban estos medicamentos por curiosidad, y otras personas los prueban para evitar sentir una emoción difícil de sobrellevar. Los opioides son adictivos.</w:t>
      </w:r>
    </w:p>
    <w:p w14:paraId="76D95D01" w14:textId="75426C98" w:rsidR="00F32490" w:rsidRPr="00355909" w:rsidRDefault="00A77FB3" w:rsidP="00166D48">
      <w:pPr>
        <w:pStyle w:val="BodyText"/>
        <w:spacing w:before="60" w:line="276" w:lineRule="auto"/>
      </w:pPr>
      <w:r w:rsidRPr="00355909">
        <w:rPr>
          <w:b/>
          <w:bCs/>
        </w:rPr>
        <w:t xml:space="preserve">¿Qué es un antagonista opioide? </w:t>
      </w:r>
      <w:r w:rsidRPr="00355909">
        <w:t xml:space="preserve">Los antagonistas opioides son medicamentos (de los cuales el más común es la naloxona) que se pueden administrar mediante un spray nasal o una inyección para restaurar rápidamente la respiración normal en una persona cuya respiración se </w:t>
      </w:r>
      <w:r w:rsidR="00B0675D">
        <w:t xml:space="preserve">ha vuelto más lenta </w:t>
      </w:r>
      <w:r w:rsidRPr="00355909">
        <w:t>o se detuvo debido a una sobredosis de fentanilo, opioides recetados o heroína.</w:t>
      </w:r>
      <w:r w:rsidRPr="00355909">
        <w:rPr>
          <w:b/>
          <w:bCs/>
        </w:rPr>
        <w:t xml:space="preserve"> </w:t>
      </w:r>
      <w:r w:rsidRPr="00355909">
        <w:t>La naloxona surte efecto a los 2 o 3 minutos y puede durar de 30 a 90 minutos. A veces es necesaria una segunda dosis de naloxona si regresan los síntomas de sobredosis. La naloxona se puede administrar en situaciones de emergencia por sobredosis y es segura para la persona que recibe el medicamento.</w:t>
      </w:r>
    </w:p>
    <w:p w14:paraId="0BD1F7BC" w14:textId="77777777" w:rsidR="00F32490" w:rsidRPr="00355909" w:rsidRDefault="00F32490" w:rsidP="00F32490">
      <w:pPr>
        <w:pStyle w:val="BodyText"/>
        <w:spacing w:before="10"/>
        <w:rPr>
          <w:sz w:val="19"/>
        </w:rPr>
      </w:pPr>
    </w:p>
    <w:p w14:paraId="1119B141" w14:textId="77777777" w:rsidR="00F32490" w:rsidRPr="00355909" w:rsidRDefault="00A77FB3" w:rsidP="00F32490">
      <w:pPr>
        <w:pStyle w:val="BodyText"/>
        <w:spacing w:line="276" w:lineRule="auto"/>
      </w:pPr>
      <w:r w:rsidRPr="00355909">
        <w:rPr>
          <w:b/>
          <w:bCs/>
        </w:rPr>
        <w:t xml:space="preserve">¿Qué puede hacer? </w:t>
      </w:r>
      <w:r w:rsidRPr="00355909">
        <w:t xml:space="preserve">Hable sobre los peligros del fentanilo y la disponibilidad de agonistas opioides con sus estudiantes y sus seres queridos. Considere tener naloxona disponible en su hogar para una respuesta más rápida durante </w:t>
      </w:r>
      <w:r w:rsidRPr="00355909">
        <w:rPr>
          <w:color w:val="232323"/>
        </w:rPr>
        <w:t xml:space="preserve">una emergencia médica. </w:t>
      </w:r>
      <w:r w:rsidRPr="00355909">
        <w:t xml:space="preserve">Obtenga más información sobre cómo obtener naloxona y cómo usarla aquí: </w:t>
      </w:r>
      <w:hyperlink r:id="rId8">
        <w:r w:rsidRPr="00355909">
          <w:rPr>
            <w:color w:val="0000FF"/>
            <w:u w:val="single"/>
          </w:rPr>
          <w:t>Medicamentos para revertir la sobredosis de opioides</w:t>
        </w:r>
      </w:hyperlink>
      <w:r w:rsidRPr="00355909">
        <w:t>.</w:t>
      </w:r>
    </w:p>
    <w:p w14:paraId="21B1C8CE" w14:textId="77777777" w:rsidR="00F32490" w:rsidRPr="00355909" w:rsidRDefault="00F32490" w:rsidP="00F32490">
      <w:pPr>
        <w:pStyle w:val="BodyText"/>
        <w:spacing w:before="1"/>
        <w:rPr>
          <w:sz w:val="15"/>
        </w:rPr>
      </w:pPr>
    </w:p>
    <w:p w14:paraId="3C715789" w14:textId="77777777" w:rsidR="00F32490" w:rsidRPr="00355909" w:rsidRDefault="00A77FB3" w:rsidP="00F32490">
      <w:pPr>
        <w:pStyle w:val="BodyText"/>
        <w:tabs>
          <w:tab w:val="left" w:pos="4874"/>
        </w:tabs>
        <w:spacing w:before="55" w:line="276" w:lineRule="auto"/>
      </w:pPr>
      <w:r w:rsidRPr="00355909">
        <w:rPr>
          <w:b/>
          <w:bCs/>
        </w:rPr>
        <w:t>¿Qué está haciendo su distrito escolar</w:t>
      </w:r>
      <w:r w:rsidRPr="00355909">
        <w:rPr>
          <w:b/>
          <w:bCs/>
          <w:highlight w:val="yellow"/>
        </w:rPr>
        <w:t xml:space="preserve">? </w:t>
      </w:r>
      <w:r w:rsidRPr="00355909">
        <w:rPr>
          <w:b/>
          <w:bCs/>
          <w:highlight w:val="yellow"/>
          <w:u w:val="single"/>
        </w:rPr>
        <w:tab/>
      </w:r>
      <w:r w:rsidRPr="00355909">
        <w:rPr>
          <w:b/>
          <w:bCs/>
          <w:highlight w:val="yellow"/>
        </w:rPr>
        <w:t xml:space="preserve"> </w:t>
      </w:r>
      <w:r w:rsidRPr="00355909">
        <w:rPr>
          <w:highlight w:val="yellow"/>
        </w:rPr>
        <w:t>(Introduzca el nombre del distrito)</w:t>
      </w:r>
      <w:r w:rsidRPr="00355909">
        <w:t xml:space="preserve"> proporciona educación integral sobre las drogas y el alcohol alineada con los </w:t>
      </w:r>
      <w:hyperlink r:id="rId9">
        <w:r w:rsidRPr="00355909">
          <w:rPr>
            <w:color w:val="0000FF"/>
            <w:u w:val="single"/>
          </w:rPr>
          <w:t>Estándares de educación sobre salud de Oregon de 2023</w:t>
        </w:r>
        <w:r w:rsidRPr="00355909">
          <w:t>.</w:t>
        </w:r>
      </w:hyperlink>
      <w:r w:rsidRPr="00355909">
        <w:t xml:space="preserve"> Además, nos importa mucho la salud y seguridad de todos los estudiantes de nuestra comunidad escolar.</w:t>
      </w:r>
    </w:p>
    <w:p w14:paraId="6337EE4C" w14:textId="77777777" w:rsidR="00F32490" w:rsidRPr="00355909" w:rsidRDefault="00F32490" w:rsidP="00F32490">
      <w:pPr>
        <w:pStyle w:val="BodyText"/>
        <w:spacing w:before="11"/>
        <w:rPr>
          <w:sz w:val="19"/>
        </w:rPr>
      </w:pPr>
    </w:p>
    <w:p w14:paraId="73BDB70B" w14:textId="6DBFF0F5" w:rsidR="00F32490" w:rsidRPr="00355909" w:rsidRDefault="00A77FB3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1" w:line="276" w:lineRule="auto"/>
        <w:ind w:left="720"/>
      </w:pPr>
      <w:r w:rsidRPr="00355909">
        <w:t>De acuerdo con las normas del distrito escolar, todas las escuelas tendrán disponible</w:t>
      </w:r>
      <w:r w:rsidR="00B0675D">
        <w:t xml:space="preserve"> la</w:t>
      </w:r>
      <w:r w:rsidRPr="00355909">
        <w:t xml:space="preserve"> naloxona y </w:t>
      </w:r>
      <w:r w:rsidR="00B0675D">
        <w:t xml:space="preserve">los </w:t>
      </w:r>
      <w:r w:rsidRPr="00355909">
        <w:t>suministros médicos necesarios. El personal puede administrar naloxona a cualquier persona que se sospeche experimenta una sobredosis de opioides. Cada vez que se administre</w:t>
      </w:r>
      <w:r w:rsidR="00B0675D">
        <w:t xml:space="preserve"> la</w:t>
      </w:r>
      <w:r w:rsidRPr="00355909">
        <w:t xml:space="preserve"> naloxona, el personal escolar llamará al 911 y notificará a los padres o los tutores del estudiante.</w:t>
      </w:r>
    </w:p>
    <w:p w14:paraId="50240E3E" w14:textId="77777777" w:rsidR="00F32490" w:rsidRPr="00355909" w:rsidRDefault="00F32490" w:rsidP="00F32490">
      <w:pPr>
        <w:pStyle w:val="BodyText"/>
        <w:spacing w:before="11"/>
        <w:rPr>
          <w:sz w:val="19"/>
        </w:rPr>
      </w:pPr>
    </w:p>
    <w:p w14:paraId="12433412" w14:textId="77777777" w:rsidR="00F32490" w:rsidRPr="00355909" w:rsidRDefault="00A77FB3" w:rsidP="00F32490">
      <w:pPr>
        <w:pStyle w:val="ListParagraph"/>
        <w:numPr>
          <w:ilvl w:val="0"/>
          <w:numId w:val="6"/>
        </w:numPr>
        <w:tabs>
          <w:tab w:val="left" w:pos="820"/>
          <w:tab w:val="left" w:pos="4702"/>
        </w:tabs>
        <w:spacing w:line="278" w:lineRule="auto"/>
        <w:ind w:left="720"/>
      </w:pPr>
      <w:r w:rsidRPr="00355909">
        <w:t>De acuerdo con las normas del distrito escolar, algunas escuelas tendrán naloxona y los suministros médicos necesarios disponibles en las siguientes escuelas</w:t>
      </w:r>
      <w:r w:rsidRPr="00355909">
        <w:rPr>
          <w:highlight w:val="yellow"/>
        </w:rPr>
        <w:t>:</w:t>
      </w:r>
      <w:r w:rsidR="003A7380" w:rsidRPr="003A7380">
        <w:rPr>
          <w:highlight w:val="yellow"/>
          <w:u w:val="single"/>
        </w:rPr>
        <w:t xml:space="preserve"> </w:t>
      </w:r>
      <w:r w:rsidR="003A7380">
        <w:rPr>
          <w:highlight w:val="yellow"/>
          <w:u w:val="single"/>
        </w:rPr>
        <w:tab/>
      </w:r>
      <w:r w:rsidR="003A7380" w:rsidRPr="00E95D03">
        <w:rPr>
          <w:highlight w:val="yellow"/>
          <w:u w:val="single"/>
        </w:rPr>
        <w:tab/>
      </w:r>
      <w:r w:rsidR="003A7380">
        <w:rPr>
          <w:highlight w:val="yellow"/>
        </w:rPr>
        <w:t xml:space="preserve"> </w:t>
      </w:r>
      <w:r w:rsidRPr="00355909">
        <w:rPr>
          <w:highlight w:val="yellow"/>
        </w:rPr>
        <w:t>(listar escuelas)</w:t>
      </w:r>
      <w:r w:rsidRPr="00355909">
        <w:t>. El personal puede administrar naloxona a cualquier persona que se sospeche experimenta una sobredosis de opioides. Cada vez que se administre naloxona, el personal escolar llamará al 911 y notificará a los padres o los tutores del estudiante.</w:t>
      </w:r>
    </w:p>
    <w:p w14:paraId="37315E52" w14:textId="77777777" w:rsidR="00F32490" w:rsidRPr="00355909" w:rsidRDefault="00F32490" w:rsidP="00F32490">
      <w:pPr>
        <w:pStyle w:val="BodyText"/>
        <w:spacing w:before="2"/>
        <w:rPr>
          <w:sz w:val="19"/>
        </w:rPr>
      </w:pPr>
    </w:p>
    <w:p w14:paraId="7BFC4A13" w14:textId="77777777" w:rsidR="00F32490" w:rsidRPr="00355909" w:rsidRDefault="00A77FB3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43"/>
        <w:ind w:left="720"/>
      </w:pPr>
      <w:r w:rsidRPr="00355909">
        <w:t>Ninguna escuela tendrá naloxona. El personal de la escuela se comunicará con el 911 y notificará a los padres o los tutores del estudiante si un estudiante experimenta una emergencia médica.</w:t>
      </w:r>
    </w:p>
    <w:p w14:paraId="18B2B663" w14:textId="77777777" w:rsidR="00F32490" w:rsidRPr="00355909" w:rsidRDefault="00F32490" w:rsidP="00F32490">
      <w:pPr>
        <w:pStyle w:val="BodyText"/>
        <w:spacing w:before="7"/>
        <w:rPr>
          <w:sz w:val="18"/>
        </w:rPr>
      </w:pPr>
    </w:p>
    <w:p w14:paraId="1B0BB4A1" w14:textId="3A5E103A" w:rsidR="00F32490" w:rsidRPr="00355909" w:rsidRDefault="00A77FB3" w:rsidP="00F32490">
      <w:pPr>
        <w:pStyle w:val="BodyText"/>
        <w:spacing w:before="56" w:line="276" w:lineRule="auto"/>
        <w:ind w:left="720" w:hanging="720"/>
      </w:pPr>
      <w:r w:rsidRPr="00355909">
        <w:t xml:space="preserve">Sabemos que estas conversaciones pueden ser difíciles. </w:t>
      </w:r>
      <w:r w:rsidR="00B0675D">
        <w:t xml:space="preserve">La persona más indicada para contactar si tiene pregunta </w:t>
      </w:r>
      <w:proofErr w:type="gramStart"/>
      <w:r w:rsidR="00B0675D">
        <w:t>es:</w:t>
      </w:r>
      <w:r w:rsidRPr="00355909">
        <w:rPr>
          <w:color w:val="000000"/>
          <w:highlight w:val="yellow"/>
        </w:rPr>
        <w:t>_</w:t>
      </w:r>
      <w:proofErr w:type="gramEnd"/>
      <w:r w:rsidRPr="00355909">
        <w:rPr>
          <w:color w:val="000000"/>
          <w:highlight w:val="yellow"/>
        </w:rPr>
        <w:t>___________ (Introduzca la persona de contacto de la escuela).</w:t>
      </w:r>
    </w:p>
    <w:p w14:paraId="2B1D54F6" w14:textId="77777777" w:rsidR="00F32490" w:rsidRPr="00355909" w:rsidRDefault="00F32490" w:rsidP="00F32490">
      <w:pPr>
        <w:pStyle w:val="BodyText"/>
        <w:spacing w:before="10"/>
        <w:rPr>
          <w:sz w:val="19"/>
        </w:rPr>
      </w:pPr>
    </w:p>
    <w:p w14:paraId="1F513E5B" w14:textId="77777777" w:rsidR="00F32490" w:rsidRPr="00355909" w:rsidRDefault="00A77FB3" w:rsidP="00F32490">
      <w:pPr>
        <w:pStyle w:val="BodyText"/>
      </w:pPr>
      <w:r w:rsidRPr="00355909">
        <w:t>Saludos cordiales.</w:t>
      </w:r>
    </w:p>
    <w:p w14:paraId="0AD1EC7F" w14:textId="77777777" w:rsidR="00F32490" w:rsidRPr="00355909" w:rsidRDefault="00F32490" w:rsidP="00F32490">
      <w:pPr>
        <w:pStyle w:val="BodyText"/>
        <w:spacing w:before="2"/>
        <w:rPr>
          <w:sz w:val="18"/>
        </w:rPr>
      </w:pPr>
    </w:p>
    <w:p w14:paraId="326A89E5" w14:textId="77777777" w:rsidR="00F32490" w:rsidRPr="00355909" w:rsidRDefault="00A77FB3" w:rsidP="00500051">
      <w:pPr>
        <w:pStyle w:val="BodyText"/>
        <w:spacing w:before="55" w:after="3600"/>
        <w:rPr>
          <w:rFonts w:eastAsiaTheme="minorEastAsia"/>
          <w:color w:val="000000"/>
          <w:lang w:eastAsia="zh-CN"/>
        </w:rPr>
      </w:pPr>
      <w:r w:rsidRPr="00355909">
        <w:rPr>
          <w:color w:val="000000"/>
          <w:highlight w:val="yellow"/>
        </w:rPr>
        <w:t>(Insertar director o superintendente escolar o administrador de servicios de salud escolar)</w:t>
      </w:r>
    </w:p>
    <w:p w14:paraId="3C38F427" w14:textId="77777777" w:rsidR="00F32490" w:rsidRPr="00355909" w:rsidRDefault="00A77FB3" w:rsidP="00F32490">
      <w:pPr>
        <w:spacing w:before="16" w:after="59"/>
        <w:rPr>
          <w:b/>
          <w:sz w:val="32"/>
        </w:rPr>
      </w:pPr>
      <w:r w:rsidRPr="00355909">
        <w:rPr>
          <w:b/>
          <w:bCs/>
          <w:sz w:val="32"/>
          <w:szCs w:val="32"/>
        </w:rPr>
        <w:lastRenderedPageBreak/>
        <w:t>A continuación, incluimos información para compartir con estudiantes y familias: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476"/>
        <w:gridCol w:w="5717"/>
      </w:tblGrid>
      <w:tr w:rsidR="00DE3BF0" w:rsidRPr="00355909" w14:paraId="29C06C6B" w14:textId="77777777" w:rsidTr="00F32490">
        <w:trPr>
          <w:trHeight w:val="2561"/>
        </w:trPr>
        <w:tc>
          <w:tcPr>
            <w:tcW w:w="2356" w:type="dxa"/>
          </w:tcPr>
          <w:p w14:paraId="6FFB4D76" w14:textId="77777777" w:rsidR="00F32490" w:rsidRPr="00355909" w:rsidRDefault="00A77FB3" w:rsidP="007C4143">
            <w:pPr>
              <w:pStyle w:val="TableParagraph"/>
              <w:spacing w:before="120"/>
              <w:ind w:left="152"/>
              <w:rPr>
                <w:sz w:val="20"/>
              </w:rPr>
            </w:pPr>
            <w:r w:rsidRPr="00355909">
              <w:rPr>
                <w:noProof/>
                <w:sz w:val="20"/>
                <w:lang w:eastAsia="es-ES"/>
              </w:rPr>
              <w:drawing>
                <wp:inline distT="0" distB="0" distL="0" distR="0" wp14:anchorId="2B2F2FBB" wp14:editId="0CD731CA">
                  <wp:extent cx="1312955" cy="1009650"/>
                  <wp:effectExtent l="0" t="0" r="0" b="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16D7AB25" w14:textId="77777777" w:rsidR="00F32490" w:rsidRPr="00355909" w:rsidRDefault="00A77FB3" w:rsidP="00F32490">
            <w:pPr>
              <w:pStyle w:val="TableParagraph"/>
              <w:spacing w:before="103" w:line="276" w:lineRule="auto"/>
              <w:ind w:left="100"/>
              <w:rPr>
                <w:b/>
                <w:sz w:val="28"/>
              </w:rPr>
            </w:pPr>
            <w:r w:rsidRPr="00355909">
              <w:rPr>
                <w:b/>
                <w:bCs/>
                <w:sz w:val="28"/>
                <w:szCs w:val="28"/>
              </w:rPr>
              <w:t>No es seguro recibir píldoras de amigos, ni comprarlas en Internet o por las redes sociales.</w:t>
            </w:r>
          </w:p>
        </w:tc>
        <w:tc>
          <w:tcPr>
            <w:tcW w:w="5717" w:type="dxa"/>
          </w:tcPr>
          <w:p w14:paraId="6ACD66E8" w14:textId="77777777" w:rsidR="00F32490" w:rsidRPr="00355909" w:rsidRDefault="00A77FB3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00" w:line="276" w:lineRule="auto"/>
            </w:pPr>
            <w:r w:rsidRPr="00355909">
              <w:t>Si alguien que no sea un médico o farmacéutico les ofrece una píldora, no la reciban. Podría ser una píldora falsa.</w:t>
            </w:r>
          </w:p>
          <w:p w14:paraId="64F1C286" w14:textId="45A15CC8" w:rsidR="00F32490" w:rsidRPr="00355909" w:rsidRDefault="00A77FB3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" w:line="278" w:lineRule="auto"/>
            </w:pPr>
            <w:r w:rsidRPr="00355909">
              <w:t>Este tipo de píldoras no están controladas. Cada píldora puede tener una cantidad diferente de medicamento. Todas las píldoras falsas son</w:t>
            </w:r>
            <w:r w:rsidR="000F5A9D">
              <w:t xml:space="preserve"> un riesgo</w:t>
            </w:r>
            <w:r w:rsidRPr="00355909">
              <w:t>.</w:t>
            </w:r>
          </w:p>
        </w:tc>
      </w:tr>
      <w:tr w:rsidR="00DE3BF0" w:rsidRPr="00355909" w14:paraId="5DD95544" w14:textId="77777777" w:rsidTr="00F32490">
        <w:trPr>
          <w:trHeight w:val="2930"/>
        </w:trPr>
        <w:tc>
          <w:tcPr>
            <w:tcW w:w="2356" w:type="dxa"/>
            <w:shd w:val="clear" w:color="auto" w:fill="EEEEEE"/>
          </w:tcPr>
          <w:p w14:paraId="560C0143" w14:textId="77777777" w:rsidR="00F32490" w:rsidRPr="00355909" w:rsidRDefault="00A77FB3" w:rsidP="007C4143">
            <w:pPr>
              <w:pStyle w:val="TableParagraph"/>
              <w:spacing w:before="360"/>
              <w:ind w:left="99"/>
              <w:rPr>
                <w:sz w:val="20"/>
              </w:rPr>
            </w:pPr>
            <w:r w:rsidRPr="00355909">
              <w:rPr>
                <w:noProof/>
                <w:sz w:val="20"/>
                <w:lang w:eastAsia="es-ES"/>
              </w:rPr>
              <w:drawing>
                <wp:inline distT="0" distB="0" distL="0" distR="0" wp14:anchorId="56D6FEE1" wp14:editId="369DBA05">
                  <wp:extent cx="1359189" cy="747712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89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2599509E" w14:textId="77777777" w:rsidR="00F32490" w:rsidRPr="00355909" w:rsidRDefault="00A77FB3" w:rsidP="00F32490">
            <w:pPr>
              <w:pStyle w:val="TableParagraph"/>
              <w:spacing w:before="83" w:line="276" w:lineRule="auto"/>
              <w:ind w:left="100" w:firstLine="30"/>
              <w:rPr>
                <w:b/>
                <w:sz w:val="28"/>
              </w:rPr>
            </w:pPr>
            <w:r w:rsidRPr="00355909">
              <w:rPr>
                <w:b/>
                <w:bCs/>
                <w:sz w:val="28"/>
                <w:szCs w:val="28"/>
              </w:rPr>
              <w:t>Las píldoras que un médico receta son solo para la persona a quien se las recetó y se deben tomar de manera exacta según las indicaciones.</w:t>
            </w:r>
          </w:p>
        </w:tc>
        <w:tc>
          <w:tcPr>
            <w:tcW w:w="5717" w:type="dxa"/>
            <w:shd w:val="clear" w:color="auto" w:fill="EEEEEE"/>
          </w:tcPr>
          <w:p w14:paraId="05B678BF" w14:textId="77777777" w:rsidR="00F32490" w:rsidRPr="00355909" w:rsidRDefault="00A77FB3" w:rsidP="007C414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80" w:line="276" w:lineRule="auto"/>
              <w:ind w:right="57"/>
            </w:pPr>
            <w:r w:rsidRPr="00355909">
              <w:t>No tomen píldoras recetadas para otra persona o que recibieron de amigos u otras fuentes.</w:t>
            </w:r>
          </w:p>
          <w:p w14:paraId="4442E578" w14:textId="5A714B15" w:rsidR="00F32490" w:rsidRPr="00355909" w:rsidRDefault="00A77FB3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8" w:lineRule="auto"/>
            </w:pPr>
            <w:r w:rsidRPr="00355909">
              <w:t xml:space="preserve">Cada organismo es diferente. Una píldora que es segura para una persona puede ser </w:t>
            </w:r>
            <w:r w:rsidR="000F5A9D">
              <w:t xml:space="preserve">dañina </w:t>
            </w:r>
            <w:r w:rsidRPr="00355909">
              <w:t>para otra.</w:t>
            </w:r>
          </w:p>
          <w:p w14:paraId="5569FB44" w14:textId="77777777" w:rsidR="00F32490" w:rsidRPr="00355909" w:rsidRDefault="00A77FB3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6" w:lineRule="auto"/>
            </w:pPr>
            <w:r w:rsidRPr="00355909">
              <w:t>Cualquier píldora puede ser peligrosa si no se toma correctamente, por ejemplo, si se toma en exceso o con demasiada frecuencia.</w:t>
            </w:r>
          </w:p>
        </w:tc>
      </w:tr>
      <w:tr w:rsidR="00DE3BF0" w:rsidRPr="00355909" w14:paraId="3F484BD5" w14:textId="77777777" w:rsidTr="00F32490">
        <w:trPr>
          <w:trHeight w:val="1955"/>
        </w:trPr>
        <w:tc>
          <w:tcPr>
            <w:tcW w:w="2356" w:type="dxa"/>
          </w:tcPr>
          <w:p w14:paraId="75A8EB50" w14:textId="77777777" w:rsidR="00F32490" w:rsidRPr="00355909" w:rsidRDefault="00A77FB3" w:rsidP="007C4143">
            <w:pPr>
              <w:pStyle w:val="TableParagraph"/>
              <w:spacing w:before="120"/>
              <w:ind w:left="363"/>
              <w:rPr>
                <w:sz w:val="20"/>
              </w:rPr>
            </w:pPr>
            <w:r w:rsidRPr="00355909">
              <w:rPr>
                <w:noProof/>
                <w:sz w:val="20"/>
                <w:lang w:eastAsia="es-ES"/>
              </w:rPr>
              <w:drawing>
                <wp:inline distT="0" distB="0" distL="0" distR="0" wp14:anchorId="50C444F8" wp14:editId="5BF62F07">
                  <wp:extent cx="1034276" cy="904875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76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6C58658E" w14:textId="77777777" w:rsidR="00F32490" w:rsidRPr="00355909" w:rsidRDefault="00A77FB3" w:rsidP="00F32490">
            <w:pPr>
              <w:pStyle w:val="TableParagraph"/>
              <w:spacing w:before="83" w:line="278" w:lineRule="auto"/>
              <w:ind w:left="100"/>
              <w:rPr>
                <w:b/>
                <w:sz w:val="28"/>
              </w:rPr>
            </w:pPr>
            <w:r w:rsidRPr="00355909">
              <w:rPr>
                <w:b/>
                <w:bCs/>
                <w:sz w:val="28"/>
                <w:szCs w:val="28"/>
              </w:rPr>
              <w:t>Las píldoras falsas pueden ser parecidas a las píldoras reales.</w:t>
            </w:r>
          </w:p>
        </w:tc>
        <w:tc>
          <w:tcPr>
            <w:tcW w:w="5717" w:type="dxa"/>
          </w:tcPr>
          <w:p w14:paraId="163CDE6B" w14:textId="77777777" w:rsidR="00F32490" w:rsidRPr="00355909" w:rsidRDefault="00A77FB3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81" w:line="276" w:lineRule="auto"/>
            </w:pPr>
            <w:r w:rsidRPr="00355909">
              <w:t>Una píldora mezclada con fentanilo puede ser de cualquier color. Por lo general son de color azul, de tonos verdes o claros.</w:t>
            </w:r>
          </w:p>
          <w:p w14:paraId="382D5CA7" w14:textId="475A4A15" w:rsidR="00F32490" w:rsidRPr="00355909" w:rsidRDefault="00A77FB3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 w:line="276" w:lineRule="auto"/>
            </w:pPr>
            <w:r w:rsidRPr="00355909">
              <w:t xml:space="preserve">Algunas píldoras falsas tienen marcas que </w:t>
            </w:r>
            <w:r w:rsidR="000F5A9D">
              <w:t xml:space="preserve">las hacen parecer </w:t>
            </w:r>
            <w:r w:rsidRPr="00355909">
              <w:t>píldoras reales. Algunas marcas son “M30”, “K9”, “215” o “V48”. Las píldoras falsas pueden tener otras marcas o no tener ninguna.</w:t>
            </w:r>
          </w:p>
        </w:tc>
      </w:tr>
      <w:tr w:rsidR="00DE3BF0" w:rsidRPr="00355909" w14:paraId="49ED7DC4" w14:textId="77777777" w:rsidTr="00F32490">
        <w:trPr>
          <w:trHeight w:val="3466"/>
        </w:trPr>
        <w:tc>
          <w:tcPr>
            <w:tcW w:w="2356" w:type="dxa"/>
            <w:shd w:val="clear" w:color="auto" w:fill="EEEEEE"/>
          </w:tcPr>
          <w:p w14:paraId="53920A10" w14:textId="77777777" w:rsidR="00F32490" w:rsidRPr="00355909" w:rsidRDefault="00A77FB3" w:rsidP="007C4143">
            <w:pPr>
              <w:pStyle w:val="TableParagraph"/>
              <w:spacing w:before="840"/>
              <w:ind w:left="461"/>
              <w:rPr>
                <w:sz w:val="20"/>
              </w:rPr>
            </w:pPr>
            <w:r w:rsidRPr="00355909">
              <w:rPr>
                <w:noProof/>
                <w:sz w:val="20"/>
                <w:lang w:eastAsia="es-ES"/>
              </w:rPr>
              <w:drawing>
                <wp:inline distT="0" distB="0" distL="0" distR="0" wp14:anchorId="76011326" wp14:editId="0E76F7E3">
                  <wp:extent cx="905256" cy="905256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2498DFEE" w14:textId="77777777" w:rsidR="00F32490" w:rsidRPr="00355909" w:rsidRDefault="00A77FB3" w:rsidP="00F32490">
            <w:pPr>
              <w:pStyle w:val="TableParagraph"/>
              <w:spacing w:before="83" w:line="276" w:lineRule="auto"/>
              <w:ind w:left="100"/>
              <w:rPr>
                <w:b/>
                <w:sz w:val="28"/>
              </w:rPr>
            </w:pPr>
            <w:r w:rsidRPr="00355909">
              <w:rPr>
                <w:b/>
                <w:bCs/>
                <w:sz w:val="28"/>
                <w:szCs w:val="28"/>
              </w:rPr>
              <w:t>La escuela y las familias pueden ayudar.</w:t>
            </w:r>
          </w:p>
        </w:tc>
        <w:tc>
          <w:tcPr>
            <w:tcW w:w="5717" w:type="dxa"/>
            <w:shd w:val="clear" w:color="auto" w:fill="EEEEEE"/>
          </w:tcPr>
          <w:p w14:paraId="17D37851" w14:textId="77777777" w:rsidR="00F32490" w:rsidRPr="00355909" w:rsidRDefault="00A77FB3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80"/>
            </w:pPr>
            <w:r w:rsidRPr="00355909">
              <w:t>Está bien pedir ayuda.</w:t>
            </w:r>
          </w:p>
          <w:p w14:paraId="26BB8083" w14:textId="77777777" w:rsidR="00F32490" w:rsidRPr="00355909" w:rsidRDefault="00A77FB3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2" w:line="276" w:lineRule="auto"/>
            </w:pPr>
            <w:r w:rsidRPr="00355909">
              <w:t>No se sancionará a los estudiantes que nos comuniquen que consumen drogas o que nos pidan ayuda.</w:t>
            </w:r>
          </w:p>
          <w:p w14:paraId="023DE734" w14:textId="77777777" w:rsidR="00F32490" w:rsidRPr="00355909" w:rsidRDefault="00A77FB3" w:rsidP="007C414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4406"/>
              </w:tabs>
              <w:spacing w:before="2" w:line="276" w:lineRule="auto"/>
              <w:ind w:right="113"/>
            </w:pPr>
            <w:r w:rsidRPr="00355909">
              <w:t xml:space="preserve">Los estudiantes pueden hablar con </w:t>
            </w:r>
            <w:r w:rsidRPr="00355909">
              <w:rPr>
                <w:color w:val="000000"/>
                <w:u w:val="single"/>
                <w:shd w:val="clear" w:color="auto" w:fill="FFFF00"/>
              </w:rPr>
              <w:tab/>
            </w:r>
            <w:r w:rsidRPr="00355909">
              <w:rPr>
                <w:color w:val="000000"/>
                <w:highlight w:val="yellow"/>
              </w:rPr>
              <w:t xml:space="preserve"> (Introducir personal: asesor, trabajador social, personal de enfermería, director, personal del centro de salud escolar),</w:t>
            </w:r>
            <w:r w:rsidRPr="00355909">
              <w:rPr>
                <w:color w:val="000000"/>
              </w:rPr>
              <w:t xml:space="preserve"> o con cualquier otro adulto de confianza.</w:t>
            </w:r>
          </w:p>
          <w:p w14:paraId="1BDB5F8E" w14:textId="77777777" w:rsidR="00F32490" w:rsidRPr="00355909" w:rsidRDefault="00A77FB3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</w:pPr>
            <w:r w:rsidRPr="00355909">
              <w:t>Si un estudiante se siente inseguro o conoce a alguien que se siente inseguro o experimenta angustia emocional, puede llamar, enviar mensajes de texto o chatear al </w:t>
            </w:r>
            <w:hyperlink r:id="rId14">
              <w:r w:rsidRPr="00355909">
                <w:rPr>
                  <w:color w:val="0000FF"/>
                  <w:u w:val="single"/>
                </w:rPr>
                <w:t>988</w:t>
              </w:r>
            </w:hyperlink>
            <w:r w:rsidRPr="00355909">
              <w:rPr>
                <w:color w:val="0000FF"/>
              </w:rPr>
              <w:t xml:space="preserve"> </w:t>
            </w:r>
            <w:r w:rsidRPr="00355909">
              <w:t>y hablar con un consejero de crisis sin costo alguno.</w:t>
            </w:r>
          </w:p>
        </w:tc>
      </w:tr>
    </w:tbl>
    <w:p w14:paraId="36FE9501" w14:textId="77777777" w:rsidR="00F32490" w:rsidRPr="00355909" w:rsidRDefault="00A77FB3" w:rsidP="00500051">
      <w:pPr>
        <w:spacing w:before="1680" w:after="59"/>
        <w:rPr>
          <w:b/>
          <w:sz w:val="32"/>
        </w:rPr>
      </w:pPr>
      <w:r w:rsidRPr="00355909">
        <w:rPr>
          <w:b/>
          <w:bCs/>
          <w:sz w:val="32"/>
          <w:szCs w:val="32"/>
        </w:rPr>
        <w:lastRenderedPageBreak/>
        <w:t>Esto es lo que puede hacer si ha sido testigo de una persona con sobredosis en su hogar o comunidad: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017"/>
      </w:tblGrid>
      <w:tr w:rsidR="00DE3BF0" w:rsidRPr="00355909" w14:paraId="301C52E0" w14:textId="77777777" w:rsidTr="00F32490">
        <w:trPr>
          <w:trHeight w:val="3531"/>
        </w:trPr>
        <w:tc>
          <w:tcPr>
            <w:tcW w:w="4787" w:type="dxa"/>
          </w:tcPr>
          <w:p w14:paraId="5FA7282B" w14:textId="77777777" w:rsidR="00F32490" w:rsidRPr="00355909" w:rsidRDefault="00A77FB3" w:rsidP="00703DC9">
            <w:pPr>
              <w:pStyle w:val="TableParagraph"/>
              <w:spacing w:before="480" w:line="276" w:lineRule="auto"/>
              <w:ind w:left="100" w:right="57"/>
              <w:rPr>
                <w:b/>
                <w:u w:val="single"/>
              </w:rPr>
            </w:pPr>
            <w:r w:rsidRPr="00355909">
              <w:rPr>
                <w:b/>
                <w:bCs/>
                <w:u w:val="single"/>
              </w:rPr>
              <w:t>RECONOCER: Conozca los signos de una sobredosis de opioide:</w:t>
            </w:r>
          </w:p>
          <w:p w14:paraId="2ABCED89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 w:hanging="359"/>
            </w:pPr>
            <w:r w:rsidRPr="00355909">
              <w:t>Pupilas puntiformes</w:t>
            </w:r>
          </w:p>
          <w:p w14:paraId="2CF17A89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 w:rsidRPr="00355909">
              <w:t>Respiración lenta, superficial o falta de respiración</w:t>
            </w:r>
          </w:p>
          <w:p w14:paraId="46F6A479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 w:rsidRPr="00355909">
              <w:t>Gorgoteo o ronquidos</w:t>
            </w:r>
          </w:p>
          <w:p w14:paraId="7F109377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42"/>
              <w:ind w:left="869" w:hanging="409"/>
            </w:pPr>
            <w:r w:rsidRPr="00355909">
              <w:t>Dificultad o incapacidad para despertarse</w:t>
            </w:r>
          </w:p>
          <w:p w14:paraId="39F63072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 w:rsidRPr="00355909">
              <w:t>Somnolencia extrema</w:t>
            </w:r>
          </w:p>
          <w:p w14:paraId="34AD54C4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 w:rsidRPr="00355909">
              <w:t>Piel fría o húmeda</w:t>
            </w:r>
          </w:p>
          <w:p w14:paraId="7899A463" w14:textId="77777777" w:rsidR="00F32490" w:rsidRPr="00355909" w:rsidRDefault="00A77FB3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2"/>
              <w:ind w:left="819" w:hanging="359"/>
              <w:rPr>
                <w:color w:val="202429"/>
              </w:rPr>
            </w:pPr>
            <w:r w:rsidRPr="00355909">
              <w:rPr>
                <w:color w:val="202429"/>
              </w:rPr>
              <w:t>Labios, uñas o piel de color grisáceo o azulado</w:t>
            </w:r>
          </w:p>
        </w:tc>
        <w:tc>
          <w:tcPr>
            <w:tcW w:w="6017" w:type="dxa"/>
          </w:tcPr>
          <w:p w14:paraId="39446B38" w14:textId="77777777" w:rsidR="00F32490" w:rsidRPr="00355909" w:rsidRDefault="00A77FB3" w:rsidP="00703DC9">
            <w:pPr>
              <w:pStyle w:val="TableParagraph"/>
              <w:spacing w:before="360"/>
              <w:ind w:left="100"/>
              <w:rPr>
                <w:b/>
                <w:u w:val="single"/>
              </w:rPr>
            </w:pPr>
            <w:r w:rsidRPr="00355909">
              <w:rPr>
                <w:b/>
                <w:bCs/>
                <w:u w:val="single"/>
              </w:rPr>
              <w:t>RESPONDA de la siguiente manera si hay sospecha de una sobredosis de opioides:</w:t>
            </w:r>
          </w:p>
          <w:p w14:paraId="10D2038F" w14:textId="77777777" w:rsidR="00F32490" w:rsidRPr="00355909" w:rsidRDefault="00A77FB3" w:rsidP="00F32490">
            <w:pPr>
              <w:pStyle w:val="TableParagraph"/>
              <w:tabs>
                <w:tab w:val="left" w:pos="820"/>
              </w:tabs>
              <w:spacing w:before="39" w:line="276" w:lineRule="auto"/>
              <w:ind w:hanging="360"/>
            </w:pPr>
            <w:r w:rsidRPr="00355909">
              <w:rPr>
                <w:rFonts w:ascii="Symbol" w:eastAsia="Symbol" w:hAnsi="Symbol" w:cs="Symbol"/>
              </w:rPr>
              <w:sym w:font="Symbol" w:char="F0CF"/>
            </w:r>
            <w:r w:rsidRPr="00355909">
              <w:rPr>
                <w:rFonts w:ascii="Times New Roman" w:eastAsia="Times New Roman" w:hAnsi="Times New Roman"/>
              </w:rPr>
              <w:tab/>
            </w:r>
            <w:r w:rsidRPr="00355909">
              <w:t>Administre un medicamento como la naloxona* (si está disponible) para revertir una sobredosis y llame al 911.</w:t>
            </w:r>
          </w:p>
          <w:p w14:paraId="63DF51F9" w14:textId="77777777" w:rsidR="00F32490" w:rsidRPr="00355909" w:rsidRDefault="00A77FB3" w:rsidP="00F32490">
            <w:pPr>
              <w:pStyle w:val="TableParagraph"/>
              <w:tabs>
                <w:tab w:val="left" w:pos="820"/>
              </w:tabs>
              <w:spacing w:before="1"/>
              <w:ind w:left="460"/>
            </w:pPr>
            <w:r w:rsidRPr="00355909">
              <w:rPr>
                <w:rFonts w:ascii="Symbol" w:eastAsia="Symbol" w:hAnsi="Symbol" w:cs="Symbol"/>
              </w:rPr>
              <w:sym w:font="Symbol" w:char="F0CF"/>
            </w:r>
            <w:r w:rsidRPr="00355909">
              <w:rPr>
                <w:rFonts w:ascii="Times New Roman" w:eastAsia="Times New Roman" w:hAnsi="Times New Roman"/>
              </w:rPr>
              <w:tab/>
            </w:r>
            <w:r w:rsidRPr="00355909">
              <w:t>Trate de mantener a la persona despierta y respirando.</w:t>
            </w:r>
          </w:p>
          <w:p w14:paraId="0958B32C" w14:textId="77777777" w:rsidR="00F32490" w:rsidRPr="00355909" w:rsidRDefault="00A77FB3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 w:rsidRPr="00355909">
              <w:rPr>
                <w:rFonts w:ascii="Symbol" w:eastAsia="Symbol" w:hAnsi="Symbol" w:cs="Symbol"/>
              </w:rPr>
              <w:sym w:font="Symbol" w:char="F0CF"/>
            </w:r>
            <w:r w:rsidRPr="00355909">
              <w:rPr>
                <w:rFonts w:ascii="Times New Roman" w:eastAsia="Times New Roman" w:hAnsi="Times New Roman"/>
              </w:rPr>
              <w:tab/>
            </w:r>
            <w:r w:rsidRPr="00355909">
              <w:t>Acueste a la persona de lado para evitar que se asfixie.</w:t>
            </w:r>
          </w:p>
          <w:p w14:paraId="2ADE602C" w14:textId="77777777" w:rsidR="00F32490" w:rsidRPr="00355909" w:rsidRDefault="00A77FB3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 w:rsidRPr="00355909">
              <w:rPr>
                <w:rFonts w:ascii="Symbol" w:eastAsia="Symbol" w:hAnsi="Symbol" w:cs="Symbol"/>
              </w:rPr>
              <w:sym w:font="Symbol" w:char="F0CF"/>
            </w:r>
            <w:r w:rsidRPr="00355909">
              <w:rPr>
                <w:rFonts w:ascii="Times New Roman" w:eastAsia="Times New Roman" w:hAnsi="Times New Roman"/>
              </w:rPr>
              <w:tab/>
            </w:r>
            <w:r w:rsidRPr="00355909">
              <w:t>Quédese con la persona hasta que llegue la ayuda de emergencia.</w:t>
            </w:r>
          </w:p>
        </w:tc>
      </w:tr>
      <w:tr w:rsidR="00DE3BF0" w:rsidRPr="00355909" w14:paraId="37C05D03" w14:textId="77777777" w:rsidTr="00F32490">
        <w:trPr>
          <w:trHeight w:val="870"/>
        </w:trPr>
        <w:tc>
          <w:tcPr>
            <w:tcW w:w="10804" w:type="dxa"/>
            <w:gridSpan w:val="2"/>
          </w:tcPr>
          <w:p w14:paraId="49A41B83" w14:textId="40FDCFDB" w:rsidR="00F32490" w:rsidRPr="00355909" w:rsidRDefault="00A77FB3" w:rsidP="00F32490">
            <w:pPr>
              <w:pStyle w:val="TableParagraph"/>
              <w:spacing w:before="100" w:line="278" w:lineRule="auto"/>
              <w:ind w:left="100"/>
            </w:pPr>
            <w:r w:rsidRPr="00355909">
              <w:t>Puede obtener más información sobre cómo conseguir naloxona (</w:t>
            </w:r>
            <w:proofErr w:type="spellStart"/>
            <w:r w:rsidRPr="00355909">
              <w:t>Narcan</w:t>
            </w:r>
            <w:proofErr w:type="spellEnd"/>
            <w:r w:rsidRPr="00355909">
              <w:t xml:space="preserve">) y cómo usarla al visitar la página de </w:t>
            </w:r>
            <w:hyperlink r:id="rId15">
              <w:r w:rsidRPr="00355909">
                <w:rPr>
                  <w:color w:val="0000FF"/>
                  <w:u w:val="single"/>
                </w:rPr>
                <w:t>Medicamentos para la Reversión de Opioides</w:t>
              </w:r>
            </w:hyperlink>
            <w:r w:rsidRPr="00355909">
              <w:rPr>
                <w:color w:val="0000FF"/>
              </w:rPr>
              <w:t xml:space="preserve"> </w:t>
            </w:r>
            <w:r w:rsidRPr="00355909">
              <w:t xml:space="preserve">de la </w:t>
            </w:r>
            <w:r w:rsidR="004F356A">
              <w:t>Autoridad de Salud de Oregon (</w:t>
            </w:r>
            <w:r w:rsidRPr="00355909">
              <w:t xml:space="preserve">Oregon Health </w:t>
            </w:r>
            <w:proofErr w:type="spellStart"/>
            <w:r w:rsidRPr="00355909">
              <w:t>Authority</w:t>
            </w:r>
            <w:proofErr w:type="spellEnd"/>
            <w:r w:rsidR="004F356A">
              <w:t>, OHA por sus siglas en inglés)</w:t>
            </w:r>
          </w:p>
        </w:tc>
      </w:tr>
    </w:tbl>
    <w:p w14:paraId="69BD0F8F" w14:textId="77777777" w:rsidR="00F32490" w:rsidRPr="00355909" w:rsidRDefault="00A77FB3" w:rsidP="005210D9">
      <w:pPr>
        <w:spacing w:before="240" w:after="160"/>
        <w:rPr>
          <w:rFonts w:eastAsiaTheme="minorEastAsia"/>
          <w:b/>
          <w:sz w:val="32"/>
          <w:lang w:eastAsia="zh-CN"/>
        </w:rPr>
      </w:pPr>
      <w:r w:rsidRPr="00355909">
        <w:rPr>
          <w:b/>
          <w:bCs/>
          <w:sz w:val="32"/>
          <w:szCs w:val="32"/>
        </w:rPr>
        <w:t>A continuación, incluimos algunos sitios web útiles: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</w:tblGrid>
      <w:tr w:rsidR="00DE3BF0" w:rsidRPr="00355909" w14:paraId="4B7E0CF7" w14:textId="77777777" w:rsidTr="00B03526">
        <w:trPr>
          <w:trHeight w:val="870"/>
        </w:trPr>
        <w:tc>
          <w:tcPr>
            <w:tcW w:w="10804" w:type="dxa"/>
          </w:tcPr>
          <w:p w14:paraId="150AC821" w14:textId="77777777" w:rsidR="005210D9" w:rsidRPr="00355909" w:rsidRDefault="00A77FB3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100"/>
              <w:ind w:left="830"/>
              <w:rPr>
                <w:color w:val="212121"/>
              </w:rPr>
            </w:pPr>
            <w:r w:rsidRPr="00355909">
              <w:rPr>
                <w:color w:val="212121"/>
              </w:rPr>
              <w:t>Ayuda para estudiantes y familias</w:t>
            </w:r>
          </w:p>
          <w:p w14:paraId="59AC5209" w14:textId="6DD8DF38" w:rsidR="005210D9" w:rsidRPr="00355909" w:rsidRDefault="00A77FB3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r w:rsidRPr="00395C58">
              <w:t xml:space="preserve">Tratamiento para </w:t>
            </w:r>
            <w:hyperlink r:id="rId16">
              <w:r w:rsidRPr="00355909">
                <w:rPr>
                  <w:color w:val="0000FF"/>
                  <w:u w:val="single"/>
                </w:rPr>
                <w:t>trastornos por uso de sustancias en jóvenes</w:t>
              </w:r>
            </w:hyperlink>
            <w:r w:rsidRPr="00355909">
              <w:rPr>
                <w:color w:val="0000FF"/>
              </w:rPr>
              <w:t xml:space="preserve"> </w:t>
            </w:r>
            <w:r w:rsidRPr="00355909">
              <w:t xml:space="preserve">y recursos de recuperación de la </w:t>
            </w:r>
            <w:r w:rsidR="005A0658">
              <w:t>OHA</w:t>
            </w:r>
          </w:p>
          <w:p w14:paraId="42D3F803" w14:textId="77777777" w:rsidR="005210D9" w:rsidRPr="00355909" w:rsidRDefault="00A77FB3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r w:rsidRPr="00395C58">
              <w:t>La</w:t>
            </w:r>
            <w:r w:rsidRPr="00355909">
              <w:rPr>
                <w:color w:val="0000FF"/>
              </w:rPr>
              <w:t xml:space="preserve"> </w:t>
            </w:r>
            <w:hyperlink r:id="rId17">
              <w:r w:rsidRPr="00355909">
                <w:rPr>
                  <w:color w:val="0000FF"/>
                  <w:u w:val="single"/>
                </w:rPr>
                <w:t>Red de apoyo familiar de Oregon</w:t>
              </w:r>
            </w:hyperlink>
            <w:r w:rsidRPr="00355909">
              <w:rPr>
                <w:color w:val="0000FF"/>
              </w:rPr>
              <w:t xml:space="preserve"> </w:t>
            </w:r>
            <w:r w:rsidRPr="00355909">
              <w:rPr>
                <w:color w:val="001F5F"/>
              </w:rPr>
              <w:t>conecta, empodera y educa a las familias y a sus comunidades</w:t>
            </w:r>
          </w:p>
          <w:p w14:paraId="58DE75A3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18">
              <w:proofErr w:type="spellStart"/>
              <w:r w:rsidR="00A77FB3" w:rsidRPr="00355909">
                <w:rPr>
                  <w:color w:val="0000FF"/>
                  <w:u w:val="single"/>
                </w:rPr>
                <w:t>The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New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Drug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Talk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Oregon (La nueva charla sobre drogas en Oregon)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rPr>
                <w:color w:val="001F5F"/>
              </w:rPr>
              <w:t>proporciona información y herramientas a los padres para conectarse en torno al fentanilo</w:t>
            </w:r>
          </w:p>
          <w:p w14:paraId="6953D34A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36"/>
              <w:ind w:left="1550" w:hanging="359"/>
              <w:rPr>
                <w:color w:val="001F5F"/>
              </w:rPr>
            </w:pPr>
            <w:hyperlink r:id="rId19">
              <w:r w:rsidR="00A77FB3" w:rsidRPr="00355909">
                <w:rPr>
                  <w:color w:val="0000FF"/>
                  <w:u w:val="single"/>
                </w:rPr>
                <w:t>Escuelas secundarias de recuperación de Oregon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rPr>
                <w:color w:val="001F5F"/>
              </w:rPr>
              <w:t>proporciona educación segura, sobria y de apoyo para jóvenes en recuperación</w:t>
            </w:r>
          </w:p>
          <w:p w14:paraId="4FDDBF5C" w14:textId="77777777" w:rsidR="005210D9" w:rsidRPr="00355909" w:rsidRDefault="00A77FB3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44"/>
              <w:ind w:left="830"/>
              <w:rPr>
                <w:color w:val="212121"/>
              </w:rPr>
            </w:pPr>
            <w:r w:rsidRPr="00355909">
              <w:rPr>
                <w:color w:val="212121"/>
              </w:rPr>
              <w:t xml:space="preserve">Información sobre opioides, fentanilo y terapias de rescate con naloxona o </w:t>
            </w:r>
            <w:proofErr w:type="spellStart"/>
            <w:r w:rsidRPr="00355909">
              <w:rPr>
                <w:color w:val="212121"/>
              </w:rPr>
              <w:t>Narcan</w:t>
            </w:r>
            <w:proofErr w:type="spellEnd"/>
          </w:p>
          <w:p w14:paraId="09030178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hyperlink r:id="rId20">
              <w:r w:rsidR="00A77FB3" w:rsidRPr="00355909">
                <w:rPr>
                  <w:color w:val="0000FF"/>
                  <w:u w:val="single"/>
                </w:rPr>
                <w:t xml:space="preserve">April 2022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Community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Threat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Bulletin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(Boletín de amenazas a la comunidad de abril de 2022)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t xml:space="preserve">del Área de Tráfico de Drogas de Alta Intensidad (High </w:t>
            </w:r>
            <w:proofErr w:type="spellStart"/>
            <w:r w:rsidR="00A77FB3" w:rsidRPr="00355909">
              <w:t>Intensity</w:t>
            </w:r>
            <w:proofErr w:type="spellEnd"/>
            <w:r w:rsidR="00A77FB3" w:rsidRPr="00355909">
              <w:t xml:space="preserve"> </w:t>
            </w:r>
            <w:proofErr w:type="spellStart"/>
            <w:r w:rsidR="00A77FB3" w:rsidRPr="00355909">
              <w:t>Drug</w:t>
            </w:r>
            <w:proofErr w:type="spellEnd"/>
            <w:r w:rsidR="00A77FB3" w:rsidRPr="00355909">
              <w:t xml:space="preserve"> </w:t>
            </w:r>
            <w:proofErr w:type="spellStart"/>
            <w:r w:rsidR="00A77FB3" w:rsidRPr="00355909">
              <w:t>Trafficking</w:t>
            </w:r>
            <w:proofErr w:type="spellEnd"/>
            <w:r w:rsidR="00A77FB3" w:rsidRPr="00355909">
              <w:t xml:space="preserve"> </w:t>
            </w:r>
            <w:proofErr w:type="spellStart"/>
            <w:r w:rsidR="00A77FB3" w:rsidRPr="00355909">
              <w:t>Area</w:t>
            </w:r>
            <w:proofErr w:type="spellEnd"/>
            <w:r w:rsidR="00A77FB3" w:rsidRPr="00355909">
              <w:t>, HIDTA) de Oregon</w:t>
            </w:r>
          </w:p>
          <w:p w14:paraId="535C124A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21">
              <w:r w:rsidR="00A77FB3" w:rsidRPr="00355909">
                <w:rPr>
                  <w:color w:val="0000FF"/>
                  <w:u w:val="single"/>
                </w:rPr>
                <w:t>Consciente del fentanilo (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Fentanyl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A77FB3" w:rsidRPr="00355909">
                <w:rPr>
                  <w:color w:val="0000FF"/>
                  <w:u w:val="single"/>
                </w:rPr>
                <w:t>Aware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>)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rPr>
                <w:color w:val="001F5F"/>
              </w:rPr>
              <w:t>campaña de concientización pública del condado de Lane sobre el fentanilo, las sobredosis y la naloxona.</w:t>
            </w:r>
          </w:p>
          <w:p w14:paraId="0E36757B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22">
              <w:r w:rsidR="00A77FB3" w:rsidRPr="00355909">
                <w:rPr>
                  <w:color w:val="0000FF"/>
                  <w:u w:val="single"/>
                </w:rPr>
                <w:t>Save Lives Oregon (Salvar vidas Oregon)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rPr>
                <w:color w:val="001F5F"/>
              </w:rPr>
              <w:t>obtenga más información sobre la naloxona, cómo administrarla y cómo acceder a guías de capacitación.</w:t>
            </w:r>
          </w:p>
          <w:p w14:paraId="5A45A5EE" w14:textId="104CF9FC" w:rsidR="005210D9" w:rsidRPr="00355909" w:rsidRDefault="00A77FB3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r w:rsidRPr="00355909">
              <w:rPr>
                <w:color w:val="0000FF"/>
              </w:rPr>
              <w:t xml:space="preserve">Recursos de </w:t>
            </w:r>
            <w:hyperlink r:id="rId23">
              <w:r w:rsidRPr="00355909">
                <w:rPr>
                  <w:color w:val="0000FF"/>
                  <w:u w:val="single"/>
                </w:rPr>
                <w:t>Medicamentos para revertir la sobredosis de opioides</w:t>
              </w:r>
            </w:hyperlink>
            <w:r w:rsidRPr="00355909">
              <w:rPr>
                <w:color w:val="0000FF"/>
              </w:rPr>
              <w:t xml:space="preserve"> </w:t>
            </w:r>
            <w:r w:rsidRPr="00355909">
              <w:t xml:space="preserve">de la </w:t>
            </w:r>
            <w:r w:rsidR="005A0658">
              <w:t>OHA</w:t>
            </w:r>
          </w:p>
          <w:p w14:paraId="3CFB88C8" w14:textId="77777777" w:rsidR="005210D9" w:rsidRPr="00355909" w:rsidRDefault="00A77FB3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37" w:line="278" w:lineRule="auto"/>
              <w:ind w:left="1551"/>
              <w:rPr>
                <w:color w:val="001F5F"/>
              </w:rPr>
            </w:pPr>
            <w:r w:rsidRPr="00355909">
              <w:rPr>
                <w:color w:val="0000FF"/>
                <w:u w:val="single" w:color="0000FF"/>
              </w:rPr>
              <w:t xml:space="preserve">Muertes por sobredosis de fentanilo, condado de </w:t>
            </w:r>
            <w:proofErr w:type="spellStart"/>
            <w:r w:rsidRPr="00355909">
              <w:rPr>
                <w:color w:val="0000FF"/>
                <w:u w:val="single" w:color="0000FF"/>
              </w:rPr>
              <w:t>Multnomah</w:t>
            </w:r>
            <w:proofErr w:type="spellEnd"/>
            <w:r w:rsidRPr="00355909">
              <w:rPr>
                <w:color w:val="0000FF"/>
                <w:u w:val="single" w:color="0000FF"/>
              </w:rPr>
              <w:t> 2018-2023,</w:t>
            </w:r>
            <w:r w:rsidRPr="00355909">
              <w:rPr>
                <w:color w:val="0000FF"/>
                <w:u w:color="0000FF"/>
              </w:rPr>
              <w:t xml:space="preserve"> </w:t>
            </w:r>
            <w:r w:rsidRPr="00355909">
              <w:rPr>
                <w:color w:val="001F5F"/>
                <w:u w:color="0000FF"/>
              </w:rPr>
              <w:t xml:space="preserve">un informe del Departamento de Salud del Condado de </w:t>
            </w:r>
            <w:proofErr w:type="spellStart"/>
            <w:r w:rsidRPr="00355909">
              <w:rPr>
                <w:color w:val="001F5F"/>
                <w:u w:color="0000FF"/>
              </w:rPr>
              <w:t>Multnomah</w:t>
            </w:r>
            <w:proofErr w:type="spellEnd"/>
          </w:p>
          <w:p w14:paraId="18BB3B06" w14:textId="77777777" w:rsidR="005210D9" w:rsidRPr="00355909" w:rsidRDefault="00A77FB3" w:rsidP="005210D9">
            <w:pPr>
              <w:pStyle w:val="ListParagraph"/>
              <w:numPr>
                <w:ilvl w:val="1"/>
                <w:numId w:val="6"/>
              </w:numPr>
              <w:tabs>
                <w:tab w:val="left" w:pos="930"/>
              </w:tabs>
              <w:spacing w:line="317" w:lineRule="exact"/>
              <w:ind w:left="830"/>
              <w:rPr>
                <w:b/>
                <w:sz w:val="26"/>
              </w:rPr>
            </w:pPr>
            <w:r w:rsidRPr="00355909">
              <w:rPr>
                <w:b/>
                <w:bCs/>
                <w:sz w:val="26"/>
                <w:szCs w:val="26"/>
              </w:rPr>
              <w:t>Líneas de ayuda</w:t>
            </w:r>
          </w:p>
          <w:p w14:paraId="61D40AE7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</w:pPr>
            <w:hyperlink r:id="rId24">
              <w:proofErr w:type="spellStart"/>
              <w:r w:rsidR="00A77FB3" w:rsidRPr="00355909">
                <w:rPr>
                  <w:color w:val="0000FF"/>
                  <w:u w:val="single"/>
                </w:rPr>
                <w:t>YouthLine</w:t>
              </w:r>
              <w:proofErr w:type="spellEnd"/>
              <w:r w:rsidR="00A77FB3" w:rsidRPr="00355909">
                <w:rPr>
                  <w:color w:val="0000FF"/>
                  <w:u w:val="single"/>
                </w:rPr>
                <w:t xml:space="preserve"> (Línea para jóvenes)</w:t>
              </w:r>
            </w:hyperlink>
            <w:r w:rsidR="00A77FB3" w:rsidRPr="00355909">
              <w:rPr>
                <w:color w:val="0000FF"/>
              </w:rPr>
              <w:t xml:space="preserve"> </w:t>
            </w:r>
            <w:r w:rsidR="00A77FB3" w:rsidRPr="00355909">
              <w:t>es una línea de ayuda y apoyo en crisis de adolescentes. Llame al 1-877-968-8491 o envíe “teen2teen” por mensaje de texto a 839863.</w:t>
            </w:r>
          </w:p>
          <w:p w14:paraId="1EB322D3" w14:textId="0D9610BD" w:rsidR="005210D9" w:rsidRDefault="005210D9" w:rsidP="005210D9">
            <w:pPr>
              <w:pStyle w:val="BodyText"/>
              <w:spacing w:before="6"/>
              <w:rPr>
                <w:sz w:val="18"/>
              </w:rPr>
            </w:pPr>
          </w:p>
          <w:p w14:paraId="510CD3BD" w14:textId="77777777" w:rsidR="00241F3C" w:rsidRPr="00355909" w:rsidRDefault="00241F3C" w:rsidP="005210D9">
            <w:pPr>
              <w:pStyle w:val="BodyText"/>
              <w:spacing w:before="6"/>
              <w:rPr>
                <w:sz w:val="18"/>
              </w:rPr>
            </w:pPr>
          </w:p>
          <w:p w14:paraId="594BC980" w14:textId="77777777" w:rsidR="005210D9" w:rsidRPr="00355909" w:rsidRDefault="00E335EB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55" w:after="360" w:line="276" w:lineRule="auto"/>
              <w:ind w:left="1551" w:right="57"/>
            </w:pPr>
            <w:hyperlink r:id="rId25">
              <w:r w:rsidR="00A77FB3" w:rsidRPr="00355909">
                <w:rPr>
                  <w:b/>
                  <w:bCs/>
                  <w:color w:val="0000FF"/>
                  <w:u w:val="single"/>
                </w:rPr>
                <w:t>988 </w:t>
              </w:r>
              <w:proofErr w:type="spellStart"/>
              <w:r w:rsidR="00A77FB3" w:rsidRPr="00355909">
                <w:rPr>
                  <w:b/>
                  <w:bCs/>
                  <w:color w:val="0000FF"/>
                  <w:u w:val="single"/>
                </w:rPr>
                <w:t>Lifeline</w:t>
              </w:r>
              <w:proofErr w:type="spellEnd"/>
              <w:r w:rsidR="00A77FB3" w:rsidRPr="00355909">
                <w:rPr>
                  <w:b/>
                  <w:bCs/>
                  <w:color w:val="0000FF"/>
                  <w:u w:val="single"/>
                </w:rPr>
                <w:t xml:space="preserve"> (Línea 988 de Prevención del Suicidio y Crisis).</w:t>
              </w:r>
            </w:hyperlink>
            <w:r w:rsidR="00A77FB3" w:rsidRPr="00355909">
              <w:rPr>
                <w:b/>
                <w:bCs/>
                <w:color w:val="0000FF"/>
              </w:rPr>
              <w:t xml:space="preserve"> </w:t>
            </w:r>
            <w:r w:rsidR="00A77FB3" w:rsidRPr="00355909">
              <w:t xml:space="preserve">Si usted o alguien que conoce está luchando o en crisis, hay ayuda disponible las 24 horas del día, los 7 días de la semana. Llame o envíe un mensaje de texto al 988 o por chat en línea en </w:t>
            </w:r>
            <w:hyperlink r:id="rId26">
              <w:r w:rsidR="00A77FB3" w:rsidRPr="00355909">
                <w:rPr>
                  <w:color w:val="0000FF"/>
                  <w:u w:val="single"/>
                </w:rPr>
                <w:t>988lifeline.org</w:t>
              </w:r>
              <w:r w:rsidR="00A77FB3" w:rsidRPr="00355909">
                <w:t>.</w:t>
              </w:r>
            </w:hyperlink>
            <w:r w:rsidR="00A77FB3" w:rsidRPr="00355909">
              <w:t xml:space="preserve"> La línea 988 </w:t>
            </w:r>
            <w:proofErr w:type="spellStart"/>
            <w:r w:rsidR="00A77FB3" w:rsidRPr="00355909">
              <w:t>Lifeline</w:t>
            </w:r>
            <w:proofErr w:type="spellEnd"/>
            <w:r w:rsidR="00A77FB3" w:rsidRPr="00355909">
              <w:t xml:space="preserve"> responde llamadas, mensajes de texto y chats en inglés o español, con servicios de interpretación para más de 250 idiomas. Las personas sordas, con problemas de audición o que prefieren usar el lenguaje de señas estadounidense pueden </w:t>
            </w:r>
            <w:r w:rsidR="00A77FB3" w:rsidRPr="00355909">
              <w:rPr>
                <w:u w:val="single"/>
              </w:rPr>
              <w:t>comunicarse directamente con un consejero 988 capacitado en ASL.</w:t>
            </w:r>
          </w:p>
        </w:tc>
      </w:tr>
    </w:tbl>
    <w:p w14:paraId="3DC434ED" w14:textId="77777777" w:rsidR="005210D9" w:rsidRPr="00355909" w:rsidRDefault="005210D9" w:rsidP="00FA4B72">
      <w:pPr>
        <w:spacing w:before="120"/>
        <w:rPr>
          <w:rFonts w:eastAsiaTheme="minorEastAsia"/>
          <w:b/>
          <w:sz w:val="32"/>
          <w:lang w:eastAsia="zh-CN"/>
        </w:rPr>
      </w:pPr>
    </w:p>
    <w:sectPr w:rsidR="005210D9" w:rsidRPr="00355909" w:rsidSect="00FE1479">
      <w:footerReference w:type="default" r:id="rId27"/>
      <w:pgSz w:w="12240" w:h="15840"/>
      <w:pgMar w:top="895" w:right="709" w:bottom="1135" w:left="709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46ECD" w14:textId="77777777" w:rsidR="005D0768" w:rsidRDefault="005D0768">
      <w:r>
        <w:separator/>
      </w:r>
    </w:p>
  </w:endnote>
  <w:endnote w:type="continuationSeparator" w:id="0">
    <w:p w14:paraId="24E01058" w14:textId="77777777" w:rsidR="005D0768" w:rsidRDefault="005D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5CB5A" w14:textId="77777777" w:rsidR="00F32490" w:rsidRPr="00E95D03" w:rsidRDefault="00A77FB3" w:rsidP="00F32490">
    <w:pPr>
      <w:spacing w:line="264" w:lineRule="exact"/>
      <w:ind w:left="20"/>
      <w:rPr>
        <w:sz w:val="24"/>
        <w:szCs w:val="24"/>
      </w:rPr>
    </w:pPr>
    <w:r>
      <w:rPr>
        <w:sz w:val="24"/>
        <w:szCs w:val="24"/>
      </w:rPr>
      <w:t>Puede obtener este documento en otros idiomas, letra grande, braille o el formato de su preferencia.</w:t>
    </w:r>
  </w:p>
  <w:p w14:paraId="1B273382" w14:textId="57DAC35F" w:rsidR="006308CB" w:rsidRPr="00E95D03" w:rsidRDefault="00A77FB3" w:rsidP="00F32490">
    <w:pPr>
      <w:spacing w:before="2"/>
      <w:ind w:left="20"/>
      <w:rPr>
        <w:rFonts w:eastAsiaTheme="minorEastAsia"/>
        <w:sz w:val="24"/>
        <w:szCs w:val="24"/>
        <w:lang w:eastAsia="zh-CN"/>
      </w:rPr>
    </w:pPr>
    <w:r>
      <w:rPr>
        <w:sz w:val="24"/>
        <w:szCs w:val="24"/>
      </w:rPr>
      <w:t xml:space="preserve">Comuníquese </w:t>
    </w:r>
    <w:r w:rsidR="004F356A">
      <w:rPr>
        <w:sz w:val="24"/>
        <w:szCs w:val="24"/>
      </w:rPr>
      <w:t xml:space="preserve">con </w:t>
    </w:r>
    <w:hyperlink r:id="rId1">
      <w:r>
        <w:rPr>
          <w:color w:val="0000FF"/>
          <w:sz w:val="24"/>
          <w:szCs w:val="24"/>
          <w:u w:val="single"/>
        </w:rPr>
        <w:t>IVPP.General@dhsoha.state.or.us</w:t>
      </w:r>
    </w:hyperlink>
    <w:r>
      <w:rPr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5C96A" w14:textId="77777777" w:rsidR="005D0768" w:rsidRDefault="005D0768">
      <w:r>
        <w:separator/>
      </w:r>
    </w:p>
  </w:footnote>
  <w:footnote w:type="continuationSeparator" w:id="0">
    <w:p w14:paraId="5B118228" w14:textId="77777777" w:rsidR="005D0768" w:rsidRDefault="005D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6EBF"/>
    <w:multiLevelType w:val="hybridMultilevel"/>
    <w:tmpl w:val="AFB40736"/>
    <w:lvl w:ilvl="0" w:tplc="59CA0720">
      <w:start w:val="1"/>
      <w:numFmt w:val="upperLetter"/>
      <w:lvlText w:val="(%1)"/>
      <w:lvlJc w:val="left"/>
      <w:pPr>
        <w:ind w:left="1170" w:hanging="3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C96A7E60">
      <w:numFmt w:val="bullet"/>
      <w:lvlText w:val="•"/>
      <w:lvlJc w:val="left"/>
      <w:pPr>
        <w:ind w:left="2166" w:hanging="350"/>
      </w:pPr>
      <w:rPr>
        <w:rFonts w:hint="default"/>
        <w:lang w:val="en-US" w:eastAsia="en-US" w:bidi="ar-SA"/>
      </w:rPr>
    </w:lvl>
    <w:lvl w:ilvl="2" w:tplc="912EFC02">
      <w:numFmt w:val="bullet"/>
      <w:lvlText w:val="•"/>
      <w:lvlJc w:val="left"/>
      <w:pPr>
        <w:ind w:left="3152" w:hanging="350"/>
      </w:pPr>
      <w:rPr>
        <w:rFonts w:hint="default"/>
        <w:lang w:val="en-US" w:eastAsia="en-US" w:bidi="ar-SA"/>
      </w:rPr>
    </w:lvl>
    <w:lvl w:ilvl="3" w:tplc="90AE07F0">
      <w:numFmt w:val="bullet"/>
      <w:lvlText w:val="•"/>
      <w:lvlJc w:val="left"/>
      <w:pPr>
        <w:ind w:left="4138" w:hanging="350"/>
      </w:pPr>
      <w:rPr>
        <w:rFonts w:hint="default"/>
        <w:lang w:val="en-US" w:eastAsia="en-US" w:bidi="ar-SA"/>
      </w:rPr>
    </w:lvl>
    <w:lvl w:ilvl="4" w:tplc="E6CE00BE">
      <w:numFmt w:val="bullet"/>
      <w:lvlText w:val="•"/>
      <w:lvlJc w:val="left"/>
      <w:pPr>
        <w:ind w:left="5124" w:hanging="350"/>
      </w:pPr>
      <w:rPr>
        <w:rFonts w:hint="default"/>
        <w:lang w:val="en-US" w:eastAsia="en-US" w:bidi="ar-SA"/>
      </w:rPr>
    </w:lvl>
    <w:lvl w:ilvl="5" w:tplc="C6403392">
      <w:numFmt w:val="bullet"/>
      <w:lvlText w:val="•"/>
      <w:lvlJc w:val="left"/>
      <w:pPr>
        <w:ind w:left="6110" w:hanging="350"/>
      </w:pPr>
      <w:rPr>
        <w:rFonts w:hint="default"/>
        <w:lang w:val="en-US" w:eastAsia="en-US" w:bidi="ar-SA"/>
      </w:rPr>
    </w:lvl>
    <w:lvl w:ilvl="6" w:tplc="E7F64C86">
      <w:numFmt w:val="bullet"/>
      <w:lvlText w:val="•"/>
      <w:lvlJc w:val="left"/>
      <w:pPr>
        <w:ind w:left="7096" w:hanging="350"/>
      </w:pPr>
      <w:rPr>
        <w:rFonts w:hint="default"/>
        <w:lang w:val="en-US" w:eastAsia="en-US" w:bidi="ar-SA"/>
      </w:rPr>
    </w:lvl>
    <w:lvl w:ilvl="7" w:tplc="1ABCF312">
      <w:numFmt w:val="bullet"/>
      <w:lvlText w:val="•"/>
      <w:lvlJc w:val="left"/>
      <w:pPr>
        <w:ind w:left="8082" w:hanging="350"/>
      </w:pPr>
      <w:rPr>
        <w:rFonts w:hint="default"/>
        <w:lang w:val="en-US" w:eastAsia="en-US" w:bidi="ar-SA"/>
      </w:rPr>
    </w:lvl>
    <w:lvl w:ilvl="8" w:tplc="A6DA6C8E">
      <w:numFmt w:val="bullet"/>
      <w:lvlText w:val="•"/>
      <w:lvlJc w:val="left"/>
      <w:pPr>
        <w:ind w:left="906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3307B8"/>
    <w:multiLevelType w:val="hybridMultilevel"/>
    <w:tmpl w:val="C01C8B1A"/>
    <w:lvl w:ilvl="0" w:tplc="A2E6C094">
      <w:numFmt w:val="bullet"/>
      <w:lvlText w:val="☐"/>
      <w:lvlJc w:val="left"/>
      <w:pPr>
        <w:ind w:left="82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A69236">
      <w:numFmt w:val="bullet"/>
      <w:lvlText w:val="●"/>
      <w:lvlJc w:val="left"/>
      <w:pPr>
        <w:ind w:left="93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A71439AE">
      <w:numFmt w:val="bullet"/>
      <w:lvlText w:val="○"/>
      <w:lvlJc w:val="left"/>
      <w:pPr>
        <w:ind w:left="1651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3D16DAD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69D812F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28BAF540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6032EE5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EC48E4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0EC2658E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B02FD5"/>
    <w:multiLevelType w:val="hybridMultilevel"/>
    <w:tmpl w:val="62B06070"/>
    <w:lvl w:ilvl="0" w:tplc="2B1C1D2C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2EA07F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1124039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E3A25DCE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285832A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8F402E8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2B4C88E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D1064ED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BDB449B8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F7836"/>
    <w:multiLevelType w:val="hybridMultilevel"/>
    <w:tmpl w:val="F04C20DC"/>
    <w:lvl w:ilvl="0" w:tplc="7696EAE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A08E3A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F482B9B0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2364355C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705E594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9D2E93B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AFE8C34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69CA04E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8840A63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563642"/>
    <w:multiLevelType w:val="hybridMultilevel"/>
    <w:tmpl w:val="9AF401DE"/>
    <w:lvl w:ilvl="0" w:tplc="7B6660D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54EF12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0FF81DB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31CA8678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360CE37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D33431A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165C0A9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A60EF33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346C8A2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6C2AF1"/>
    <w:multiLevelType w:val="hybridMultilevel"/>
    <w:tmpl w:val="120A78D4"/>
    <w:lvl w:ilvl="0" w:tplc="407084E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BCDCD8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E96C675A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8276771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318C412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B160538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EE12E84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FA58C98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FE84BEEA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27F95"/>
    <w:multiLevelType w:val="hybridMultilevel"/>
    <w:tmpl w:val="9A2C0F9C"/>
    <w:lvl w:ilvl="0" w:tplc="464AF2F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74E20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448E665C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5CE89986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193EA556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78B8B96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B7EC4C3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E40641D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84205F1C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num w:numId="1" w16cid:durableId="235870631">
    <w:abstractNumId w:val="6"/>
  </w:num>
  <w:num w:numId="2" w16cid:durableId="1854759156">
    <w:abstractNumId w:val="3"/>
  </w:num>
  <w:num w:numId="3" w16cid:durableId="1272280944">
    <w:abstractNumId w:val="5"/>
  </w:num>
  <w:num w:numId="4" w16cid:durableId="1319698462">
    <w:abstractNumId w:val="4"/>
  </w:num>
  <w:num w:numId="5" w16cid:durableId="1074863827">
    <w:abstractNumId w:val="2"/>
  </w:num>
  <w:num w:numId="6" w16cid:durableId="991064814">
    <w:abstractNumId w:val="1"/>
  </w:num>
  <w:num w:numId="7" w16cid:durableId="154273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CB"/>
    <w:rsid w:val="00094D25"/>
    <w:rsid w:val="000D52C0"/>
    <w:rsid w:val="000D561C"/>
    <w:rsid w:val="000F5A9D"/>
    <w:rsid w:val="00164E8E"/>
    <w:rsid w:val="00166D48"/>
    <w:rsid w:val="00241F3C"/>
    <w:rsid w:val="002E6298"/>
    <w:rsid w:val="002F1A81"/>
    <w:rsid w:val="00307F5A"/>
    <w:rsid w:val="00355909"/>
    <w:rsid w:val="00395C58"/>
    <w:rsid w:val="003A7380"/>
    <w:rsid w:val="003F2775"/>
    <w:rsid w:val="00467E06"/>
    <w:rsid w:val="00490E98"/>
    <w:rsid w:val="00497B59"/>
    <w:rsid w:val="004D4930"/>
    <w:rsid w:val="004E2AE8"/>
    <w:rsid w:val="004E5F80"/>
    <w:rsid w:val="004F356A"/>
    <w:rsid w:val="004F5991"/>
    <w:rsid w:val="00500051"/>
    <w:rsid w:val="005210D9"/>
    <w:rsid w:val="005A0658"/>
    <w:rsid w:val="005D0768"/>
    <w:rsid w:val="005E07C7"/>
    <w:rsid w:val="006135D5"/>
    <w:rsid w:val="006308CB"/>
    <w:rsid w:val="00703DC9"/>
    <w:rsid w:val="00794EFE"/>
    <w:rsid w:val="007B09E6"/>
    <w:rsid w:val="007C4143"/>
    <w:rsid w:val="007D09D9"/>
    <w:rsid w:val="00802455"/>
    <w:rsid w:val="00804219"/>
    <w:rsid w:val="00814C03"/>
    <w:rsid w:val="0093730F"/>
    <w:rsid w:val="009C5D35"/>
    <w:rsid w:val="00A77FB3"/>
    <w:rsid w:val="00AF7FE9"/>
    <w:rsid w:val="00B0675D"/>
    <w:rsid w:val="00BD620F"/>
    <w:rsid w:val="00C82652"/>
    <w:rsid w:val="00D5754D"/>
    <w:rsid w:val="00DA4557"/>
    <w:rsid w:val="00DE3BF0"/>
    <w:rsid w:val="00E15186"/>
    <w:rsid w:val="00E335EB"/>
    <w:rsid w:val="00E44CD4"/>
    <w:rsid w:val="00E95D03"/>
    <w:rsid w:val="00EC18C7"/>
    <w:rsid w:val="00ED5E3C"/>
    <w:rsid w:val="00F15D33"/>
    <w:rsid w:val="00F32490"/>
    <w:rsid w:val="00FA4B72"/>
    <w:rsid w:val="00FB3897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3D659"/>
  <w15:docId w15:val="{78348402-69D4-47E3-B90B-8B2F469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_tradnl"/>
    </w:rPr>
  </w:style>
  <w:style w:type="paragraph" w:styleId="Heading1">
    <w:name w:val="heading 1"/>
    <w:basedOn w:val="Normal"/>
    <w:uiPriority w:val="9"/>
    <w:qFormat/>
    <w:pPr>
      <w:ind w:left="930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3" w:lineRule="exact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0" w:hanging="359"/>
    </w:pPr>
  </w:style>
  <w:style w:type="paragraph" w:customStyle="1" w:styleId="TableParagraph">
    <w:name w:val="Table Paragraph"/>
    <w:basedOn w:val="Normal"/>
    <w:uiPriority w:val="1"/>
    <w:qFormat/>
    <w:pPr>
      <w:ind w:left="820"/>
    </w:pPr>
  </w:style>
  <w:style w:type="paragraph" w:styleId="Header">
    <w:name w:val="header"/>
    <w:basedOn w:val="Normal"/>
    <w:link w:val="Head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D4930"/>
    <w:pPr>
      <w:widowControl/>
      <w:autoSpaceDE/>
      <w:autoSpaceDN/>
    </w:pPr>
    <w:rPr>
      <w:rFonts w:ascii="Calibri" w:eastAsia="Calibri" w:hAnsi="Calibri" w:cs="Calibri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0D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2C0"/>
    <w:rPr>
      <w:rFonts w:ascii="Calibri" w:eastAsia="Calibri" w:hAnsi="Calibri" w:cs="Calibri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2C0"/>
    <w:rPr>
      <w:rFonts w:ascii="Calibri" w:eastAsia="Calibri" w:hAnsi="Calibri" w:cs="Calibri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PREVENTIONWELLNESS/SUBSTANCEUSE/OPIOIDS/Pages/ReverseOverdose.aspx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thenewdrugtalk.org/oregon" TargetMode="External"/><Relationship Id="rId26" Type="http://schemas.openxmlformats.org/officeDocument/2006/relationships/hyperlink" Target="https://988lifeline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entanylaware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ofsn.org/" TargetMode="External"/><Relationship Id="rId25" Type="http://schemas.openxmlformats.org/officeDocument/2006/relationships/hyperlink" Target="https://988lifelin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egon.gov/oha/HSD/BH-Child-Family/Pages/Youth-SUD.aspx" TargetMode="External"/><Relationship Id="rId20" Type="http://schemas.openxmlformats.org/officeDocument/2006/relationships/hyperlink" Target="https://drive.google.com/file/d/1tFF6htjpUeELwkcJniGEmH8fXyqDlB73/view?usp=shar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oregonyouthline.org/?utm_medium=email&amp;utm_source=govdelivery" TargetMode="Externa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ha/PH/PREVENTIONWELLNESS/SUBSTANCEUSE/OPIOIDS/Pages/ReverseOverdose.aspx" TargetMode="External"/><Relationship Id="rId23" Type="http://schemas.openxmlformats.org/officeDocument/2006/relationships/hyperlink" Target="https://www.oregon.gov/oha/PH/PREVENTIONWELLNESS/SUBSTANCEUSE/OPIOIDS/Pages/ReverseOverdose.aspx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oregonrecoveryschools.org/" TargetMode="Externa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educator-resources/standards/health/Documents/Health%20Standards%20Adopted%2010.19.23.pdf" TargetMode="External"/><Relationship Id="rId14" Type="http://schemas.openxmlformats.org/officeDocument/2006/relationships/hyperlink" Target="https://988lifeline.org/" TargetMode="External"/><Relationship Id="rId22" Type="http://schemas.openxmlformats.org/officeDocument/2006/relationships/hyperlink" Target="https://www.savelivesoregon.org/" TargetMode="External"/><Relationship Id="rId27" Type="http://schemas.openxmlformats.org/officeDocument/2006/relationships/footer" Target="footer1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PP.General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2024-08-20T17:02:56+00:00</Remediation_x0020_Date>
  </documentManagement>
</p:properties>
</file>

<file path=customXml/itemProps1.xml><?xml version="1.0" encoding="utf-8"?>
<ds:datastoreItem xmlns:ds="http://schemas.openxmlformats.org/officeDocument/2006/customXml" ds:itemID="{91640C00-6A56-43B3-B88B-FE44C178B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59021-4929-46C4-AC91-EFA982AA3E08}"/>
</file>

<file path=customXml/itemProps3.xml><?xml version="1.0" encoding="utf-8"?>
<ds:datastoreItem xmlns:ds="http://schemas.openxmlformats.org/officeDocument/2006/customXml" ds:itemID="{FFE50319-E7E8-435C-A724-FFCBDF2D9EF9}"/>
</file>

<file path=customXml/itemProps4.xml><?xml version="1.0" encoding="utf-8"?>
<ds:datastoreItem xmlns:ds="http://schemas.openxmlformats.org/officeDocument/2006/customXml" ds:itemID="{C33135D9-74EB-4CC2-9908-74CDB2B38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Heisler</dc:creator>
  <cp:lastModifiedBy>SANDERS Ely * ODE</cp:lastModifiedBy>
  <cp:revision>4</cp:revision>
  <cp:lastPrinted>2024-06-07T09:01:00Z</cp:lastPrinted>
  <dcterms:created xsi:type="dcterms:W3CDTF">2024-07-16T09:22:00Z</dcterms:created>
  <dcterms:modified xsi:type="dcterms:W3CDTF">2024-08-13T17:46:00Z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2024-06-17T23:02:25Z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60bdd131-af8d-4c24-96c2-0c09b0e93838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2024-08-13T17:46:48Z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baaa88aa-4506-49f5-a95a-0ffc79b77b13</vt:lpwstr>
  </property>
  <property fmtid="{D5CDD505-2E9C-101B-9397-08002B2CF9AE}" pid="18" name="MSIP_Label_7730ea53-6f5e-4160-81a5-992a9105450a_ContentBits">
    <vt:lpwstr>0</vt:lpwstr>
  </property>
  <property fmtid="{D5CDD505-2E9C-101B-9397-08002B2CF9AE}" pid="19" name="ContentTypeId">
    <vt:lpwstr>0x010100D83572F4819F544D95B8DB4C2029B778</vt:lpwstr>
  </property>
</Properties>
</file>