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6CAD"/>
  <w:body>
    <w:p w14:paraId="053FA84D" w14:textId="376894C1" w:rsidR="003D221F" w:rsidRPr="00B04BBF" w:rsidRDefault="00541501" w:rsidP="00541501">
      <w:pPr>
        <w:pStyle w:val="Title"/>
        <w:jc w:val="center"/>
        <w:rPr>
          <w:b/>
          <w:bCs/>
          <w:sz w:val="44"/>
          <w:szCs w:val="44"/>
        </w:rPr>
      </w:pPr>
      <w:r w:rsidRPr="00B04BBF">
        <w:rPr>
          <w:b/>
          <w:bCs/>
          <w:sz w:val="44"/>
          <w:szCs w:val="44"/>
        </w:rPr>
        <w:t>Información sobre Medicaid Escolar para madres y padres</w:t>
      </w:r>
    </w:p>
    <w:p w14:paraId="589EDF13" w14:textId="6D9E8EDE" w:rsidR="00541501" w:rsidRPr="00B04BBF" w:rsidRDefault="00541501">
      <w:pPr>
        <w:pStyle w:val="Title"/>
        <w:spacing w:after="200"/>
        <w:rPr>
          <w:b/>
          <w:sz w:val="2"/>
          <w:szCs w:val="2"/>
        </w:rPr>
      </w:pPr>
      <w:bookmarkStart w:id="0" w:name="_pxl8txbwh5ks" w:colFirst="0" w:colLast="0"/>
      <w:bookmarkStart w:id="1" w:name="_odarfonxw7o" w:colFirst="0" w:colLast="0"/>
      <w:bookmarkStart w:id="2" w:name="_vij8jcru9q2q" w:colFirst="0" w:colLast="0"/>
      <w:bookmarkEnd w:id="0"/>
      <w:bookmarkEnd w:id="1"/>
      <w:bookmarkEnd w:id="2"/>
    </w:p>
    <w:p w14:paraId="11759A9D" w14:textId="49E0F25B" w:rsidR="003D221F" w:rsidRPr="00B04BBF" w:rsidRDefault="00B04BBF" w:rsidP="00E33507">
      <w:pPr>
        <w:pStyle w:val="Title"/>
        <w:spacing w:after="200"/>
        <w:jc w:val="both"/>
        <w:rPr>
          <w:color w:val="000000"/>
          <w:sz w:val="24"/>
          <w:szCs w:val="24"/>
        </w:rPr>
      </w:pPr>
      <w:r w:rsidRPr="00B04BBF">
        <w:rPr>
          <w:b/>
          <w:bCs/>
          <w:noProof/>
          <w:sz w:val="10"/>
          <w:szCs w:val="10"/>
        </w:rPr>
        <w:drawing>
          <wp:anchor distT="0" distB="0" distL="114300" distR="114300" simplePos="0" relativeHeight="251664384" behindDoc="0" locked="0" layoutInCell="1" allowOverlap="1" wp14:anchorId="571636D2" wp14:editId="59E7822D">
            <wp:simplePos x="0" y="0"/>
            <wp:positionH relativeFrom="column">
              <wp:posOffset>-9525</wp:posOffset>
            </wp:positionH>
            <wp:positionV relativeFrom="paragraph">
              <wp:posOffset>69215</wp:posOffset>
            </wp:positionV>
            <wp:extent cx="1096617" cy="1096617"/>
            <wp:effectExtent l="0" t="0" r="0" b="0"/>
            <wp:wrapSquare wrapText="bothSides"/>
            <wp:docPr id="791" name="Google Shape;791;p85" descr="Cuatro íconos coloridos de personas con una pieza de rompecabezas entre ellos"/>
            <wp:cNvGraphicFramePr/>
            <a:graphic xmlns:a="http://schemas.openxmlformats.org/drawingml/2006/main">
              <a:graphicData uri="http://schemas.openxmlformats.org/drawingml/2006/picture">
                <pic:pic xmlns:pic="http://schemas.openxmlformats.org/drawingml/2006/picture">
                  <pic:nvPicPr>
                    <pic:cNvPr id="791" name="Google Shape;791;p85" descr="Four colorful people icons with puzzle piece between them"/>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1096617" cy="1096617"/>
                    </a:xfrm>
                    <a:prstGeom prst="rect">
                      <a:avLst/>
                    </a:prstGeom>
                    <a:noFill/>
                    <a:ln>
                      <a:noFill/>
                    </a:ln>
                  </pic:spPr>
                </pic:pic>
              </a:graphicData>
            </a:graphic>
          </wp:anchor>
        </w:drawing>
      </w:r>
      <w:r w:rsidRPr="00B04BBF">
        <w:rPr>
          <w:noProof/>
          <w:color w:val="0070C0"/>
        </w:rPr>
        <w:drawing>
          <wp:anchor distT="0" distB="0" distL="114300" distR="114300" simplePos="0" relativeHeight="251660288" behindDoc="0" locked="0" layoutInCell="1" hidden="0" allowOverlap="1" wp14:anchorId="0AB4F944" wp14:editId="478ABACF">
            <wp:simplePos x="0" y="0"/>
            <wp:positionH relativeFrom="margin">
              <wp:posOffset>47625</wp:posOffset>
            </wp:positionH>
            <wp:positionV relativeFrom="topMargin">
              <wp:posOffset>3248025</wp:posOffset>
            </wp:positionV>
            <wp:extent cx="1285875" cy="24130"/>
            <wp:effectExtent l="0" t="0" r="0" b="0"/>
            <wp:wrapNone/>
            <wp:docPr id="5" name="image1.png" descr="Salto de línea decorativo"/>
            <wp:cNvGraphicFramePr/>
            <a:graphic xmlns:a="http://schemas.openxmlformats.org/drawingml/2006/main">
              <a:graphicData uri="http://schemas.openxmlformats.org/drawingml/2006/picture">
                <pic:pic xmlns:pic="http://schemas.openxmlformats.org/drawingml/2006/picture">
                  <pic:nvPicPr>
                    <pic:cNvPr id="0" name="image1.png" descr="Decorative line break"/>
                    <pic:cNvPicPr preferRelativeResize="0"/>
                  </pic:nvPicPr>
                  <pic:blipFill>
                    <a:blip r:embed="rId8"/>
                    <a:srcRect/>
                    <a:stretch>
                      <a:fillRect/>
                    </a:stretch>
                  </pic:blipFill>
                  <pic:spPr>
                    <a:xfrm>
                      <a:off x="0" y="0"/>
                      <a:ext cx="1285875" cy="24130"/>
                    </a:xfrm>
                    <a:prstGeom prst="rect">
                      <a:avLst/>
                    </a:prstGeom>
                    <a:ln/>
                  </pic:spPr>
                </pic:pic>
              </a:graphicData>
            </a:graphic>
          </wp:anchor>
        </w:drawing>
      </w:r>
      <w:r w:rsidR="009D4397" w:rsidRPr="00B04BBF">
        <w:rPr>
          <w:sz w:val="24"/>
          <w:szCs w:val="24"/>
        </w:rPr>
        <w:t xml:space="preserve">La </w:t>
      </w:r>
      <w:r w:rsidR="009D4397" w:rsidRPr="00B04BBF">
        <w:rPr>
          <w:b/>
          <w:bCs/>
          <w:sz w:val="24"/>
          <w:szCs w:val="24"/>
        </w:rPr>
        <w:t xml:space="preserve">Autoridad de Salud de </w:t>
      </w:r>
      <w:proofErr w:type="spellStart"/>
      <w:r w:rsidR="009D4397" w:rsidRPr="00B04BBF">
        <w:rPr>
          <w:b/>
          <w:bCs/>
          <w:sz w:val="24"/>
          <w:szCs w:val="24"/>
        </w:rPr>
        <w:t>Oregon</w:t>
      </w:r>
      <w:proofErr w:type="spellEnd"/>
      <w:r w:rsidR="009D4397" w:rsidRPr="00B04BBF">
        <w:rPr>
          <w:sz w:val="24"/>
          <w:szCs w:val="24"/>
        </w:rPr>
        <w:t xml:space="preserve"> (</w:t>
      </w:r>
      <w:proofErr w:type="spellStart"/>
      <w:r w:rsidR="009D4397" w:rsidRPr="00B04BBF">
        <w:rPr>
          <w:sz w:val="24"/>
          <w:szCs w:val="24"/>
        </w:rPr>
        <w:t>Oregon</w:t>
      </w:r>
      <w:proofErr w:type="spellEnd"/>
      <w:r w:rsidR="009D4397" w:rsidRPr="00B04BBF">
        <w:rPr>
          <w:sz w:val="24"/>
          <w:szCs w:val="24"/>
        </w:rPr>
        <w:t xml:space="preserve"> </w:t>
      </w:r>
      <w:proofErr w:type="spellStart"/>
      <w:r w:rsidR="009D4397" w:rsidRPr="00B04BBF">
        <w:rPr>
          <w:sz w:val="24"/>
          <w:szCs w:val="24"/>
        </w:rPr>
        <w:t>Health</w:t>
      </w:r>
      <w:proofErr w:type="spellEnd"/>
      <w:r w:rsidR="009D4397" w:rsidRPr="00B04BBF">
        <w:rPr>
          <w:sz w:val="24"/>
          <w:szCs w:val="24"/>
        </w:rPr>
        <w:t xml:space="preserve"> </w:t>
      </w:r>
      <w:proofErr w:type="spellStart"/>
      <w:r w:rsidR="009D4397" w:rsidRPr="00B04BBF">
        <w:rPr>
          <w:sz w:val="24"/>
          <w:szCs w:val="24"/>
        </w:rPr>
        <w:t>Authority</w:t>
      </w:r>
      <w:proofErr w:type="spellEnd"/>
      <w:r w:rsidR="009D4397" w:rsidRPr="00B04BBF">
        <w:rPr>
          <w:sz w:val="24"/>
          <w:szCs w:val="24"/>
        </w:rPr>
        <w:t>)</w:t>
      </w:r>
      <w:r w:rsidRPr="00B04BBF">
        <w:rPr>
          <w:sz w:val="24"/>
          <w:szCs w:val="24"/>
        </w:rPr>
        <w:t xml:space="preserve"> </w:t>
      </w:r>
      <w:r w:rsidR="009D4397" w:rsidRPr="00B04BBF">
        <w:rPr>
          <w:color w:val="auto"/>
          <w:sz w:val="24"/>
          <w:szCs w:val="24"/>
        </w:rPr>
        <w:t>administra</w:t>
      </w:r>
      <w:r w:rsidR="009D4397" w:rsidRPr="00B04BBF">
        <w:rPr>
          <w:color w:val="000000"/>
          <w:sz w:val="24"/>
          <w:szCs w:val="24"/>
        </w:rPr>
        <w:t xml:space="preserve"> el programa de servicios de salud escolares (Medicaid Escolar). Mediante este programa, se ayuda a las escuelas al permitirles obtener un reembolso de Medicaid por los servicios de salud cubiertos brindados a niñes y adultes jóvenes inscrites en Medicaid. El objetivo de esta guía es proporcionar respuestas a las preguntas frecuentes sobre el consentimiento de madres y padres.</w:t>
      </w:r>
    </w:p>
    <w:p w14:paraId="67B928B0" w14:textId="18A13473" w:rsidR="003D221F" w:rsidRPr="00B04BBF" w:rsidRDefault="00541501">
      <w:pPr>
        <w:shd w:val="clear" w:color="auto" w:fill="FFFFFF"/>
        <w:spacing w:after="0" w:line="240" w:lineRule="auto"/>
      </w:pPr>
      <w:r w:rsidRPr="00B04BBF">
        <w:rPr>
          <w:b/>
          <w:bCs/>
          <w:color w:val="0070C0"/>
        </w:rPr>
        <w:t>¿Por qué las escuelas le facturan a Medicaid?</w:t>
      </w:r>
      <w:r w:rsidRPr="00B04BBF">
        <w:t xml:space="preserve">  </w:t>
      </w:r>
    </w:p>
    <w:p w14:paraId="48CB1E4E" w14:textId="4FB77F68" w:rsidR="003D221F" w:rsidRPr="00B04BBF" w:rsidRDefault="00541501" w:rsidP="00B04BBF">
      <w:pPr>
        <w:shd w:val="clear" w:color="auto" w:fill="FFFFFF"/>
        <w:spacing w:after="200" w:line="240" w:lineRule="auto"/>
        <w:jc w:val="both"/>
      </w:pPr>
      <w:r w:rsidRPr="00B04BBF">
        <w:t>Facturarle a Medicaid por los servicios de salud es una forma de atraer más dinero y recursos a las escuelas y los programas. Este dinero se puede utilizar para contratar a más proveedores, ofrecer más servicios y garantizar que les estudiantes reciban la atención que necesitan para acceder a la educación y prosperar.</w:t>
      </w:r>
    </w:p>
    <w:p w14:paraId="493DCE39" w14:textId="2F50421C" w:rsidR="003D221F" w:rsidRPr="00B04BBF" w:rsidRDefault="00E33507">
      <w:pPr>
        <w:shd w:val="clear" w:color="auto" w:fill="FFFFFF"/>
        <w:spacing w:after="0" w:line="240" w:lineRule="auto"/>
        <w:rPr>
          <w:color w:val="0070C0"/>
        </w:rPr>
      </w:pPr>
      <w:r w:rsidRPr="00B04BBF">
        <w:rPr>
          <w:b/>
          <w:bCs/>
          <w:color w:val="0070C0"/>
        </w:rPr>
        <w:t>¿Qué pueden facturarle las escuelas a Medicaid?</w:t>
      </w:r>
    </w:p>
    <w:p w14:paraId="631D42DC" w14:textId="1CE89A55" w:rsidR="003D221F" w:rsidRPr="00B04BBF" w:rsidRDefault="00E33507">
      <w:pPr>
        <w:shd w:val="clear" w:color="auto" w:fill="FFFFFF"/>
        <w:spacing w:after="0" w:line="240" w:lineRule="auto"/>
      </w:pPr>
      <w:r w:rsidRPr="00B04BBF">
        <w:t xml:space="preserve">Las escuelas pueden facturarle a Medicaid servicios de salud como los siguientes: </w:t>
      </w:r>
    </w:p>
    <w:p w14:paraId="7AFFCAA7" w14:textId="22755FBC" w:rsidR="00E33507" w:rsidRPr="00B04BBF" w:rsidRDefault="000A4D34">
      <w:pPr>
        <w:numPr>
          <w:ilvl w:val="0"/>
          <w:numId w:val="5"/>
        </w:numPr>
        <w:spacing w:after="0" w:line="240" w:lineRule="auto"/>
        <w:ind w:left="1080"/>
      </w:pPr>
      <w:r w:rsidRPr="00B04BBF">
        <w:rPr>
          <w:noProof/>
        </w:rPr>
        <w:drawing>
          <wp:anchor distT="0" distB="0" distL="114300" distR="114300" simplePos="0" relativeHeight="251666432" behindDoc="0" locked="0" layoutInCell="1" allowOverlap="1" wp14:anchorId="2A80A04F" wp14:editId="22E07B27">
            <wp:simplePos x="0" y="0"/>
            <wp:positionH relativeFrom="column">
              <wp:posOffset>3663950</wp:posOffset>
            </wp:positionH>
            <wp:positionV relativeFrom="paragraph">
              <wp:posOffset>6985</wp:posOffset>
            </wp:positionV>
            <wp:extent cx="952500" cy="952500"/>
            <wp:effectExtent l="0" t="0" r="0" b="0"/>
            <wp:wrapSquare wrapText="bothSides"/>
            <wp:docPr id="784" name="Google Shape;784;p85" descr="Lista de verificación junto al ícono de persona"/>
            <wp:cNvGraphicFramePr/>
            <a:graphic xmlns:a="http://schemas.openxmlformats.org/drawingml/2006/main">
              <a:graphicData uri="http://schemas.openxmlformats.org/drawingml/2006/picture">
                <pic:pic xmlns:pic="http://schemas.openxmlformats.org/drawingml/2006/picture">
                  <pic:nvPicPr>
                    <pic:cNvPr id="784" name="Google Shape;784;p85" descr="Checklist next to person icon"/>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BBF">
        <w:t>Enfermería</w:t>
      </w:r>
    </w:p>
    <w:p w14:paraId="4801BB00" w14:textId="4B073AFA" w:rsidR="00E33507" w:rsidRPr="00B04BBF" w:rsidRDefault="00E33507">
      <w:pPr>
        <w:numPr>
          <w:ilvl w:val="0"/>
          <w:numId w:val="5"/>
        </w:numPr>
        <w:spacing w:after="0" w:line="240" w:lineRule="auto"/>
        <w:ind w:left="1080"/>
      </w:pPr>
      <w:r w:rsidRPr="00B04BBF">
        <w:t>Habla y lenguaje</w:t>
      </w:r>
    </w:p>
    <w:p w14:paraId="4C56D2B9" w14:textId="7B8C9822" w:rsidR="00E33507" w:rsidRPr="00B04BBF" w:rsidRDefault="00E33507">
      <w:pPr>
        <w:numPr>
          <w:ilvl w:val="0"/>
          <w:numId w:val="5"/>
        </w:numPr>
        <w:spacing w:after="0" w:line="240" w:lineRule="auto"/>
        <w:ind w:left="1080"/>
      </w:pPr>
      <w:r w:rsidRPr="00B04BBF">
        <w:t>Terapia ocupacional y física</w:t>
      </w:r>
    </w:p>
    <w:p w14:paraId="6F9A4FC7" w14:textId="77777777" w:rsidR="00E33507" w:rsidRPr="00B04BBF" w:rsidRDefault="00E33507">
      <w:pPr>
        <w:numPr>
          <w:ilvl w:val="0"/>
          <w:numId w:val="5"/>
        </w:numPr>
        <w:spacing w:after="0" w:line="240" w:lineRule="auto"/>
        <w:ind w:left="1080"/>
      </w:pPr>
      <w:r w:rsidRPr="00B04BBF">
        <w:t>Salud mental y conductual</w:t>
      </w:r>
    </w:p>
    <w:p w14:paraId="51EBDB19" w14:textId="574DB057" w:rsidR="003D221F" w:rsidRPr="00B04BBF" w:rsidRDefault="00E33507" w:rsidP="00E33507">
      <w:pPr>
        <w:numPr>
          <w:ilvl w:val="0"/>
          <w:numId w:val="5"/>
        </w:numPr>
        <w:spacing w:after="0" w:line="240" w:lineRule="auto"/>
        <w:ind w:left="1080"/>
      </w:pPr>
      <w:r w:rsidRPr="00B04BBF">
        <w:t xml:space="preserve">Evaluaciones y exámenes </w:t>
      </w:r>
    </w:p>
    <w:p w14:paraId="03D89A90" w14:textId="77777777" w:rsidR="00E33507" w:rsidRPr="00B04BBF" w:rsidRDefault="00E33507" w:rsidP="00E33507">
      <w:pPr>
        <w:spacing w:after="0" w:line="240" w:lineRule="auto"/>
        <w:ind w:left="1080"/>
      </w:pPr>
    </w:p>
    <w:p w14:paraId="60413AF4" w14:textId="3DF148EC" w:rsidR="003D221F" w:rsidRPr="00B04BBF" w:rsidRDefault="00E33507">
      <w:pPr>
        <w:shd w:val="clear" w:color="auto" w:fill="FFFFFF"/>
        <w:spacing w:after="0" w:line="240" w:lineRule="auto"/>
        <w:rPr>
          <w:color w:val="0070C0"/>
        </w:rPr>
      </w:pPr>
      <w:r w:rsidRPr="00B04BBF">
        <w:rPr>
          <w:b/>
          <w:bCs/>
          <w:color w:val="0070C0"/>
        </w:rPr>
        <w:t>¿La facturación de Medicaid Escolar afecta los beneficios de Medicaid de su familia?</w:t>
      </w:r>
    </w:p>
    <w:p w14:paraId="13AB8A19" w14:textId="088610D4" w:rsidR="003D221F" w:rsidRPr="00B04BBF" w:rsidRDefault="00E33507" w:rsidP="00B04BBF">
      <w:pPr>
        <w:spacing w:after="0" w:line="240" w:lineRule="auto"/>
        <w:jc w:val="both"/>
      </w:pPr>
      <w:r w:rsidRPr="00B04BBF">
        <w:t xml:space="preserve">No. El reembolso de Medicaid Escolar no tiene ningún impacto en los beneficios ni la elegibilidad de Medicaid comunitario de una familia. </w:t>
      </w:r>
      <w:hyperlink r:id="rId10" w:history="1">
        <w:r w:rsidRPr="00B04BBF">
          <w:rPr>
            <w:rStyle w:val="Hyperlink"/>
          </w:rPr>
          <w:t>OAR 410-141-3565(8)(D)(h)</w:t>
        </w:r>
      </w:hyperlink>
      <w:r w:rsidRPr="00B04BBF">
        <w:t>.</w:t>
      </w:r>
    </w:p>
    <w:p w14:paraId="36DD9CBA" w14:textId="686C4C2A" w:rsidR="003D221F" w:rsidRPr="00B04BBF" w:rsidRDefault="003D221F">
      <w:pPr>
        <w:shd w:val="clear" w:color="auto" w:fill="FFFFFF"/>
        <w:spacing w:after="200" w:line="240" w:lineRule="auto"/>
        <w:rPr>
          <w:sz w:val="10"/>
          <w:szCs w:val="10"/>
        </w:rPr>
      </w:pPr>
    </w:p>
    <w:p w14:paraId="1627DA3D" w14:textId="55E79A5A" w:rsidR="003D221F" w:rsidRPr="00B04BBF" w:rsidRDefault="00E33507">
      <w:pPr>
        <w:shd w:val="clear" w:color="auto" w:fill="FFFFFF"/>
        <w:spacing w:after="0" w:line="240" w:lineRule="auto"/>
        <w:rPr>
          <w:color w:val="0070C0"/>
        </w:rPr>
      </w:pPr>
      <w:r w:rsidRPr="00B04BBF">
        <w:rPr>
          <w:b/>
          <w:bCs/>
          <w:color w:val="0070C0"/>
        </w:rPr>
        <w:t>¿Las escuelas necesitan su consentimiento para facturarle a Medicaid?</w:t>
      </w:r>
    </w:p>
    <w:p w14:paraId="11EC00A6" w14:textId="524958AD" w:rsidR="003D221F" w:rsidRPr="00B04BBF" w:rsidRDefault="007443C7" w:rsidP="00B04BBF">
      <w:pPr>
        <w:shd w:val="clear" w:color="auto" w:fill="FFFFFF"/>
        <w:spacing w:after="200" w:line="240" w:lineRule="auto"/>
        <w:jc w:val="both"/>
      </w:pPr>
      <w:r w:rsidRPr="00B04BBF">
        <w:rPr>
          <w:noProof/>
        </w:rPr>
        <w:drawing>
          <wp:anchor distT="0" distB="0" distL="114300" distR="114300" simplePos="0" relativeHeight="251667456" behindDoc="0" locked="0" layoutInCell="1" allowOverlap="1" wp14:anchorId="13674091" wp14:editId="4156497C">
            <wp:simplePos x="0" y="0"/>
            <wp:positionH relativeFrom="margin">
              <wp:posOffset>5184140</wp:posOffset>
            </wp:positionH>
            <wp:positionV relativeFrom="paragraph">
              <wp:posOffset>5715</wp:posOffset>
            </wp:positionV>
            <wp:extent cx="924560" cy="996950"/>
            <wp:effectExtent l="0" t="0" r="0" b="0"/>
            <wp:wrapSquare wrapText="bothSides"/>
            <wp:docPr id="783" name="Google Shape;783;p85" descr="Tres íconos coloridos de personas triunfantes "/>
            <wp:cNvGraphicFramePr/>
            <a:graphic xmlns:a="http://schemas.openxmlformats.org/drawingml/2006/main">
              <a:graphicData uri="http://schemas.openxmlformats.org/drawingml/2006/picture">
                <pic:pic xmlns:pic="http://schemas.openxmlformats.org/drawingml/2006/picture">
                  <pic:nvPicPr>
                    <pic:cNvPr id="783" name="Google Shape;783;p85" descr="Three colorful triumphant people icons "/>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92456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BBF">
        <w:t>Sí. Las escuelas deben tener su permiso por escrito antes de poder facturarle a Medicaid. Antes de obtener su permiso, la escuela debe proporcionarle un aviso por escrito sobre sus derechos. La escuela debe proporcionar este aviso cada año siguiente después de obtener su consentimiento.</w:t>
      </w:r>
    </w:p>
    <w:p w14:paraId="6F0A2437" w14:textId="1A0839A4" w:rsidR="003D221F" w:rsidRPr="00B04BBF" w:rsidRDefault="009D4397">
      <w:pPr>
        <w:shd w:val="clear" w:color="auto" w:fill="FFFFFF"/>
        <w:spacing w:after="0" w:line="240" w:lineRule="auto"/>
        <w:rPr>
          <w:color w:val="0070C0"/>
        </w:rPr>
      </w:pPr>
      <w:r w:rsidRPr="00B04BBF">
        <w:rPr>
          <w:b/>
          <w:bCs/>
          <w:color w:val="0070C0"/>
        </w:rPr>
        <w:t>¿Qué sucede si no otorga su consentimiento?</w:t>
      </w:r>
      <w:r w:rsidRPr="00B04BBF">
        <w:rPr>
          <w:color w:val="0070C0"/>
        </w:rPr>
        <w:t xml:space="preserve"> </w:t>
      </w:r>
    </w:p>
    <w:p w14:paraId="1B39A0E4" w14:textId="77777777" w:rsidR="00E33507" w:rsidRPr="00B04BBF" w:rsidRDefault="00E33507" w:rsidP="007443C7">
      <w:pPr>
        <w:shd w:val="clear" w:color="auto" w:fill="FFFFFF"/>
        <w:spacing w:after="200" w:line="240" w:lineRule="auto"/>
        <w:jc w:val="both"/>
      </w:pPr>
      <w:r w:rsidRPr="00B04BBF">
        <w:t>El derecho del estudiante a acceder a la educación no se ve afectado por su consentimiento para la facturación a Medicaid. Su hije seguirá recibiendo los servicios de salud a los que tiene derecho.</w:t>
      </w:r>
    </w:p>
    <w:p w14:paraId="10257D84" w14:textId="5D0F5E85" w:rsidR="003D221F" w:rsidRPr="00B04BBF" w:rsidRDefault="00E33507">
      <w:pPr>
        <w:shd w:val="clear" w:color="auto" w:fill="FFFFFF"/>
        <w:spacing w:after="0" w:line="240" w:lineRule="auto"/>
        <w:rPr>
          <w:color w:val="0070C0"/>
        </w:rPr>
      </w:pPr>
      <w:r w:rsidRPr="00B04BBF">
        <w:rPr>
          <w:b/>
          <w:bCs/>
          <w:color w:val="0070C0"/>
        </w:rPr>
        <w:t>¿Puede usted retirar su consentimiento posteriormente?</w:t>
      </w:r>
    </w:p>
    <w:p w14:paraId="094CF49E" w14:textId="6592BE6C" w:rsidR="003D221F" w:rsidRPr="00B04BBF" w:rsidRDefault="00E33507">
      <w:pPr>
        <w:shd w:val="clear" w:color="auto" w:fill="FFFFFF"/>
        <w:spacing w:after="200" w:line="240" w:lineRule="auto"/>
      </w:pPr>
      <w:r w:rsidRPr="00B04BBF">
        <w:t>Sí. Puede retirar su consentimiento en cualquier momento notificando a la escuela por escrito.</w:t>
      </w:r>
    </w:p>
    <w:p w14:paraId="7E49A99C" w14:textId="1D789F07" w:rsidR="00E33507" w:rsidRPr="00B04BBF" w:rsidRDefault="00E33507">
      <w:pPr>
        <w:shd w:val="clear" w:color="auto" w:fill="FFFFFF"/>
        <w:spacing w:after="0" w:line="240" w:lineRule="auto"/>
        <w:rPr>
          <w:b/>
          <w:color w:val="0070C0"/>
        </w:rPr>
      </w:pPr>
      <w:r w:rsidRPr="00B04BBF">
        <w:rPr>
          <w:b/>
          <w:bCs/>
          <w:color w:val="0070C0"/>
        </w:rPr>
        <w:lastRenderedPageBreak/>
        <w:t>¿Pueden las escuelas cobrarme por los servicios de salud proporcionados en el IEP, IFSP o plan de la Sección 504 del estudiante?</w:t>
      </w:r>
    </w:p>
    <w:p w14:paraId="3A0F116D" w14:textId="258AAA1E" w:rsidR="00E33507" w:rsidRPr="00B04BBF" w:rsidRDefault="00E33507" w:rsidP="00B04BBF">
      <w:pPr>
        <w:shd w:val="clear" w:color="auto" w:fill="FFFFFF"/>
        <w:spacing w:after="200" w:line="240" w:lineRule="auto"/>
        <w:jc w:val="both"/>
      </w:pPr>
      <w:r w:rsidRPr="00B04BBF">
        <w:t>No. Si su hije es elegible para recibir un servicio de salud conforme a la Ley de Educación para Individuos con Discapacidades o la Sección 504 de la Ley de Rehabilitación de 1973, el servicio de salud debe brindarse sin costo para usted.</w:t>
      </w:r>
    </w:p>
    <w:p w14:paraId="0138FC18" w14:textId="4AF8B55F" w:rsidR="003D221F" w:rsidRPr="00B04BBF" w:rsidRDefault="007443C7">
      <w:pPr>
        <w:shd w:val="clear" w:color="auto" w:fill="FFFFFF"/>
        <w:spacing w:after="0" w:line="240" w:lineRule="auto"/>
        <w:rPr>
          <w:color w:val="0070C0"/>
        </w:rPr>
      </w:pPr>
      <w:r w:rsidRPr="00B04BBF">
        <w:rPr>
          <w:noProof/>
        </w:rPr>
        <w:drawing>
          <wp:anchor distT="0" distB="0" distL="114300" distR="114300" simplePos="0" relativeHeight="251668480" behindDoc="0" locked="0" layoutInCell="1" allowOverlap="1" wp14:anchorId="02B1A383" wp14:editId="405CC09E">
            <wp:simplePos x="0" y="0"/>
            <wp:positionH relativeFrom="column">
              <wp:posOffset>5130800</wp:posOffset>
            </wp:positionH>
            <wp:positionV relativeFrom="paragraph">
              <wp:posOffset>8255</wp:posOffset>
            </wp:positionV>
            <wp:extent cx="977900" cy="958850"/>
            <wp:effectExtent l="0" t="0" r="0" b="0"/>
            <wp:wrapSquare wrapText="bothSides"/>
            <wp:docPr id="758" name="Google Shape;758;p85" descr="Computadora portátil que muestra la pantalla con dos personas hablando"/>
            <wp:cNvGraphicFramePr/>
            <a:graphic xmlns:a="http://schemas.openxmlformats.org/drawingml/2006/main">
              <a:graphicData uri="http://schemas.openxmlformats.org/drawingml/2006/picture">
                <pic:pic xmlns:pic="http://schemas.openxmlformats.org/drawingml/2006/picture">
                  <pic:nvPicPr>
                    <pic:cNvPr id="758" name="Google Shape;758;p85" descr="Laptop computer showing screen with two people talking"/>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97790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BBF">
        <w:rPr>
          <w:b/>
          <w:bCs/>
          <w:color w:val="0070C0"/>
        </w:rPr>
        <w:t>¿Qué tipo de información se puede compartir? ¿Quién verá la información?</w:t>
      </w:r>
    </w:p>
    <w:p w14:paraId="5D01F38E" w14:textId="723F62C9" w:rsidR="00166CB3" w:rsidRPr="00B04BBF" w:rsidRDefault="006856A1" w:rsidP="00B04BBF">
      <w:pPr>
        <w:shd w:val="clear" w:color="auto" w:fill="FFFFFF"/>
        <w:tabs>
          <w:tab w:val="num" w:pos="720"/>
        </w:tabs>
        <w:jc w:val="both"/>
      </w:pPr>
      <w:r w:rsidRPr="00B04BBF">
        <w:t xml:space="preserve">La </w:t>
      </w:r>
      <w:hyperlink r:id="rId13" w:history="1">
        <w:r w:rsidRPr="00B04BBF">
          <w:rPr>
            <w:rStyle w:val="Hyperlink"/>
          </w:rPr>
          <w:t>Ley de Derechos Educativos y Privacidad de la Familia (</w:t>
        </w:r>
        <w:proofErr w:type="spellStart"/>
        <w:r w:rsidR="00B04BBF" w:rsidRPr="00B04BBF">
          <w:rPr>
            <w:rStyle w:val="Hyperlink"/>
          </w:rPr>
          <w:t>Family</w:t>
        </w:r>
        <w:proofErr w:type="spellEnd"/>
        <w:r w:rsidR="00B04BBF" w:rsidRPr="00B04BBF">
          <w:rPr>
            <w:rStyle w:val="Hyperlink"/>
          </w:rPr>
          <w:t xml:space="preserve"> </w:t>
        </w:r>
        <w:proofErr w:type="spellStart"/>
        <w:r w:rsidR="00B04BBF" w:rsidRPr="00B04BBF">
          <w:rPr>
            <w:rStyle w:val="Hyperlink"/>
          </w:rPr>
          <w:t>Educational</w:t>
        </w:r>
        <w:proofErr w:type="spellEnd"/>
        <w:r w:rsidR="00B04BBF" w:rsidRPr="00B04BBF">
          <w:rPr>
            <w:rStyle w:val="Hyperlink"/>
          </w:rPr>
          <w:t xml:space="preserve"> </w:t>
        </w:r>
        <w:proofErr w:type="spellStart"/>
        <w:r w:rsidR="00B04BBF" w:rsidRPr="00B04BBF">
          <w:rPr>
            <w:rStyle w:val="Hyperlink"/>
          </w:rPr>
          <w:t>Rights</w:t>
        </w:r>
        <w:proofErr w:type="spellEnd"/>
        <w:r w:rsidR="00B04BBF" w:rsidRPr="00B04BBF">
          <w:rPr>
            <w:rStyle w:val="Hyperlink"/>
          </w:rPr>
          <w:t xml:space="preserve"> and </w:t>
        </w:r>
        <w:proofErr w:type="spellStart"/>
        <w:r w:rsidR="00B04BBF" w:rsidRPr="00B04BBF">
          <w:rPr>
            <w:rStyle w:val="Hyperlink"/>
          </w:rPr>
          <w:t>Privacy</w:t>
        </w:r>
        <w:proofErr w:type="spellEnd"/>
        <w:r w:rsidR="00B04BBF" w:rsidRPr="00B04BBF">
          <w:rPr>
            <w:rStyle w:val="Hyperlink"/>
          </w:rPr>
          <w:t xml:space="preserve"> </w:t>
        </w:r>
        <w:proofErr w:type="spellStart"/>
        <w:r w:rsidR="00B04BBF" w:rsidRPr="00B04BBF">
          <w:rPr>
            <w:rStyle w:val="Hyperlink"/>
          </w:rPr>
          <w:t>Act</w:t>
        </w:r>
        <w:proofErr w:type="spellEnd"/>
        <w:r w:rsidR="00B04BBF">
          <w:rPr>
            <w:rStyle w:val="Hyperlink"/>
          </w:rPr>
          <w:t xml:space="preserve">, </w:t>
        </w:r>
        <w:r w:rsidRPr="00B04BBF">
          <w:rPr>
            <w:rStyle w:val="Hyperlink"/>
          </w:rPr>
          <w:t xml:space="preserve">FERPA) </w:t>
        </w:r>
      </w:hyperlink>
      <w:r w:rsidRPr="00B04BBF">
        <w:t>es una ley federal que protege los registros educativos de su hije. Las escuelas deben cumplir con los estándares de privacidad indicados en la FERPA. Esto incluye compartir información para la facturación a Medicaid. Información de identificación personal que puede compartirse:</w:t>
      </w:r>
    </w:p>
    <w:p w14:paraId="61FF0D9E" w14:textId="2C1C8408" w:rsidR="00E33507" w:rsidRPr="00B04BBF" w:rsidRDefault="00E33507" w:rsidP="007443C7">
      <w:pPr>
        <w:pStyle w:val="ListParagraph"/>
        <w:numPr>
          <w:ilvl w:val="0"/>
          <w:numId w:val="25"/>
        </w:numPr>
        <w:shd w:val="clear" w:color="auto" w:fill="FFFFFF"/>
        <w:tabs>
          <w:tab w:val="num" w:pos="720"/>
        </w:tabs>
        <w:spacing w:after="200"/>
        <w:jc w:val="both"/>
      </w:pPr>
      <w:r w:rsidRPr="00B04BBF">
        <w:t>Nombre; fecha de nacimiento; tipo de servicios prestados, fecha(s) en que se prestan los servicios y quién los presta; registros de asistencia y número de identificación estudiantil estatal (SSID).</w:t>
      </w:r>
    </w:p>
    <w:p w14:paraId="666DEF35" w14:textId="77055E35" w:rsidR="003D221F" w:rsidRPr="00B04BBF" w:rsidRDefault="006856A1" w:rsidP="007443C7">
      <w:pPr>
        <w:spacing w:after="0" w:line="240" w:lineRule="auto"/>
        <w:jc w:val="both"/>
      </w:pPr>
      <w:r w:rsidRPr="00B04BBF">
        <w:t>Quién puede ver la información fuera del personal escolar:</w:t>
      </w:r>
    </w:p>
    <w:p w14:paraId="286E8DC8" w14:textId="4E533D9D" w:rsidR="006856A1" w:rsidRPr="00B04BBF" w:rsidRDefault="006856A1" w:rsidP="007443C7">
      <w:pPr>
        <w:pStyle w:val="ListParagraph"/>
        <w:numPr>
          <w:ilvl w:val="0"/>
          <w:numId w:val="24"/>
        </w:numPr>
        <w:spacing w:after="0" w:line="240" w:lineRule="auto"/>
        <w:jc w:val="both"/>
      </w:pPr>
      <w:r w:rsidRPr="00B04BBF">
        <w:t>La Autoridad de Salud de Oregon y sus afiliades</w:t>
      </w:r>
    </w:p>
    <w:p w14:paraId="7E490B07" w14:textId="77777777" w:rsidR="006856A1" w:rsidRPr="00B04BBF" w:rsidRDefault="006856A1" w:rsidP="007443C7">
      <w:pPr>
        <w:pStyle w:val="ListParagraph"/>
        <w:numPr>
          <w:ilvl w:val="0"/>
          <w:numId w:val="24"/>
        </w:numPr>
        <w:spacing w:after="0" w:line="240" w:lineRule="auto"/>
        <w:jc w:val="both"/>
      </w:pPr>
      <w:r w:rsidRPr="00B04BBF">
        <w:t>Agentes de facturación de terceros (si se utilizan)</w:t>
      </w:r>
    </w:p>
    <w:p w14:paraId="424D2B7D" w14:textId="77777777" w:rsidR="006856A1" w:rsidRPr="00B04BBF" w:rsidRDefault="006856A1">
      <w:pPr>
        <w:spacing w:after="0" w:line="240" w:lineRule="auto"/>
      </w:pPr>
    </w:p>
    <w:p w14:paraId="0DD7E6C8" w14:textId="1D289153" w:rsidR="000A4D34" w:rsidRPr="00B04BBF" w:rsidRDefault="000A4D34" w:rsidP="00B04BBF">
      <w:pPr>
        <w:spacing w:after="0" w:line="240" w:lineRule="auto"/>
        <w:jc w:val="both"/>
        <w:rPr>
          <w:bCs/>
          <w:lang w:val="es-ES"/>
        </w:rPr>
      </w:pPr>
      <w:r w:rsidRPr="00B04BBF">
        <w:rPr>
          <w:noProof/>
          <w:color w:val="0070C0"/>
        </w:rPr>
        <w:drawing>
          <wp:anchor distT="0" distB="0" distL="114300" distR="114300" simplePos="0" relativeHeight="251665408" behindDoc="0" locked="0" layoutInCell="1" allowOverlap="1" wp14:anchorId="2D51227F" wp14:editId="0BE67343">
            <wp:simplePos x="0" y="0"/>
            <wp:positionH relativeFrom="column">
              <wp:posOffset>4400550</wp:posOffset>
            </wp:positionH>
            <wp:positionV relativeFrom="paragraph">
              <wp:posOffset>4857115</wp:posOffset>
            </wp:positionV>
            <wp:extent cx="1972945" cy="907415"/>
            <wp:effectExtent l="0" t="0" r="0" b="0"/>
            <wp:wrapSquare wrapText="bothSides"/>
            <wp:docPr id="719" name="Google Shape;719;p83" descr="Logotipo del Departamento de Educación de Oregon logra el éxito juntos"/>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97294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BBF">
        <w:rPr>
          <w:b/>
          <w:bCs/>
          <w:color w:val="0070C0"/>
        </w:rPr>
        <w:t xml:space="preserve">Si tiene preguntas sobre este documento, comuníquese con: </w:t>
      </w:r>
      <w:r w:rsidRPr="00B04BBF">
        <w:t xml:space="preserve">Jennifer Dundon, analista de políticas y operaciones de Medicaid Escolar del Departamento de Educación de </w:t>
      </w:r>
      <w:proofErr w:type="spellStart"/>
      <w:r w:rsidRPr="00B04BBF">
        <w:t>Oregon</w:t>
      </w:r>
      <w:proofErr w:type="spellEnd"/>
      <w:r w:rsidRPr="00B04BBF">
        <w:t xml:space="preserve"> (</w:t>
      </w:r>
      <w:proofErr w:type="spellStart"/>
      <w:r w:rsidRPr="00B04BBF">
        <w:t>Oregon</w:t>
      </w:r>
      <w:proofErr w:type="spellEnd"/>
      <w:r w:rsidRPr="00B04BBF">
        <w:t xml:space="preserve"> </w:t>
      </w:r>
      <w:proofErr w:type="spellStart"/>
      <w:r w:rsidRPr="00B04BBF">
        <w:t>Department</w:t>
      </w:r>
      <w:proofErr w:type="spellEnd"/>
      <w:r w:rsidRPr="00B04BBF">
        <w:t xml:space="preserve"> </w:t>
      </w:r>
      <w:proofErr w:type="spellStart"/>
      <w:r w:rsidRPr="00B04BBF">
        <w:t>of</w:t>
      </w:r>
      <w:proofErr w:type="spellEnd"/>
      <w:r w:rsidRPr="00B04BBF">
        <w:t xml:space="preserve"> </w:t>
      </w:r>
      <w:proofErr w:type="spellStart"/>
      <w:r w:rsidRPr="00B04BBF">
        <w:t>Education</w:t>
      </w:r>
      <w:proofErr w:type="spellEnd"/>
      <w:r w:rsidRPr="00B04BBF">
        <w:t xml:space="preserve">), en </w:t>
      </w:r>
      <w:hyperlink r:id="rId15" w:history="1">
        <w:r w:rsidRPr="00B04BBF">
          <w:rPr>
            <w:rStyle w:val="Hyperlink"/>
          </w:rPr>
          <w:t>jennifer.dundon@ode.oregon.gov</w:t>
        </w:r>
      </w:hyperlink>
      <w:r w:rsidRPr="00B04BBF">
        <w:t xml:space="preserve"> </w:t>
      </w:r>
    </w:p>
    <w:sectPr w:rsidR="000A4D34" w:rsidRPr="00B04BBF">
      <w:headerReference w:type="even" r:id="rId16"/>
      <w:headerReference w:type="default" r:id="rId17"/>
      <w:footerReference w:type="default" r:id="rId18"/>
      <w:headerReference w:type="first" r:id="rId19"/>
      <w:footerReference w:type="first" r:id="rId20"/>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6024" w14:textId="77777777" w:rsidR="00354B93" w:rsidRPr="00B04BBF" w:rsidRDefault="00354B93">
      <w:pPr>
        <w:spacing w:after="0" w:line="240" w:lineRule="auto"/>
      </w:pPr>
      <w:r w:rsidRPr="00B04BBF">
        <w:separator/>
      </w:r>
    </w:p>
  </w:endnote>
  <w:endnote w:type="continuationSeparator" w:id="0">
    <w:p w14:paraId="2B2755E7" w14:textId="77777777" w:rsidR="00354B93" w:rsidRPr="00B04BBF" w:rsidRDefault="00354B93">
      <w:pPr>
        <w:spacing w:after="0" w:line="240" w:lineRule="auto"/>
      </w:pPr>
      <w:r w:rsidRPr="00B04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148" w14:textId="77777777" w:rsidR="003D221F" w:rsidRPr="00B04BBF" w:rsidRDefault="009D4397">
    <w:pPr>
      <w:pBdr>
        <w:top w:val="nil"/>
        <w:left w:val="nil"/>
        <w:bottom w:val="nil"/>
        <w:right w:val="nil"/>
        <w:between w:val="nil"/>
      </w:pBdr>
      <w:tabs>
        <w:tab w:val="center" w:pos="4680"/>
        <w:tab w:val="right" w:pos="9360"/>
      </w:tabs>
      <w:spacing w:after="0"/>
      <w:rPr>
        <w:color w:val="006CAD"/>
        <w:sz w:val="21"/>
        <w:szCs w:val="21"/>
      </w:rPr>
    </w:pPr>
    <w:r w:rsidRPr="00B04BBF">
      <w:rPr>
        <w:color w:val="006CAD"/>
        <w:sz w:val="21"/>
        <w:szCs w:val="21"/>
      </w:rPr>
      <w:tab/>
    </w:r>
    <w:r w:rsidRPr="00B04BBF">
      <w:rPr>
        <w:color w:val="006CAD"/>
        <w:sz w:val="21"/>
        <w:szCs w:val="21"/>
      </w:rPr>
      <w:tab/>
      <w:t xml:space="preserve">       </w:t>
    </w:r>
    <w:r w:rsidRPr="00B04BBF">
      <w:rPr>
        <w:b/>
        <w:bCs/>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96E" w14:textId="77777777" w:rsidR="003D221F" w:rsidRPr="00B04BBF" w:rsidRDefault="009D4397">
    <w:pPr>
      <w:pBdr>
        <w:top w:val="nil"/>
        <w:left w:val="nil"/>
        <w:bottom w:val="nil"/>
        <w:right w:val="nil"/>
        <w:between w:val="nil"/>
      </w:pBdr>
      <w:tabs>
        <w:tab w:val="center" w:pos="4680"/>
        <w:tab w:val="right" w:pos="9360"/>
      </w:tabs>
      <w:spacing w:after="0"/>
      <w:rPr>
        <w:color w:val="006CAD"/>
        <w:sz w:val="21"/>
        <w:szCs w:val="21"/>
      </w:rPr>
    </w:pPr>
    <w:r w:rsidRPr="00B04BBF">
      <w:rPr>
        <w:color w:val="006CAD"/>
        <w:sz w:val="21"/>
        <w:szCs w:val="21"/>
      </w:rPr>
      <w:t>Departamento de Educación de Oregon</w:t>
    </w:r>
    <w:r w:rsidRPr="00B04BBF">
      <w:rPr>
        <w:color w:val="006CAD"/>
        <w:sz w:val="21"/>
        <w:szCs w:val="21"/>
      </w:rPr>
      <w:fldChar w:fldCharType="begin"/>
    </w:r>
    <w:r w:rsidRPr="00B04BBF">
      <w:rPr>
        <w:color w:val="006CAD"/>
        <w:sz w:val="21"/>
        <w:szCs w:val="21"/>
      </w:rPr>
      <w:instrText>PAGE</w:instrText>
    </w:r>
    <w:r w:rsidRPr="00B04BBF">
      <w:rPr>
        <w:color w:val="006CAD"/>
        <w:sz w:val="21"/>
        <w:szCs w:val="21"/>
      </w:rPr>
      <w:fldChar w:fldCharType="separate"/>
    </w:r>
    <w:r w:rsidRPr="00B04BBF">
      <w:rPr>
        <w:color w:val="006CAD"/>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E771" w14:textId="77777777" w:rsidR="00354B93" w:rsidRPr="00B04BBF" w:rsidRDefault="00354B93">
      <w:pPr>
        <w:spacing w:after="0" w:line="240" w:lineRule="auto"/>
      </w:pPr>
      <w:r w:rsidRPr="00B04BBF">
        <w:separator/>
      </w:r>
    </w:p>
  </w:footnote>
  <w:footnote w:type="continuationSeparator" w:id="0">
    <w:p w14:paraId="7F381B76" w14:textId="77777777" w:rsidR="00354B93" w:rsidRPr="00B04BBF" w:rsidRDefault="00354B93">
      <w:pPr>
        <w:spacing w:after="0" w:line="240" w:lineRule="auto"/>
      </w:pPr>
      <w:r w:rsidRPr="00B04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994" w14:textId="77777777" w:rsidR="003D221F" w:rsidRPr="00B04BBF" w:rsidRDefault="009D4397">
    <w:pPr>
      <w:pBdr>
        <w:top w:val="nil"/>
        <w:left w:val="nil"/>
        <w:bottom w:val="nil"/>
        <w:right w:val="nil"/>
        <w:between w:val="nil"/>
      </w:pBdr>
      <w:tabs>
        <w:tab w:val="center" w:pos="4680"/>
        <w:tab w:val="right" w:pos="9360"/>
      </w:tabs>
      <w:spacing w:after="0"/>
      <w:rPr>
        <w:color w:val="000000"/>
        <w:sz w:val="21"/>
        <w:szCs w:val="21"/>
      </w:rPr>
    </w:pPr>
    <w:r w:rsidRPr="00B04BBF">
      <w:rPr>
        <w:noProof/>
        <w:color w:val="000000"/>
        <w:sz w:val="21"/>
        <w:szCs w:val="21"/>
      </w:rPr>
      <w:drawing>
        <wp:anchor distT="0" distB="0" distL="114300" distR="114300" simplePos="0" relativeHeight="251658752" behindDoc="1" locked="0" layoutInCell="1" hidden="0" allowOverlap="1" wp14:anchorId="61245DBC" wp14:editId="57CC3287">
          <wp:simplePos x="0" y="0"/>
          <wp:positionH relativeFrom="margin">
            <wp:align>center</wp:align>
          </wp:positionH>
          <wp:positionV relativeFrom="margin">
            <wp:align>center</wp:align>
          </wp:positionV>
          <wp:extent cx="7772400" cy="10058400"/>
          <wp:effectExtent l="0" t="0" r="0" b="0"/>
          <wp:wrapNone/>
          <wp:docPr id="1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005" w14:textId="2263554D" w:rsidR="003D221F" w:rsidRPr="00B04BBF" w:rsidRDefault="009D4397">
    <w:pPr>
      <w:pBdr>
        <w:top w:val="nil"/>
        <w:left w:val="nil"/>
        <w:bottom w:val="nil"/>
        <w:right w:val="nil"/>
        <w:between w:val="nil"/>
      </w:pBdr>
      <w:tabs>
        <w:tab w:val="center" w:pos="4680"/>
        <w:tab w:val="right" w:pos="9360"/>
      </w:tabs>
      <w:spacing w:after="0"/>
      <w:rPr>
        <w:color w:val="000000"/>
        <w:sz w:val="21"/>
        <w:szCs w:val="21"/>
      </w:rPr>
    </w:pPr>
    <w:r w:rsidRPr="00B04BBF">
      <w:rPr>
        <w:noProof/>
      </w:rPr>
      <w:drawing>
        <wp:anchor distT="0" distB="0" distL="114300" distR="114300" simplePos="0" relativeHeight="251655680" behindDoc="1" locked="0" layoutInCell="1" hidden="0" allowOverlap="1" wp14:anchorId="1155606A" wp14:editId="562376A4">
          <wp:simplePos x="0" y="0"/>
          <wp:positionH relativeFrom="page">
            <wp:align>right</wp:align>
          </wp:positionH>
          <wp:positionV relativeFrom="page">
            <wp:align>top</wp:align>
          </wp:positionV>
          <wp:extent cx="7772400" cy="10058400"/>
          <wp:effectExtent l="0" t="0" r="0" b="0"/>
          <wp:wrapNone/>
          <wp:docPr id="9"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sidRPr="00B04BB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697" w14:textId="77777777" w:rsidR="003D221F" w:rsidRPr="00B04BBF" w:rsidRDefault="009D4397">
    <w:pPr>
      <w:pBdr>
        <w:top w:val="nil"/>
        <w:left w:val="nil"/>
        <w:bottom w:val="nil"/>
        <w:right w:val="nil"/>
        <w:between w:val="nil"/>
      </w:pBdr>
      <w:tabs>
        <w:tab w:val="center" w:pos="4680"/>
        <w:tab w:val="right" w:pos="9360"/>
      </w:tabs>
      <w:spacing w:after="0"/>
      <w:rPr>
        <w:sz w:val="46"/>
        <w:szCs w:val="46"/>
      </w:rPr>
    </w:pPr>
    <w:r w:rsidRPr="00B04BBF">
      <w:rPr>
        <w:noProof/>
        <w:color w:val="006CAD"/>
      </w:rPr>
      <w:drawing>
        <wp:anchor distT="0" distB="0" distL="114300" distR="114300" simplePos="0" relativeHeight="251656704" behindDoc="1" locked="0" layoutInCell="1" hidden="0" allowOverlap="1" wp14:anchorId="7994D3F2" wp14:editId="601736DD">
          <wp:simplePos x="0" y="0"/>
          <wp:positionH relativeFrom="margin">
            <wp:posOffset>-914716</wp:posOffset>
          </wp:positionH>
          <wp:positionV relativeFrom="margin">
            <wp:posOffset>-914399</wp:posOffset>
          </wp:positionV>
          <wp:extent cx="7772400" cy="10058400"/>
          <wp:effectExtent l="0" t="0" r="0" b="0"/>
          <wp:wrapNone/>
          <wp:docPr id="2"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sidRPr="00B04BBF">
      <w:rPr>
        <w:sz w:val="46"/>
        <w:szCs w:val="46"/>
      </w:rPr>
      <w:t xml:space="preserve">Estudios sobre el Holocausto y el </w:t>
    </w:r>
    <w:proofErr w:type="spellStart"/>
    <w:r w:rsidRPr="00B04BBF">
      <w:rPr>
        <w:sz w:val="46"/>
        <w:szCs w:val="46"/>
      </w:rPr>
      <w:t>Genocidio</w:t>
    </w:r>
    <w:r w:rsidRPr="00B04BBF">
      <w:rPr>
        <w:color w:val="000000"/>
        <w:sz w:val="46"/>
        <w:szCs w:val="46"/>
      </w:rPr>
      <w:t>Aprendizaje</w:t>
    </w:r>
    <w:proofErr w:type="spellEnd"/>
    <w:r w:rsidRPr="00B04BBF">
      <w:rPr>
        <w:color w:val="000000"/>
        <w:sz w:val="46"/>
        <w:szCs w:val="46"/>
      </w:rPr>
      <w:t xml:space="preserve"> profesional </w:t>
    </w:r>
    <w:r w:rsidRPr="00B04BBF">
      <w:rPr>
        <w:noProof/>
      </w:rPr>
      <mc:AlternateContent>
        <mc:Choice Requires="wps">
          <w:drawing>
            <wp:anchor distT="0" distB="0" distL="114300" distR="114300" simplePos="0" relativeHeight="251657728" behindDoc="0" locked="0" layoutInCell="1" hidden="0" allowOverlap="1" wp14:anchorId="0BEF6F69" wp14:editId="7B91B5F4">
              <wp:simplePos x="0" y="0"/>
              <wp:positionH relativeFrom="column">
                <wp:posOffset>12701</wp:posOffset>
              </wp:positionH>
              <wp:positionV relativeFrom="paragraph">
                <wp:posOffset>520700</wp:posOffset>
              </wp:positionV>
              <wp:extent cx="193675" cy="156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53925" y="3002125"/>
                        <a:ext cx="184150" cy="1555750"/>
                      </a:xfrm>
                      <a:prstGeom prst="rect">
                        <a:avLst/>
                      </a:prstGeom>
                      <a:noFill/>
                      <a:ln>
                        <a:noFill/>
                      </a:ln>
                    </wps:spPr>
                    <wps:txbx>
                      <w:txbxContent>
                        <w:p w14:paraId="1FFE554B" w14:textId="77777777" w:rsidR="003D221F" w:rsidRPr="00B04BBF" w:rsidRDefault="003D221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EF6F69" id="Rectangle 1" o:spid="_x0000_s1026" style="position:absolute;margin-left:1pt;margin-top:41pt;width:15.25pt;height:123.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" filled="f" stroked="f">
              <v:textbox inset="2.53958mm,2.53958mm,2.53958mm,2.53958mm">
                <w:txbxContent>
                  <w:p w14:paraId="1FFE554B" w14:textId="77777777" w:rsidR="003D221F" w:rsidRPr="00B04BBF" w:rsidRDefault="003D221F">
                    <w:pPr>
                      <w:spacing w:after="0" w:line="240" w:lineRule="auto"/>
                      <w:textDirection w:val="btLr"/>
                    </w:pPr>
                  </w:p>
                </w:txbxContent>
              </v:textbox>
              <w10:wrap type="topAndBottom"/>
            </v:rect>
          </w:pict>
        </mc:Fallback>
      </mc:AlternateContent>
    </w:r>
  </w:p>
  <w:p w14:paraId="0B9C431D" w14:textId="77777777" w:rsidR="003D221F" w:rsidRPr="00B04BBF" w:rsidRDefault="003D221F">
    <w:pPr>
      <w:pBdr>
        <w:top w:val="nil"/>
        <w:left w:val="nil"/>
        <w:bottom w:val="nil"/>
        <w:right w:val="nil"/>
        <w:between w:val="nil"/>
      </w:pBdr>
      <w:tabs>
        <w:tab w:val="center" w:pos="4680"/>
        <w:tab w:val="right" w:pos="9360"/>
      </w:tabs>
      <w:spacing w:after="0"/>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A0"/>
    <w:multiLevelType w:val="multilevel"/>
    <w:tmpl w:val="B656AD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72581"/>
    <w:multiLevelType w:val="multilevel"/>
    <w:tmpl w:val="20A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3056"/>
    <w:multiLevelType w:val="multilevel"/>
    <w:tmpl w:val="FE00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5CA"/>
    <w:multiLevelType w:val="hybridMultilevel"/>
    <w:tmpl w:val="D09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7662"/>
    <w:multiLevelType w:val="multilevel"/>
    <w:tmpl w:val="DD7098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50EC"/>
    <w:multiLevelType w:val="multilevel"/>
    <w:tmpl w:val="88BC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531BD"/>
    <w:multiLevelType w:val="multilevel"/>
    <w:tmpl w:val="CEBA73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1616D"/>
    <w:multiLevelType w:val="multilevel"/>
    <w:tmpl w:val="D87E07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32B03"/>
    <w:multiLevelType w:val="multilevel"/>
    <w:tmpl w:val="8DACAA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125F1"/>
    <w:multiLevelType w:val="multilevel"/>
    <w:tmpl w:val="A048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730851"/>
    <w:multiLevelType w:val="multilevel"/>
    <w:tmpl w:val="6B4CC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B62A11"/>
    <w:multiLevelType w:val="multilevel"/>
    <w:tmpl w:val="2EFCC7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B0250"/>
    <w:multiLevelType w:val="hybridMultilevel"/>
    <w:tmpl w:val="B2505846"/>
    <w:lvl w:ilvl="0" w:tplc="DB62FC40">
      <w:start w:val="1"/>
      <w:numFmt w:val="bullet"/>
      <w:lvlText w:val="o"/>
      <w:lvlJc w:val="left"/>
      <w:pPr>
        <w:tabs>
          <w:tab w:val="num" w:pos="720"/>
        </w:tabs>
        <w:ind w:left="720" w:hanging="360"/>
      </w:pPr>
      <w:rPr>
        <w:rFonts w:ascii="Courier New" w:hAnsi="Courier New" w:hint="default"/>
      </w:rPr>
    </w:lvl>
    <w:lvl w:ilvl="1" w:tplc="F0440600">
      <w:start w:val="1"/>
      <w:numFmt w:val="bullet"/>
      <w:lvlText w:val="o"/>
      <w:lvlJc w:val="left"/>
      <w:pPr>
        <w:tabs>
          <w:tab w:val="num" w:pos="1440"/>
        </w:tabs>
        <w:ind w:left="1440" w:hanging="360"/>
      </w:pPr>
      <w:rPr>
        <w:rFonts w:ascii="Courier New" w:hAnsi="Courier New" w:hint="default"/>
      </w:rPr>
    </w:lvl>
    <w:lvl w:ilvl="2" w:tplc="A24010BC" w:tentative="1">
      <w:start w:val="1"/>
      <w:numFmt w:val="bullet"/>
      <w:lvlText w:val="o"/>
      <w:lvlJc w:val="left"/>
      <w:pPr>
        <w:tabs>
          <w:tab w:val="num" w:pos="2160"/>
        </w:tabs>
        <w:ind w:left="2160" w:hanging="360"/>
      </w:pPr>
      <w:rPr>
        <w:rFonts w:ascii="Courier New" w:hAnsi="Courier New" w:hint="default"/>
      </w:rPr>
    </w:lvl>
    <w:lvl w:ilvl="3" w:tplc="680E5DC0" w:tentative="1">
      <w:start w:val="1"/>
      <w:numFmt w:val="bullet"/>
      <w:lvlText w:val="o"/>
      <w:lvlJc w:val="left"/>
      <w:pPr>
        <w:tabs>
          <w:tab w:val="num" w:pos="2880"/>
        </w:tabs>
        <w:ind w:left="2880" w:hanging="360"/>
      </w:pPr>
      <w:rPr>
        <w:rFonts w:ascii="Courier New" w:hAnsi="Courier New" w:hint="default"/>
      </w:rPr>
    </w:lvl>
    <w:lvl w:ilvl="4" w:tplc="12B066C8" w:tentative="1">
      <w:start w:val="1"/>
      <w:numFmt w:val="bullet"/>
      <w:lvlText w:val="o"/>
      <w:lvlJc w:val="left"/>
      <w:pPr>
        <w:tabs>
          <w:tab w:val="num" w:pos="3600"/>
        </w:tabs>
        <w:ind w:left="3600" w:hanging="360"/>
      </w:pPr>
      <w:rPr>
        <w:rFonts w:ascii="Courier New" w:hAnsi="Courier New" w:hint="default"/>
      </w:rPr>
    </w:lvl>
    <w:lvl w:ilvl="5" w:tplc="7A84B68A" w:tentative="1">
      <w:start w:val="1"/>
      <w:numFmt w:val="bullet"/>
      <w:lvlText w:val="o"/>
      <w:lvlJc w:val="left"/>
      <w:pPr>
        <w:tabs>
          <w:tab w:val="num" w:pos="4320"/>
        </w:tabs>
        <w:ind w:left="4320" w:hanging="360"/>
      </w:pPr>
      <w:rPr>
        <w:rFonts w:ascii="Courier New" w:hAnsi="Courier New" w:hint="default"/>
      </w:rPr>
    </w:lvl>
    <w:lvl w:ilvl="6" w:tplc="4A4CD2CA" w:tentative="1">
      <w:start w:val="1"/>
      <w:numFmt w:val="bullet"/>
      <w:lvlText w:val="o"/>
      <w:lvlJc w:val="left"/>
      <w:pPr>
        <w:tabs>
          <w:tab w:val="num" w:pos="5040"/>
        </w:tabs>
        <w:ind w:left="5040" w:hanging="360"/>
      </w:pPr>
      <w:rPr>
        <w:rFonts w:ascii="Courier New" w:hAnsi="Courier New" w:hint="default"/>
      </w:rPr>
    </w:lvl>
    <w:lvl w:ilvl="7" w:tplc="34947B42" w:tentative="1">
      <w:start w:val="1"/>
      <w:numFmt w:val="bullet"/>
      <w:lvlText w:val="o"/>
      <w:lvlJc w:val="left"/>
      <w:pPr>
        <w:tabs>
          <w:tab w:val="num" w:pos="5760"/>
        </w:tabs>
        <w:ind w:left="5760" w:hanging="360"/>
      </w:pPr>
      <w:rPr>
        <w:rFonts w:ascii="Courier New" w:hAnsi="Courier New" w:hint="default"/>
      </w:rPr>
    </w:lvl>
    <w:lvl w:ilvl="8" w:tplc="104C9C9C"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C553775"/>
    <w:multiLevelType w:val="multilevel"/>
    <w:tmpl w:val="A81850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7A1793"/>
    <w:multiLevelType w:val="multilevel"/>
    <w:tmpl w:val="14B49E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71FF0"/>
    <w:multiLevelType w:val="multilevel"/>
    <w:tmpl w:val="ED9E8E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E717CC"/>
    <w:multiLevelType w:val="hybridMultilevel"/>
    <w:tmpl w:val="59B25762"/>
    <w:lvl w:ilvl="0" w:tplc="C22EEDF0">
      <w:start w:val="1"/>
      <w:numFmt w:val="bullet"/>
      <w:lvlText w:val="•"/>
      <w:lvlJc w:val="left"/>
      <w:pPr>
        <w:tabs>
          <w:tab w:val="num" w:pos="720"/>
        </w:tabs>
        <w:ind w:left="720" w:hanging="360"/>
      </w:pPr>
      <w:rPr>
        <w:rFonts w:ascii="Arial" w:hAnsi="Arial" w:hint="default"/>
      </w:rPr>
    </w:lvl>
    <w:lvl w:ilvl="1" w:tplc="A956D31E" w:tentative="1">
      <w:start w:val="1"/>
      <w:numFmt w:val="bullet"/>
      <w:lvlText w:val="•"/>
      <w:lvlJc w:val="left"/>
      <w:pPr>
        <w:tabs>
          <w:tab w:val="num" w:pos="1440"/>
        </w:tabs>
        <w:ind w:left="1440" w:hanging="360"/>
      </w:pPr>
      <w:rPr>
        <w:rFonts w:ascii="Arial" w:hAnsi="Arial" w:hint="default"/>
      </w:rPr>
    </w:lvl>
    <w:lvl w:ilvl="2" w:tplc="D1F09B84" w:tentative="1">
      <w:start w:val="1"/>
      <w:numFmt w:val="bullet"/>
      <w:lvlText w:val="•"/>
      <w:lvlJc w:val="left"/>
      <w:pPr>
        <w:tabs>
          <w:tab w:val="num" w:pos="2160"/>
        </w:tabs>
        <w:ind w:left="2160" w:hanging="360"/>
      </w:pPr>
      <w:rPr>
        <w:rFonts w:ascii="Arial" w:hAnsi="Arial" w:hint="default"/>
      </w:rPr>
    </w:lvl>
    <w:lvl w:ilvl="3" w:tplc="A988506E" w:tentative="1">
      <w:start w:val="1"/>
      <w:numFmt w:val="bullet"/>
      <w:lvlText w:val="•"/>
      <w:lvlJc w:val="left"/>
      <w:pPr>
        <w:tabs>
          <w:tab w:val="num" w:pos="2880"/>
        </w:tabs>
        <w:ind w:left="2880" w:hanging="360"/>
      </w:pPr>
      <w:rPr>
        <w:rFonts w:ascii="Arial" w:hAnsi="Arial" w:hint="default"/>
      </w:rPr>
    </w:lvl>
    <w:lvl w:ilvl="4" w:tplc="0E46DD38" w:tentative="1">
      <w:start w:val="1"/>
      <w:numFmt w:val="bullet"/>
      <w:lvlText w:val="•"/>
      <w:lvlJc w:val="left"/>
      <w:pPr>
        <w:tabs>
          <w:tab w:val="num" w:pos="3600"/>
        </w:tabs>
        <w:ind w:left="3600" w:hanging="360"/>
      </w:pPr>
      <w:rPr>
        <w:rFonts w:ascii="Arial" w:hAnsi="Arial" w:hint="default"/>
      </w:rPr>
    </w:lvl>
    <w:lvl w:ilvl="5" w:tplc="66AC4FD4" w:tentative="1">
      <w:start w:val="1"/>
      <w:numFmt w:val="bullet"/>
      <w:lvlText w:val="•"/>
      <w:lvlJc w:val="left"/>
      <w:pPr>
        <w:tabs>
          <w:tab w:val="num" w:pos="4320"/>
        </w:tabs>
        <w:ind w:left="4320" w:hanging="360"/>
      </w:pPr>
      <w:rPr>
        <w:rFonts w:ascii="Arial" w:hAnsi="Arial" w:hint="default"/>
      </w:rPr>
    </w:lvl>
    <w:lvl w:ilvl="6" w:tplc="F2262536" w:tentative="1">
      <w:start w:val="1"/>
      <w:numFmt w:val="bullet"/>
      <w:lvlText w:val="•"/>
      <w:lvlJc w:val="left"/>
      <w:pPr>
        <w:tabs>
          <w:tab w:val="num" w:pos="5040"/>
        </w:tabs>
        <w:ind w:left="5040" w:hanging="360"/>
      </w:pPr>
      <w:rPr>
        <w:rFonts w:ascii="Arial" w:hAnsi="Arial" w:hint="default"/>
      </w:rPr>
    </w:lvl>
    <w:lvl w:ilvl="7" w:tplc="0382CA72" w:tentative="1">
      <w:start w:val="1"/>
      <w:numFmt w:val="bullet"/>
      <w:lvlText w:val="•"/>
      <w:lvlJc w:val="left"/>
      <w:pPr>
        <w:tabs>
          <w:tab w:val="num" w:pos="5760"/>
        </w:tabs>
        <w:ind w:left="5760" w:hanging="360"/>
      </w:pPr>
      <w:rPr>
        <w:rFonts w:ascii="Arial" w:hAnsi="Arial" w:hint="default"/>
      </w:rPr>
    </w:lvl>
    <w:lvl w:ilvl="8" w:tplc="F49486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910E15"/>
    <w:multiLevelType w:val="multilevel"/>
    <w:tmpl w:val="FDEC088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3709C"/>
    <w:multiLevelType w:val="multilevel"/>
    <w:tmpl w:val="E6FAB4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135C9C"/>
    <w:multiLevelType w:val="multilevel"/>
    <w:tmpl w:val="153867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C334B8"/>
    <w:multiLevelType w:val="hybridMultilevel"/>
    <w:tmpl w:val="78F2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B58"/>
    <w:multiLevelType w:val="multilevel"/>
    <w:tmpl w:val="6546C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203CD"/>
    <w:multiLevelType w:val="multilevel"/>
    <w:tmpl w:val="1E3A2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2237A"/>
    <w:multiLevelType w:val="multilevel"/>
    <w:tmpl w:val="517C9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B58EA"/>
    <w:multiLevelType w:val="multilevel"/>
    <w:tmpl w:val="B060CA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44129">
    <w:abstractNumId w:val="22"/>
  </w:num>
  <w:num w:numId="2" w16cid:durableId="921260161">
    <w:abstractNumId w:val="23"/>
  </w:num>
  <w:num w:numId="3" w16cid:durableId="585844733">
    <w:abstractNumId w:val="13"/>
  </w:num>
  <w:num w:numId="4" w16cid:durableId="459765792">
    <w:abstractNumId w:val="24"/>
  </w:num>
  <w:num w:numId="5" w16cid:durableId="1283153734">
    <w:abstractNumId w:val="11"/>
  </w:num>
  <w:num w:numId="6" w16cid:durableId="1378704127">
    <w:abstractNumId w:val="5"/>
  </w:num>
  <w:num w:numId="7" w16cid:durableId="1657956919">
    <w:abstractNumId w:val="1"/>
  </w:num>
  <w:num w:numId="8" w16cid:durableId="308948819">
    <w:abstractNumId w:val="14"/>
  </w:num>
  <w:num w:numId="9" w16cid:durableId="1497187780">
    <w:abstractNumId w:val="19"/>
  </w:num>
  <w:num w:numId="10" w16cid:durableId="543174677">
    <w:abstractNumId w:val="18"/>
  </w:num>
  <w:num w:numId="11" w16cid:durableId="1763719727">
    <w:abstractNumId w:val="21"/>
  </w:num>
  <w:num w:numId="12" w16cid:durableId="959802675">
    <w:abstractNumId w:val="10"/>
  </w:num>
  <w:num w:numId="13" w16cid:durableId="1280993853">
    <w:abstractNumId w:val="2"/>
  </w:num>
  <w:num w:numId="14" w16cid:durableId="1861553224">
    <w:abstractNumId w:val="0"/>
  </w:num>
  <w:num w:numId="15" w16cid:durableId="956521297">
    <w:abstractNumId w:val="4"/>
  </w:num>
  <w:num w:numId="16" w16cid:durableId="2045712860">
    <w:abstractNumId w:val="6"/>
  </w:num>
  <w:num w:numId="17" w16cid:durableId="553005482">
    <w:abstractNumId w:val="7"/>
  </w:num>
  <w:num w:numId="18" w16cid:durableId="1892961713">
    <w:abstractNumId w:val="8"/>
  </w:num>
  <w:num w:numId="19" w16cid:durableId="2040663258">
    <w:abstractNumId w:val="17"/>
  </w:num>
  <w:num w:numId="20" w16cid:durableId="1534804173">
    <w:abstractNumId w:val="9"/>
  </w:num>
  <w:num w:numId="21" w16cid:durableId="1612282785">
    <w:abstractNumId w:val="15"/>
  </w:num>
  <w:num w:numId="22" w16cid:durableId="7146988">
    <w:abstractNumId w:val="16"/>
  </w:num>
  <w:num w:numId="23" w16cid:durableId="1312783905">
    <w:abstractNumId w:val="12"/>
  </w:num>
  <w:num w:numId="24" w16cid:durableId="486241279">
    <w:abstractNumId w:val="20"/>
  </w:num>
  <w:num w:numId="25" w16cid:durableId="177520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1F"/>
    <w:rsid w:val="0006363A"/>
    <w:rsid w:val="000A4D34"/>
    <w:rsid w:val="000C45A6"/>
    <w:rsid w:val="00166CB3"/>
    <w:rsid w:val="00354B93"/>
    <w:rsid w:val="003B3EA8"/>
    <w:rsid w:val="003D221F"/>
    <w:rsid w:val="0045643A"/>
    <w:rsid w:val="0046260C"/>
    <w:rsid w:val="00493902"/>
    <w:rsid w:val="00541501"/>
    <w:rsid w:val="006856A1"/>
    <w:rsid w:val="006A4B5C"/>
    <w:rsid w:val="006C245D"/>
    <w:rsid w:val="007443C7"/>
    <w:rsid w:val="00833C4B"/>
    <w:rsid w:val="009D4397"/>
    <w:rsid w:val="00A014F7"/>
    <w:rsid w:val="00B04BBF"/>
    <w:rsid w:val="00C71E59"/>
    <w:rsid w:val="00E33507"/>
    <w:rsid w:val="00ED294C"/>
    <w:rsid w:val="00FE1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B38"/>
  <w15:docId w15:val="{F29B29CE-8C53-45F6-B29B-BB9A401D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uiPriority w:val="9"/>
    <w:qFormat/>
    <w:pPr>
      <w:keepNext/>
      <w:keepLines/>
      <w:spacing w:before="240" w:after="0"/>
      <w:outlineLvl w:val="0"/>
    </w:pPr>
    <w:rPr>
      <w:color w:val="006CAD"/>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006CAD"/>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06CAD"/>
    </w:rPr>
  </w:style>
  <w:style w:type="paragraph" w:styleId="Heading4">
    <w:name w:val="heading 4"/>
    <w:basedOn w:val="Normal"/>
    <w:next w:val="Normal"/>
    <w:uiPriority w:val="9"/>
    <w:semiHidden/>
    <w:unhideWhenUsed/>
    <w:qFormat/>
    <w:pPr>
      <w:keepNext/>
      <w:keepLines/>
      <w:spacing w:before="40" w:after="0"/>
      <w:outlineLvl w:val="3"/>
    </w:pPr>
    <w:rPr>
      <w:i/>
      <w:color w:val="006CAD"/>
    </w:rPr>
  </w:style>
  <w:style w:type="paragraph" w:styleId="Heading5">
    <w:name w:val="heading 5"/>
    <w:basedOn w:val="Normal"/>
    <w:next w:val="Normal"/>
    <w:uiPriority w:val="9"/>
    <w:semiHidden/>
    <w:unhideWhenUsed/>
    <w:qFormat/>
    <w:pPr>
      <w:keepNext/>
      <w:keepLines/>
      <w:spacing w:before="40" w:after="0"/>
      <w:outlineLvl w:val="4"/>
    </w:pPr>
    <w:rPr>
      <w:color w:val="006CAD"/>
    </w:rPr>
  </w:style>
  <w:style w:type="paragraph" w:styleId="Heading6">
    <w:name w:val="heading 6"/>
    <w:basedOn w:val="Normal"/>
    <w:next w:val="Normal"/>
    <w:uiPriority w:val="9"/>
    <w:semiHidden/>
    <w:unhideWhenUsed/>
    <w:qFormat/>
    <w:pPr>
      <w:keepNext/>
      <w:keepLines/>
      <w:spacing w:before="40" w:after="0"/>
      <w:outlineLvl w:val="5"/>
    </w:pPr>
    <w:rPr>
      <w:color w:val="0036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006CAD"/>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3507"/>
    <w:rPr>
      <w:color w:val="0000FF" w:themeColor="hyperlink"/>
      <w:u w:val="single"/>
    </w:rPr>
  </w:style>
  <w:style w:type="character" w:styleId="UnresolvedMention">
    <w:name w:val="Unresolved Mention"/>
    <w:basedOn w:val="DefaultParagraphFont"/>
    <w:uiPriority w:val="99"/>
    <w:semiHidden/>
    <w:unhideWhenUsed/>
    <w:rsid w:val="00E33507"/>
    <w:rPr>
      <w:color w:val="605E5C"/>
      <w:shd w:val="clear" w:color="auto" w:fill="E1DFDD"/>
    </w:rPr>
  </w:style>
  <w:style w:type="character" w:styleId="FollowedHyperlink">
    <w:name w:val="FollowedHyperlink"/>
    <w:basedOn w:val="DefaultParagraphFont"/>
    <w:uiPriority w:val="99"/>
    <w:semiHidden/>
    <w:unhideWhenUsed/>
    <w:rsid w:val="00E33507"/>
    <w:rPr>
      <w:color w:val="800080" w:themeColor="followedHyperlink"/>
      <w:u w:val="single"/>
    </w:rPr>
  </w:style>
  <w:style w:type="paragraph" w:styleId="NormalWeb">
    <w:name w:val="Normal (Web)"/>
    <w:basedOn w:val="Normal"/>
    <w:uiPriority w:val="99"/>
    <w:semiHidden/>
    <w:unhideWhenUsed/>
    <w:rsid w:val="00E33507"/>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6CB3"/>
    <w:pPr>
      <w:ind w:left="720"/>
      <w:contextualSpacing/>
    </w:pPr>
  </w:style>
  <w:style w:type="paragraph" w:styleId="Footer">
    <w:name w:val="footer"/>
    <w:basedOn w:val="Normal"/>
    <w:link w:val="FooterChar"/>
    <w:uiPriority w:val="99"/>
    <w:unhideWhenUsed/>
    <w:rsid w:val="006C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349">
      <w:bodyDiv w:val="1"/>
      <w:marLeft w:val="0"/>
      <w:marRight w:val="0"/>
      <w:marTop w:val="0"/>
      <w:marBottom w:val="0"/>
      <w:divBdr>
        <w:top w:val="none" w:sz="0" w:space="0" w:color="auto"/>
        <w:left w:val="none" w:sz="0" w:space="0" w:color="auto"/>
        <w:bottom w:val="none" w:sz="0" w:space="0" w:color="auto"/>
        <w:right w:val="none" w:sz="0" w:space="0" w:color="auto"/>
      </w:divBdr>
      <w:divsChild>
        <w:div w:id="1683432364">
          <w:marLeft w:val="446"/>
          <w:marRight w:val="0"/>
          <w:marTop w:val="0"/>
          <w:marBottom w:val="0"/>
          <w:divBdr>
            <w:top w:val="none" w:sz="0" w:space="0" w:color="auto"/>
            <w:left w:val="none" w:sz="0" w:space="0" w:color="auto"/>
            <w:bottom w:val="none" w:sz="0" w:space="0" w:color="auto"/>
            <w:right w:val="none" w:sz="0" w:space="0" w:color="auto"/>
          </w:divBdr>
        </w:div>
      </w:divsChild>
    </w:div>
    <w:div w:id="673386341">
      <w:bodyDiv w:val="1"/>
      <w:marLeft w:val="0"/>
      <w:marRight w:val="0"/>
      <w:marTop w:val="0"/>
      <w:marBottom w:val="0"/>
      <w:divBdr>
        <w:top w:val="none" w:sz="0" w:space="0" w:color="auto"/>
        <w:left w:val="none" w:sz="0" w:space="0" w:color="auto"/>
        <w:bottom w:val="none" w:sz="0" w:space="0" w:color="auto"/>
        <w:right w:val="none" w:sz="0" w:space="0" w:color="auto"/>
      </w:divBdr>
    </w:div>
    <w:div w:id="1071073846">
      <w:bodyDiv w:val="1"/>
      <w:marLeft w:val="0"/>
      <w:marRight w:val="0"/>
      <w:marTop w:val="0"/>
      <w:marBottom w:val="0"/>
      <w:divBdr>
        <w:top w:val="none" w:sz="0" w:space="0" w:color="auto"/>
        <w:left w:val="none" w:sz="0" w:space="0" w:color="auto"/>
        <w:bottom w:val="none" w:sz="0" w:space="0" w:color="auto"/>
        <w:right w:val="none" w:sz="0" w:space="0" w:color="auto"/>
      </w:divBdr>
    </w:div>
    <w:div w:id="1167865984">
      <w:bodyDiv w:val="1"/>
      <w:marLeft w:val="0"/>
      <w:marRight w:val="0"/>
      <w:marTop w:val="0"/>
      <w:marBottom w:val="0"/>
      <w:divBdr>
        <w:top w:val="none" w:sz="0" w:space="0" w:color="auto"/>
        <w:left w:val="none" w:sz="0" w:space="0" w:color="auto"/>
        <w:bottom w:val="none" w:sz="0" w:space="0" w:color="auto"/>
        <w:right w:val="none" w:sz="0" w:space="0" w:color="auto"/>
      </w:divBdr>
      <w:divsChild>
        <w:div w:id="893274019">
          <w:marLeft w:val="1166"/>
          <w:marRight w:val="0"/>
          <w:marTop w:val="0"/>
          <w:marBottom w:val="0"/>
          <w:divBdr>
            <w:top w:val="none" w:sz="0" w:space="0" w:color="auto"/>
            <w:left w:val="none" w:sz="0" w:space="0" w:color="auto"/>
            <w:bottom w:val="none" w:sz="0" w:space="0" w:color="auto"/>
            <w:right w:val="none" w:sz="0" w:space="0" w:color="auto"/>
          </w:divBdr>
        </w:div>
        <w:div w:id="1415274725">
          <w:marLeft w:val="1166"/>
          <w:marRight w:val="0"/>
          <w:marTop w:val="0"/>
          <w:marBottom w:val="0"/>
          <w:divBdr>
            <w:top w:val="none" w:sz="0" w:space="0" w:color="auto"/>
            <w:left w:val="none" w:sz="0" w:space="0" w:color="auto"/>
            <w:bottom w:val="none" w:sz="0" w:space="0" w:color="auto"/>
            <w:right w:val="none" w:sz="0" w:space="0" w:color="auto"/>
          </w:divBdr>
        </w:div>
        <w:div w:id="1503622336">
          <w:marLeft w:val="1166"/>
          <w:marRight w:val="0"/>
          <w:marTop w:val="0"/>
          <w:marBottom w:val="0"/>
          <w:divBdr>
            <w:top w:val="none" w:sz="0" w:space="0" w:color="auto"/>
            <w:left w:val="none" w:sz="0" w:space="0" w:color="auto"/>
            <w:bottom w:val="none" w:sz="0" w:space="0" w:color="auto"/>
            <w:right w:val="none" w:sz="0" w:space="0" w:color="auto"/>
          </w:divBdr>
        </w:div>
        <w:div w:id="49318494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privacy.ed.gov/ferp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jennifer.dundon@ode.oregon.gov" TargetMode="External"/><Relationship Id="rId23" Type="http://schemas.openxmlformats.org/officeDocument/2006/relationships/customXml" Target="../customXml/item1.xml"/><Relationship Id="rId10" Type="http://schemas.openxmlformats.org/officeDocument/2006/relationships/hyperlink" Target="https://secure.sos.state.or.us/oard/viewSingleRule.action?ruleVrsnRsn=2854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AB182E0629F4DB299CB70AADA2617" ma:contentTypeVersion="7" ma:contentTypeDescription="Create a new document." ma:contentTypeScope="" ma:versionID="8c0ea892eb18541275fd2544df387c3a">
  <xsd:schema xmlns:xsd="http://www.w3.org/2001/XMLSchema" xmlns:xs="http://www.w3.org/2001/XMLSchema" xmlns:p="http://schemas.microsoft.com/office/2006/metadata/properties" xmlns:ns2="322ed6d0-eb3a-48ea-a8e7-c77d41b6508b" xmlns:ns3="54031767-dd6d-417c-ab73-583408f47564" targetNamespace="http://schemas.microsoft.com/office/2006/metadata/properties" ma:root="true" ma:fieldsID="7d29625aebd964c423a73dc1d91b5bdb" ns2:_="" ns3:_="">
    <xsd:import namespace="322ed6d0-eb3a-48ea-a8e7-c77d41b6508b"/>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d6d0-eb3a-48ea-a8e7-c77d41b6508b"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22ed6d0-eb3a-48ea-a8e7-c77d41b6508b">2025-10-16T20:22:32+00:00</Remediation_x0020_Date>
    <Estimated_x0020_Creation_x0020_Date xmlns="322ed6d0-eb3a-48ea-a8e7-c77d41b6508b" xsi:nil="true"/>
    <Priority xmlns="322ed6d0-eb3a-48ea-a8e7-c77d41b6508b">New</Priority>
  </documentManagement>
</p:properties>
</file>

<file path=customXml/itemProps1.xml><?xml version="1.0" encoding="utf-8"?>
<ds:datastoreItem xmlns:ds="http://schemas.openxmlformats.org/officeDocument/2006/customXml" ds:itemID="{85B51CD7-6A3B-4777-BA5F-3CDDEA84967A}"/>
</file>

<file path=customXml/itemProps2.xml><?xml version="1.0" encoding="utf-8"?>
<ds:datastoreItem xmlns:ds="http://schemas.openxmlformats.org/officeDocument/2006/customXml" ds:itemID="{0E2508E8-688E-43EF-8457-21F9A48C49CC}"/>
</file>

<file path=customXml/itemProps3.xml><?xml version="1.0" encoding="utf-8"?>
<ds:datastoreItem xmlns:ds="http://schemas.openxmlformats.org/officeDocument/2006/customXml" ds:itemID="{94FE1AB3-17B4-4CEA-AEE3-5E25578690B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DUNDON Jennifer * ODE</cp:lastModifiedBy>
  <cp:revision>7</cp:revision>
  <dcterms:created xsi:type="dcterms:W3CDTF">2025-08-06T16:29:00Z</dcterms:created>
  <dcterms:modified xsi:type="dcterms:W3CDTF">2025-10-16T16:12:00Z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0x0101009C2AB182E0629F4DB299CB70AADA2617</vt:lpwstr>
  </property>
</Properties>
</file>