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68B1" w14:textId="77777777" w:rsidR="00010638" w:rsidRDefault="00010638">
      <w:pPr>
        <w:pStyle w:val="BodyText"/>
        <w:spacing w:before="6"/>
        <w:ind w:left="0" w:firstLine="0"/>
        <w:rPr>
          <w:rFonts w:ascii="Times New Roman"/>
          <w:sz w:val="17"/>
        </w:rPr>
      </w:pPr>
    </w:p>
    <w:p w14:paraId="4EB168B2" w14:textId="77777777" w:rsidR="00010638" w:rsidRDefault="00460F7A">
      <w:pPr>
        <w:pStyle w:val="Heading1"/>
        <w:bidi/>
        <w:spacing w:before="11"/>
        <w:ind w:left="1252" w:right="1223"/>
        <w:jc w:val="center"/>
        <w:rPr>
          <w:rtl/>
        </w:rPr>
      </w:pPr>
      <w:r>
        <w:rPr>
          <w:rFonts w:hint="cs"/>
          <w:rtl/>
        </w:rPr>
        <w:t>ماذا تفعل إذا كنت تشك في وجود إيذاء للأطفال</w:t>
      </w:r>
    </w:p>
    <w:p w14:paraId="4EB168B3" w14:textId="78B8E9B1" w:rsidR="00010638" w:rsidRDefault="00460F7A">
      <w:pPr>
        <w:bidi/>
        <w:spacing w:before="100" w:line="249" w:lineRule="auto"/>
        <w:ind w:left="139" w:hanging="10"/>
        <w:rPr>
          <w:sz w:val="24"/>
          <w:rtl/>
        </w:rPr>
      </w:pPr>
      <w:r>
        <w:rPr>
          <w:rFonts w:hint="cs"/>
          <w:sz w:val="24"/>
          <w:rtl/>
        </w:rPr>
        <w:t xml:space="preserve">إيذاء الأطفال مشكلة خطيرة. </w:t>
      </w:r>
      <w:r>
        <w:rPr>
          <w:rFonts w:hint="cs"/>
          <w:rtl/>
        </w:rPr>
        <w:t xml:space="preserve">يُعرّف </w:t>
      </w:r>
      <w:hyperlink r:id="rId7">
        <w:r>
          <w:rPr>
            <w:rFonts w:hint="cs"/>
            <w:color w:val="0000FF"/>
            <w:sz w:val="24"/>
            <w:u w:val="single" w:color="0000FF"/>
            <w:rtl/>
          </w:rPr>
          <w:t>قانون الإبلاغ الإلزامي عن إيذاء الأطفال في ولاية أوريجون</w:t>
        </w:r>
      </w:hyperlink>
      <w:r w:rsidR="00BB4CD6">
        <w:rPr>
          <w:color w:val="0000FF"/>
          <w:sz w:val="24"/>
          <w:u w:val="single" w:color="0000FF"/>
        </w:rPr>
        <w:t xml:space="preserve"> </w:t>
      </w:r>
      <w:r>
        <w:rPr>
          <w:rFonts w:hint="cs"/>
          <w:sz w:val="24"/>
          <w:rtl/>
        </w:rPr>
        <w:t>المُبلغ الإلزامي بأنه أي "موظف في مؤسسة عامة أو خاصة تقدم خدمات أو أنشطة تتعلق بالأطفال". ويعني هذا أنه يتعين على موظفي المدرسة والإداريين الإبلاغ عن حالات إيذاء الأطفال المشتبه بها في أي وقت.</w:t>
      </w:r>
    </w:p>
    <w:p w14:paraId="4EB168B4" w14:textId="77777777" w:rsidR="00010638" w:rsidRDefault="00010638">
      <w:pPr>
        <w:pStyle w:val="BodyText"/>
        <w:spacing w:before="4"/>
        <w:ind w:left="0" w:firstLine="0"/>
        <w:rPr>
          <w:sz w:val="21"/>
        </w:rPr>
      </w:pPr>
    </w:p>
    <w:p w14:paraId="4EB168B5" w14:textId="77777777" w:rsidR="00010638" w:rsidRDefault="00460F7A">
      <w:pPr>
        <w:pStyle w:val="Heading2"/>
        <w:bidi/>
        <w:rPr>
          <w:rtl/>
        </w:rPr>
      </w:pPr>
      <w:r>
        <w:rPr>
          <w:rFonts w:hint="cs"/>
          <w:rtl/>
        </w:rPr>
        <w:t>ما هو إيذاء الأطفال؟</w:t>
      </w:r>
    </w:p>
    <w:p w14:paraId="4EB168B6" w14:textId="77777777" w:rsidR="00010638" w:rsidRDefault="00460F7A">
      <w:pPr>
        <w:pStyle w:val="BodyText"/>
        <w:bidi/>
        <w:spacing w:before="25"/>
        <w:ind w:left="120" w:firstLine="0"/>
        <w:rPr>
          <w:rtl/>
        </w:rPr>
      </w:pPr>
      <w:r>
        <w:rPr>
          <w:rFonts w:hint="cs"/>
          <w:rtl/>
        </w:rPr>
        <w:t xml:space="preserve">هناك العديد من الأنواع المختلفة  </w:t>
      </w:r>
      <w:hyperlink r:id="rId8">
        <w:r>
          <w:rPr>
            <w:rFonts w:hint="cs"/>
            <w:color w:val="0000FF"/>
            <w:u w:val="single" w:color="0000FF"/>
            <w:rtl/>
          </w:rPr>
          <w:t>لإيذاء الأطفال</w:t>
        </w:r>
      </w:hyperlink>
      <w:r>
        <w:rPr>
          <w:rFonts w:hint="cs"/>
          <w:rtl/>
        </w:rPr>
        <w:t>. تشمل أشكال الإيذاء الأكثر شيوعًا ما يلي:</w:t>
      </w:r>
    </w:p>
    <w:p w14:paraId="4EB168B7" w14:textId="77777777" w:rsidR="00010638" w:rsidRDefault="00010638">
      <w:pPr>
        <w:pStyle w:val="BodyText"/>
        <w:spacing w:before="0"/>
        <w:ind w:left="0" w:firstLine="0"/>
      </w:pPr>
    </w:p>
    <w:p w14:paraId="4EB168B8" w14:textId="77777777" w:rsidR="00010638" w:rsidRDefault="00010638">
      <w:pPr>
        <w:pStyle w:val="BodyText"/>
        <w:spacing w:before="3"/>
        <w:ind w:left="0" w:firstLine="0"/>
        <w:rPr>
          <w:sz w:val="26"/>
        </w:rPr>
      </w:pPr>
    </w:p>
    <w:p w14:paraId="4EB168B9" w14:textId="77777777" w:rsidR="00010638" w:rsidRDefault="00460F7A">
      <w:pPr>
        <w:pStyle w:val="ListParagraph"/>
        <w:numPr>
          <w:ilvl w:val="0"/>
          <w:numId w:val="2"/>
        </w:numPr>
        <w:tabs>
          <w:tab w:val="left" w:pos="493"/>
          <w:tab w:val="left" w:pos="494"/>
        </w:tabs>
        <w:bidi/>
        <w:spacing w:before="0" w:line="249" w:lineRule="auto"/>
        <w:ind w:right="172"/>
        <w:rPr>
          <w:sz w:val="24"/>
          <w:rtl/>
        </w:rPr>
      </w:pPr>
      <w:r>
        <w:rPr>
          <w:rFonts w:hint="cs"/>
          <w:b/>
          <w:sz w:val="24"/>
          <w:rtl/>
        </w:rPr>
        <w:t xml:space="preserve">الإيذاء المنزلي: </w:t>
      </w:r>
      <w:r>
        <w:rPr>
          <w:rFonts w:hint="cs"/>
          <w:sz w:val="24"/>
          <w:rtl/>
        </w:rPr>
        <w:t xml:space="preserve">أي شكل من أشكال السلوك العنيف أو التهديد أو السيطرة أو التنمر </w:t>
      </w:r>
      <w:r>
        <w:rPr>
          <w:rFonts w:hint="cs"/>
          <w:i/>
          <w:sz w:val="24"/>
          <w:rtl/>
        </w:rPr>
        <w:t>بين</w:t>
      </w:r>
      <w:r>
        <w:rPr>
          <w:rFonts w:hint="cs"/>
          <w:sz w:val="24"/>
          <w:rtl/>
        </w:rPr>
        <w:t xml:space="preserve"> الأشخاص في </w:t>
      </w:r>
      <w:r>
        <w:rPr>
          <w:rFonts w:hint="cs"/>
          <w:i/>
          <w:sz w:val="24"/>
          <w:rtl/>
        </w:rPr>
        <w:t>علاقة</w:t>
      </w:r>
      <w:r>
        <w:rPr>
          <w:rFonts w:hint="cs"/>
          <w:sz w:val="24"/>
          <w:rtl/>
        </w:rPr>
        <w:t>. يمكن أن يكون الإيذاء عاطفيًا أو جسديًا أو جنسيًا أو نفسيًا مثل:</w:t>
      </w:r>
    </w:p>
    <w:p w14:paraId="4EB168BA" w14:textId="77777777" w:rsidR="00010638" w:rsidRDefault="00460F7A" w:rsidP="00460F7A">
      <w:pPr>
        <w:pStyle w:val="ListParagraph"/>
        <w:numPr>
          <w:ilvl w:val="1"/>
          <w:numId w:val="2"/>
        </w:numPr>
        <w:tabs>
          <w:tab w:val="left" w:pos="493"/>
          <w:tab w:val="left" w:pos="494"/>
        </w:tabs>
        <w:bidi/>
        <w:spacing w:before="8"/>
        <w:rPr>
          <w:sz w:val="24"/>
          <w:rtl/>
        </w:rPr>
      </w:pPr>
      <w:r>
        <w:rPr>
          <w:rFonts w:hint="cs"/>
          <w:sz w:val="24"/>
          <w:rtl/>
        </w:rPr>
        <w:t>اللكم أو الضرب أو الركل أو القطع أو الحرق.</w:t>
      </w:r>
    </w:p>
    <w:p w14:paraId="4EB168BB" w14:textId="77777777" w:rsidR="00010638" w:rsidRDefault="00460F7A" w:rsidP="00460F7A">
      <w:pPr>
        <w:pStyle w:val="ListParagraph"/>
        <w:numPr>
          <w:ilvl w:val="1"/>
          <w:numId w:val="2"/>
        </w:numPr>
        <w:tabs>
          <w:tab w:val="left" w:pos="493"/>
          <w:tab w:val="left" w:pos="494"/>
        </w:tabs>
        <w:bidi/>
        <w:spacing w:before="16"/>
        <w:rPr>
          <w:sz w:val="24"/>
          <w:rtl/>
        </w:rPr>
      </w:pPr>
      <w:r>
        <w:rPr>
          <w:rFonts w:hint="cs"/>
          <w:sz w:val="24"/>
          <w:rtl/>
        </w:rPr>
        <w:t>الاعتداء الجنسي أو التحرش الجنسي أو الاغتصاب أو سفاح القربى.</w:t>
      </w:r>
    </w:p>
    <w:p w14:paraId="4EB168BC" w14:textId="77777777" w:rsidR="00010638" w:rsidRDefault="00460F7A" w:rsidP="00460F7A">
      <w:pPr>
        <w:pStyle w:val="ListParagraph"/>
        <w:numPr>
          <w:ilvl w:val="1"/>
          <w:numId w:val="2"/>
        </w:numPr>
        <w:tabs>
          <w:tab w:val="left" w:pos="493"/>
          <w:tab w:val="left" w:pos="494"/>
        </w:tabs>
        <w:bidi/>
        <w:rPr>
          <w:sz w:val="24"/>
          <w:rtl/>
        </w:rPr>
      </w:pPr>
      <w:r>
        <w:rPr>
          <w:rFonts w:hint="cs"/>
          <w:sz w:val="24"/>
          <w:rtl/>
        </w:rPr>
        <w:t>السيطرة على السلوك بما في ذلك عدم السماح لشخص ما بمغادرة المنزل أو الاتصال بالآخرين.</w:t>
      </w:r>
    </w:p>
    <w:p w14:paraId="4EB168BD" w14:textId="77777777" w:rsidR="00010638" w:rsidRDefault="00460F7A" w:rsidP="00460F7A">
      <w:pPr>
        <w:pStyle w:val="ListParagraph"/>
        <w:numPr>
          <w:ilvl w:val="1"/>
          <w:numId w:val="2"/>
        </w:numPr>
        <w:tabs>
          <w:tab w:val="left" w:pos="493"/>
          <w:tab w:val="left" w:pos="494"/>
        </w:tabs>
        <w:bidi/>
        <w:spacing w:before="19"/>
        <w:rPr>
          <w:sz w:val="24"/>
          <w:rtl/>
        </w:rPr>
      </w:pPr>
      <w:r>
        <w:rPr>
          <w:rFonts w:hint="cs"/>
          <w:sz w:val="24"/>
          <w:rtl/>
        </w:rPr>
        <w:t>التهديد بقتل أو إيذاء شخص آخر أو حيوان أليف.</w:t>
      </w:r>
    </w:p>
    <w:p w14:paraId="4EB168BE" w14:textId="77777777" w:rsidR="00010638" w:rsidRDefault="00460F7A" w:rsidP="00460F7A">
      <w:pPr>
        <w:pStyle w:val="ListParagraph"/>
        <w:numPr>
          <w:ilvl w:val="1"/>
          <w:numId w:val="2"/>
        </w:numPr>
        <w:tabs>
          <w:tab w:val="left" w:pos="493"/>
          <w:tab w:val="left" w:pos="494"/>
        </w:tabs>
        <w:bidi/>
        <w:rPr>
          <w:sz w:val="24"/>
          <w:rtl/>
        </w:rPr>
      </w:pPr>
      <w:r>
        <w:rPr>
          <w:rFonts w:hint="cs"/>
          <w:sz w:val="24"/>
          <w:rtl/>
        </w:rPr>
        <w:t>طلب القيام بأفعال مهينة أو مذلّة من شخص آخر.</w:t>
      </w:r>
    </w:p>
    <w:p w14:paraId="4EB168BF" w14:textId="77777777" w:rsidR="00010638" w:rsidRDefault="00010638">
      <w:pPr>
        <w:pStyle w:val="BodyText"/>
        <w:spacing w:before="11"/>
        <w:ind w:left="0" w:firstLine="0"/>
        <w:rPr>
          <w:sz w:val="23"/>
        </w:rPr>
      </w:pPr>
    </w:p>
    <w:p w14:paraId="4EB168C0" w14:textId="77777777" w:rsidR="00010638" w:rsidRDefault="00460F7A">
      <w:pPr>
        <w:pStyle w:val="ListParagraph"/>
        <w:numPr>
          <w:ilvl w:val="0"/>
          <w:numId w:val="2"/>
        </w:numPr>
        <w:tabs>
          <w:tab w:val="left" w:pos="493"/>
          <w:tab w:val="left" w:pos="494"/>
        </w:tabs>
        <w:bidi/>
        <w:spacing w:before="1"/>
        <w:ind w:hanging="361"/>
        <w:rPr>
          <w:sz w:val="24"/>
          <w:rtl/>
        </w:rPr>
      </w:pPr>
      <w:r>
        <w:rPr>
          <w:rFonts w:hint="cs"/>
          <w:b/>
          <w:sz w:val="24"/>
          <w:rtl/>
        </w:rPr>
        <w:t xml:space="preserve">الإيذاء الجسدي أو الجنسي: </w:t>
      </w:r>
      <w:r>
        <w:rPr>
          <w:rFonts w:hint="cs"/>
          <w:sz w:val="24"/>
          <w:rtl/>
        </w:rPr>
        <w:t>عندما يقوم شخص ما بإيذاء طفل أو إيلامه عن قصد. على سبيل المثال:</w:t>
      </w:r>
    </w:p>
    <w:p w14:paraId="4EB168C1" w14:textId="77777777" w:rsidR="00010638" w:rsidRDefault="00460F7A" w:rsidP="00460F7A">
      <w:pPr>
        <w:pStyle w:val="ListParagraph"/>
        <w:numPr>
          <w:ilvl w:val="1"/>
          <w:numId w:val="2"/>
        </w:numPr>
        <w:tabs>
          <w:tab w:val="left" w:pos="493"/>
          <w:tab w:val="left" w:pos="494"/>
        </w:tabs>
        <w:bidi/>
        <w:spacing w:before="16"/>
        <w:rPr>
          <w:sz w:val="24"/>
          <w:rtl/>
        </w:rPr>
      </w:pPr>
      <w:r>
        <w:rPr>
          <w:rFonts w:hint="cs"/>
          <w:sz w:val="24"/>
          <w:rtl/>
        </w:rPr>
        <w:t>الضرب بالأيدي أو بالقبضات أو بالأشياء.</w:t>
      </w:r>
    </w:p>
    <w:p w14:paraId="4EB168C2" w14:textId="77777777" w:rsidR="00010638" w:rsidRDefault="00460F7A" w:rsidP="00460F7A">
      <w:pPr>
        <w:pStyle w:val="ListParagraph"/>
        <w:numPr>
          <w:ilvl w:val="1"/>
          <w:numId w:val="2"/>
        </w:numPr>
        <w:tabs>
          <w:tab w:val="left" w:pos="493"/>
          <w:tab w:val="left" w:pos="494"/>
        </w:tabs>
        <w:bidi/>
        <w:rPr>
          <w:sz w:val="24"/>
          <w:rtl/>
        </w:rPr>
      </w:pPr>
      <w:r>
        <w:rPr>
          <w:rFonts w:hint="cs"/>
          <w:sz w:val="24"/>
          <w:rtl/>
        </w:rPr>
        <w:t>اللكم أو الصفع أو الهز أو الرمي أو الركل.</w:t>
      </w:r>
    </w:p>
    <w:p w14:paraId="4EB168C3" w14:textId="77777777" w:rsidR="00010638" w:rsidRDefault="00460F7A" w:rsidP="00460F7A">
      <w:pPr>
        <w:pStyle w:val="ListParagraph"/>
        <w:numPr>
          <w:ilvl w:val="1"/>
          <w:numId w:val="2"/>
        </w:numPr>
        <w:tabs>
          <w:tab w:val="left" w:pos="493"/>
          <w:tab w:val="left" w:pos="494"/>
        </w:tabs>
        <w:bidi/>
        <w:rPr>
          <w:sz w:val="24"/>
          <w:rtl/>
        </w:rPr>
      </w:pPr>
      <w:r>
        <w:rPr>
          <w:rFonts w:hint="cs"/>
          <w:sz w:val="24"/>
          <w:rtl/>
        </w:rPr>
        <w:t>العض أو الخدش أو السمط أو الحرق.</w:t>
      </w:r>
    </w:p>
    <w:p w14:paraId="4EB168C4" w14:textId="77777777" w:rsidR="00010638" w:rsidRDefault="00460F7A" w:rsidP="00460F7A">
      <w:pPr>
        <w:pStyle w:val="ListParagraph"/>
        <w:numPr>
          <w:ilvl w:val="1"/>
          <w:numId w:val="2"/>
        </w:numPr>
        <w:tabs>
          <w:tab w:val="left" w:pos="493"/>
          <w:tab w:val="left" w:pos="494"/>
        </w:tabs>
        <w:bidi/>
        <w:spacing w:before="19"/>
        <w:rPr>
          <w:sz w:val="24"/>
          <w:rtl/>
        </w:rPr>
      </w:pPr>
      <w:r>
        <w:rPr>
          <w:rFonts w:hint="cs"/>
          <w:sz w:val="24"/>
          <w:rtl/>
        </w:rPr>
        <w:t>الاعتداء الجنسي أو التحرش الجنسي أو الاغتصاب أو سفاح القربى.</w:t>
      </w:r>
    </w:p>
    <w:p w14:paraId="4EB168C5" w14:textId="77777777" w:rsidR="00010638" w:rsidRDefault="00460F7A" w:rsidP="00460F7A">
      <w:pPr>
        <w:pStyle w:val="ListParagraph"/>
        <w:numPr>
          <w:ilvl w:val="1"/>
          <w:numId w:val="2"/>
        </w:numPr>
        <w:tabs>
          <w:tab w:val="left" w:pos="493"/>
          <w:tab w:val="left" w:pos="494"/>
        </w:tabs>
        <w:bidi/>
        <w:spacing w:before="16"/>
        <w:rPr>
          <w:sz w:val="24"/>
          <w:rtl/>
        </w:rPr>
      </w:pPr>
      <w:r>
        <w:rPr>
          <w:rFonts w:hint="cs"/>
          <w:sz w:val="24"/>
          <w:rtl/>
        </w:rPr>
        <w:t>كسر العظام.</w:t>
      </w:r>
    </w:p>
    <w:p w14:paraId="4EB168C6" w14:textId="77777777" w:rsidR="00010638" w:rsidRDefault="00460F7A" w:rsidP="00460F7A">
      <w:pPr>
        <w:pStyle w:val="ListParagraph"/>
        <w:numPr>
          <w:ilvl w:val="1"/>
          <w:numId w:val="2"/>
        </w:numPr>
        <w:tabs>
          <w:tab w:val="left" w:pos="493"/>
          <w:tab w:val="left" w:pos="494"/>
        </w:tabs>
        <w:bidi/>
        <w:rPr>
          <w:sz w:val="24"/>
          <w:rtl/>
        </w:rPr>
      </w:pPr>
      <w:r>
        <w:rPr>
          <w:rFonts w:hint="cs"/>
          <w:sz w:val="24"/>
          <w:rtl/>
        </w:rPr>
        <w:t>الإغراق أو التسميم.</w:t>
      </w:r>
    </w:p>
    <w:p w14:paraId="4EB168C7" w14:textId="77777777" w:rsidR="00010638" w:rsidRDefault="00010638">
      <w:pPr>
        <w:pStyle w:val="BodyText"/>
        <w:spacing w:before="11"/>
        <w:ind w:left="0" w:firstLine="0"/>
        <w:rPr>
          <w:sz w:val="23"/>
        </w:rPr>
      </w:pPr>
    </w:p>
    <w:p w14:paraId="4EB168C8" w14:textId="77777777" w:rsidR="00010638" w:rsidRDefault="00460F7A">
      <w:pPr>
        <w:pStyle w:val="ListParagraph"/>
        <w:numPr>
          <w:ilvl w:val="0"/>
          <w:numId w:val="2"/>
        </w:numPr>
        <w:tabs>
          <w:tab w:val="left" w:pos="493"/>
          <w:tab w:val="left" w:pos="494"/>
        </w:tabs>
        <w:bidi/>
        <w:spacing w:before="1" w:line="249" w:lineRule="auto"/>
        <w:ind w:right="530"/>
        <w:rPr>
          <w:sz w:val="24"/>
          <w:rtl/>
        </w:rPr>
      </w:pPr>
      <w:r>
        <w:rPr>
          <w:rFonts w:hint="cs"/>
          <w:b/>
          <w:sz w:val="24"/>
          <w:rtl/>
        </w:rPr>
        <w:t xml:space="preserve">الإيذاء العاطفي أو النفسي: </w:t>
      </w:r>
      <w:r>
        <w:rPr>
          <w:rFonts w:hint="cs"/>
          <w:sz w:val="24"/>
          <w:rtl/>
        </w:rPr>
        <w:t>ينطوي على الإيذاء العاطفي المستمر للطفل. قد يكون اكتشافه أكثر صعوبة من اكتشاف الإيذاء المنزلي أو الجسدي.</w:t>
      </w:r>
    </w:p>
    <w:p w14:paraId="4EB168CB" w14:textId="77777777" w:rsidR="00010638" w:rsidRDefault="00460F7A" w:rsidP="00460F7A">
      <w:pPr>
        <w:pStyle w:val="BodyText"/>
        <w:bidi/>
        <w:spacing w:before="51"/>
        <w:rPr>
          <w:rtl/>
        </w:rPr>
      </w:pPr>
      <w:r>
        <w:rPr>
          <w:rFonts w:hint="cs"/>
          <w:rtl/>
        </w:rPr>
        <w:t>تشمل أنواع الإيذاء العاطفي ما يلي:</w:t>
      </w:r>
    </w:p>
    <w:p w14:paraId="4EB168CC" w14:textId="77777777" w:rsidR="00010638" w:rsidRDefault="00460F7A">
      <w:pPr>
        <w:pStyle w:val="ListParagraph"/>
        <w:numPr>
          <w:ilvl w:val="1"/>
          <w:numId w:val="2"/>
        </w:numPr>
        <w:tabs>
          <w:tab w:val="left" w:pos="1559"/>
          <w:tab w:val="left" w:pos="1560"/>
        </w:tabs>
        <w:bidi/>
        <w:rPr>
          <w:sz w:val="24"/>
          <w:rtl/>
        </w:rPr>
      </w:pPr>
      <w:r>
        <w:rPr>
          <w:rFonts w:hint="cs"/>
          <w:sz w:val="24"/>
          <w:rtl/>
        </w:rPr>
        <w:t>التهديد أو الإهانة أو الصراخ أو الانتقاد المستمر.</w:t>
      </w:r>
    </w:p>
    <w:p w14:paraId="4EB168CD" w14:textId="77777777" w:rsidR="00010638" w:rsidRDefault="00460F7A">
      <w:pPr>
        <w:pStyle w:val="ListParagraph"/>
        <w:numPr>
          <w:ilvl w:val="1"/>
          <w:numId w:val="2"/>
        </w:numPr>
        <w:tabs>
          <w:tab w:val="left" w:pos="1559"/>
          <w:tab w:val="left" w:pos="1560"/>
        </w:tabs>
        <w:bidi/>
        <w:rPr>
          <w:sz w:val="24"/>
          <w:rtl/>
        </w:rPr>
      </w:pPr>
      <w:r>
        <w:rPr>
          <w:rFonts w:hint="cs"/>
          <w:sz w:val="24"/>
          <w:rtl/>
        </w:rPr>
        <w:t>إطلاق أسماء ساخرة على الأطفال أو جعلهم موضوعًا للنكات باستمرار.</w:t>
      </w:r>
    </w:p>
    <w:p w14:paraId="4EB168CE" w14:textId="77777777" w:rsidR="00010638" w:rsidRDefault="00460F7A">
      <w:pPr>
        <w:pStyle w:val="ListParagraph"/>
        <w:numPr>
          <w:ilvl w:val="1"/>
          <w:numId w:val="2"/>
        </w:numPr>
        <w:tabs>
          <w:tab w:val="left" w:pos="1559"/>
          <w:tab w:val="left" w:pos="1560"/>
        </w:tabs>
        <w:bidi/>
        <w:spacing w:before="19"/>
        <w:rPr>
          <w:sz w:val="24"/>
          <w:rtl/>
        </w:rPr>
      </w:pPr>
      <w:r>
        <w:rPr>
          <w:rFonts w:hint="cs"/>
          <w:sz w:val="24"/>
          <w:rtl/>
        </w:rPr>
        <w:t>إلقاء اللوم عليهم أو جعلهم كبش فداء أو استخدام السخرية بقصد التسبب في الأذى.</w:t>
      </w:r>
    </w:p>
    <w:p w14:paraId="4EB168CF" w14:textId="77777777" w:rsidR="00010638" w:rsidRDefault="00460F7A">
      <w:pPr>
        <w:pStyle w:val="ListParagraph"/>
        <w:numPr>
          <w:ilvl w:val="1"/>
          <w:numId w:val="2"/>
        </w:numPr>
        <w:tabs>
          <w:tab w:val="left" w:pos="1559"/>
          <w:tab w:val="left" w:pos="1560"/>
        </w:tabs>
        <w:bidi/>
        <w:spacing w:before="16"/>
        <w:rPr>
          <w:sz w:val="24"/>
          <w:rtl/>
        </w:rPr>
      </w:pPr>
      <w:r>
        <w:rPr>
          <w:rFonts w:hint="cs"/>
          <w:sz w:val="24"/>
          <w:rtl/>
        </w:rPr>
        <w:t>دفع الطفل لأكثر مما يطيق أو عدم التعرف على حدوده.</w:t>
      </w:r>
    </w:p>
    <w:p w14:paraId="4EB168D0" w14:textId="77777777" w:rsidR="00010638" w:rsidRDefault="00460F7A">
      <w:pPr>
        <w:pStyle w:val="ListParagraph"/>
        <w:numPr>
          <w:ilvl w:val="1"/>
          <w:numId w:val="2"/>
        </w:numPr>
        <w:tabs>
          <w:tab w:val="left" w:pos="1559"/>
          <w:tab w:val="left" w:pos="1560"/>
        </w:tabs>
        <w:bidi/>
        <w:spacing w:line="249" w:lineRule="auto"/>
        <w:ind w:right="183"/>
        <w:rPr>
          <w:sz w:val="24"/>
          <w:rtl/>
        </w:rPr>
      </w:pPr>
      <w:r>
        <w:rPr>
          <w:rFonts w:hint="cs"/>
          <w:sz w:val="24"/>
          <w:rtl/>
        </w:rPr>
        <w:t>تعريض الطفل لمواقف أو أحداث مزعجة مثل تعاطي المخدرات أو النشاط الجنسي أو الإيذاء/العنف المنزلي.</w:t>
      </w:r>
    </w:p>
    <w:p w14:paraId="4EB168D1" w14:textId="77777777" w:rsidR="00010638" w:rsidRDefault="00460F7A">
      <w:pPr>
        <w:pStyle w:val="ListParagraph"/>
        <w:numPr>
          <w:ilvl w:val="1"/>
          <w:numId w:val="2"/>
        </w:numPr>
        <w:tabs>
          <w:tab w:val="left" w:pos="1559"/>
          <w:tab w:val="left" w:pos="1560"/>
        </w:tabs>
        <w:bidi/>
        <w:spacing w:before="7"/>
        <w:rPr>
          <w:sz w:val="24"/>
          <w:rtl/>
        </w:rPr>
      </w:pPr>
      <w:r>
        <w:rPr>
          <w:rFonts w:hint="cs"/>
          <w:sz w:val="24"/>
          <w:rtl/>
        </w:rPr>
        <w:t>جعل الطفل يقوم بسلوكيات مهينة.</w:t>
      </w:r>
    </w:p>
    <w:p w14:paraId="4EB168D2" w14:textId="77777777" w:rsidR="00010638" w:rsidRDefault="00460F7A">
      <w:pPr>
        <w:pStyle w:val="ListParagraph"/>
        <w:numPr>
          <w:ilvl w:val="1"/>
          <w:numId w:val="2"/>
        </w:numPr>
        <w:tabs>
          <w:tab w:val="left" w:pos="1559"/>
          <w:tab w:val="left" w:pos="1560"/>
        </w:tabs>
        <w:bidi/>
        <w:spacing w:line="249" w:lineRule="auto"/>
        <w:ind w:left="1559" w:right="512"/>
        <w:rPr>
          <w:sz w:val="24"/>
          <w:rtl/>
        </w:rPr>
      </w:pPr>
      <w:r>
        <w:rPr>
          <w:rFonts w:hint="cs"/>
          <w:sz w:val="24"/>
          <w:rtl/>
        </w:rPr>
        <w:t>تجاهل الطفل أو إهماله أو عدم دعم نموه الجسدي والاجتماعي والعاطفي.</w:t>
      </w:r>
    </w:p>
    <w:p w14:paraId="4EB168D3" w14:textId="77777777" w:rsidR="00010638" w:rsidRDefault="00460F7A">
      <w:pPr>
        <w:pStyle w:val="ListParagraph"/>
        <w:numPr>
          <w:ilvl w:val="1"/>
          <w:numId w:val="2"/>
        </w:numPr>
        <w:tabs>
          <w:tab w:val="left" w:pos="1559"/>
          <w:tab w:val="left" w:pos="1560"/>
        </w:tabs>
        <w:bidi/>
        <w:spacing w:before="5" w:line="249" w:lineRule="auto"/>
        <w:ind w:right="451"/>
        <w:rPr>
          <w:sz w:val="24"/>
          <w:rtl/>
        </w:rPr>
      </w:pPr>
      <w:r>
        <w:rPr>
          <w:rFonts w:hint="cs"/>
          <w:sz w:val="24"/>
          <w:rtl/>
        </w:rPr>
        <w:t>رفض السماح للأطفال بتكوين صداقات أو التواصل مع أفراد الأسرة أو البالغين الموثوق بهم.</w:t>
      </w:r>
    </w:p>
    <w:p w14:paraId="4EB168D4" w14:textId="77777777" w:rsidR="00010638" w:rsidRDefault="00460F7A">
      <w:pPr>
        <w:pStyle w:val="ListParagraph"/>
        <w:numPr>
          <w:ilvl w:val="1"/>
          <w:numId w:val="2"/>
        </w:numPr>
        <w:tabs>
          <w:tab w:val="left" w:pos="1559"/>
          <w:tab w:val="left" w:pos="1560"/>
        </w:tabs>
        <w:bidi/>
        <w:spacing w:before="8" w:line="249" w:lineRule="auto"/>
        <w:ind w:right="710"/>
        <w:rPr>
          <w:sz w:val="24"/>
          <w:rtl/>
        </w:rPr>
      </w:pPr>
      <w:r>
        <w:rPr>
          <w:rFonts w:hint="cs"/>
          <w:sz w:val="24"/>
          <w:rtl/>
        </w:rPr>
        <w:t>عدم تقديم أي ردود فعل إيجابية للطفل أو طمأنة أو رعاية أو عاطفة جسدية مناسبة.</w:t>
      </w:r>
    </w:p>
    <w:p w14:paraId="4EB168D5" w14:textId="77777777" w:rsidR="00010638" w:rsidRDefault="00460F7A">
      <w:pPr>
        <w:pStyle w:val="ListParagraph"/>
        <w:numPr>
          <w:ilvl w:val="1"/>
          <w:numId w:val="2"/>
        </w:numPr>
        <w:tabs>
          <w:tab w:val="left" w:pos="1559"/>
          <w:tab w:val="left" w:pos="1560"/>
        </w:tabs>
        <w:bidi/>
        <w:spacing w:before="5"/>
        <w:rPr>
          <w:sz w:val="24"/>
          <w:rtl/>
        </w:rPr>
      </w:pPr>
      <w:r>
        <w:rPr>
          <w:rFonts w:hint="cs"/>
          <w:sz w:val="24"/>
          <w:rtl/>
        </w:rPr>
        <w:t>التنمر العاطفي والتنمر عبر الإنترنت.</w:t>
      </w:r>
    </w:p>
    <w:p w14:paraId="4EB168D6" w14:textId="77777777" w:rsidR="00010638" w:rsidRDefault="00460F7A">
      <w:pPr>
        <w:pStyle w:val="ListParagraph"/>
        <w:numPr>
          <w:ilvl w:val="1"/>
          <w:numId w:val="2"/>
        </w:numPr>
        <w:tabs>
          <w:tab w:val="left" w:pos="1559"/>
          <w:tab w:val="left" w:pos="1560"/>
        </w:tabs>
        <w:bidi/>
        <w:spacing w:before="16" w:line="249" w:lineRule="auto"/>
        <w:ind w:right="109"/>
        <w:rPr>
          <w:sz w:val="24"/>
          <w:rtl/>
        </w:rPr>
      </w:pPr>
      <w:r>
        <w:rPr>
          <w:rFonts w:hint="cs"/>
          <w:sz w:val="24"/>
          <w:rtl/>
        </w:rPr>
        <w:t>تشجيع الطفل على المشاركة في أنشطة غير قانونية بما في ذلك تعاطي المخدرات أو الكحول.</w:t>
      </w:r>
    </w:p>
    <w:p w14:paraId="4EB168D7" w14:textId="77777777" w:rsidR="00010638" w:rsidRDefault="00010638">
      <w:pPr>
        <w:pStyle w:val="BodyText"/>
        <w:spacing w:before="3"/>
        <w:ind w:left="0" w:firstLine="0"/>
        <w:rPr>
          <w:sz w:val="23"/>
        </w:rPr>
      </w:pPr>
    </w:p>
    <w:p w14:paraId="4EB168D8" w14:textId="77777777" w:rsidR="00010638" w:rsidRDefault="00460F7A">
      <w:pPr>
        <w:pStyle w:val="Heading3"/>
        <w:bidi/>
        <w:rPr>
          <w:rtl/>
        </w:rPr>
      </w:pPr>
      <w:r>
        <w:rPr>
          <w:rFonts w:hint="cs"/>
          <w:rtl/>
        </w:rPr>
        <w:t>أشكال أخرى من الإيذاء</w:t>
      </w:r>
    </w:p>
    <w:p w14:paraId="4EB168D9" w14:textId="77777777" w:rsidR="00010638" w:rsidRDefault="00460F7A">
      <w:pPr>
        <w:pStyle w:val="BodyText"/>
        <w:bidi/>
        <w:spacing w:before="24" w:line="249" w:lineRule="auto"/>
        <w:ind w:left="129" w:right="485" w:hanging="10"/>
        <w:rPr>
          <w:rtl/>
        </w:rPr>
      </w:pPr>
      <w:r>
        <w:rPr>
          <w:rFonts w:hint="cs"/>
          <w:rtl/>
        </w:rPr>
        <w:t xml:space="preserve">بالإضافة إلى الأشكال الأساسية الثلاثة للإيذاء، هناك العديد من أنواع الإيذاء الأخرى بما في ذلك الاستغلال الجنسي </w:t>
      </w:r>
      <w:r>
        <w:rPr>
          <w:rFonts w:hint="cs"/>
          <w:rtl/>
        </w:rPr>
        <w:lastRenderedPageBreak/>
        <w:t>والمعاملة بإهمال وسوء المعاملة والتجاهل وشراء أو بيع شخص دون سن 18 عامًا.</w:t>
      </w:r>
    </w:p>
    <w:p w14:paraId="4EB168DA" w14:textId="77777777" w:rsidR="00010638" w:rsidRDefault="00010638">
      <w:pPr>
        <w:pStyle w:val="BodyText"/>
        <w:spacing w:before="7"/>
        <w:ind w:left="0" w:firstLine="0"/>
        <w:rPr>
          <w:sz w:val="26"/>
        </w:rPr>
      </w:pPr>
    </w:p>
    <w:p w14:paraId="4EB168DB" w14:textId="77777777" w:rsidR="00010638" w:rsidRDefault="00460F7A">
      <w:pPr>
        <w:pStyle w:val="Heading2"/>
        <w:bidi/>
        <w:rPr>
          <w:rtl/>
        </w:rPr>
      </w:pPr>
      <w:r>
        <w:rPr>
          <w:rFonts w:hint="cs"/>
          <w:rtl/>
        </w:rPr>
        <w:t>ما هي العلامات الشائعة لإيذاء الأطفال؟</w:t>
      </w:r>
    </w:p>
    <w:p w14:paraId="4EB168DC" w14:textId="77777777" w:rsidR="00010638" w:rsidRDefault="00460F7A">
      <w:pPr>
        <w:pStyle w:val="BodyText"/>
        <w:bidi/>
        <w:spacing w:before="25"/>
        <w:ind w:left="120" w:firstLine="0"/>
        <w:rPr>
          <w:rtl/>
        </w:rPr>
      </w:pPr>
      <w:r>
        <w:rPr>
          <w:rFonts w:hint="cs"/>
          <w:rtl/>
        </w:rPr>
        <w:t>علامات الإيذاء متنوعة، ولا تكون دائمًا مرئية. ويمكن أن تشمل:</w:t>
      </w:r>
    </w:p>
    <w:p w14:paraId="4EB168DD"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الإصابات الجسدية مثل الكدمات أو الجروح أو الحروق التي لا تكون عرضية.</w:t>
      </w:r>
    </w:p>
    <w:p w14:paraId="4EB168DE" w14:textId="77777777" w:rsidR="00010638" w:rsidRDefault="00460F7A">
      <w:pPr>
        <w:pStyle w:val="ListParagraph"/>
        <w:numPr>
          <w:ilvl w:val="0"/>
          <w:numId w:val="1"/>
        </w:numPr>
        <w:tabs>
          <w:tab w:val="left" w:pos="878"/>
          <w:tab w:val="left" w:pos="879"/>
        </w:tabs>
        <w:bidi/>
        <w:spacing w:before="19"/>
        <w:ind w:hanging="414"/>
        <w:rPr>
          <w:sz w:val="24"/>
          <w:rtl/>
        </w:rPr>
      </w:pPr>
      <w:r>
        <w:rPr>
          <w:rFonts w:hint="cs"/>
          <w:sz w:val="24"/>
          <w:rtl/>
        </w:rPr>
        <w:t>الحصر النفسي أو الاكتئاب أو الأفكار أو الخطط أو الإجراءات الانتحارية.</w:t>
      </w:r>
    </w:p>
    <w:p w14:paraId="4EB168DF" w14:textId="77777777" w:rsidR="00010638" w:rsidRDefault="00460F7A">
      <w:pPr>
        <w:pStyle w:val="ListParagraph"/>
        <w:numPr>
          <w:ilvl w:val="0"/>
          <w:numId w:val="1"/>
        </w:numPr>
        <w:tabs>
          <w:tab w:val="left" w:pos="878"/>
          <w:tab w:val="left" w:pos="879"/>
        </w:tabs>
        <w:bidi/>
        <w:spacing w:before="16"/>
        <w:ind w:hanging="414"/>
        <w:rPr>
          <w:sz w:val="24"/>
          <w:rtl/>
        </w:rPr>
      </w:pPr>
      <w:r>
        <w:rPr>
          <w:rFonts w:hint="cs"/>
          <w:sz w:val="24"/>
          <w:rtl/>
        </w:rPr>
        <w:t>الصعوبات الأكاديمية، ومشاكل التركيز، وعدم القدرة على إكمال الواجبات.</w:t>
      </w:r>
    </w:p>
    <w:p w14:paraId="4EB168E0" w14:textId="77777777" w:rsidR="00010638" w:rsidRDefault="00460F7A">
      <w:pPr>
        <w:pStyle w:val="ListParagraph"/>
        <w:numPr>
          <w:ilvl w:val="0"/>
          <w:numId w:val="1"/>
        </w:numPr>
        <w:tabs>
          <w:tab w:val="left" w:pos="878"/>
          <w:tab w:val="left" w:pos="879"/>
        </w:tabs>
        <w:bidi/>
        <w:spacing w:line="249" w:lineRule="auto"/>
        <w:ind w:right="215"/>
        <w:rPr>
          <w:sz w:val="24"/>
          <w:rtl/>
        </w:rPr>
      </w:pPr>
      <w:r>
        <w:rPr>
          <w:rFonts w:hint="cs"/>
          <w:sz w:val="24"/>
          <w:rtl/>
        </w:rPr>
        <w:t>السلوك المعادي للمجتمع مثل نوبات الغضب والشجار والعدوان اللفظي والتخريب والسرقة.</w:t>
      </w:r>
    </w:p>
    <w:p w14:paraId="4EB168E1" w14:textId="77777777" w:rsidR="00010638" w:rsidRDefault="00460F7A">
      <w:pPr>
        <w:pStyle w:val="ListParagraph"/>
        <w:numPr>
          <w:ilvl w:val="0"/>
          <w:numId w:val="1"/>
        </w:numPr>
        <w:tabs>
          <w:tab w:val="left" w:pos="878"/>
          <w:tab w:val="left" w:pos="879"/>
        </w:tabs>
        <w:bidi/>
        <w:spacing w:before="5"/>
        <w:ind w:hanging="414"/>
        <w:rPr>
          <w:sz w:val="24"/>
          <w:rtl/>
        </w:rPr>
      </w:pPr>
      <w:r>
        <w:rPr>
          <w:rFonts w:hint="cs"/>
          <w:sz w:val="24"/>
          <w:rtl/>
        </w:rPr>
        <w:t>التورم أو الكدمات أو العظام المكسورة أو الحروق أو السمطات أو علامات العض أو الندبات.</w:t>
      </w:r>
    </w:p>
    <w:p w14:paraId="4EB168E2" w14:textId="77777777" w:rsidR="00010638" w:rsidRDefault="00460F7A">
      <w:pPr>
        <w:pStyle w:val="ListParagraph"/>
        <w:numPr>
          <w:ilvl w:val="0"/>
          <w:numId w:val="1"/>
        </w:numPr>
        <w:tabs>
          <w:tab w:val="left" w:pos="878"/>
          <w:tab w:val="left" w:pos="879"/>
        </w:tabs>
        <w:bidi/>
        <w:spacing w:before="19"/>
        <w:ind w:hanging="414"/>
        <w:rPr>
          <w:sz w:val="24"/>
          <w:rtl/>
        </w:rPr>
      </w:pPr>
      <w:r>
        <w:rPr>
          <w:rFonts w:hint="cs"/>
          <w:sz w:val="24"/>
          <w:rtl/>
        </w:rPr>
        <w:t>الإصابة بالأمراض بصورة متكررة مثل اضطراب المعدة والصداع ونزلات البرد.</w:t>
      </w:r>
    </w:p>
    <w:p w14:paraId="4EB168E3"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استرعاء الانتباه.</w:t>
      </w:r>
    </w:p>
    <w:p w14:paraId="4EB168E4" w14:textId="77777777" w:rsidR="00010638" w:rsidRDefault="00460F7A">
      <w:pPr>
        <w:pStyle w:val="ListParagraph"/>
        <w:numPr>
          <w:ilvl w:val="0"/>
          <w:numId w:val="1"/>
        </w:numPr>
        <w:tabs>
          <w:tab w:val="left" w:pos="878"/>
          <w:tab w:val="left" w:pos="879"/>
        </w:tabs>
        <w:bidi/>
        <w:spacing w:before="16"/>
        <w:ind w:hanging="414"/>
        <w:rPr>
          <w:sz w:val="24"/>
          <w:rtl/>
        </w:rPr>
      </w:pPr>
      <w:r>
        <w:rPr>
          <w:rFonts w:hint="cs"/>
          <w:sz w:val="24"/>
          <w:rtl/>
        </w:rPr>
        <w:t>التبول في الفراش أو الأرق أو الكوابيس.</w:t>
      </w:r>
    </w:p>
    <w:p w14:paraId="4EB168E5"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الانسحاب الاجتماعي الشديد و/أو عدم القدرة على الكلام.</w:t>
      </w:r>
    </w:p>
    <w:p w14:paraId="4EB168E6" w14:textId="77777777" w:rsidR="00010638" w:rsidRDefault="00460F7A">
      <w:pPr>
        <w:pStyle w:val="ListParagraph"/>
        <w:numPr>
          <w:ilvl w:val="0"/>
          <w:numId w:val="1"/>
        </w:numPr>
        <w:tabs>
          <w:tab w:val="left" w:pos="878"/>
          <w:tab w:val="left" w:pos="879"/>
        </w:tabs>
        <w:bidi/>
        <w:spacing w:before="19"/>
        <w:ind w:hanging="414"/>
        <w:rPr>
          <w:sz w:val="24"/>
          <w:rtl/>
        </w:rPr>
      </w:pPr>
      <w:r>
        <w:rPr>
          <w:rFonts w:hint="cs"/>
          <w:sz w:val="24"/>
          <w:rtl/>
        </w:rPr>
        <w:t>انعدام الثقة بالنفس أو بالغير.</w:t>
      </w:r>
    </w:p>
    <w:p w14:paraId="4EB168E7"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وجود صعوبة في التعامل مع العواطف أو إدارتها بشكل فعال.</w:t>
      </w:r>
    </w:p>
    <w:p w14:paraId="4EB168E8" w14:textId="77777777" w:rsidR="00010638" w:rsidRDefault="00460F7A">
      <w:pPr>
        <w:pStyle w:val="ListParagraph"/>
        <w:numPr>
          <w:ilvl w:val="0"/>
          <w:numId w:val="1"/>
        </w:numPr>
        <w:tabs>
          <w:tab w:val="left" w:pos="878"/>
          <w:tab w:val="left" w:pos="879"/>
        </w:tabs>
        <w:bidi/>
        <w:spacing w:before="16"/>
        <w:ind w:hanging="414"/>
        <w:rPr>
          <w:sz w:val="24"/>
          <w:rtl/>
        </w:rPr>
      </w:pPr>
      <w:r>
        <w:rPr>
          <w:rFonts w:hint="cs"/>
          <w:sz w:val="24"/>
          <w:rtl/>
        </w:rPr>
        <w:t>التصرف بطرق عمرية أكثر شيوعًا لدى الأطفال الأصغر سنًا.</w:t>
      </w:r>
    </w:p>
    <w:p w14:paraId="4EB168E9"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مواجهة صعوبة في بدء العلاقات أو الحفاظ عليها.</w:t>
      </w:r>
    </w:p>
    <w:p w14:paraId="4EB168EA" w14:textId="77777777" w:rsidR="00010638" w:rsidRDefault="00460F7A">
      <w:pPr>
        <w:pStyle w:val="ListParagraph"/>
        <w:numPr>
          <w:ilvl w:val="0"/>
          <w:numId w:val="1"/>
        </w:numPr>
        <w:tabs>
          <w:tab w:val="left" w:pos="878"/>
          <w:tab w:val="left" w:pos="879"/>
        </w:tabs>
        <w:bidi/>
        <w:spacing w:before="19"/>
        <w:ind w:hanging="414"/>
        <w:rPr>
          <w:sz w:val="24"/>
          <w:rtl/>
        </w:rPr>
      </w:pPr>
      <w:r>
        <w:rPr>
          <w:rFonts w:hint="cs"/>
          <w:sz w:val="24"/>
          <w:rtl/>
        </w:rPr>
        <w:t>مشاكل في التنفس أو القيء أو الخمول أو النوبات المرضية.</w:t>
      </w:r>
    </w:p>
    <w:p w14:paraId="4EB168ED" w14:textId="77777777" w:rsidR="00010638" w:rsidRDefault="00460F7A">
      <w:pPr>
        <w:pStyle w:val="ListParagraph"/>
        <w:numPr>
          <w:ilvl w:val="0"/>
          <w:numId w:val="1"/>
        </w:numPr>
        <w:tabs>
          <w:tab w:val="left" w:pos="878"/>
          <w:tab w:val="left" w:pos="879"/>
        </w:tabs>
        <w:bidi/>
        <w:spacing w:before="52"/>
        <w:ind w:hanging="414"/>
        <w:rPr>
          <w:sz w:val="24"/>
          <w:rtl/>
        </w:rPr>
      </w:pPr>
      <w:r>
        <w:rPr>
          <w:rFonts w:hint="cs"/>
          <w:sz w:val="24"/>
          <w:rtl/>
        </w:rPr>
        <w:t>تعاطي المخدرات أو الكحول أو الماريجوانا.</w:t>
      </w:r>
    </w:p>
    <w:p w14:paraId="4EB168EE" w14:textId="77777777" w:rsidR="00010638" w:rsidRDefault="00010638">
      <w:pPr>
        <w:pStyle w:val="BodyText"/>
        <w:spacing w:before="11"/>
        <w:ind w:left="0" w:firstLine="0"/>
        <w:rPr>
          <w:sz w:val="31"/>
        </w:rPr>
      </w:pPr>
    </w:p>
    <w:p w14:paraId="4EB168EF" w14:textId="77777777" w:rsidR="00010638" w:rsidRDefault="00460F7A">
      <w:pPr>
        <w:pStyle w:val="Heading2"/>
        <w:bidi/>
        <w:rPr>
          <w:rtl/>
        </w:rPr>
      </w:pPr>
      <w:r>
        <w:rPr>
          <w:rFonts w:hint="cs"/>
          <w:rtl/>
        </w:rPr>
        <w:t>ماذا تفعل إذا أفصح طفل أو مراهق عن تعرضه للإيذاء؟</w:t>
      </w:r>
    </w:p>
    <w:p w14:paraId="4EB168F0" w14:textId="77777777" w:rsidR="00010638" w:rsidRDefault="00460F7A">
      <w:pPr>
        <w:pStyle w:val="BodyText"/>
        <w:bidi/>
        <w:spacing w:before="25"/>
        <w:ind w:left="120" w:firstLine="0"/>
        <w:rPr>
          <w:rtl/>
        </w:rPr>
      </w:pPr>
      <w:r>
        <w:rPr>
          <w:rFonts w:hint="cs"/>
          <w:rtl/>
        </w:rPr>
        <w:t>إذا كشف طفل أو مراهق أنه يتعرض للإيذاء، فمن المهم أن:</w:t>
      </w:r>
    </w:p>
    <w:p w14:paraId="4EB168F1" w14:textId="77777777" w:rsidR="00010638" w:rsidRDefault="00460F7A">
      <w:pPr>
        <w:pStyle w:val="ListParagraph"/>
        <w:numPr>
          <w:ilvl w:val="0"/>
          <w:numId w:val="1"/>
        </w:numPr>
        <w:tabs>
          <w:tab w:val="left" w:pos="878"/>
          <w:tab w:val="left" w:pos="879"/>
        </w:tabs>
        <w:bidi/>
        <w:spacing w:line="249" w:lineRule="auto"/>
        <w:ind w:right="487"/>
        <w:rPr>
          <w:sz w:val="24"/>
          <w:rtl/>
        </w:rPr>
      </w:pPr>
      <w:r>
        <w:rPr>
          <w:rFonts w:hint="cs"/>
          <w:sz w:val="24"/>
          <w:rtl/>
        </w:rPr>
        <w:t>تكون واعيًا بكلماتك وأفعالك ولغة جسدك حتى لا يصدر عنك حكم أو إبطال أو طرد أو انزعاج شديد.</w:t>
      </w:r>
    </w:p>
    <w:p w14:paraId="4EB168F2" w14:textId="77777777" w:rsidR="00010638" w:rsidRDefault="00460F7A">
      <w:pPr>
        <w:pStyle w:val="ListParagraph"/>
        <w:numPr>
          <w:ilvl w:val="0"/>
          <w:numId w:val="1"/>
        </w:numPr>
        <w:tabs>
          <w:tab w:val="left" w:pos="878"/>
          <w:tab w:val="left" w:pos="879"/>
        </w:tabs>
        <w:bidi/>
        <w:spacing w:before="5"/>
        <w:ind w:hanging="414"/>
        <w:rPr>
          <w:sz w:val="24"/>
          <w:rtl/>
        </w:rPr>
      </w:pPr>
      <w:r>
        <w:rPr>
          <w:rFonts w:hint="cs"/>
          <w:sz w:val="24"/>
          <w:rtl/>
        </w:rPr>
        <w:t>تستمع بعناية شديدة وانتباه إلى ما يقوله.</w:t>
      </w:r>
    </w:p>
    <w:p w14:paraId="4EB168F3" w14:textId="77777777" w:rsidR="00010638" w:rsidRDefault="00460F7A">
      <w:pPr>
        <w:pStyle w:val="ListParagraph"/>
        <w:numPr>
          <w:ilvl w:val="0"/>
          <w:numId w:val="1"/>
        </w:numPr>
        <w:tabs>
          <w:tab w:val="left" w:pos="878"/>
          <w:tab w:val="left" w:pos="879"/>
        </w:tabs>
        <w:bidi/>
        <w:spacing w:before="16"/>
        <w:ind w:hanging="414"/>
        <w:rPr>
          <w:sz w:val="24"/>
          <w:rtl/>
        </w:rPr>
      </w:pPr>
      <w:r>
        <w:rPr>
          <w:rFonts w:hint="cs"/>
          <w:sz w:val="24"/>
          <w:rtl/>
        </w:rPr>
        <w:t>تؤكد له أنك تأخذ قصته على محمل الجد.</w:t>
      </w:r>
    </w:p>
    <w:p w14:paraId="4EB168F4" w14:textId="77777777" w:rsidR="00010638" w:rsidRDefault="00460F7A">
      <w:pPr>
        <w:pStyle w:val="ListParagraph"/>
        <w:numPr>
          <w:ilvl w:val="0"/>
          <w:numId w:val="1"/>
        </w:numPr>
        <w:tabs>
          <w:tab w:val="left" w:pos="878"/>
          <w:tab w:val="left" w:pos="879"/>
        </w:tabs>
        <w:bidi/>
        <w:spacing w:before="19"/>
        <w:ind w:hanging="414"/>
        <w:rPr>
          <w:sz w:val="24"/>
          <w:rtl/>
        </w:rPr>
      </w:pPr>
      <w:r>
        <w:rPr>
          <w:rFonts w:hint="cs"/>
          <w:sz w:val="24"/>
          <w:rtl/>
        </w:rPr>
        <w:t>تدعه يعرف أن إخبارك هو الشيء الصحيح الذي كان يجب عليه عمله.</w:t>
      </w:r>
    </w:p>
    <w:p w14:paraId="4EB168F5"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تخبره أن هذا ليس خطأه.</w:t>
      </w:r>
    </w:p>
    <w:p w14:paraId="4EB168F6"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تشرح ما ستفعله بعد ذلك.</w:t>
      </w:r>
    </w:p>
    <w:p w14:paraId="4EB168F7" w14:textId="77777777" w:rsidR="00010638" w:rsidRDefault="00460F7A">
      <w:pPr>
        <w:pStyle w:val="ListParagraph"/>
        <w:numPr>
          <w:ilvl w:val="0"/>
          <w:numId w:val="1"/>
        </w:numPr>
        <w:tabs>
          <w:tab w:val="left" w:pos="878"/>
          <w:tab w:val="left" w:pos="879"/>
        </w:tabs>
        <w:bidi/>
        <w:spacing w:before="16"/>
        <w:ind w:hanging="414"/>
        <w:rPr>
          <w:sz w:val="24"/>
          <w:rtl/>
        </w:rPr>
      </w:pPr>
      <w:r>
        <w:rPr>
          <w:rFonts w:hint="cs"/>
          <w:sz w:val="24"/>
          <w:rtl/>
        </w:rPr>
        <w:t>تبلغ عما قاله لك الطفل في أسرع وقت ممكن.</w:t>
      </w:r>
    </w:p>
    <w:p w14:paraId="4EB168F8" w14:textId="77777777" w:rsidR="00010638" w:rsidRDefault="00460F7A">
      <w:pPr>
        <w:pStyle w:val="ListParagraph"/>
        <w:numPr>
          <w:ilvl w:val="0"/>
          <w:numId w:val="1"/>
        </w:numPr>
        <w:tabs>
          <w:tab w:val="left" w:pos="878"/>
          <w:tab w:val="left" w:pos="879"/>
        </w:tabs>
        <w:bidi/>
        <w:spacing w:before="19"/>
        <w:ind w:hanging="414"/>
        <w:rPr>
          <w:sz w:val="24"/>
          <w:rtl/>
        </w:rPr>
      </w:pPr>
      <w:r>
        <w:rPr>
          <w:rFonts w:hint="cs"/>
          <w:sz w:val="24"/>
          <w:rtl/>
        </w:rPr>
        <w:t>ألا تواجه المعتدي (المعتدين) المزعوم.</w:t>
      </w:r>
    </w:p>
    <w:p w14:paraId="4EB168F9"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تطلب دعم الأقران والدعم الاجتماعي إذا كنت بحاجة إلى مناقشة تجربتك بسرية.</w:t>
      </w:r>
    </w:p>
    <w:p w14:paraId="4EB168FA" w14:textId="77777777" w:rsidR="00010638" w:rsidRDefault="00010638">
      <w:pPr>
        <w:pStyle w:val="BodyText"/>
        <w:spacing w:before="9"/>
        <w:ind w:left="0" w:firstLine="0"/>
        <w:rPr>
          <w:sz w:val="23"/>
        </w:rPr>
      </w:pPr>
    </w:p>
    <w:p w14:paraId="4EB168FB" w14:textId="6781C6CB" w:rsidR="00010638" w:rsidRDefault="00460F7A">
      <w:pPr>
        <w:pStyle w:val="BodyText"/>
        <w:bidi/>
        <w:spacing w:before="0"/>
        <w:ind w:left="120" w:firstLine="0"/>
        <w:rPr>
          <w:rtl/>
        </w:rPr>
      </w:pPr>
      <w:r>
        <w:rPr>
          <w:rFonts w:hint="cs"/>
          <w:rtl/>
        </w:rPr>
        <w:t>تذكر أنه ليس عليك إثبات حدوث إيذاء.</w:t>
      </w:r>
    </w:p>
    <w:p w14:paraId="4EB168FC" w14:textId="77777777" w:rsidR="00010638" w:rsidRDefault="00010638">
      <w:pPr>
        <w:pStyle w:val="BodyText"/>
        <w:spacing w:before="0"/>
        <w:ind w:left="0" w:firstLine="0"/>
      </w:pPr>
    </w:p>
    <w:p w14:paraId="4EB168FD" w14:textId="77777777" w:rsidR="00010638" w:rsidRDefault="00460F7A">
      <w:pPr>
        <w:pStyle w:val="Heading3"/>
        <w:bidi/>
        <w:rPr>
          <w:rtl/>
        </w:rPr>
      </w:pPr>
      <w:r>
        <w:rPr>
          <w:rFonts w:hint="cs"/>
          <w:rtl/>
        </w:rPr>
        <w:t>بمن يجب أن تتصل</w:t>
      </w:r>
    </w:p>
    <w:p w14:paraId="4EB168FE" w14:textId="77777777" w:rsidR="00010638" w:rsidRDefault="00460F7A">
      <w:pPr>
        <w:pStyle w:val="ListParagraph"/>
        <w:numPr>
          <w:ilvl w:val="0"/>
          <w:numId w:val="1"/>
        </w:numPr>
        <w:tabs>
          <w:tab w:val="left" w:pos="878"/>
          <w:tab w:val="left" w:pos="879"/>
        </w:tabs>
        <w:bidi/>
        <w:spacing w:before="24"/>
        <w:ind w:hanging="414"/>
        <w:rPr>
          <w:sz w:val="24"/>
          <w:rtl/>
        </w:rPr>
      </w:pPr>
      <w:r>
        <w:rPr>
          <w:rFonts w:hint="cs"/>
          <w:sz w:val="24"/>
          <w:rtl/>
        </w:rPr>
        <w:t>إذا كنت تعتقد أن شخصًا ما قد تعرض للإيذاء، أو أنه في خطر، فاتصل برقم 911 على الفور.</w:t>
      </w:r>
    </w:p>
    <w:p w14:paraId="4EB168FF" w14:textId="77777777" w:rsidR="00010638" w:rsidRDefault="00460F7A">
      <w:pPr>
        <w:pStyle w:val="ListParagraph"/>
        <w:numPr>
          <w:ilvl w:val="0"/>
          <w:numId w:val="1"/>
        </w:numPr>
        <w:tabs>
          <w:tab w:val="left" w:pos="878"/>
          <w:tab w:val="left" w:pos="879"/>
        </w:tabs>
        <w:bidi/>
        <w:ind w:hanging="414"/>
        <w:rPr>
          <w:sz w:val="24"/>
          <w:rtl/>
        </w:rPr>
      </w:pPr>
      <w:r>
        <w:rPr>
          <w:rFonts w:hint="cs"/>
          <w:sz w:val="24"/>
          <w:rtl/>
        </w:rPr>
        <w:t>اتصل بخط المساعدة المجاني التابع لإدارة الخدمات الإنسانية بولاية أوريجون على رقم 855-503-7233.</w:t>
      </w:r>
    </w:p>
    <w:p w14:paraId="4EB16900" w14:textId="77777777" w:rsidR="00010638" w:rsidRDefault="00460F7A">
      <w:pPr>
        <w:pStyle w:val="ListParagraph"/>
        <w:numPr>
          <w:ilvl w:val="0"/>
          <w:numId w:val="1"/>
        </w:numPr>
        <w:tabs>
          <w:tab w:val="left" w:pos="878"/>
          <w:tab w:val="left" w:pos="879"/>
        </w:tabs>
        <w:bidi/>
        <w:spacing w:before="16" w:line="249" w:lineRule="auto"/>
        <w:ind w:right="444"/>
        <w:rPr>
          <w:sz w:val="24"/>
          <w:rtl/>
        </w:rPr>
      </w:pPr>
      <w:r>
        <w:rPr>
          <w:rFonts w:hint="cs"/>
          <w:sz w:val="24"/>
          <w:rtl/>
        </w:rPr>
        <w:t>قم بالإبلاغ عن إيذاء الأطفال إلى المكتب المحلي التابع لإدارة الخدمات الإنسانية (</w:t>
      </w:r>
      <w:r>
        <w:rPr>
          <w:sz w:val="24"/>
        </w:rPr>
        <w:t>DHS)</w:t>
      </w:r>
      <w:r>
        <w:rPr>
          <w:rFonts w:hint="cs"/>
          <w:sz w:val="24"/>
          <w:rtl/>
        </w:rPr>
        <w:t>، أو قسم الشرطة المحلي، أو شرطة ولاية أوريجون، أو عمدة المقاطعة، أو قسم الأحداث بالمقاطعة.</w:t>
      </w:r>
    </w:p>
    <w:p w14:paraId="4EB16901" w14:textId="77777777" w:rsidR="00010638" w:rsidRDefault="00010638">
      <w:pPr>
        <w:pStyle w:val="BodyText"/>
        <w:spacing w:before="10"/>
        <w:ind w:left="0" w:firstLine="0"/>
        <w:rPr>
          <w:sz w:val="26"/>
        </w:rPr>
      </w:pPr>
    </w:p>
    <w:p w14:paraId="4EB16902" w14:textId="77777777" w:rsidR="00010638" w:rsidRDefault="00460F7A">
      <w:pPr>
        <w:pStyle w:val="Heading2"/>
        <w:bidi/>
        <w:rPr>
          <w:rtl/>
        </w:rPr>
      </w:pPr>
      <w:r>
        <w:rPr>
          <w:rFonts w:hint="cs"/>
          <w:rtl/>
        </w:rPr>
        <w:t>الموارد</w:t>
      </w:r>
    </w:p>
    <w:p w14:paraId="4EB16903" w14:textId="77777777" w:rsidR="00010638" w:rsidRDefault="00010638">
      <w:pPr>
        <w:pStyle w:val="BodyText"/>
        <w:spacing w:before="5"/>
        <w:ind w:left="0" w:firstLine="0"/>
        <w:rPr>
          <w:b/>
          <w:sz w:val="26"/>
        </w:rPr>
      </w:pPr>
    </w:p>
    <w:p w14:paraId="4EB16905" w14:textId="4CA03B98" w:rsidR="00010638" w:rsidRDefault="00000000" w:rsidP="00460F7A">
      <w:pPr>
        <w:pStyle w:val="ListParagraph"/>
        <w:numPr>
          <w:ilvl w:val="0"/>
          <w:numId w:val="1"/>
        </w:numPr>
        <w:tabs>
          <w:tab w:val="left" w:pos="878"/>
          <w:tab w:val="left" w:pos="879"/>
        </w:tabs>
        <w:bidi/>
        <w:spacing w:before="0" w:line="252" w:lineRule="auto"/>
        <w:ind w:right="1097"/>
        <w:rPr>
          <w:rtl/>
        </w:rPr>
      </w:pPr>
      <w:hyperlink r:id="rId9">
        <w:r w:rsidR="00460F7A">
          <w:rPr>
            <w:rFonts w:hint="cs"/>
            <w:color w:val="0000FF"/>
            <w:sz w:val="24"/>
            <w:u w:val="single" w:color="0000FF"/>
            <w:rtl/>
          </w:rPr>
          <w:t xml:space="preserve"> ماذا يمكنك أن تفعل بشأن إيذاء الأطفال؟</w:t>
        </w:r>
      </w:hyperlink>
      <w:r w:rsidR="00460F7A">
        <w:rPr>
          <w:rFonts w:hint="cs"/>
          <w:sz w:val="24"/>
          <w:rtl/>
        </w:rPr>
        <w:t>- دليل من إدارة الخدمات الصحية في ولاية أوريجون.</w:t>
      </w:r>
    </w:p>
    <w:p w14:paraId="4EB16906" w14:textId="77777777" w:rsidR="00010638" w:rsidRDefault="00000000">
      <w:pPr>
        <w:pStyle w:val="ListParagraph"/>
        <w:numPr>
          <w:ilvl w:val="0"/>
          <w:numId w:val="1"/>
        </w:numPr>
        <w:tabs>
          <w:tab w:val="left" w:pos="878"/>
          <w:tab w:val="left" w:pos="879"/>
        </w:tabs>
        <w:bidi/>
        <w:ind w:hanging="414"/>
        <w:rPr>
          <w:sz w:val="24"/>
          <w:rtl/>
        </w:rPr>
      </w:pPr>
      <w:hyperlink r:id="rId10">
        <w:r w:rsidR="00460F7A">
          <w:rPr>
            <w:rFonts w:hint="cs"/>
            <w:color w:val="0000FF"/>
            <w:sz w:val="24"/>
            <w:u w:val="single" w:color="0000FF"/>
            <w:rtl/>
          </w:rPr>
          <w:t>.الأسئلة الشائعة حول الإبلاغ الإلزامي في ولاية أوريجون</w:t>
        </w:r>
      </w:hyperlink>
    </w:p>
    <w:sectPr w:rsidR="00010638">
      <w:headerReference w:type="default" r:id="rId11"/>
      <w:pgSz w:w="12240" w:h="15840"/>
      <w:pgMar w:top="1820" w:right="1380" w:bottom="1200" w:left="1320" w:header="505"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E680" w14:textId="77777777" w:rsidR="00DB2EEC" w:rsidRDefault="00DB2EEC">
      <w:r>
        <w:separator/>
      </w:r>
    </w:p>
  </w:endnote>
  <w:endnote w:type="continuationSeparator" w:id="0">
    <w:p w14:paraId="7DDB7A62" w14:textId="77777777" w:rsidR="00DB2EEC" w:rsidRDefault="00DB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F57A" w14:textId="77777777" w:rsidR="00DB2EEC" w:rsidRDefault="00DB2EEC">
      <w:r>
        <w:separator/>
      </w:r>
    </w:p>
  </w:footnote>
  <w:footnote w:type="continuationSeparator" w:id="0">
    <w:p w14:paraId="3C1B0CFA" w14:textId="77777777" w:rsidR="00DB2EEC" w:rsidRDefault="00DB2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1B33" w14:textId="0047E3EC" w:rsidR="00460F7A" w:rsidRDefault="00460F7A">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ED4"/>
    <w:multiLevelType w:val="hybridMultilevel"/>
    <w:tmpl w:val="6AF80A08"/>
    <w:lvl w:ilvl="0" w:tplc="34283C14">
      <w:numFmt w:val="bullet"/>
      <w:lvlText w:val="•"/>
      <w:lvlJc w:val="left"/>
      <w:pPr>
        <w:ind w:left="878" w:hanging="413"/>
      </w:pPr>
      <w:rPr>
        <w:rFonts w:ascii="Arial" w:eastAsia="Arial" w:hAnsi="Arial" w:cs="Arial" w:hint="default"/>
        <w:w w:val="99"/>
        <w:sz w:val="20"/>
        <w:szCs w:val="20"/>
        <w:lang w:val="en-US" w:eastAsia="en-US" w:bidi="en-US"/>
      </w:rPr>
    </w:lvl>
    <w:lvl w:ilvl="1" w:tplc="3AC29C3E">
      <w:numFmt w:val="bullet"/>
      <w:lvlText w:val="•"/>
      <w:lvlJc w:val="left"/>
      <w:pPr>
        <w:ind w:left="1746" w:hanging="413"/>
      </w:pPr>
      <w:rPr>
        <w:rFonts w:hint="default"/>
        <w:lang w:val="en-US" w:eastAsia="en-US" w:bidi="en-US"/>
      </w:rPr>
    </w:lvl>
    <w:lvl w:ilvl="2" w:tplc="9DB494D0">
      <w:numFmt w:val="bullet"/>
      <w:lvlText w:val="•"/>
      <w:lvlJc w:val="left"/>
      <w:pPr>
        <w:ind w:left="2612" w:hanging="413"/>
      </w:pPr>
      <w:rPr>
        <w:rFonts w:hint="default"/>
        <w:lang w:val="en-US" w:eastAsia="en-US" w:bidi="en-US"/>
      </w:rPr>
    </w:lvl>
    <w:lvl w:ilvl="3" w:tplc="5DA636FE">
      <w:numFmt w:val="bullet"/>
      <w:lvlText w:val="•"/>
      <w:lvlJc w:val="left"/>
      <w:pPr>
        <w:ind w:left="3478" w:hanging="413"/>
      </w:pPr>
      <w:rPr>
        <w:rFonts w:hint="default"/>
        <w:lang w:val="en-US" w:eastAsia="en-US" w:bidi="en-US"/>
      </w:rPr>
    </w:lvl>
    <w:lvl w:ilvl="4" w:tplc="3D5EC9D0">
      <w:numFmt w:val="bullet"/>
      <w:lvlText w:val="•"/>
      <w:lvlJc w:val="left"/>
      <w:pPr>
        <w:ind w:left="4344" w:hanging="413"/>
      </w:pPr>
      <w:rPr>
        <w:rFonts w:hint="default"/>
        <w:lang w:val="en-US" w:eastAsia="en-US" w:bidi="en-US"/>
      </w:rPr>
    </w:lvl>
    <w:lvl w:ilvl="5" w:tplc="E514B0D6">
      <w:numFmt w:val="bullet"/>
      <w:lvlText w:val="•"/>
      <w:lvlJc w:val="left"/>
      <w:pPr>
        <w:ind w:left="5210" w:hanging="413"/>
      </w:pPr>
      <w:rPr>
        <w:rFonts w:hint="default"/>
        <w:lang w:val="en-US" w:eastAsia="en-US" w:bidi="en-US"/>
      </w:rPr>
    </w:lvl>
    <w:lvl w:ilvl="6" w:tplc="8CCCD54E">
      <w:numFmt w:val="bullet"/>
      <w:lvlText w:val="•"/>
      <w:lvlJc w:val="left"/>
      <w:pPr>
        <w:ind w:left="6076" w:hanging="413"/>
      </w:pPr>
      <w:rPr>
        <w:rFonts w:hint="default"/>
        <w:lang w:val="en-US" w:eastAsia="en-US" w:bidi="en-US"/>
      </w:rPr>
    </w:lvl>
    <w:lvl w:ilvl="7" w:tplc="96DC0F7E">
      <w:numFmt w:val="bullet"/>
      <w:lvlText w:val="•"/>
      <w:lvlJc w:val="left"/>
      <w:pPr>
        <w:ind w:left="6942" w:hanging="413"/>
      </w:pPr>
      <w:rPr>
        <w:rFonts w:hint="default"/>
        <w:lang w:val="en-US" w:eastAsia="en-US" w:bidi="en-US"/>
      </w:rPr>
    </w:lvl>
    <w:lvl w:ilvl="8" w:tplc="BD4234C6">
      <w:numFmt w:val="bullet"/>
      <w:lvlText w:val="•"/>
      <w:lvlJc w:val="left"/>
      <w:pPr>
        <w:ind w:left="7808" w:hanging="413"/>
      </w:pPr>
      <w:rPr>
        <w:rFonts w:hint="default"/>
        <w:lang w:val="en-US" w:eastAsia="en-US" w:bidi="en-US"/>
      </w:rPr>
    </w:lvl>
  </w:abstractNum>
  <w:abstractNum w:abstractNumId="1" w15:restartNumberingAfterBreak="0">
    <w:nsid w:val="28057C04"/>
    <w:multiLevelType w:val="hybridMultilevel"/>
    <w:tmpl w:val="D842ED88"/>
    <w:lvl w:ilvl="0" w:tplc="37F07A04">
      <w:numFmt w:val="bullet"/>
      <w:lvlText w:val="•"/>
      <w:lvlJc w:val="left"/>
      <w:pPr>
        <w:ind w:left="493" w:hanging="360"/>
      </w:pPr>
      <w:rPr>
        <w:rFonts w:ascii="Arial" w:eastAsia="Arial" w:hAnsi="Arial" w:cs="Arial" w:hint="default"/>
        <w:w w:val="99"/>
        <w:sz w:val="20"/>
        <w:szCs w:val="20"/>
        <w:lang w:val="en-US" w:eastAsia="en-US" w:bidi="en-US"/>
      </w:rPr>
    </w:lvl>
    <w:lvl w:ilvl="1" w:tplc="7974D9D6">
      <w:numFmt w:val="bullet"/>
      <w:lvlText w:val="o"/>
      <w:lvlJc w:val="left"/>
      <w:pPr>
        <w:ind w:left="1560" w:hanging="360"/>
      </w:pPr>
      <w:rPr>
        <w:rFonts w:ascii="Courier New" w:eastAsia="Courier New" w:hAnsi="Courier New" w:cs="Courier New" w:hint="default"/>
        <w:w w:val="99"/>
        <w:sz w:val="20"/>
        <w:szCs w:val="20"/>
        <w:lang w:val="en-US" w:eastAsia="en-US" w:bidi="en-US"/>
      </w:rPr>
    </w:lvl>
    <w:lvl w:ilvl="2" w:tplc="83C0FD76">
      <w:numFmt w:val="bullet"/>
      <w:lvlText w:val="•"/>
      <w:lvlJc w:val="left"/>
      <w:pPr>
        <w:ind w:left="2446" w:hanging="360"/>
      </w:pPr>
      <w:rPr>
        <w:rFonts w:hint="default"/>
        <w:lang w:val="en-US" w:eastAsia="en-US" w:bidi="en-US"/>
      </w:rPr>
    </w:lvl>
    <w:lvl w:ilvl="3" w:tplc="56767824">
      <w:numFmt w:val="bullet"/>
      <w:lvlText w:val="•"/>
      <w:lvlJc w:val="left"/>
      <w:pPr>
        <w:ind w:left="3333" w:hanging="360"/>
      </w:pPr>
      <w:rPr>
        <w:rFonts w:hint="default"/>
        <w:lang w:val="en-US" w:eastAsia="en-US" w:bidi="en-US"/>
      </w:rPr>
    </w:lvl>
    <w:lvl w:ilvl="4" w:tplc="7CB0FAE4">
      <w:numFmt w:val="bullet"/>
      <w:lvlText w:val="•"/>
      <w:lvlJc w:val="left"/>
      <w:pPr>
        <w:ind w:left="4220" w:hanging="360"/>
      </w:pPr>
      <w:rPr>
        <w:rFonts w:hint="default"/>
        <w:lang w:val="en-US" w:eastAsia="en-US" w:bidi="en-US"/>
      </w:rPr>
    </w:lvl>
    <w:lvl w:ilvl="5" w:tplc="9A6CBA4A">
      <w:numFmt w:val="bullet"/>
      <w:lvlText w:val="•"/>
      <w:lvlJc w:val="left"/>
      <w:pPr>
        <w:ind w:left="5106" w:hanging="360"/>
      </w:pPr>
      <w:rPr>
        <w:rFonts w:hint="default"/>
        <w:lang w:val="en-US" w:eastAsia="en-US" w:bidi="en-US"/>
      </w:rPr>
    </w:lvl>
    <w:lvl w:ilvl="6" w:tplc="5232CFEA">
      <w:numFmt w:val="bullet"/>
      <w:lvlText w:val="•"/>
      <w:lvlJc w:val="left"/>
      <w:pPr>
        <w:ind w:left="5993" w:hanging="360"/>
      </w:pPr>
      <w:rPr>
        <w:rFonts w:hint="default"/>
        <w:lang w:val="en-US" w:eastAsia="en-US" w:bidi="en-US"/>
      </w:rPr>
    </w:lvl>
    <w:lvl w:ilvl="7" w:tplc="F88A7A2C">
      <w:numFmt w:val="bullet"/>
      <w:lvlText w:val="•"/>
      <w:lvlJc w:val="left"/>
      <w:pPr>
        <w:ind w:left="6880" w:hanging="360"/>
      </w:pPr>
      <w:rPr>
        <w:rFonts w:hint="default"/>
        <w:lang w:val="en-US" w:eastAsia="en-US" w:bidi="en-US"/>
      </w:rPr>
    </w:lvl>
    <w:lvl w:ilvl="8" w:tplc="630664D0">
      <w:numFmt w:val="bullet"/>
      <w:lvlText w:val="•"/>
      <w:lvlJc w:val="left"/>
      <w:pPr>
        <w:ind w:left="7766" w:hanging="360"/>
      </w:pPr>
      <w:rPr>
        <w:rFonts w:hint="default"/>
        <w:lang w:val="en-US" w:eastAsia="en-US" w:bidi="en-US"/>
      </w:rPr>
    </w:lvl>
  </w:abstractNum>
  <w:num w:numId="1" w16cid:durableId="1169636072">
    <w:abstractNumId w:val="0"/>
  </w:num>
  <w:num w:numId="2" w16cid:durableId="189242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38"/>
    <w:rsid w:val="00010638"/>
    <w:rsid w:val="00271E6D"/>
    <w:rsid w:val="00460F7A"/>
    <w:rsid w:val="00677A49"/>
    <w:rsid w:val="00B1046E"/>
    <w:rsid w:val="00BB4CD6"/>
    <w:rsid w:val="00DB2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68B1"/>
  <w15:docId w15:val="{6E5B92D8-505C-4808-9313-53FBD1E6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105"/>
      <w:outlineLvl w:val="1"/>
    </w:pPr>
    <w:rPr>
      <w:b/>
      <w:bCs/>
      <w:sz w:val="28"/>
      <w:szCs w:val="28"/>
    </w:rPr>
  </w:style>
  <w:style w:type="paragraph" w:styleId="Heading3">
    <w:name w:val="heading 3"/>
    <w:basedOn w:val="Normal"/>
    <w:uiPriority w:val="9"/>
    <w:unhideWhenUsed/>
    <w:qFormat/>
    <w:pPr>
      <w:ind w:left="10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878" w:hanging="414"/>
    </w:pPr>
    <w:rPr>
      <w:sz w:val="24"/>
      <w:szCs w:val="24"/>
    </w:rPr>
  </w:style>
  <w:style w:type="paragraph" w:styleId="ListParagraph">
    <w:name w:val="List Paragraph"/>
    <w:basedOn w:val="Normal"/>
    <w:uiPriority w:val="1"/>
    <w:qFormat/>
    <w:pPr>
      <w:spacing w:before="17"/>
      <w:ind w:left="878" w:hanging="4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0F7A"/>
    <w:pPr>
      <w:tabs>
        <w:tab w:val="center" w:pos="4680"/>
        <w:tab w:val="right" w:pos="9360"/>
      </w:tabs>
    </w:pPr>
  </w:style>
  <w:style w:type="character" w:customStyle="1" w:styleId="HeaderChar">
    <w:name w:val="Header Char"/>
    <w:basedOn w:val="DefaultParagraphFont"/>
    <w:link w:val="Header"/>
    <w:uiPriority w:val="99"/>
    <w:rsid w:val="00460F7A"/>
    <w:rPr>
      <w:rFonts w:ascii="Calibri" w:eastAsia="Calibri" w:hAnsi="Calibri" w:cs="Calibri"/>
      <w:lang w:bidi="ar-EG"/>
    </w:rPr>
  </w:style>
  <w:style w:type="paragraph" w:styleId="Footer">
    <w:name w:val="footer"/>
    <w:basedOn w:val="Normal"/>
    <w:link w:val="FooterChar"/>
    <w:uiPriority w:val="99"/>
    <w:unhideWhenUsed/>
    <w:rsid w:val="00460F7A"/>
    <w:pPr>
      <w:tabs>
        <w:tab w:val="center" w:pos="4680"/>
        <w:tab w:val="right" w:pos="9360"/>
      </w:tabs>
    </w:pPr>
  </w:style>
  <w:style w:type="character" w:customStyle="1" w:styleId="FooterChar">
    <w:name w:val="Footer Char"/>
    <w:basedOn w:val="DefaultParagraphFont"/>
    <w:link w:val="Footer"/>
    <w:uiPriority w:val="99"/>
    <w:rsid w:val="00460F7A"/>
    <w:rPr>
      <w:rFonts w:ascii="Calibri" w:eastAsia="Calibri" w:hAnsi="Calibri" w:cs="Calibr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spcc.org.uk/what-is-child-abuse/types-of-ab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DHS/ABUSE/Pages/mandatory_report.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regonmetro.gov/sites/default/files/2018/11/02/employee-policies-COO-MERC-mandatory-reporting-FAQ-OMA-01212014.pdf" TargetMode="External"/><Relationship Id="rId4" Type="http://schemas.openxmlformats.org/officeDocument/2006/relationships/webSettings" Target="webSettings.xml"/><Relationship Id="rId9" Type="http://schemas.openxmlformats.org/officeDocument/2006/relationships/hyperlink" Target="https://sharedsystems.dhsoha.state.or.us/DHSForms/Served/de9061.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B7273E-F3FA-4BF9-A9D5-2726DEEE1AF6}"/>
</file>

<file path=customXml/itemProps2.xml><?xml version="1.0" encoding="utf-8"?>
<ds:datastoreItem xmlns:ds="http://schemas.openxmlformats.org/officeDocument/2006/customXml" ds:itemID="{DF700B1B-D6E8-4CD2-A9F6-A754309136C6}"/>
</file>

<file path=customXml/itemProps3.xml><?xml version="1.0" encoding="utf-8"?>
<ds:datastoreItem xmlns:ds="http://schemas.openxmlformats.org/officeDocument/2006/customXml" ds:itemID="{DA20DEEE-6117-41FA-B29C-8A823BD15D53}"/>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What to Do if You Suspect Child Abuse</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You Suspect Child Abuse</dc:title>
  <dc:creator>KNAUS Jenni - ODE</dc:creator>
  <cp:lastModifiedBy>Mostafa Ezzat</cp:lastModifiedBy>
  <cp:revision>5</cp:revision>
  <dcterms:created xsi:type="dcterms:W3CDTF">2024-01-22T17:48:00Z</dcterms:created>
  <dcterms:modified xsi:type="dcterms:W3CDTF">2024-02-23T14:57:00Z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Acrobat PDFMaker 17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2024-01-22T17:48:41Z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171bc968-1b2f-45dd-9f8d-7e48f5bdc1de</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