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62C8" w14:textId="77777777" w:rsidR="00564F89" w:rsidRDefault="00564F89">
      <w:pPr>
        <w:pStyle w:val="BodyText"/>
        <w:spacing w:before="0"/>
        <w:ind w:left="0" w:firstLine="0"/>
        <w:rPr>
          <w:rFonts w:ascii="Times New Roman"/>
          <w:sz w:val="20"/>
        </w:rPr>
      </w:pPr>
    </w:p>
    <w:p w14:paraId="7F2A62C9" w14:textId="77777777" w:rsidR="00564F89" w:rsidRDefault="00000000">
      <w:pPr>
        <w:pStyle w:val="Heading1"/>
        <w:bidi/>
        <w:spacing w:before="174"/>
        <w:ind w:left="3129" w:right="683"/>
        <w:rPr>
          <w:rtl/>
        </w:rPr>
      </w:pPr>
      <w:bookmarkStart w:id="0" w:name="What_to_Do_if_You_are_Experiencing_Domes"/>
      <w:bookmarkEnd w:id="0"/>
      <w:r>
        <w:rPr>
          <w:rFonts w:hint="cs"/>
          <w:rtl/>
        </w:rPr>
        <w:t>ماذا تفعل إذا كنت تعاني من الإيذاء المنزلي أو العنف</w:t>
      </w:r>
    </w:p>
    <w:p w14:paraId="7F2A62CA" w14:textId="77777777" w:rsidR="00564F89" w:rsidRDefault="00000000">
      <w:pPr>
        <w:pStyle w:val="BodyText"/>
        <w:bidi/>
        <w:spacing w:before="291"/>
        <w:ind w:left="119" w:right="117" w:firstLine="0"/>
        <w:rPr>
          <w:rtl/>
        </w:rPr>
      </w:pPr>
      <w:r>
        <w:rPr>
          <w:rFonts w:hint="cs"/>
          <w:rtl/>
        </w:rPr>
        <w:t>يؤثر العنف بالعلاقات، بما في ذلك الاعتداء الجسدي والجنسي والنفسي، على ملايين الأشخاص كل عام. يحدث العنف المنزلي عندما يشعر أحد الأشخاص في علاقة حالية أو سابقة أنه يحق له التحكم في شريكه أو أحد أفراد أسرته، ويستخدم القوة الجسدية و/أو اللغة والسلوك المسيئين للحصول على تلك السلطة أو الحفاظ عليها. يحدث الإيذاء بغض النظر عن عمر الشخص أو جنسه أو هويته الجنسية أو عرقه أو تعليمه أو مستواه الاجتماعي والاقتصادي أو ثقافته ودينه.</w:t>
      </w:r>
    </w:p>
    <w:p w14:paraId="7F2A62CB" w14:textId="77777777" w:rsidR="00564F89" w:rsidRDefault="00564F89">
      <w:pPr>
        <w:pStyle w:val="BodyText"/>
        <w:spacing w:before="0"/>
        <w:ind w:left="0" w:firstLine="0"/>
      </w:pPr>
    </w:p>
    <w:p w14:paraId="7F2A62CC" w14:textId="77777777" w:rsidR="00564F89" w:rsidRDefault="00000000">
      <w:pPr>
        <w:pStyle w:val="BodyText"/>
        <w:bidi/>
        <w:spacing w:before="1"/>
        <w:ind w:left="120" w:right="200" w:firstLine="0"/>
        <w:rPr>
          <w:rtl/>
        </w:rPr>
      </w:pPr>
      <w:r>
        <w:rPr>
          <w:rFonts w:hint="cs"/>
          <w:rtl/>
        </w:rPr>
        <w:t>يمكن للإيذاء أن يتخذ أشكالًا عديدة، وعادة ما يحدث ذلك، مما يجعل من الصعب تحديدها. في كثير من الأحيان، يحدث واحد أو أكثر من أنواع الإيذاء والعنف في دورة، حيث يهدف نمط سلوك المعتدي إلى تخويف شخص آخر والسيطرة عليه. غالبًا ما تعتري الأشخاص الذين يتعرضون للإيذاء مجموعة من المشاعر بما في ذلك:</w:t>
      </w:r>
    </w:p>
    <w:p w14:paraId="7F2A62CD" w14:textId="77777777" w:rsidR="00564F89" w:rsidRDefault="00000000">
      <w:pPr>
        <w:pStyle w:val="ListParagraph"/>
        <w:numPr>
          <w:ilvl w:val="0"/>
          <w:numId w:val="1"/>
        </w:numPr>
        <w:tabs>
          <w:tab w:val="left" w:pos="839"/>
          <w:tab w:val="left" w:pos="840"/>
        </w:tabs>
        <w:bidi/>
        <w:spacing w:before="0" w:line="292" w:lineRule="exact"/>
        <w:rPr>
          <w:sz w:val="24"/>
          <w:rtl/>
        </w:rPr>
      </w:pPr>
      <w:r>
        <w:rPr>
          <w:rFonts w:hint="cs"/>
          <w:sz w:val="24"/>
          <w:rtl/>
        </w:rPr>
        <w:t>الرغبة في إنهاء الإيذاء، ولكن ليس العلاقة.</w:t>
      </w:r>
    </w:p>
    <w:p w14:paraId="7F2A62CE" w14:textId="77777777" w:rsidR="00564F89" w:rsidRDefault="00000000">
      <w:pPr>
        <w:pStyle w:val="ListParagraph"/>
        <w:numPr>
          <w:ilvl w:val="0"/>
          <w:numId w:val="1"/>
        </w:numPr>
        <w:tabs>
          <w:tab w:val="left" w:pos="839"/>
          <w:tab w:val="left" w:pos="840"/>
        </w:tabs>
        <w:bidi/>
        <w:spacing w:before="119"/>
        <w:rPr>
          <w:sz w:val="24"/>
          <w:rtl/>
        </w:rPr>
      </w:pPr>
      <w:r>
        <w:rPr>
          <w:rFonts w:hint="cs"/>
          <w:sz w:val="24"/>
          <w:rtl/>
        </w:rPr>
        <w:t>الشعور بالخوف والقلق والعجز والاكتئاب والعزلة والإحراج.</w:t>
      </w:r>
    </w:p>
    <w:p w14:paraId="7F2A62CF" w14:textId="77777777" w:rsidR="00564F89" w:rsidRDefault="00000000">
      <w:pPr>
        <w:pStyle w:val="ListParagraph"/>
        <w:numPr>
          <w:ilvl w:val="0"/>
          <w:numId w:val="1"/>
        </w:numPr>
        <w:tabs>
          <w:tab w:val="left" w:pos="839"/>
          <w:tab w:val="left" w:pos="840"/>
        </w:tabs>
        <w:bidi/>
        <w:spacing w:before="121"/>
        <w:ind w:hanging="361"/>
        <w:rPr>
          <w:sz w:val="24"/>
          <w:rtl/>
        </w:rPr>
      </w:pPr>
      <w:r>
        <w:rPr>
          <w:rFonts w:hint="cs"/>
          <w:sz w:val="24"/>
          <w:rtl/>
        </w:rPr>
        <w:t>الخوف من الحكم أو الوصم أو الرفض من الآخرين.</w:t>
      </w:r>
    </w:p>
    <w:p w14:paraId="7F2A62D0" w14:textId="77777777" w:rsidR="00564F89" w:rsidRDefault="00000000">
      <w:pPr>
        <w:pStyle w:val="ListParagraph"/>
        <w:numPr>
          <w:ilvl w:val="0"/>
          <w:numId w:val="1"/>
        </w:numPr>
        <w:tabs>
          <w:tab w:val="left" w:pos="839"/>
          <w:tab w:val="left" w:pos="840"/>
        </w:tabs>
        <w:bidi/>
        <w:ind w:hanging="361"/>
        <w:rPr>
          <w:sz w:val="24"/>
          <w:rtl/>
        </w:rPr>
      </w:pPr>
      <w:r>
        <w:rPr>
          <w:rFonts w:hint="cs"/>
          <w:sz w:val="24"/>
          <w:rtl/>
        </w:rPr>
        <w:t>إنكار الأحداث المؤذية أو التقليل منها.</w:t>
      </w:r>
    </w:p>
    <w:p w14:paraId="7F2A62D1" w14:textId="77777777" w:rsidR="00564F89" w:rsidRDefault="00000000">
      <w:pPr>
        <w:pStyle w:val="ListParagraph"/>
        <w:numPr>
          <w:ilvl w:val="0"/>
          <w:numId w:val="1"/>
        </w:numPr>
        <w:tabs>
          <w:tab w:val="left" w:pos="839"/>
          <w:tab w:val="left" w:pos="840"/>
        </w:tabs>
        <w:bidi/>
        <w:rPr>
          <w:sz w:val="24"/>
          <w:rtl/>
        </w:rPr>
      </w:pPr>
      <w:r>
        <w:rPr>
          <w:rFonts w:hint="cs"/>
          <w:sz w:val="24"/>
          <w:rtl/>
        </w:rPr>
        <w:t>الانسحاب والعزلة بعيدًا عن الأصدقاء والأسرة.</w:t>
      </w:r>
    </w:p>
    <w:p w14:paraId="7F2A62D2" w14:textId="77777777" w:rsidR="00564F89" w:rsidRDefault="00000000">
      <w:pPr>
        <w:pStyle w:val="ListParagraph"/>
        <w:numPr>
          <w:ilvl w:val="0"/>
          <w:numId w:val="1"/>
        </w:numPr>
        <w:tabs>
          <w:tab w:val="left" w:pos="839"/>
          <w:tab w:val="left" w:pos="840"/>
        </w:tabs>
        <w:bidi/>
        <w:rPr>
          <w:sz w:val="24"/>
          <w:rtl/>
        </w:rPr>
      </w:pPr>
      <w:r>
        <w:rPr>
          <w:rFonts w:hint="cs"/>
          <w:sz w:val="24"/>
          <w:rtl/>
        </w:rPr>
        <w:t>الشعور بالذنب أو الخجل أو المسؤولية أو الغضب.</w:t>
      </w:r>
    </w:p>
    <w:p w14:paraId="7F2A62D3" w14:textId="77777777" w:rsidR="00564F89" w:rsidRDefault="00000000">
      <w:pPr>
        <w:pStyle w:val="ListParagraph"/>
        <w:numPr>
          <w:ilvl w:val="0"/>
          <w:numId w:val="1"/>
        </w:numPr>
        <w:tabs>
          <w:tab w:val="left" w:pos="839"/>
          <w:tab w:val="left" w:pos="840"/>
        </w:tabs>
        <w:bidi/>
        <w:ind w:right="942"/>
        <w:rPr>
          <w:sz w:val="24"/>
          <w:rtl/>
        </w:rPr>
      </w:pPr>
      <w:r>
        <w:rPr>
          <w:rFonts w:hint="cs"/>
          <w:sz w:val="24"/>
          <w:rtl/>
        </w:rPr>
        <w:t>الصراع مع المعتقدات الدينية أو الثقافية أو المجتمعية التي تعزز البقاء في العلاقة.</w:t>
      </w:r>
    </w:p>
    <w:p w14:paraId="7F2A62D4" w14:textId="77777777" w:rsidR="00564F89" w:rsidRDefault="00000000">
      <w:pPr>
        <w:pStyle w:val="ListParagraph"/>
        <w:numPr>
          <w:ilvl w:val="0"/>
          <w:numId w:val="1"/>
        </w:numPr>
        <w:tabs>
          <w:tab w:val="left" w:pos="839"/>
          <w:tab w:val="left" w:pos="840"/>
        </w:tabs>
        <w:bidi/>
        <w:spacing w:before="119"/>
        <w:rPr>
          <w:sz w:val="24"/>
          <w:rtl/>
        </w:rPr>
      </w:pPr>
      <w:r>
        <w:rPr>
          <w:rFonts w:hint="cs"/>
          <w:sz w:val="24"/>
          <w:rtl/>
        </w:rPr>
        <w:t>الاستمرار في حب المؤذي والرغبة في إنقاذ العلاقة.</w:t>
      </w:r>
    </w:p>
    <w:p w14:paraId="7F2A62D5" w14:textId="77777777" w:rsidR="00564F89" w:rsidRDefault="00000000">
      <w:pPr>
        <w:pStyle w:val="ListParagraph"/>
        <w:numPr>
          <w:ilvl w:val="0"/>
          <w:numId w:val="1"/>
        </w:numPr>
        <w:tabs>
          <w:tab w:val="left" w:pos="839"/>
          <w:tab w:val="left" w:pos="840"/>
        </w:tabs>
        <w:bidi/>
        <w:spacing w:before="121"/>
        <w:rPr>
          <w:sz w:val="24"/>
          <w:rtl/>
        </w:rPr>
      </w:pPr>
      <w:r>
        <w:rPr>
          <w:rFonts w:hint="cs"/>
          <w:sz w:val="24"/>
          <w:rtl/>
        </w:rPr>
        <w:t>الشعور بالمسؤولية عن الإيذاء.</w:t>
      </w:r>
    </w:p>
    <w:p w14:paraId="7F2A62D6" w14:textId="77777777" w:rsidR="00564F89" w:rsidRDefault="00000000">
      <w:pPr>
        <w:pStyle w:val="ListParagraph"/>
        <w:numPr>
          <w:ilvl w:val="0"/>
          <w:numId w:val="1"/>
        </w:numPr>
        <w:tabs>
          <w:tab w:val="left" w:pos="839"/>
          <w:tab w:val="left" w:pos="840"/>
        </w:tabs>
        <w:bidi/>
        <w:rPr>
          <w:sz w:val="24"/>
          <w:rtl/>
        </w:rPr>
      </w:pPr>
      <w:r>
        <w:rPr>
          <w:rFonts w:hint="cs"/>
          <w:sz w:val="24"/>
          <w:rtl/>
        </w:rPr>
        <w:t>القلق بشأن صحة وسلامة الأطفال والحيوانات الأليفة.</w:t>
      </w:r>
    </w:p>
    <w:p w14:paraId="7F2A62D7" w14:textId="77777777" w:rsidR="00564F89" w:rsidRDefault="00000000">
      <w:pPr>
        <w:pStyle w:val="ListParagraph"/>
        <w:numPr>
          <w:ilvl w:val="0"/>
          <w:numId w:val="1"/>
        </w:numPr>
        <w:tabs>
          <w:tab w:val="left" w:pos="839"/>
          <w:tab w:val="left" w:pos="840"/>
        </w:tabs>
        <w:bidi/>
        <w:rPr>
          <w:sz w:val="24"/>
          <w:rtl/>
        </w:rPr>
      </w:pPr>
      <w:r>
        <w:rPr>
          <w:rFonts w:hint="cs"/>
          <w:sz w:val="24"/>
          <w:rtl/>
        </w:rPr>
        <w:t>الخوف من الفقر والتشرد وعدم القدرة على رعاية الأطفال.</w:t>
      </w:r>
    </w:p>
    <w:p w14:paraId="7F2A62D8" w14:textId="77777777" w:rsidR="00564F89" w:rsidRDefault="00564F89">
      <w:pPr>
        <w:pStyle w:val="BodyText"/>
        <w:spacing w:before="10"/>
        <w:ind w:left="0" w:firstLine="0"/>
        <w:rPr>
          <w:sz w:val="33"/>
        </w:rPr>
      </w:pPr>
    </w:p>
    <w:p w14:paraId="7F2A62D9" w14:textId="77777777" w:rsidR="00564F89" w:rsidRDefault="00000000">
      <w:pPr>
        <w:pStyle w:val="Heading2"/>
        <w:bidi/>
        <w:spacing w:before="0"/>
        <w:rPr>
          <w:rtl/>
        </w:rPr>
      </w:pPr>
      <w:bookmarkStart w:id="1" w:name="What_to_do_if_you_need_help"/>
      <w:bookmarkEnd w:id="1"/>
      <w:r>
        <w:rPr>
          <w:rFonts w:hint="cs"/>
          <w:rtl/>
        </w:rPr>
        <w:t>ماذا تفعل إذا كنت بحاجة إلى مساعدة</w:t>
      </w:r>
    </w:p>
    <w:p w14:paraId="7F2A62DA" w14:textId="77777777" w:rsidR="00564F89" w:rsidRDefault="00564F89">
      <w:pPr>
        <w:pStyle w:val="BodyText"/>
        <w:spacing w:before="3"/>
        <w:ind w:left="0" w:firstLine="0"/>
        <w:rPr>
          <w:b/>
          <w:sz w:val="28"/>
        </w:rPr>
      </w:pPr>
    </w:p>
    <w:p w14:paraId="7F2A62DB" w14:textId="77777777" w:rsidR="00564F89" w:rsidRDefault="00000000">
      <w:pPr>
        <w:pStyle w:val="ListParagraph"/>
        <w:numPr>
          <w:ilvl w:val="0"/>
          <w:numId w:val="1"/>
        </w:numPr>
        <w:tabs>
          <w:tab w:val="left" w:pos="839"/>
          <w:tab w:val="left" w:pos="840"/>
        </w:tabs>
        <w:bidi/>
        <w:spacing w:before="0"/>
        <w:rPr>
          <w:sz w:val="24"/>
          <w:rtl/>
        </w:rPr>
      </w:pPr>
      <w:r>
        <w:rPr>
          <w:rFonts w:hint="cs"/>
          <w:sz w:val="24"/>
          <w:rtl/>
        </w:rPr>
        <w:t>إذا كنت مهددًا أو كنت في خطر داهم، فاتصل برقم 9-1-1.</w:t>
      </w:r>
    </w:p>
    <w:p w14:paraId="7F2A62DC" w14:textId="77777777" w:rsidR="00564F89" w:rsidRDefault="00000000">
      <w:pPr>
        <w:pStyle w:val="ListParagraph"/>
        <w:numPr>
          <w:ilvl w:val="0"/>
          <w:numId w:val="1"/>
        </w:numPr>
        <w:tabs>
          <w:tab w:val="left" w:pos="839"/>
          <w:tab w:val="left" w:pos="840"/>
        </w:tabs>
        <w:bidi/>
        <w:ind w:right="102"/>
        <w:rPr>
          <w:sz w:val="24"/>
          <w:rtl/>
        </w:rPr>
      </w:pPr>
      <w:r>
        <w:rPr>
          <w:rFonts w:hint="cs"/>
          <w:sz w:val="24"/>
          <w:rtl/>
        </w:rPr>
        <w:t>إذا كان ذلك ممكنًا، قم بإنشاء خطة أمان تتضمن مكانًا يمكنك الذهاب إليه والأشخاص الذين يمكنك الاتصال بهم في حالة الطوارئ. تعد الخطط مهمة لأنه في لحظة الأزمة، قد يكون من الصعب التفكير بوضوح أو اتخاذ قرارات منطقية تتعلق بالسلامة.</w:t>
      </w:r>
    </w:p>
    <w:p w14:paraId="7F2A62DD" w14:textId="77777777" w:rsidR="00564F89" w:rsidRDefault="00000000">
      <w:pPr>
        <w:pStyle w:val="ListParagraph"/>
        <w:numPr>
          <w:ilvl w:val="0"/>
          <w:numId w:val="1"/>
        </w:numPr>
        <w:tabs>
          <w:tab w:val="left" w:pos="839"/>
          <w:tab w:val="left" w:pos="840"/>
        </w:tabs>
        <w:bidi/>
        <w:spacing w:before="119"/>
        <w:rPr>
          <w:sz w:val="24"/>
          <w:rtl/>
        </w:rPr>
      </w:pPr>
      <w:r>
        <w:rPr>
          <w:rFonts w:hint="cs"/>
          <w:sz w:val="24"/>
          <w:rtl/>
        </w:rPr>
        <w:t>لا تنبه المعتدي إذا كنت تخطط للمغادرة.</w:t>
      </w:r>
    </w:p>
    <w:p w14:paraId="7F2A62DE" w14:textId="77777777" w:rsidR="00564F89" w:rsidRDefault="00564F89">
      <w:pPr>
        <w:rPr>
          <w:sz w:val="24"/>
        </w:rPr>
        <w:sectPr w:rsidR="00564F89" w:rsidSect="00B751AD">
          <w:headerReference w:type="default" r:id="rId7"/>
          <w:footerReference w:type="default" r:id="rId8"/>
          <w:type w:val="continuous"/>
          <w:pgSz w:w="12240" w:h="15840"/>
          <w:pgMar w:top="1820" w:right="1340" w:bottom="1180" w:left="1320" w:header="505" w:footer="997" w:gutter="0"/>
          <w:pgNumType w:start="1"/>
          <w:cols w:space="720"/>
        </w:sectPr>
      </w:pPr>
    </w:p>
    <w:p w14:paraId="7F2A62DF" w14:textId="77777777" w:rsidR="00564F89" w:rsidRDefault="00564F89">
      <w:pPr>
        <w:pStyle w:val="BodyText"/>
        <w:spacing w:before="11"/>
        <w:ind w:left="0" w:firstLine="0"/>
        <w:rPr>
          <w:sz w:val="9"/>
        </w:rPr>
      </w:pPr>
    </w:p>
    <w:p w14:paraId="7F2A62E0" w14:textId="77777777" w:rsidR="00564F89" w:rsidRDefault="00000000">
      <w:pPr>
        <w:pStyle w:val="Heading2"/>
        <w:bidi/>
        <w:rPr>
          <w:rtl/>
        </w:rPr>
      </w:pPr>
      <w:bookmarkStart w:id="2" w:name="Emergency_Assistance_–_Where_to_go_for_i"/>
      <w:bookmarkEnd w:id="2"/>
      <w:r>
        <w:rPr>
          <w:rFonts w:hint="cs"/>
          <w:rtl/>
        </w:rPr>
        <w:t>المساعدة في حالات الطوارئ - أين يمكنك الذهاب للحصول على مساعدة فورية إذا تعرضت للإيذاء</w:t>
      </w:r>
    </w:p>
    <w:p w14:paraId="7F2A62E1" w14:textId="77777777" w:rsidR="00564F89" w:rsidRDefault="00564F89">
      <w:pPr>
        <w:pStyle w:val="BodyText"/>
        <w:spacing w:before="7"/>
        <w:ind w:left="0" w:firstLine="0"/>
        <w:rPr>
          <w:b/>
          <w:sz w:val="38"/>
        </w:rPr>
      </w:pPr>
    </w:p>
    <w:p w14:paraId="7F2A62E2" w14:textId="77777777" w:rsidR="00564F89" w:rsidRDefault="00000000">
      <w:pPr>
        <w:pStyle w:val="ListParagraph"/>
        <w:numPr>
          <w:ilvl w:val="0"/>
          <w:numId w:val="1"/>
        </w:numPr>
        <w:tabs>
          <w:tab w:val="left" w:pos="840"/>
          <w:tab w:val="left" w:pos="841"/>
        </w:tabs>
        <w:bidi/>
        <w:spacing w:before="0"/>
        <w:ind w:hanging="361"/>
        <w:rPr>
          <w:sz w:val="24"/>
          <w:rtl/>
        </w:rPr>
      </w:pPr>
      <w:hyperlink r:id="rId9">
        <w:r>
          <w:rPr>
            <w:rFonts w:hint="cs"/>
            <w:b/>
            <w:color w:val="0000FF"/>
            <w:sz w:val="24"/>
            <w:u w:val="single" w:color="0000FF"/>
            <w:rtl/>
          </w:rPr>
          <w:t>الخط الساخن الوطني للاعتداء الجنسي</w:t>
        </w:r>
      </w:hyperlink>
      <w:r>
        <w:rPr>
          <w:rFonts w:hint="cs"/>
          <w:sz w:val="24"/>
          <w:rtl/>
        </w:rPr>
        <w:t>: 1-800-656-</w:t>
      </w:r>
      <w:r>
        <w:rPr>
          <w:sz w:val="24"/>
        </w:rPr>
        <w:t>HOPE (4673</w:t>
      </w:r>
      <w:r>
        <w:rPr>
          <w:rFonts w:hint="cs"/>
          <w:sz w:val="24"/>
          <w:rtl/>
        </w:rPr>
        <w:t>)</w:t>
      </w:r>
      <w:r>
        <w:rPr>
          <w:rFonts w:hint="cs"/>
          <w:color w:val="0000FF"/>
          <w:sz w:val="24"/>
          <w:rtl/>
        </w:rPr>
        <w:t xml:space="preserve"> </w:t>
      </w:r>
      <w:r>
        <w:rPr>
          <w:rFonts w:hint="cs"/>
          <w:color w:val="0000FF"/>
          <w:sz w:val="24"/>
          <w:u w:val="single" w:color="0000FF"/>
          <w:rtl/>
        </w:rPr>
        <w:t>أو الخط الساخن عبر الإنترنت</w:t>
      </w:r>
      <w:r>
        <w:rPr>
          <w:rFonts w:hint="cs"/>
          <w:sz w:val="24"/>
          <w:rtl/>
        </w:rPr>
        <w:t>.</w:t>
      </w:r>
    </w:p>
    <w:p w14:paraId="7F2A62E3" w14:textId="6E5294B4" w:rsidR="00564F89" w:rsidRDefault="00000000">
      <w:pPr>
        <w:pStyle w:val="ListParagraph"/>
        <w:numPr>
          <w:ilvl w:val="0"/>
          <w:numId w:val="1"/>
        </w:numPr>
        <w:tabs>
          <w:tab w:val="left" w:pos="839"/>
          <w:tab w:val="left" w:pos="840"/>
        </w:tabs>
        <w:bidi/>
        <w:spacing w:before="185"/>
        <w:ind w:right="367"/>
        <w:rPr>
          <w:sz w:val="24"/>
          <w:rtl/>
        </w:rPr>
      </w:pPr>
      <w:hyperlink r:id="rId10">
        <w:r>
          <w:rPr>
            <w:rFonts w:hint="cs"/>
            <w:b/>
            <w:color w:val="0000FF"/>
            <w:sz w:val="24"/>
            <w:u w:val="single" w:color="0000FF"/>
            <w:rtl/>
          </w:rPr>
          <w:t>الخط الساخن الوطني للعنف المنزلي الذي يعمل على مدار 24 ساعة</w:t>
        </w:r>
      </w:hyperlink>
      <w:r>
        <w:rPr>
          <w:rFonts w:hint="cs"/>
          <w:sz w:val="24"/>
          <w:rtl/>
        </w:rPr>
        <w:t>: 1-800-799-</w:t>
      </w:r>
      <w:r>
        <w:rPr>
          <w:sz w:val="24"/>
        </w:rPr>
        <w:t>SAFE (1-800-799-7233)</w:t>
      </w:r>
      <w:r>
        <w:rPr>
          <w:rFonts w:hint="cs"/>
          <w:sz w:val="24"/>
          <w:rtl/>
        </w:rPr>
        <w:t>,</w:t>
      </w:r>
      <w:hyperlink r:id="rId11">
        <w:r>
          <w:rPr>
            <w:rFonts w:hint="cs"/>
            <w:color w:val="0000FF"/>
            <w:sz w:val="24"/>
            <w:rtl/>
          </w:rPr>
          <w:t xml:space="preserve"> </w:t>
        </w:r>
        <w:r>
          <w:rPr>
            <w:rFonts w:hint="cs"/>
            <w:color w:val="0000FF"/>
            <w:sz w:val="24"/>
            <w:u w:val="single" w:color="0000FF"/>
            <w:rtl/>
          </w:rPr>
          <w:t>خدمة</w:t>
        </w:r>
      </w:hyperlink>
      <w:r>
        <w:rPr>
          <w:rFonts w:hint="cs"/>
          <w:color w:val="0000FF"/>
          <w:sz w:val="24"/>
          <w:u w:val="single" w:color="0000FF"/>
          <w:rtl/>
        </w:rPr>
        <w:t xml:space="preserve"> المحادثة المباشرة</w:t>
      </w:r>
      <w:r>
        <w:rPr>
          <w:rFonts w:hint="cs"/>
          <w:color w:val="0000FF"/>
          <w:sz w:val="24"/>
          <w:rtl/>
        </w:rPr>
        <w:t xml:space="preserve"> </w:t>
      </w:r>
      <w:r>
        <w:rPr>
          <w:rFonts w:hint="cs"/>
          <w:sz w:val="24"/>
          <w:rtl/>
        </w:rPr>
        <w:t>(بالإنجليزية على مدار الساعة طوال أيام الأسبوع; بالأسبانية من 12-6 مساء), خدمات الصم (هاتف نصي1-855-787-3224, عن طريق الهاتف المرئي 1-855-812-1001،</w:t>
      </w:r>
      <w:hyperlink r:id="rId12">
        <w:r>
          <w:rPr>
            <w:rFonts w:hint="cs"/>
            <w:color w:val="0000FF"/>
            <w:sz w:val="24"/>
            <w:rtl/>
          </w:rPr>
          <w:t xml:space="preserve"> </w:t>
        </w:r>
        <w:r>
          <w:rPr>
            <w:color w:val="0000FF"/>
            <w:sz w:val="24"/>
            <w:u w:val="single" w:color="0000FF"/>
          </w:rPr>
          <w:t>nationaldeafhotline@adwas.org</w:t>
        </w:r>
      </w:hyperlink>
      <w:r>
        <w:rPr>
          <w:rFonts w:hint="cs"/>
          <w:sz w:val="24"/>
          <w:rtl/>
        </w:rPr>
        <w:t>)</w:t>
      </w:r>
      <w:r w:rsidR="002C336E">
        <w:rPr>
          <w:rFonts w:hint="cs"/>
          <w:sz w:val="24"/>
          <w:rtl/>
        </w:rPr>
        <w:t>،</w:t>
      </w:r>
      <w:hyperlink r:id="rId13">
        <w:r>
          <w:rPr>
            <w:rFonts w:hint="cs"/>
            <w:color w:val="0000FF"/>
            <w:sz w:val="24"/>
            <w:rtl/>
          </w:rPr>
          <w:t xml:space="preserve"> </w:t>
        </w:r>
        <w:r>
          <w:rPr>
            <w:rFonts w:hint="cs"/>
            <w:color w:val="0000FF"/>
            <w:sz w:val="24"/>
            <w:u w:val="single" w:color="0000FF"/>
            <w:rtl/>
          </w:rPr>
          <w:t>الموقع الإلكتروني</w:t>
        </w:r>
        <w:r>
          <w:rPr>
            <w:rFonts w:hint="cs"/>
            <w:color w:val="0000FF"/>
            <w:sz w:val="24"/>
            <w:rtl/>
          </w:rPr>
          <w:t xml:space="preserve"> </w:t>
        </w:r>
      </w:hyperlink>
      <w:r>
        <w:rPr>
          <w:rFonts w:hint="cs"/>
          <w:sz w:val="24"/>
          <w:rtl/>
        </w:rPr>
        <w:t>يوفر أيضًا التوجيه للأصدقاء والأسرة والمساعدة القانونية ومساعدة الحيوانات الأليفة والمزيد.</w:t>
      </w:r>
    </w:p>
    <w:p w14:paraId="7F2A62E4" w14:textId="508F416E" w:rsidR="00564F89" w:rsidRDefault="00000000">
      <w:pPr>
        <w:pStyle w:val="ListParagraph"/>
        <w:numPr>
          <w:ilvl w:val="0"/>
          <w:numId w:val="1"/>
        </w:numPr>
        <w:tabs>
          <w:tab w:val="left" w:pos="839"/>
          <w:tab w:val="left" w:pos="840"/>
        </w:tabs>
        <w:bidi/>
        <w:rPr>
          <w:sz w:val="24"/>
          <w:rtl/>
        </w:rPr>
      </w:pPr>
      <w:hyperlink r:id="rId14">
        <w:r>
          <w:rPr>
            <w:rFonts w:hint="cs"/>
            <w:b/>
            <w:color w:val="0000FF"/>
            <w:sz w:val="24"/>
            <w:u w:val="single" w:color="0000FF"/>
            <w:rtl/>
          </w:rPr>
          <w:t xml:space="preserve"> </w:t>
        </w:r>
        <w:r w:rsidRPr="001C4250">
          <w:rPr>
            <w:b/>
            <w:color w:val="0000FF"/>
            <w:sz w:val="24"/>
            <w:u w:val="single" w:color="0000FF"/>
            <w:lang w:val="es-ES"/>
          </w:rPr>
          <w:t>la Violencia Doméstica</w:t>
        </w:r>
      </w:hyperlink>
      <w:r w:rsidR="002C336E" w:rsidRPr="002C336E">
        <w:rPr>
          <w:sz w:val="24"/>
          <w:lang w:val="es-ES"/>
        </w:rPr>
        <w:t xml:space="preserve"> </w:t>
      </w:r>
      <w:r w:rsidRPr="001C4250">
        <w:rPr>
          <w:sz w:val="24"/>
          <w:lang w:val="es-ES"/>
        </w:rPr>
        <w:t>marcando el número de teléfono 1−800−799−7233 o el número</w:t>
      </w:r>
    </w:p>
    <w:p w14:paraId="7F2A62E5" w14:textId="77777777" w:rsidR="00564F89" w:rsidRDefault="00000000">
      <w:pPr>
        <w:pStyle w:val="BodyText"/>
        <w:bidi/>
        <w:spacing w:before="0"/>
        <w:ind w:firstLine="0"/>
        <w:rPr>
          <w:rtl/>
        </w:rPr>
      </w:pPr>
      <w:r w:rsidRPr="001C4250">
        <w:rPr>
          <w:lang w:val="es-ES"/>
        </w:rPr>
        <w:t>TTY (línea telefónica de texto para personas con problemas de la audición y del habla) 1</w:t>
      </w:r>
    </w:p>
    <w:p w14:paraId="7F2A62E6" w14:textId="77777777" w:rsidR="00564F89" w:rsidRDefault="00000000">
      <w:pPr>
        <w:pStyle w:val="BodyText"/>
        <w:bidi/>
        <w:spacing w:before="0"/>
        <w:ind w:firstLine="0"/>
        <w:rPr>
          <w:rtl/>
        </w:rPr>
      </w:pPr>
      <w:r>
        <w:rPr>
          <w:rFonts w:hint="cs"/>
          <w:rtl/>
        </w:rPr>
        <w:t>−800−787−3224</w:t>
      </w:r>
    </w:p>
    <w:p w14:paraId="7F2A62E7" w14:textId="77777777" w:rsidR="00564F89" w:rsidRDefault="00000000">
      <w:pPr>
        <w:pStyle w:val="ListParagraph"/>
        <w:numPr>
          <w:ilvl w:val="0"/>
          <w:numId w:val="1"/>
        </w:numPr>
        <w:tabs>
          <w:tab w:val="left" w:pos="839"/>
          <w:tab w:val="left" w:pos="840"/>
        </w:tabs>
        <w:bidi/>
        <w:rPr>
          <w:sz w:val="24"/>
          <w:rtl/>
        </w:rPr>
      </w:pPr>
      <w:hyperlink r:id="rId15">
        <w:r>
          <w:rPr>
            <w:rFonts w:hint="cs"/>
            <w:sz w:val="24"/>
            <w:rtl/>
          </w:rPr>
          <w:t>988 شريان الحياة للانتحار والأزمات (اتصل برقم 988)</w:t>
        </w:r>
      </w:hyperlink>
    </w:p>
    <w:p w14:paraId="7F2A62EA" w14:textId="0A5FEE29" w:rsidR="00564F89" w:rsidRPr="004D396A" w:rsidRDefault="00000000" w:rsidP="004D396A">
      <w:pPr>
        <w:pStyle w:val="ListParagraph"/>
        <w:numPr>
          <w:ilvl w:val="0"/>
          <w:numId w:val="1"/>
        </w:numPr>
        <w:tabs>
          <w:tab w:val="left" w:pos="839"/>
          <w:tab w:val="left" w:pos="840"/>
        </w:tabs>
        <w:bidi/>
        <w:spacing w:before="119"/>
        <w:rPr>
          <w:sz w:val="24"/>
          <w:rtl/>
        </w:rPr>
      </w:pPr>
      <w:r>
        <w:rPr>
          <w:rFonts w:hint="cs"/>
          <w:b/>
          <w:color w:val="0000FF"/>
          <w:sz w:val="24"/>
          <w:u w:val="single" w:color="0000FF"/>
          <w:rtl/>
        </w:rPr>
        <w:t>خط مساعدة 1 في 6 على الإنترنت</w:t>
      </w:r>
      <w:r>
        <w:rPr>
          <w:rFonts w:hint="cs"/>
          <w:b/>
          <w:color w:val="0000FF"/>
          <w:sz w:val="24"/>
          <w:rtl/>
        </w:rPr>
        <w:t xml:space="preserve"> </w:t>
      </w:r>
      <w:r>
        <w:rPr>
          <w:rFonts w:hint="cs"/>
          <w:sz w:val="24"/>
          <w:rtl/>
        </w:rPr>
        <w:t>للناجين الذكور من الاعتداء الجنسي على الأطفال والاعتداء الجنسي على البالغين</w:t>
      </w:r>
      <w:r>
        <w:rPr>
          <w:rFonts w:hint="cs"/>
          <w:rtl/>
        </w:rPr>
        <w:t>.</w:t>
      </w:r>
    </w:p>
    <w:p w14:paraId="7F2A62EB" w14:textId="77777777" w:rsidR="00564F89" w:rsidRDefault="00000000">
      <w:pPr>
        <w:pStyle w:val="ListParagraph"/>
        <w:numPr>
          <w:ilvl w:val="0"/>
          <w:numId w:val="1"/>
        </w:numPr>
        <w:tabs>
          <w:tab w:val="left" w:pos="839"/>
          <w:tab w:val="left" w:pos="840"/>
        </w:tabs>
        <w:bidi/>
        <w:rPr>
          <w:sz w:val="24"/>
          <w:rtl/>
        </w:rPr>
      </w:pPr>
      <w:hyperlink r:id="rId16">
        <w:r>
          <w:rPr>
            <w:rFonts w:hint="cs"/>
            <w:color w:val="0000FF"/>
            <w:sz w:val="24"/>
            <w:u w:val="single" w:color="0000FF"/>
            <w:rtl/>
          </w:rPr>
          <w:t xml:space="preserve"> </w:t>
        </w:r>
        <w:r>
          <w:rPr>
            <w:rFonts w:hint="cs"/>
            <w:b/>
            <w:color w:val="0000FF"/>
            <w:sz w:val="24"/>
            <w:u w:val="single" w:color="0000FF"/>
            <w:rtl/>
          </w:rPr>
          <w:t>الخط الساخن الوطني لمجتمعات الميم</w:t>
        </w:r>
        <w:r>
          <w:rPr>
            <w:rFonts w:hint="cs"/>
            <w:color w:val="0000FF"/>
            <w:sz w:val="24"/>
            <w:u w:val="single" w:color="0000FF"/>
            <w:rtl/>
          </w:rPr>
          <w:t>:</w:t>
        </w:r>
      </w:hyperlink>
      <w:r>
        <w:rPr>
          <w:rFonts w:hint="cs"/>
          <w:sz w:val="24"/>
          <w:rtl/>
        </w:rPr>
        <w:t>1-888-843-4564</w:t>
      </w:r>
    </w:p>
    <w:p w14:paraId="7F2A62EC" w14:textId="77777777" w:rsidR="00564F89" w:rsidRDefault="00564F89">
      <w:pPr>
        <w:pStyle w:val="BodyText"/>
        <w:spacing w:before="0"/>
        <w:ind w:left="0" w:firstLine="0"/>
        <w:rPr>
          <w:sz w:val="20"/>
        </w:rPr>
      </w:pPr>
    </w:p>
    <w:p w14:paraId="7F2A62ED" w14:textId="77777777" w:rsidR="00564F89" w:rsidRDefault="00564F89">
      <w:pPr>
        <w:pStyle w:val="BodyText"/>
        <w:spacing w:before="5"/>
        <w:ind w:left="0" w:firstLine="0"/>
      </w:pPr>
    </w:p>
    <w:p w14:paraId="7F2A62EE" w14:textId="77777777" w:rsidR="00564F89" w:rsidRDefault="00000000">
      <w:pPr>
        <w:pStyle w:val="Heading2"/>
        <w:bidi/>
        <w:rPr>
          <w:rtl/>
        </w:rPr>
      </w:pPr>
      <w:bookmarkStart w:id="3" w:name="Non-Emergency_Resources"/>
      <w:bookmarkEnd w:id="3"/>
      <w:r>
        <w:rPr>
          <w:rFonts w:hint="cs"/>
          <w:rtl/>
        </w:rPr>
        <w:t>موارد الحالات غير الطارئة</w:t>
      </w:r>
    </w:p>
    <w:p w14:paraId="7F2A62EF" w14:textId="77777777" w:rsidR="00564F89" w:rsidRDefault="00564F89">
      <w:pPr>
        <w:pStyle w:val="BodyText"/>
        <w:spacing w:before="3"/>
        <w:ind w:left="0" w:firstLine="0"/>
        <w:rPr>
          <w:b/>
          <w:sz w:val="28"/>
        </w:rPr>
      </w:pPr>
    </w:p>
    <w:p w14:paraId="7F2A62F0" w14:textId="77777777" w:rsidR="00564F89" w:rsidRDefault="00000000">
      <w:pPr>
        <w:pStyle w:val="ListParagraph"/>
        <w:numPr>
          <w:ilvl w:val="0"/>
          <w:numId w:val="1"/>
        </w:numPr>
        <w:tabs>
          <w:tab w:val="left" w:pos="839"/>
          <w:tab w:val="left" w:pos="840"/>
        </w:tabs>
        <w:bidi/>
        <w:spacing w:before="0"/>
        <w:ind w:right="678"/>
        <w:rPr>
          <w:sz w:val="24"/>
          <w:rtl/>
        </w:rPr>
      </w:pPr>
      <w:hyperlink r:id="rId17">
        <w:r>
          <w:rPr>
            <w:rFonts w:hint="cs"/>
            <w:color w:val="0000FF"/>
            <w:sz w:val="24"/>
            <w:u w:val="single" w:color="0000FF"/>
            <w:rtl/>
          </w:rPr>
          <w:t>احصل على المساعدة الآن</w:t>
        </w:r>
      </w:hyperlink>
      <w:r>
        <w:rPr>
          <w:rFonts w:hint="cs"/>
          <w:sz w:val="24"/>
          <w:rtl/>
        </w:rPr>
        <w:t>: يسرد هذا الدليل المنظمات الموجودة في ولاية أوريجون التي تقدم المساعدة للنساء في حالات العنف المنزلي.</w:t>
      </w:r>
    </w:p>
    <w:p w14:paraId="7F2A62F1" w14:textId="77777777" w:rsidR="00564F89" w:rsidRDefault="00000000">
      <w:pPr>
        <w:pStyle w:val="ListParagraph"/>
        <w:numPr>
          <w:ilvl w:val="0"/>
          <w:numId w:val="1"/>
        </w:numPr>
        <w:tabs>
          <w:tab w:val="left" w:pos="839"/>
          <w:tab w:val="left" w:pos="840"/>
        </w:tabs>
        <w:bidi/>
        <w:spacing w:before="119"/>
        <w:ind w:right="1023"/>
        <w:rPr>
          <w:sz w:val="24"/>
          <w:rtl/>
        </w:rPr>
      </w:pPr>
      <w:r>
        <w:rPr>
          <w:rFonts w:hint="cs"/>
          <w:sz w:val="24"/>
          <w:rtl/>
        </w:rPr>
        <w:t>تحالف أوريجون ضد العنف المنزلي والجنسي – قائمة الخدمات والموارد المحلية.</w:t>
      </w:r>
      <w:r>
        <w:rPr>
          <w:rFonts w:hint="cs"/>
          <w:color w:val="0000FF"/>
          <w:sz w:val="24"/>
          <w:rtl/>
        </w:rPr>
        <w:t xml:space="preserve"> </w:t>
      </w:r>
      <w:hyperlink r:id="rId18">
        <w:r>
          <w:rPr>
            <w:color w:val="0000FF"/>
            <w:sz w:val="24"/>
            <w:u w:val="single" w:color="0000FF"/>
          </w:rPr>
          <w:t>https://www.ocadsv.org/find-help</w:t>
        </w:r>
      </w:hyperlink>
    </w:p>
    <w:p w14:paraId="7F2A62F2" w14:textId="2C81D762" w:rsidR="00564F89" w:rsidRDefault="00000000">
      <w:pPr>
        <w:pStyle w:val="ListParagraph"/>
        <w:numPr>
          <w:ilvl w:val="0"/>
          <w:numId w:val="1"/>
        </w:numPr>
        <w:tabs>
          <w:tab w:val="left" w:pos="839"/>
          <w:tab w:val="left" w:pos="840"/>
        </w:tabs>
        <w:bidi/>
        <w:rPr>
          <w:sz w:val="24"/>
          <w:rtl/>
        </w:rPr>
      </w:pPr>
      <w:r>
        <w:rPr>
          <w:rFonts w:hint="cs"/>
          <w:sz w:val="24"/>
          <w:rtl/>
        </w:rPr>
        <w:t>للمطارَدين</w:t>
      </w:r>
      <w:r>
        <w:rPr>
          <w:rFonts w:hint="cs"/>
          <w:color w:val="0000FF"/>
          <w:sz w:val="24"/>
          <w:rtl/>
        </w:rPr>
        <w:t xml:space="preserve"> </w:t>
      </w:r>
      <w:hyperlink r:id="rId19">
        <w:r>
          <w:rPr>
            <w:rFonts w:hint="cs"/>
            <w:color w:val="0000FF"/>
            <w:sz w:val="24"/>
            <w:u w:val="single" w:color="0000FF"/>
            <w:rtl/>
          </w:rPr>
          <w:t xml:space="preserve"> المركز الوطني لضحايا الجريمة</w:t>
        </w:r>
      </w:hyperlink>
      <w:r w:rsidR="00F61DBA">
        <w:rPr>
          <w:rFonts w:hint="cs"/>
          <w:sz w:val="24"/>
          <w:rtl/>
        </w:rPr>
        <w:t xml:space="preserve"> </w:t>
      </w:r>
      <w:r>
        <w:rPr>
          <w:rFonts w:hint="cs"/>
          <w:sz w:val="24"/>
          <w:rtl/>
        </w:rPr>
        <w:t>أو 1-202-467-8700</w:t>
      </w:r>
    </w:p>
    <w:p w14:paraId="7F2A62F3" w14:textId="77777777" w:rsidR="00564F89" w:rsidRDefault="00000000">
      <w:pPr>
        <w:pStyle w:val="ListParagraph"/>
        <w:numPr>
          <w:ilvl w:val="0"/>
          <w:numId w:val="1"/>
        </w:numPr>
        <w:tabs>
          <w:tab w:val="left" w:pos="839"/>
          <w:tab w:val="left" w:pos="840"/>
        </w:tabs>
        <w:bidi/>
        <w:spacing w:before="121"/>
        <w:rPr>
          <w:sz w:val="24"/>
          <w:rtl/>
        </w:rPr>
      </w:pPr>
      <w:hyperlink r:id="rId20">
        <w:r>
          <w:rPr>
            <w:rFonts w:hint="cs"/>
            <w:color w:val="0000FF"/>
            <w:sz w:val="24"/>
            <w:u w:val="single" w:color="0000FF"/>
            <w:rtl/>
          </w:rPr>
          <w:t>صحيفة نصائح سلامة الأسلحة النارية</w:t>
        </w:r>
      </w:hyperlink>
    </w:p>
    <w:p w14:paraId="7F2A62F4" w14:textId="77777777" w:rsidR="00564F89" w:rsidRDefault="00000000">
      <w:pPr>
        <w:pStyle w:val="ListParagraph"/>
        <w:numPr>
          <w:ilvl w:val="0"/>
          <w:numId w:val="1"/>
        </w:numPr>
        <w:tabs>
          <w:tab w:val="left" w:pos="839"/>
          <w:tab w:val="left" w:pos="840"/>
        </w:tabs>
        <w:bidi/>
        <w:rPr>
          <w:sz w:val="24"/>
          <w:rtl/>
        </w:rPr>
      </w:pPr>
      <w:hyperlink r:id="rId21">
        <w:r>
          <w:rPr>
            <w:rFonts w:hint="cs"/>
            <w:color w:val="0000FF"/>
            <w:sz w:val="24"/>
            <w:u w:val="single" w:color="0000FF"/>
            <w:rtl/>
          </w:rPr>
          <w:t>المساعدة المؤقتة للناجين من العنف المنزلي</w:t>
        </w:r>
      </w:hyperlink>
    </w:p>
    <w:p w14:paraId="7F2A62F5" w14:textId="77777777" w:rsidR="00564F89" w:rsidRDefault="00000000">
      <w:pPr>
        <w:pStyle w:val="ListParagraph"/>
        <w:numPr>
          <w:ilvl w:val="0"/>
          <w:numId w:val="1"/>
        </w:numPr>
        <w:tabs>
          <w:tab w:val="left" w:pos="839"/>
          <w:tab w:val="left" w:pos="840"/>
        </w:tabs>
        <w:bidi/>
        <w:rPr>
          <w:sz w:val="24"/>
          <w:rtl/>
        </w:rPr>
      </w:pPr>
      <w:hyperlink r:id="rId22">
        <w:r>
          <w:rPr>
            <w:rFonts w:hint="cs"/>
            <w:color w:val="0000FF"/>
            <w:sz w:val="24"/>
            <w:u w:val="single" w:color="0000FF"/>
            <w:rtl/>
          </w:rPr>
          <w:t>فرقة العمل المعنية بالاعتداء الجنسي في ولاية أوريجون (</w:t>
        </w:r>
        <w:r>
          <w:rPr>
            <w:color w:val="0000FF"/>
            <w:sz w:val="24"/>
            <w:u w:val="single" w:color="0000FF"/>
          </w:rPr>
          <w:t>SATF</w:t>
        </w:r>
        <w:r>
          <w:rPr>
            <w:rFonts w:hint="cs"/>
            <w:color w:val="0000FF"/>
            <w:sz w:val="24"/>
            <w:u w:val="single" w:color="0000FF"/>
            <w:rtl/>
          </w:rPr>
          <w:t>)</w:t>
        </w:r>
      </w:hyperlink>
    </w:p>
    <w:p w14:paraId="7F2A62F6" w14:textId="77777777" w:rsidR="00564F89" w:rsidRDefault="00000000">
      <w:pPr>
        <w:pStyle w:val="ListParagraph"/>
        <w:numPr>
          <w:ilvl w:val="0"/>
          <w:numId w:val="1"/>
        </w:numPr>
        <w:tabs>
          <w:tab w:val="left" w:pos="839"/>
          <w:tab w:val="left" w:pos="840"/>
        </w:tabs>
        <w:bidi/>
        <w:rPr>
          <w:sz w:val="24"/>
          <w:rtl/>
        </w:rPr>
      </w:pPr>
      <w:hyperlink r:id="rId23">
        <w:r>
          <w:rPr>
            <w:rFonts w:hint="cs"/>
            <w:color w:val="0000FF"/>
            <w:sz w:val="24"/>
            <w:u w:val="single" w:color="0000FF"/>
            <w:rtl/>
          </w:rPr>
          <w:t>موارد مجتمعات الميم (</w:t>
        </w:r>
        <w:r>
          <w:rPr>
            <w:color w:val="0000FF"/>
            <w:sz w:val="24"/>
            <w:u w:val="single" w:color="0000FF"/>
          </w:rPr>
          <w:t>RAINN</w:t>
        </w:r>
        <w:r>
          <w:rPr>
            <w:rFonts w:hint="cs"/>
            <w:color w:val="0000FF"/>
            <w:sz w:val="24"/>
            <w:u w:val="single" w:color="0000FF"/>
            <w:rtl/>
          </w:rPr>
          <w:t>)</w:t>
        </w:r>
      </w:hyperlink>
    </w:p>
    <w:p w14:paraId="7F2A62F7" w14:textId="77777777" w:rsidR="00564F89" w:rsidRDefault="00000000">
      <w:pPr>
        <w:pStyle w:val="ListParagraph"/>
        <w:numPr>
          <w:ilvl w:val="0"/>
          <w:numId w:val="1"/>
        </w:numPr>
        <w:tabs>
          <w:tab w:val="left" w:pos="839"/>
          <w:tab w:val="left" w:pos="840"/>
        </w:tabs>
        <w:bidi/>
        <w:spacing w:before="119"/>
        <w:rPr>
          <w:sz w:val="24"/>
          <w:rtl/>
        </w:rPr>
      </w:pPr>
      <w:hyperlink r:id="rId24">
        <w:r>
          <w:rPr>
            <w:rFonts w:hint="cs"/>
            <w:color w:val="0000FF"/>
            <w:sz w:val="24"/>
            <w:u w:val="single" w:color="0000FF"/>
            <w:rtl/>
          </w:rPr>
          <w:t>تحالف ولاية أوريجون ضد العنف المنزلي والجنسي</w:t>
        </w:r>
      </w:hyperlink>
    </w:p>
    <w:p w14:paraId="7F2A62F8" w14:textId="77777777" w:rsidR="00564F89" w:rsidRDefault="00000000">
      <w:pPr>
        <w:pStyle w:val="ListParagraph"/>
        <w:numPr>
          <w:ilvl w:val="0"/>
          <w:numId w:val="1"/>
        </w:numPr>
        <w:tabs>
          <w:tab w:val="left" w:pos="839"/>
          <w:tab w:val="left" w:pos="840"/>
        </w:tabs>
        <w:bidi/>
        <w:rPr>
          <w:sz w:val="24"/>
          <w:rtl/>
        </w:rPr>
      </w:pPr>
      <w:hyperlink r:id="rId25">
        <w:r>
          <w:rPr>
            <w:rFonts w:hint="cs"/>
            <w:color w:val="0000FF"/>
            <w:sz w:val="24"/>
            <w:u w:val="single" w:color="0000FF"/>
            <w:rtl/>
          </w:rPr>
          <w:t>التحالف الوطني لإنهاء العنف الجنسي</w:t>
        </w:r>
      </w:hyperlink>
    </w:p>
    <w:p w14:paraId="7F2A62F9" w14:textId="77777777" w:rsidR="00564F89" w:rsidRDefault="00564F89">
      <w:pPr>
        <w:rPr>
          <w:sz w:val="24"/>
        </w:rPr>
        <w:sectPr w:rsidR="00564F89" w:rsidSect="00B751AD">
          <w:headerReference w:type="default" r:id="rId26"/>
          <w:pgSz w:w="12240" w:h="15840"/>
          <w:pgMar w:top="1820" w:right="1340" w:bottom="1180" w:left="1320" w:header="505" w:footer="997" w:gutter="0"/>
          <w:cols w:space="720"/>
        </w:sectPr>
      </w:pPr>
    </w:p>
    <w:p w14:paraId="7F2A62FB" w14:textId="77777777" w:rsidR="00564F89" w:rsidRDefault="00000000">
      <w:pPr>
        <w:pStyle w:val="Heading2"/>
        <w:bidi/>
        <w:spacing w:before="213"/>
        <w:rPr>
          <w:rtl/>
        </w:rPr>
      </w:pPr>
      <w:bookmarkStart w:id="4" w:name="Resources_for_those_concerned_about_some"/>
      <w:bookmarkEnd w:id="4"/>
      <w:r>
        <w:rPr>
          <w:rFonts w:hint="cs"/>
          <w:rtl/>
        </w:rPr>
        <w:lastRenderedPageBreak/>
        <w:t>موارد لأولئك الذين يشعرون بالخوف على شخص يتعرض للعنف</w:t>
      </w:r>
    </w:p>
    <w:p w14:paraId="7F2A62FC" w14:textId="77777777" w:rsidR="00564F89" w:rsidRDefault="00564F89">
      <w:pPr>
        <w:pStyle w:val="BodyText"/>
        <w:spacing w:before="2"/>
        <w:ind w:left="0" w:firstLine="0"/>
        <w:rPr>
          <w:b/>
          <w:sz w:val="28"/>
        </w:rPr>
      </w:pPr>
    </w:p>
    <w:p w14:paraId="7F2A62FD" w14:textId="3DE34FBD" w:rsidR="00564F89" w:rsidRDefault="00000000">
      <w:pPr>
        <w:pStyle w:val="ListParagraph"/>
        <w:numPr>
          <w:ilvl w:val="0"/>
          <w:numId w:val="1"/>
        </w:numPr>
        <w:tabs>
          <w:tab w:val="left" w:pos="839"/>
          <w:tab w:val="left" w:pos="840"/>
        </w:tabs>
        <w:bidi/>
        <w:spacing w:before="0"/>
        <w:rPr>
          <w:sz w:val="24"/>
          <w:rtl/>
        </w:rPr>
      </w:pPr>
      <w:hyperlink r:id="rId27">
        <w:r>
          <w:rPr>
            <w:rFonts w:hint="cs"/>
            <w:color w:val="0000FF"/>
            <w:sz w:val="24"/>
            <w:u w:val="single" w:color="0000FF"/>
            <w:rtl/>
          </w:rPr>
          <w:t xml:space="preserve"> ساعد صديقًا أو أحد أفراد العائلة أو مراهقًا أو زميلًا في العمل</w:t>
        </w:r>
      </w:hyperlink>
      <w:r w:rsidR="009D5223">
        <w:rPr>
          <w:color w:val="0000FF"/>
          <w:sz w:val="24"/>
          <w:u w:val="single" w:color="0000FF"/>
        </w:rPr>
        <w:t xml:space="preserve"> </w:t>
      </w:r>
      <w:r>
        <w:rPr>
          <w:rFonts w:hint="cs"/>
          <w:sz w:val="24"/>
          <w:rtl/>
        </w:rPr>
        <w:t>– الخط الساخن الوطني للعنف المنزلي</w:t>
      </w:r>
    </w:p>
    <w:p w14:paraId="7F2A62FE" w14:textId="5476D83B" w:rsidR="00564F89" w:rsidRDefault="00000000">
      <w:pPr>
        <w:pStyle w:val="ListParagraph"/>
        <w:numPr>
          <w:ilvl w:val="0"/>
          <w:numId w:val="1"/>
        </w:numPr>
        <w:tabs>
          <w:tab w:val="left" w:pos="839"/>
          <w:tab w:val="left" w:pos="840"/>
        </w:tabs>
        <w:bidi/>
        <w:rPr>
          <w:sz w:val="24"/>
          <w:rtl/>
        </w:rPr>
      </w:pPr>
      <w:hyperlink r:id="rId28">
        <w:r>
          <w:rPr>
            <w:rFonts w:hint="cs"/>
            <w:color w:val="0000FF"/>
            <w:sz w:val="24"/>
            <w:u w:val="single" w:color="0000FF"/>
            <w:rtl/>
          </w:rPr>
          <w:t xml:space="preserve"> إرشادات لأصدقاء وأسر وجيران</w:t>
        </w:r>
      </w:hyperlink>
      <w:r w:rsidR="009D5223" w:rsidRPr="009D5223">
        <w:rPr>
          <w:color w:val="0000FF"/>
          <w:sz w:val="24"/>
          <w:u w:color="0000FF"/>
        </w:rPr>
        <w:t xml:space="preserve"> </w:t>
      </w:r>
      <w:r>
        <w:rPr>
          <w:rFonts w:hint="cs"/>
          <w:sz w:val="24"/>
          <w:rtl/>
        </w:rPr>
        <w:t>أولئك الذين يتعرضون للعنف الأسري</w:t>
      </w:r>
    </w:p>
    <w:sectPr w:rsidR="00564F89">
      <w:pgSz w:w="12240" w:h="15840"/>
      <w:pgMar w:top="1820" w:right="134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986C" w14:textId="77777777" w:rsidR="00B751AD" w:rsidRDefault="00B751AD">
      <w:r>
        <w:separator/>
      </w:r>
    </w:p>
  </w:endnote>
  <w:endnote w:type="continuationSeparator" w:id="0">
    <w:p w14:paraId="6318CD27" w14:textId="77777777" w:rsidR="00B751AD" w:rsidRDefault="00B7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6300" w14:textId="419843EB" w:rsidR="00564F89" w:rsidRDefault="006318BD">
    <w:pPr>
      <w:pStyle w:val="BodyText"/>
      <w:bidi/>
      <w:spacing w:before="0" w:line="14" w:lineRule="auto"/>
      <w:ind w:left="0" w:firstLine="0"/>
      <w:rPr>
        <w:sz w:val="20"/>
        <w:rtl/>
      </w:rPr>
    </w:pPr>
    <w:r>
      <w:rPr>
        <w:rFonts w:hint="cs"/>
        <w:noProof/>
        <w:rtl/>
      </w:rPr>
      <mc:AlternateContent>
        <mc:Choice Requires="wps">
          <w:drawing>
            <wp:anchor distT="0" distB="0" distL="114300" distR="114300" simplePos="0" relativeHeight="251533312" behindDoc="1" locked="0" layoutInCell="1" allowOverlap="1" wp14:anchorId="7F2A6304" wp14:editId="0508E726">
              <wp:simplePos x="0" y="0"/>
              <wp:positionH relativeFrom="page">
                <wp:posOffset>6748780</wp:posOffset>
              </wp:positionH>
              <wp:positionV relativeFrom="page">
                <wp:posOffset>9285605</wp:posOffset>
              </wp:positionV>
              <wp:extent cx="147320" cy="165100"/>
              <wp:effectExtent l="0" t="0" r="0" b="0"/>
              <wp:wrapNone/>
              <wp:docPr id="1106569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A6306" w14:textId="77777777" w:rsidR="00564F89" w:rsidRDefault="00000000">
                          <w:pPr>
                            <w:bidi/>
                            <w:spacing w:line="244" w:lineRule="exact"/>
                            <w:ind w:left="60"/>
                            <w:rPr>
                              <w:rtl/>
                            </w:rPr>
                          </w:pPr>
                          <w:r>
                            <w:fldChar w:fldCharType="begin"/>
                          </w:r>
                          <w:r>
                            <w:rPr>
                              <w:rtl/>
                            </w:rPr>
                            <w:instrText xml:space="preserve"> </w:instrText>
                          </w:r>
                          <w:r>
                            <w:rPr>
                              <w:rFonts w:hint="cs"/>
                            </w:rPr>
                            <w:instrText xml:space="preserve">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6304" id="_x0000_t202" coordsize="21600,21600" o:spt="202" path="m,l,21600r21600,l21600,xe">
              <v:stroke joinstyle="miter"/>
              <v:path gradientshapeok="t" o:connecttype="rect"/>
            </v:shapetype>
            <v:shape id="Text Box 1" o:spid="_x0000_s1027" type="#_x0000_t202" style="position:absolute;margin-left:531.4pt;margin-top:731.15pt;width:11.6pt;height:13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" filled="f" stroked="f">
              <v:textbox inset="0,0,0,0">
                <w:txbxContent>
                  <w:p w14:paraId="7F2A6306" w14:textId="77777777" w:rsidR="00564F89" w:rsidRDefault="00000000">
                    <w:pPr>
                      <w:spacing w:line="244" w:lineRule="exact"/>
                      <w:ind w:left="60"/>
                      <w:bidi/>
                      <w:rPr>
                        <w:rFonts w:hint="cs"/>
                        <w:rtl/>
                      </w:rPr>
                    </w:pPr>
                    <w:r>
                      <w:fldChar w:fldCharType="begin"/>
                    </w:r>
                    <w:r>
                      <w:rPr>
                        <w:rtl/>
                      </w:rPr>
                      <w:instrText xml:space="preserve"> </w:instrText>
                    </w:r>
                    <w:r>
                      <w:rPr>
                        <w:rFonts w:hint="cs"/>
                      </w:rPr>
                      <w:instrText xml:space="preserve">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DBEF" w14:textId="77777777" w:rsidR="00B751AD" w:rsidRDefault="00B751AD">
      <w:r>
        <w:separator/>
      </w:r>
    </w:p>
  </w:footnote>
  <w:footnote w:type="continuationSeparator" w:id="0">
    <w:p w14:paraId="539FE147" w14:textId="77777777" w:rsidR="00B751AD" w:rsidRDefault="00B7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62FF" w14:textId="215A081A" w:rsidR="00564F89" w:rsidRDefault="00000000">
    <w:pPr>
      <w:pStyle w:val="BodyText"/>
      <w:spacing w:before="0" w:line="14" w:lineRule="auto"/>
      <w:ind w:left="0" w:firstLine="0"/>
      <w:rPr>
        <w:sz w:val="20"/>
      </w:rPr>
    </w:pPr>
    <w:r>
      <w:rPr>
        <w:noProof/>
      </w:rPr>
      <w:drawing>
        <wp:anchor distT="0" distB="0" distL="0" distR="0" simplePos="0" relativeHeight="251531264" behindDoc="1" locked="0" layoutInCell="1" allowOverlap="1" wp14:anchorId="7F2A6301" wp14:editId="52680566">
          <wp:simplePos x="0" y="0"/>
          <wp:positionH relativeFrom="page">
            <wp:posOffset>5130800</wp:posOffset>
          </wp:positionH>
          <wp:positionV relativeFrom="page">
            <wp:posOffset>320675</wp:posOffset>
          </wp:positionV>
          <wp:extent cx="2289472" cy="846454"/>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r w:rsidR="006318BD">
      <w:rPr>
        <w:noProof/>
      </w:rPr>
      <mc:AlternateContent>
        <mc:Choice Requires="wps">
          <w:drawing>
            <wp:anchor distT="0" distB="0" distL="114300" distR="114300" simplePos="0" relativeHeight="251532288" behindDoc="1" locked="0" layoutInCell="1" allowOverlap="1" wp14:anchorId="7F2A6303" wp14:editId="1D500199">
              <wp:simplePos x="0" y="0"/>
              <wp:positionH relativeFrom="page">
                <wp:posOffset>901700</wp:posOffset>
              </wp:positionH>
              <wp:positionV relativeFrom="page">
                <wp:posOffset>652780</wp:posOffset>
              </wp:positionV>
              <wp:extent cx="4039870" cy="305435"/>
              <wp:effectExtent l="0" t="0" r="0" b="0"/>
              <wp:wrapNone/>
              <wp:docPr id="1531391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A6305" w14:textId="15206144" w:rsidR="00564F89" w:rsidRPr="001C4250" w:rsidRDefault="001C4250">
                          <w:pPr>
                            <w:spacing w:line="468" w:lineRule="exact"/>
                            <w:ind w:left="20"/>
                            <w:rPr>
                              <w:bCs/>
                              <w:sz w:val="44"/>
                              <w:szCs w:val="44"/>
                              <w:rtl/>
                            </w:rPr>
                          </w:pPr>
                          <w:r w:rsidRPr="001C4250">
                            <w:rPr>
                              <w:rFonts w:hint="cs"/>
                              <w:bCs/>
                              <w:sz w:val="44"/>
                              <w:szCs w:val="44"/>
                              <w:rtl/>
                            </w:rPr>
                            <w:t>الصحة العقلية والدعم الاجتماعي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6303" id="_x0000_t202" coordsize="21600,21600" o:spt="202" path="m,l,21600r21600,l21600,xe">
              <v:stroke joinstyle="miter"/>
              <v:path gradientshapeok="t" o:connecttype="rect"/>
            </v:shapetype>
            <v:shape id="Text Box 2" o:spid="_x0000_s1026" type="#_x0000_t202" style="position:absolute;margin-left:71pt;margin-top:51.4pt;width:318.1pt;height:24.0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" filled="f" stroked="f">
              <v:textbox inset="0,0,0,0">
                <w:txbxContent>
                  <w:p w14:paraId="7F2A6305" w14:textId="15206144" w:rsidR="00564F89" w:rsidRPr="001C4250" w:rsidRDefault="001C4250">
                    <w:pPr>
                      <w:spacing w:line="468" w:lineRule="exact"/>
                      <w:ind w:left="20"/>
                      <w:rPr>
                        <w:bCs/>
                        <w:sz w:val="44"/>
                        <w:szCs w:val="44"/>
                        <w:rtl/>
                      </w:rPr>
                    </w:pPr>
                    <w:r w:rsidRPr="001C4250">
                      <w:rPr>
                        <w:rFonts w:hint="cs"/>
                        <w:bCs/>
                        <w:sz w:val="44"/>
                        <w:szCs w:val="44"/>
                        <w:rtl/>
                      </w:rPr>
                      <w:t>الصحة العقلية والدعم الاجتماعي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09AD" w14:textId="228D0D0D" w:rsidR="004D396A" w:rsidRDefault="004D396A">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C1BCD"/>
    <w:multiLevelType w:val="hybridMultilevel"/>
    <w:tmpl w:val="65C00318"/>
    <w:lvl w:ilvl="0" w:tplc="21C4A5A2">
      <w:numFmt w:val="bullet"/>
      <w:lvlText w:val=""/>
      <w:lvlJc w:val="left"/>
      <w:pPr>
        <w:ind w:left="840" w:hanging="360"/>
      </w:pPr>
      <w:rPr>
        <w:rFonts w:ascii="Symbol" w:eastAsia="Symbol" w:hAnsi="Symbol" w:cs="Symbol" w:hint="default"/>
        <w:w w:val="100"/>
        <w:sz w:val="20"/>
        <w:szCs w:val="20"/>
        <w:lang w:val="en-US" w:eastAsia="en-US" w:bidi="en-US"/>
      </w:rPr>
    </w:lvl>
    <w:lvl w:ilvl="1" w:tplc="E0547736">
      <w:numFmt w:val="bullet"/>
      <w:lvlText w:val="•"/>
      <w:lvlJc w:val="left"/>
      <w:pPr>
        <w:ind w:left="1714" w:hanging="360"/>
      </w:pPr>
      <w:rPr>
        <w:rFonts w:hint="default"/>
        <w:lang w:val="en-US" w:eastAsia="en-US" w:bidi="en-US"/>
      </w:rPr>
    </w:lvl>
    <w:lvl w:ilvl="2" w:tplc="EC8068B4">
      <w:numFmt w:val="bullet"/>
      <w:lvlText w:val="•"/>
      <w:lvlJc w:val="left"/>
      <w:pPr>
        <w:ind w:left="2588" w:hanging="360"/>
      </w:pPr>
      <w:rPr>
        <w:rFonts w:hint="default"/>
        <w:lang w:val="en-US" w:eastAsia="en-US" w:bidi="en-US"/>
      </w:rPr>
    </w:lvl>
    <w:lvl w:ilvl="3" w:tplc="4A3E95BA">
      <w:numFmt w:val="bullet"/>
      <w:lvlText w:val="•"/>
      <w:lvlJc w:val="left"/>
      <w:pPr>
        <w:ind w:left="3462" w:hanging="360"/>
      </w:pPr>
      <w:rPr>
        <w:rFonts w:hint="default"/>
        <w:lang w:val="en-US" w:eastAsia="en-US" w:bidi="en-US"/>
      </w:rPr>
    </w:lvl>
    <w:lvl w:ilvl="4" w:tplc="6DF859BE">
      <w:numFmt w:val="bullet"/>
      <w:lvlText w:val="•"/>
      <w:lvlJc w:val="left"/>
      <w:pPr>
        <w:ind w:left="4336" w:hanging="360"/>
      </w:pPr>
      <w:rPr>
        <w:rFonts w:hint="default"/>
        <w:lang w:val="en-US" w:eastAsia="en-US" w:bidi="en-US"/>
      </w:rPr>
    </w:lvl>
    <w:lvl w:ilvl="5" w:tplc="31DA0360">
      <w:numFmt w:val="bullet"/>
      <w:lvlText w:val="•"/>
      <w:lvlJc w:val="left"/>
      <w:pPr>
        <w:ind w:left="5210" w:hanging="360"/>
      </w:pPr>
      <w:rPr>
        <w:rFonts w:hint="default"/>
        <w:lang w:val="en-US" w:eastAsia="en-US" w:bidi="en-US"/>
      </w:rPr>
    </w:lvl>
    <w:lvl w:ilvl="6" w:tplc="F8BA7B54">
      <w:numFmt w:val="bullet"/>
      <w:lvlText w:val="•"/>
      <w:lvlJc w:val="left"/>
      <w:pPr>
        <w:ind w:left="6084" w:hanging="360"/>
      </w:pPr>
      <w:rPr>
        <w:rFonts w:hint="default"/>
        <w:lang w:val="en-US" w:eastAsia="en-US" w:bidi="en-US"/>
      </w:rPr>
    </w:lvl>
    <w:lvl w:ilvl="7" w:tplc="AD4A77D8">
      <w:numFmt w:val="bullet"/>
      <w:lvlText w:val="•"/>
      <w:lvlJc w:val="left"/>
      <w:pPr>
        <w:ind w:left="6958" w:hanging="360"/>
      </w:pPr>
      <w:rPr>
        <w:rFonts w:hint="default"/>
        <w:lang w:val="en-US" w:eastAsia="en-US" w:bidi="en-US"/>
      </w:rPr>
    </w:lvl>
    <w:lvl w:ilvl="8" w:tplc="3A7278BA">
      <w:numFmt w:val="bullet"/>
      <w:lvlText w:val="•"/>
      <w:lvlJc w:val="left"/>
      <w:pPr>
        <w:ind w:left="7832" w:hanging="360"/>
      </w:pPr>
      <w:rPr>
        <w:rFonts w:hint="default"/>
        <w:lang w:val="en-US" w:eastAsia="en-US" w:bidi="en-US"/>
      </w:rPr>
    </w:lvl>
  </w:abstractNum>
  <w:num w:numId="1" w16cid:durableId="55385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89"/>
    <w:rsid w:val="00143D3E"/>
    <w:rsid w:val="001C4250"/>
    <w:rsid w:val="002C336E"/>
    <w:rsid w:val="004D396A"/>
    <w:rsid w:val="00564F89"/>
    <w:rsid w:val="006318BD"/>
    <w:rsid w:val="009D5223"/>
    <w:rsid w:val="00B751AD"/>
    <w:rsid w:val="00F61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A62C8"/>
  <w15:docId w15:val="{43757F05-07BB-47BA-9FC1-4600E791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hanging="2447"/>
      <w:outlineLvl w:val="0"/>
    </w:pPr>
    <w:rPr>
      <w:b/>
      <w:bCs/>
      <w:sz w:val="44"/>
      <w:szCs w:val="44"/>
    </w:rPr>
  </w:style>
  <w:style w:type="paragraph" w:styleId="Heading2">
    <w:name w:val="heading 2"/>
    <w:basedOn w:val="Normal"/>
    <w:uiPriority w:val="9"/>
    <w:unhideWhenUsed/>
    <w:qFormat/>
    <w:pPr>
      <w:spacing w:before="43"/>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40" w:hanging="360"/>
    </w:pPr>
    <w:rPr>
      <w:sz w:val="24"/>
      <w:szCs w:val="24"/>
    </w:rPr>
  </w:style>
  <w:style w:type="paragraph" w:styleId="ListParagraph">
    <w:name w:val="List Paragraph"/>
    <w:basedOn w:val="Normal"/>
    <w:uiPriority w:val="1"/>
    <w:qFormat/>
    <w:pPr>
      <w:spacing w:before="120"/>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396A"/>
    <w:pPr>
      <w:tabs>
        <w:tab w:val="center" w:pos="4680"/>
        <w:tab w:val="right" w:pos="9360"/>
      </w:tabs>
    </w:pPr>
  </w:style>
  <w:style w:type="character" w:customStyle="1" w:styleId="HeaderChar">
    <w:name w:val="Header Char"/>
    <w:basedOn w:val="DefaultParagraphFont"/>
    <w:link w:val="Header"/>
    <w:uiPriority w:val="99"/>
    <w:rsid w:val="004D396A"/>
    <w:rPr>
      <w:rFonts w:ascii="Calibri" w:eastAsia="Calibri" w:hAnsi="Calibri" w:cs="Calibri"/>
      <w:lang w:bidi="ar-EG"/>
    </w:rPr>
  </w:style>
  <w:style w:type="paragraph" w:styleId="Footer">
    <w:name w:val="footer"/>
    <w:basedOn w:val="Normal"/>
    <w:link w:val="FooterChar"/>
    <w:uiPriority w:val="99"/>
    <w:unhideWhenUsed/>
    <w:rsid w:val="004D396A"/>
    <w:pPr>
      <w:tabs>
        <w:tab w:val="center" w:pos="4680"/>
        <w:tab w:val="right" w:pos="9360"/>
      </w:tabs>
    </w:pPr>
  </w:style>
  <w:style w:type="character" w:customStyle="1" w:styleId="FooterChar">
    <w:name w:val="Footer Char"/>
    <w:basedOn w:val="DefaultParagraphFont"/>
    <w:link w:val="Footer"/>
    <w:uiPriority w:val="99"/>
    <w:rsid w:val="004D396A"/>
    <w:rPr>
      <w:rFonts w:ascii="Calibri" w:eastAsia="Calibri" w:hAnsi="Calibri" w:cs="Calibri"/>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hehotline.org/help/" TargetMode="External"/><Relationship Id="rId18" Type="http://schemas.openxmlformats.org/officeDocument/2006/relationships/hyperlink" Target="https://www.ocadsv.org/find-help"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oregon.gov/DHS/ABUSE/DOMESTIC/Pages/tadvs.aspx" TargetMode="External"/><Relationship Id="rId7" Type="http://schemas.openxmlformats.org/officeDocument/2006/relationships/header" Target="header1.xml"/><Relationship Id="rId12" Type="http://schemas.openxmlformats.org/officeDocument/2006/relationships/hyperlink" Target="mailto:nationaldeafhotline@adwas.org" TargetMode="External"/><Relationship Id="rId17" Type="http://schemas.openxmlformats.org/officeDocument/2006/relationships/hyperlink" Target="https://apps.state.or.us/DomesticViolence/" TargetMode="External"/><Relationship Id="rId25" Type="http://schemas.openxmlformats.org/officeDocument/2006/relationships/hyperlink" Target="http://endsexualviolence.org/"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rainn.org/articles/lgbtq-survivors-sexual-violence" TargetMode="External"/><Relationship Id="rId20" Type="http://schemas.openxmlformats.org/officeDocument/2006/relationships/hyperlink" Target="http://www.thehotline.org/wp-content/uploads/sites/3/2016/10/NDVH-firearms-tipsheet.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otline.org/what-is-live-chat/" TargetMode="External"/><Relationship Id="rId24" Type="http://schemas.openxmlformats.org/officeDocument/2006/relationships/hyperlink" Target="http://www.ocadsv.org/"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988lifeline.org/" TargetMode="External"/><Relationship Id="rId23" Type="http://schemas.openxmlformats.org/officeDocument/2006/relationships/hyperlink" Target="https://www.rainn.org/articles/lgbtq-survivors-sexual-violence" TargetMode="External"/><Relationship Id="rId28" Type="http://schemas.openxmlformats.org/officeDocument/2006/relationships/hyperlink" Target="https://www.dvrcv.org.au/help-advice/guide-for-families-friends-and-neighbours" TargetMode="External"/><Relationship Id="rId10" Type="http://schemas.openxmlformats.org/officeDocument/2006/relationships/hyperlink" Target="https://www.thehotline.org/" TargetMode="External"/><Relationship Id="rId19" Type="http://schemas.openxmlformats.org/officeDocument/2006/relationships/hyperlink" Target="https://victimsofcrime.org/our-programs/stalking-resource-center"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ohl.rainn.org/online/" TargetMode="External"/><Relationship Id="rId14" Type="http://schemas.openxmlformats.org/officeDocument/2006/relationships/hyperlink" Target="https://espanol.thehotline.org/" TargetMode="External"/><Relationship Id="rId22" Type="http://schemas.openxmlformats.org/officeDocument/2006/relationships/hyperlink" Target="http://oregonsatf.org/" TargetMode="External"/><Relationship Id="rId27" Type="http://schemas.openxmlformats.org/officeDocument/2006/relationships/hyperlink" Target="https://www.thehotline.org/help/help-for-friends-and-family/" TargetMode="External"/><Relationship Id="rId30"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7232E8-1EB6-4C6D-9394-E28BB8FEC16B}"/>
</file>

<file path=customXml/itemProps2.xml><?xml version="1.0" encoding="utf-8"?>
<ds:datastoreItem xmlns:ds="http://schemas.openxmlformats.org/officeDocument/2006/customXml" ds:itemID="{47AE36E6-B9CB-42EB-BF6E-A08A7C20965B}"/>
</file>

<file path=customXml/itemProps3.xml><?xml version="1.0" encoding="utf-8"?>
<ds:datastoreItem xmlns:ds="http://schemas.openxmlformats.org/officeDocument/2006/customXml" ds:itemID="{DEF9A545-EDBD-40F8-858D-7D027877DC12}"/>
</file>

<file path=docProps/app.xml><?xml version="1.0" encoding="utf-8"?>
<Properties xmlns="http://schemas.openxmlformats.org/officeDocument/2006/extended-properties" xmlns:vt="http://schemas.openxmlformats.org/officeDocument/2006/docPropsVTypes">
  <Template>Normal</Template>
  <TotalTime>6</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What to Do if You are Experiencing Domestic Abuse or Violence</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if You are Experiencing Domestic Abuse or Violence</dc:title>
  <dc:creator>KNAUS Jenni - ODE</dc:creator>
  <cp:lastModifiedBy>Mostafa Ezzat</cp:lastModifiedBy>
  <cp:revision>8</cp:revision>
  <dcterms:created xsi:type="dcterms:W3CDTF">2024-01-22T17:44:00Z</dcterms:created>
  <dcterms:modified xsi:type="dcterms:W3CDTF">2024-02-23T21:26:00Z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2024-01-22T17:44:58Z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f46bde3d-2589-4c41-9630-84c1b745846a</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