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A028E" w14:textId="0D9D3A51" w:rsidR="002B1209" w:rsidRDefault="002E7EAD" w:rsidP="002B1209">
      <w:pPr>
        <w:pStyle w:val="Title"/>
        <w:pBdr>
          <w:bottom w:val="none" w:sz="0" w:space="0" w:color="auto"/>
        </w:pBdr>
        <w:spacing w:after="240"/>
        <w:contextualSpacing w:val="0"/>
        <w:jc w:val="center"/>
        <w:rPr>
          <w:rFonts w:ascii="Arial" w:hAnsi="Arial" w:cs="Arial"/>
          <w:b/>
          <w:bCs/>
          <w:sz w:val="34"/>
          <w:szCs w:val="18"/>
        </w:rPr>
      </w:pPr>
      <w:r w:rsidRPr="002E7EAD">
        <w:rPr>
          <w:rFonts w:ascii="Arial" w:hAnsi="Arial" w:cs="Arial"/>
          <w:b/>
          <w:bCs/>
          <w:sz w:val="34"/>
          <w:szCs w:val="18"/>
        </w:rPr>
        <w:t>2021-2023 State Plan for Independent Living Comment Repor</w:t>
      </w:r>
      <w:r w:rsidR="002B1209">
        <w:rPr>
          <w:rFonts w:ascii="Arial" w:hAnsi="Arial" w:cs="Arial"/>
          <w:b/>
          <w:bCs/>
          <w:sz w:val="34"/>
          <w:szCs w:val="18"/>
        </w:rPr>
        <w:t>t</w:t>
      </w:r>
    </w:p>
    <w:p w14:paraId="63D2F26A" w14:textId="5D127399" w:rsidR="000B00C9" w:rsidRPr="000B00C9" w:rsidRDefault="000B00C9" w:rsidP="000B00C9">
      <w:r>
        <w:t>Updated: 4/17/20</w:t>
      </w:r>
    </w:p>
    <w:tbl>
      <w:tblPr>
        <w:tblStyle w:val="TableGrid"/>
        <w:tblW w:w="11014" w:type="dxa"/>
        <w:jc w:val="center"/>
        <w:tblLook w:val="04A0" w:firstRow="1" w:lastRow="0" w:firstColumn="1" w:lastColumn="0" w:noHBand="0" w:noVBand="1"/>
      </w:tblPr>
      <w:tblGrid>
        <w:gridCol w:w="445"/>
        <w:gridCol w:w="5317"/>
        <w:gridCol w:w="1632"/>
        <w:gridCol w:w="3620"/>
      </w:tblGrid>
      <w:tr w:rsidR="002057F4" w:rsidRPr="002E7EAD" w14:paraId="79A60F33" w14:textId="77777777" w:rsidTr="002057F4">
        <w:trPr>
          <w:tblHeader/>
          <w:jc w:val="center"/>
        </w:trPr>
        <w:tc>
          <w:tcPr>
            <w:tcW w:w="445" w:type="dxa"/>
            <w:shd w:val="clear" w:color="auto" w:fill="F2F2F2" w:themeFill="background1" w:themeFillShade="F2"/>
            <w:tcMar>
              <w:top w:w="29" w:type="dxa"/>
              <w:left w:w="43" w:type="dxa"/>
              <w:bottom w:w="29" w:type="dxa"/>
              <w:right w:w="43" w:type="dxa"/>
            </w:tcMar>
          </w:tcPr>
          <w:p w14:paraId="56FD40F1" w14:textId="77777777" w:rsidR="001E76D0" w:rsidRPr="002E7EAD" w:rsidRDefault="001E76D0" w:rsidP="00163B96">
            <w:pPr>
              <w:spacing w:after="0"/>
              <w:ind w:left="-24"/>
              <w:jc w:val="center"/>
              <w:rPr>
                <w:rFonts w:ascii="Arial" w:hAnsi="Arial" w:cs="Arial"/>
                <w:b/>
                <w:bCs/>
              </w:rPr>
            </w:pPr>
          </w:p>
        </w:tc>
        <w:tc>
          <w:tcPr>
            <w:tcW w:w="5317" w:type="dxa"/>
            <w:shd w:val="clear" w:color="auto" w:fill="F2F2F2" w:themeFill="background1" w:themeFillShade="F2"/>
            <w:vAlign w:val="center"/>
          </w:tcPr>
          <w:p w14:paraId="78D53FBA" w14:textId="382AA4B3" w:rsidR="001E76D0" w:rsidRPr="002E7EAD" w:rsidRDefault="001E76D0" w:rsidP="00163B96">
            <w:pPr>
              <w:spacing w:after="0"/>
              <w:jc w:val="center"/>
              <w:rPr>
                <w:rFonts w:ascii="Arial" w:hAnsi="Arial" w:cs="Arial"/>
                <w:b/>
                <w:bCs/>
              </w:rPr>
            </w:pPr>
            <w:r w:rsidRPr="002E7EAD">
              <w:rPr>
                <w:rFonts w:ascii="Arial" w:hAnsi="Arial" w:cs="Arial"/>
                <w:b/>
                <w:bCs/>
              </w:rPr>
              <w:t>Comment</w:t>
            </w:r>
          </w:p>
        </w:tc>
        <w:tc>
          <w:tcPr>
            <w:tcW w:w="1632" w:type="dxa"/>
            <w:shd w:val="clear" w:color="auto" w:fill="F2F2F2" w:themeFill="background1" w:themeFillShade="F2"/>
            <w:vAlign w:val="center"/>
          </w:tcPr>
          <w:p w14:paraId="27FABDFB" w14:textId="77777777" w:rsidR="001E76D0" w:rsidRPr="002E7EAD" w:rsidRDefault="001E76D0" w:rsidP="00163B96">
            <w:pPr>
              <w:spacing w:after="0"/>
              <w:jc w:val="center"/>
              <w:rPr>
                <w:rFonts w:ascii="Arial" w:hAnsi="Arial" w:cs="Arial"/>
                <w:b/>
                <w:bCs/>
              </w:rPr>
            </w:pPr>
            <w:r w:rsidRPr="002E7EAD">
              <w:rPr>
                <w:rFonts w:ascii="Arial" w:hAnsi="Arial" w:cs="Arial"/>
                <w:b/>
                <w:bCs/>
              </w:rPr>
              <w:t>Frequency</w:t>
            </w:r>
          </w:p>
        </w:tc>
        <w:tc>
          <w:tcPr>
            <w:tcW w:w="3620" w:type="dxa"/>
            <w:shd w:val="clear" w:color="auto" w:fill="F2F2F2" w:themeFill="background1" w:themeFillShade="F2"/>
            <w:vAlign w:val="center"/>
          </w:tcPr>
          <w:p w14:paraId="5956FFF4" w14:textId="77777777" w:rsidR="001E76D0" w:rsidRPr="002E7EAD" w:rsidRDefault="001E76D0" w:rsidP="00163B96">
            <w:pPr>
              <w:spacing w:after="0"/>
              <w:jc w:val="center"/>
              <w:rPr>
                <w:rFonts w:ascii="Arial" w:hAnsi="Arial" w:cs="Arial"/>
                <w:b/>
                <w:bCs/>
              </w:rPr>
            </w:pPr>
            <w:r w:rsidRPr="002E7EAD">
              <w:rPr>
                <w:rFonts w:ascii="Arial" w:hAnsi="Arial" w:cs="Arial"/>
                <w:b/>
                <w:bCs/>
              </w:rPr>
              <w:t>Response</w:t>
            </w:r>
          </w:p>
        </w:tc>
      </w:tr>
      <w:tr w:rsidR="002057F4" w:rsidRPr="002E7EAD" w14:paraId="362CC5EF" w14:textId="77777777" w:rsidTr="002057F4">
        <w:trPr>
          <w:jc w:val="center"/>
        </w:trPr>
        <w:tc>
          <w:tcPr>
            <w:tcW w:w="445" w:type="dxa"/>
            <w:tcMar>
              <w:top w:w="29" w:type="dxa"/>
              <w:left w:w="43" w:type="dxa"/>
              <w:bottom w:w="29" w:type="dxa"/>
              <w:right w:w="43" w:type="dxa"/>
            </w:tcMar>
          </w:tcPr>
          <w:p w14:paraId="4578CB12" w14:textId="34A1DF77" w:rsidR="001E76D0" w:rsidRPr="002F5B01" w:rsidRDefault="004C0A95" w:rsidP="00163B96">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1</w:t>
            </w:r>
          </w:p>
        </w:tc>
        <w:tc>
          <w:tcPr>
            <w:tcW w:w="5317" w:type="dxa"/>
          </w:tcPr>
          <w:p w14:paraId="55656EA4" w14:textId="4CB13631" w:rsidR="001E76D0" w:rsidRPr="002F5B01" w:rsidRDefault="001E76D0" w:rsidP="00163B96">
            <w:pPr>
              <w:rPr>
                <w:rFonts w:asciiTheme="minorHAnsi" w:eastAsia="Times New Roman" w:hAnsiTheme="minorHAnsi" w:cstheme="minorHAnsi"/>
                <w:color w:val="000000"/>
                <w:sz w:val="24"/>
                <w:szCs w:val="24"/>
              </w:rPr>
            </w:pPr>
            <w:r w:rsidRPr="002F5B01">
              <w:rPr>
                <w:rFonts w:asciiTheme="minorHAnsi" w:eastAsia="Times New Roman" w:hAnsiTheme="minorHAnsi" w:cstheme="minorHAnsi"/>
                <w:color w:val="000000"/>
                <w:szCs w:val="28"/>
              </w:rPr>
              <w:t>I have found this document to be a tad lengthy and somewhat repetitive, but otherwise good.</w:t>
            </w:r>
          </w:p>
        </w:tc>
        <w:tc>
          <w:tcPr>
            <w:tcW w:w="1632" w:type="dxa"/>
          </w:tcPr>
          <w:p w14:paraId="2F526571" w14:textId="6BA0D612" w:rsidR="001E76D0" w:rsidRPr="002F5B01" w:rsidRDefault="001E76D0" w:rsidP="00163B96">
            <w:pPr>
              <w:jc w:val="center"/>
              <w:rPr>
                <w:rFonts w:asciiTheme="minorHAnsi" w:hAnsiTheme="minorHAnsi" w:cstheme="minorHAnsi"/>
              </w:rPr>
            </w:pPr>
            <w:r w:rsidRPr="002F5B01">
              <w:rPr>
                <w:rFonts w:asciiTheme="minorHAnsi" w:hAnsiTheme="minorHAnsi" w:cstheme="minorHAnsi"/>
              </w:rPr>
              <w:t>1</w:t>
            </w:r>
          </w:p>
        </w:tc>
        <w:tc>
          <w:tcPr>
            <w:tcW w:w="3620" w:type="dxa"/>
          </w:tcPr>
          <w:p w14:paraId="070A6E0E" w14:textId="556EBAB3" w:rsidR="001E76D0" w:rsidRPr="002F5B01" w:rsidRDefault="00824CE5" w:rsidP="00163B96">
            <w:pPr>
              <w:ind w:left="42"/>
              <w:rPr>
                <w:rFonts w:asciiTheme="minorHAnsi" w:hAnsiTheme="minorHAnsi" w:cstheme="minorHAnsi"/>
              </w:rPr>
            </w:pPr>
            <w:r w:rsidRPr="002F5B01">
              <w:rPr>
                <w:rFonts w:asciiTheme="minorHAnsi" w:hAnsiTheme="minorHAnsi" w:cstheme="minorHAnsi"/>
              </w:rPr>
              <w:t>Considered and no changes were made. Length and repetition is required by Federal reporting standards.</w:t>
            </w:r>
          </w:p>
        </w:tc>
      </w:tr>
      <w:tr w:rsidR="00824CE5" w:rsidRPr="002E7EAD" w14:paraId="2E0ACD90" w14:textId="77777777" w:rsidTr="002057F4">
        <w:trPr>
          <w:jc w:val="center"/>
        </w:trPr>
        <w:tc>
          <w:tcPr>
            <w:tcW w:w="445" w:type="dxa"/>
            <w:tcMar>
              <w:top w:w="29" w:type="dxa"/>
              <w:left w:w="43" w:type="dxa"/>
              <w:bottom w:w="29" w:type="dxa"/>
              <w:right w:w="43" w:type="dxa"/>
            </w:tcMar>
          </w:tcPr>
          <w:p w14:paraId="6B906D4F" w14:textId="41069BAB" w:rsidR="00824CE5" w:rsidRPr="002F5B01" w:rsidRDefault="00824CE5" w:rsidP="00824CE5">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2</w:t>
            </w:r>
          </w:p>
        </w:tc>
        <w:tc>
          <w:tcPr>
            <w:tcW w:w="5317" w:type="dxa"/>
          </w:tcPr>
          <w:p w14:paraId="64ACE9A2" w14:textId="46134024" w:rsidR="00824CE5" w:rsidRPr="002F5B01" w:rsidRDefault="00824CE5" w:rsidP="00824CE5">
            <w:pPr>
              <w:pStyle w:val="ListParagraph"/>
              <w:ind w:left="72"/>
              <w:contextualSpacing w:val="0"/>
              <w:rPr>
                <w:rFonts w:asciiTheme="minorHAnsi" w:hAnsiTheme="minorHAnsi" w:cstheme="minorHAnsi"/>
                <w:szCs w:val="28"/>
              </w:rPr>
            </w:pPr>
            <w:r w:rsidRPr="002F5B01">
              <w:rPr>
                <w:rFonts w:asciiTheme="minorHAnsi" w:hAnsiTheme="minorHAnsi" w:cstheme="minorHAnsi"/>
                <w:szCs w:val="28"/>
              </w:rPr>
              <w:t>In noting language pointing to interagency agreements affecting the SILC, there was no mention of any similar agreement(s) between those agencies and the SILC. This suggests alternatively:</w:t>
            </w:r>
          </w:p>
          <w:p w14:paraId="588BD619" w14:textId="77777777" w:rsidR="00824CE5" w:rsidRPr="002F5B01" w:rsidRDefault="00824CE5" w:rsidP="00824CE5">
            <w:pPr>
              <w:pStyle w:val="ListParagraph"/>
              <w:numPr>
                <w:ilvl w:val="0"/>
                <w:numId w:val="2"/>
              </w:numPr>
              <w:ind w:left="522" w:hanging="450"/>
              <w:contextualSpacing w:val="0"/>
              <w:rPr>
                <w:rFonts w:asciiTheme="minorHAnsi" w:hAnsiTheme="minorHAnsi" w:cstheme="minorHAnsi"/>
                <w:szCs w:val="28"/>
              </w:rPr>
            </w:pPr>
            <w:r w:rsidRPr="002F5B01">
              <w:rPr>
                <w:rFonts w:asciiTheme="minorHAnsi" w:hAnsiTheme="minorHAnsi" w:cstheme="minorHAnsi"/>
                <w:szCs w:val="28"/>
              </w:rPr>
              <w:t>The lack of such an agreement(s) with the SILC; and/or</w:t>
            </w:r>
          </w:p>
          <w:p w14:paraId="07A16CA7" w14:textId="77777777" w:rsidR="00824CE5" w:rsidRPr="002F5B01" w:rsidRDefault="00824CE5" w:rsidP="00824CE5">
            <w:pPr>
              <w:pStyle w:val="ListParagraph"/>
              <w:numPr>
                <w:ilvl w:val="0"/>
                <w:numId w:val="2"/>
              </w:numPr>
              <w:ind w:left="522" w:hanging="450"/>
              <w:contextualSpacing w:val="0"/>
              <w:rPr>
                <w:rFonts w:asciiTheme="minorHAnsi" w:hAnsiTheme="minorHAnsi" w:cstheme="minorHAnsi"/>
                <w:szCs w:val="28"/>
              </w:rPr>
            </w:pPr>
            <w:r w:rsidRPr="002F5B01">
              <w:rPr>
                <w:rFonts w:asciiTheme="minorHAnsi" w:hAnsiTheme="minorHAnsi" w:cstheme="minorHAnsi"/>
                <w:szCs w:val="28"/>
              </w:rPr>
              <w:t>The relative importance of only two identified partners in the process (neither of whom is under the control of the SILC);</w:t>
            </w:r>
          </w:p>
          <w:p w14:paraId="021CE308" w14:textId="56D207E7" w:rsidR="00824CE5" w:rsidRPr="002F5B01" w:rsidRDefault="00824CE5" w:rsidP="00824CE5">
            <w:pPr>
              <w:rPr>
                <w:rFonts w:asciiTheme="minorHAnsi" w:eastAsia="Times New Roman" w:hAnsiTheme="minorHAnsi" w:cstheme="minorHAnsi"/>
                <w:color w:val="000000"/>
                <w:szCs w:val="28"/>
              </w:rPr>
            </w:pPr>
            <w:r w:rsidRPr="002F5B01">
              <w:rPr>
                <w:rFonts w:asciiTheme="minorHAnsi" w:hAnsiTheme="minorHAnsi" w:cstheme="minorHAnsi"/>
                <w:szCs w:val="28"/>
              </w:rPr>
              <w:t>Uncertain specific methods of identifying past, current, or pending agreements or changes in policy or practices between the 2 de jure (or 3 de facto) signatories related to the SPIL implementation.</w:t>
            </w:r>
          </w:p>
        </w:tc>
        <w:tc>
          <w:tcPr>
            <w:tcW w:w="1632" w:type="dxa"/>
          </w:tcPr>
          <w:p w14:paraId="293E4901" w14:textId="3619A023" w:rsidR="00824CE5" w:rsidRPr="002F5B01" w:rsidRDefault="00824CE5" w:rsidP="00824CE5">
            <w:pPr>
              <w:jc w:val="center"/>
              <w:rPr>
                <w:rFonts w:asciiTheme="minorHAnsi" w:hAnsiTheme="minorHAnsi" w:cstheme="minorHAnsi"/>
              </w:rPr>
            </w:pPr>
            <w:r w:rsidRPr="002F5B01">
              <w:rPr>
                <w:rFonts w:asciiTheme="minorHAnsi" w:hAnsiTheme="minorHAnsi" w:cstheme="minorHAnsi"/>
              </w:rPr>
              <w:t>1</w:t>
            </w:r>
          </w:p>
        </w:tc>
        <w:tc>
          <w:tcPr>
            <w:tcW w:w="3620" w:type="dxa"/>
          </w:tcPr>
          <w:p w14:paraId="55836D74" w14:textId="17A27853" w:rsidR="00824CE5" w:rsidRPr="002F5B01" w:rsidRDefault="00824CE5" w:rsidP="00824CE5">
            <w:pPr>
              <w:ind w:left="42"/>
              <w:rPr>
                <w:rFonts w:asciiTheme="minorHAnsi" w:hAnsiTheme="minorHAnsi" w:cstheme="minorHAnsi"/>
              </w:rPr>
            </w:pPr>
            <w:r w:rsidRPr="002F5B01">
              <w:rPr>
                <w:rFonts w:asciiTheme="minorHAnsi" w:hAnsiTheme="minorHAnsi" w:cstheme="minorHAnsi"/>
              </w:rPr>
              <w:t xml:space="preserve">The interagency agreement was used as an example to </w:t>
            </w:r>
            <w:r w:rsidR="0055778A">
              <w:rPr>
                <w:rFonts w:asciiTheme="minorHAnsi" w:hAnsiTheme="minorHAnsi" w:cstheme="minorHAnsi"/>
              </w:rPr>
              <w:t>assure</w:t>
            </w:r>
            <w:r w:rsidRPr="002F5B01">
              <w:rPr>
                <w:rFonts w:asciiTheme="minorHAnsi" w:hAnsiTheme="minorHAnsi" w:cstheme="minorHAnsi"/>
              </w:rPr>
              <w:t xml:space="preserve"> </w:t>
            </w:r>
            <w:r w:rsidR="0055778A">
              <w:rPr>
                <w:rFonts w:asciiTheme="minorHAnsi" w:hAnsiTheme="minorHAnsi" w:cstheme="minorHAnsi"/>
              </w:rPr>
              <w:t xml:space="preserve">autonomy for the </w:t>
            </w:r>
            <w:r w:rsidRPr="002F5B01">
              <w:rPr>
                <w:rFonts w:asciiTheme="minorHAnsi" w:hAnsiTheme="minorHAnsi" w:cstheme="minorHAnsi"/>
              </w:rPr>
              <w:t xml:space="preserve">SILC. Public </w:t>
            </w:r>
            <w:r>
              <w:rPr>
                <w:rFonts w:asciiTheme="minorHAnsi" w:hAnsiTheme="minorHAnsi" w:cstheme="minorHAnsi"/>
              </w:rPr>
              <w:t>c</w:t>
            </w:r>
            <w:r w:rsidRPr="002F5B01">
              <w:rPr>
                <w:rFonts w:asciiTheme="minorHAnsi" w:hAnsiTheme="minorHAnsi" w:cstheme="minorHAnsi"/>
              </w:rPr>
              <w:t xml:space="preserve">omment resulted in no changes to the draft SPIL. </w:t>
            </w:r>
          </w:p>
        </w:tc>
      </w:tr>
      <w:tr w:rsidR="002057F4" w:rsidRPr="002E7EAD" w14:paraId="53A4A85D" w14:textId="77777777" w:rsidTr="00491B04">
        <w:trPr>
          <w:jc w:val="center"/>
        </w:trPr>
        <w:tc>
          <w:tcPr>
            <w:tcW w:w="445" w:type="dxa"/>
            <w:tcMar>
              <w:top w:w="29" w:type="dxa"/>
              <w:left w:w="43" w:type="dxa"/>
              <w:bottom w:w="29" w:type="dxa"/>
              <w:right w:w="43" w:type="dxa"/>
            </w:tcMar>
          </w:tcPr>
          <w:p w14:paraId="05AD7E29" w14:textId="25600AE3" w:rsidR="001E76D0" w:rsidRPr="002F5B01" w:rsidRDefault="004C0A95" w:rsidP="00163B96">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3</w:t>
            </w:r>
          </w:p>
        </w:tc>
        <w:tc>
          <w:tcPr>
            <w:tcW w:w="5317" w:type="dxa"/>
          </w:tcPr>
          <w:p w14:paraId="5285FC76" w14:textId="1EBE4D70" w:rsidR="001E76D0" w:rsidRPr="002F5B01" w:rsidRDefault="001E76D0" w:rsidP="00163B96">
            <w:pPr>
              <w:pStyle w:val="ListParagraph"/>
              <w:spacing w:after="120"/>
              <w:ind w:left="72"/>
              <w:contextualSpacing w:val="0"/>
              <w:rPr>
                <w:rFonts w:asciiTheme="minorHAnsi" w:hAnsiTheme="minorHAnsi" w:cstheme="minorHAnsi"/>
                <w:szCs w:val="28"/>
              </w:rPr>
            </w:pPr>
            <w:r w:rsidRPr="002F5B01">
              <w:rPr>
                <w:rFonts w:asciiTheme="minorHAnsi" w:hAnsiTheme="minorHAnsi" w:cstheme="minorHAnsi"/>
                <w:szCs w:val="28"/>
              </w:rPr>
              <w:t xml:space="preserve">QUERY: Is there a clear adoption of best practices or description </w:t>
            </w:r>
            <w:r w:rsidRPr="002F5B01">
              <w:rPr>
                <w:rFonts w:asciiTheme="minorHAnsi" w:hAnsiTheme="minorHAnsi" w:cstheme="minorHAnsi"/>
                <w:szCs w:val="28"/>
                <w:u w:val="single"/>
              </w:rPr>
              <w:t>within the SPIL document</w:t>
            </w:r>
            <w:r w:rsidRPr="002F5B01">
              <w:rPr>
                <w:rFonts w:asciiTheme="minorHAnsi" w:hAnsiTheme="minorHAnsi" w:cstheme="minorHAnsi"/>
                <w:szCs w:val="28"/>
              </w:rPr>
              <w:t xml:space="preserve"> of how the SPIL has been, or needs to be, more inclusive in its development in several aspects: including varied language (computer programming, so-called plain language, or layout/ braille/Spanish/Russian/ASL or other sign language) or skills access. Was the </w:t>
            </w:r>
            <w:r w:rsidRPr="002F5B01">
              <w:rPr>
                <w:rFonts w:asciiTheme="minorHAnsi" w:hAnsiTheme="minorHAnsi" w:cstheme="minorHAnsi"/>
                <w:szCs w:val="28"/>
              </w:rPr>
              <w:lastRenderedPageBreak/>
              <w:t xml:space="preserve">document subjected to an accessibility scoring tool at any time? </w:t>
            </w:r>
          </w:p>
          <w:p w14:paraId="65579117" w14:textId="79332902" w:rsidR="001E76D0" w:rsidRPr="002F5B01" w:rsidRDefault="001E76D0" w:rsidP="00163B96">
            <w:pPr>
              <w:rPr>
                <w:rFonts w:asciiTheme="minorHAnsi" w:eastAsia="Times New Roman" w:hAnsiTheme="minorHAnsi" w:cstheme="minorHAnsi"/>
                <w:color w:val="000000"/>
                <w:szCs w:val="28"/>
              </w:rPr>
            </w:pPr>
            <w:r w:rsidRPr="002F5B01">
              <w:rPr>
                <w:rFonts w:asciiTheme="minorHAnsi" w:hAnsiTheme="minorHAnsi" w:cstheme="minorHAnsi"/>
                <w:szCs w:val="28"/>
              </w:rPr>
              <w:t>Pursuant to the answer to the above query, it should be considered as to how to measure broad accessibility issues going forward, and set measured goals and benchmarks for testing these measures.</w:t>
            </w:r>
          </w:p>
        </w:tc>
        <w:tc>
          <w:tcPr>
            <w:tcW w:w="1632" w:type="dxa"/>
          </w:tcPr>
          <w:p w14:paraId="6B661105" w14:textId="10213662" w:rsidR="001E76D0" w:rsidRPr="002F5B01" w:rsidRDefault="001E76D0" w:rsidP="00163B96">
            <w:pPr>
              <w:jc w:val="center"/>
              <w:rPr>
                <w:rFonts w:asciiTheme="minorHAnsi" w:hAnsiTheme="minorHAnsi" w:cstheme="minorHAnsi"/>
              </w:rPr>
            </w:pPr>
            <w:r w:rsidRPr="002F5B01">
              <w:rPr>
                <w:rFonts w:asciiTheme="minorHAnsi" w:hAnsiTheme="minorHAnsi" w:cstheme="minorHAnsi"/>
              </w:rPr>
              <w:lastRenderedPageBreak/>
              <w:t>1</w:t>
            </w:r>
          </w:p>
        </w:tc>
        <w:tc>
          <w:tcPr>
            <w:tcW w:w="3620" w:type="dxa"/>
            <w:shd w:val="clear" w:color="auto" w:fill="FFFFFF" w:themeFill="background1"/>
          </w:tcPr>
          <w:p w14:paraId="5583F42F" w14:textId="77777777" w:rsidR="00600814" w:rsidRDefault="00ED69EC" w:rsidP="00163B96">
            <w:pPr>
              <w:ind w:left="42"/>
              <w:rPr>
                <w:rFonts w:asciiTheme="minorHAnsi" w:hAnsiTheme="minorHAnsi" w:cstheme="minorHAnsi"/>
              </w:rPr>
            </w:pPr>
            <w:r>
              <w:rPr>
                <w:rFonts w:asciiTheme="minorHAnsi" w:hAnsiTheme="minorHAnsi" w:cstheme="minorHAnsi"/>
              </w:rPr>
              <w:t xml:space="preserve">No clear adoption of best practices </w:t>
            </w:r>
            <w:r w:rsidR="00867DDA" w:rsidRPr="00824CE5">
              <w:rPr>
                <w:rFonts w:asciiTheme="minorHAnsi" w:hAnsiTheme="minorHAnsi" w:cstheme="minorHAnsi"/>
                <w:u w:val="single"/>
              </w:rPr>
              <w:t xml:space="preserve">within the SPIL </w:t>
            </w:r>
            <w:r w:rsidR="00824CE5" w:rsidRPr="00824CE5">
              <w:rPr>
                <w:rFonts w:asciiTheme="minorHAnsi" w:hAnsiTheme="minorHAnsi" w:cstheme="minorHAnsi"/>
                <w:u w:val="single"/>
              </w:rPr>
              <w:t>document</w:t>
            </w:r>
            <w:r w:rsidR="00824CE5">
              <w:rPr>
                <w:rFonts w:asciiTheme="minorHAnsi" w:hAnsiTheme="minorHAnsi" w:cstheme="minorHAnsi"/>
              </w:rPr>
              <w:t xml:space="preserve"> </w:t>
            </w:r>
            <w:r>
              <w:rPr>
                <w:rFonts w:asciiTheme="minorHAnsi" w:hAnsiTheme="minorHAnsi" w:cstheme="minorHAnsi"/>
              </w:rPr>
              <w:t xml:space="preserve">has been </w:t>
            </w:r>
            <w:r w:rsidR="00824CE5">
              <w:rPr>
                <w:rFonts w:asciiTheme="minorHAnsi" w:hAnsiTheme="minorHAnsi" w:cstheme="minorHAnsi"/>
              </w:rPr>
              <w:t>made</w:t>
            </w:r>
            <w:r>
              <w:rPr>
                <w:rFonts w:asciiTheme="minorHAnsi" w:hAnsiTheme="minorHAnsi" w:cstheme="minorHAnsi"/>
              </w:rPr>
              <w:t xml:space="preserve">. </w:t>
            </w:r>
          </w:p>
          <w:p w14:paraId="73CCBF22" w14:textId="2C7F8328" w:rsidR="00A11E56" w:rsidRDefault="00A956F1" w:rsidP="00163B96">
            <w:pPr>
              <w:ind w:left="42"/>
              <w:rPr>
                <w:rFonts w:asciiTheme="minorHAnsi" w:hAnsiTheme="minorHAnsi" w:cstheme="minorHAnsi"/>
              </w:rPr>
            </w:pPr>
            <w:r>
              <w:rPr>
                <w:rFonts w:asciiTheme="minorHAnsi" w:hAnsiTheme="minorHAnsi" w:cstheme="minorHAnsi"/>
              </w:rPr>
              <w:t xml:space="preserve">The </w:t>
            </w:r>
            <w:r w:rsidR="00867DDA">
              <w:rPr>
                <w:rFonts w:asciiTheme="minorHAnsi" w:hAnsiTheme="minorHAnsi" w:cstheme="minorHAnsi"/>
              </w:rPr>
              <w:t xml:space="preserve">SPIL was reviewed </w:t>
            </w:r>
            <w:r w:rsidR="00824CE5">
              <w:rPr>
                <w:rFonts w:asciiTheme="minorHAnsi" w:hAnsiTheme="minorHAnsi" w:cstheme="minorHAnsi"/>
              </w:rPr>
              <w:t>against</w:t>
            </w:r>
            <w:r w:rsidR="00867DDA">
              <w:rPr>
                <w:rFonts w:asciiTheme="minorHAnsi" w:hAnsiTheme="minorHAnsi" w:cstheme="minorHAnsi"/>
              </w:rPr>
              <w:t xml:space="preserve"> 508 standards. </w:t>
            </w:r>
          </w:p>
          <w:p w14:paraId="45A7DBB6" w14:textId="19E918F2" w:rsidR="001E76D0" w:rsidRPr="00600814" w:rsidRDefault="00867DDA" w:rsidP="00163B96">
            <w:pPr>
              <w:ind w:left="42"/>
              <w:rPr>
                <w:rFonts w:asciiTheme="minorHAnsi" w:hAnsiTheme="minorHAnsi" w:cstheme="minorHAnsi"/>
              </w:rPr>
            </w:pPr>
            <w:r>
              <w:rPr>
                <w:rFonts w:asciiTheme="minorHAnsi" w:hAnsiTheme="minorHAnsi" w:cstheme="minorHAnsi"/>
              </w:rPr>
              <w:t xml:space="preserve">The </w:t>
            </w:r>
            <w:r w:rsidR="00491B04">
              <w:rPr>
                <w:rFonts w:asciiTheme="minorHAnsi" w:hAnsiTheme="minorHAnsi" w:cstheme="minorHAnsi"/>
              </w:rPr>
              <w:t xml:space="preserve">SPIL </w:t>
            </w:r>
            <w:r w:rsidR="003E3D4C">
              <w:rPr>
                <w:rFonts w:asciiTheme="minorHAnsi" w:hAnsiTheme="minorHAnsi" w:cstheme="minorHAnsi"/>
              </w:rPr>
              <w:t xml:space="preserve">Committee will </w:t>
            </w:r>
            <w:r>
              <w:rPr>
                <w:rFonts w:asciiTheme="minorHAnsi" w:hAnsiTheme="minorHAnsi" w:cstheme="minorHAnsi"/>
              </w:rPr>
              <w:t xml:space="preserve">take up an activity </w:t>
            </w:r>
            <w:r w:rsidRPr="00867DDA">
              <w:rPr>
                <w:szCs w:val="28"/>
              </w:rPr>
              <w:t>related to improving accessibility of the SPIL under Objective 1.3B</w:t>
            </w:r>
            <w:r w:rsidR="0013570D">
              <w:rPr>
                <w:szCs w:val="28"/>
              </w:rPr>
              <w:t xml:space="preserve"> </w:t>
            </w:r>
            <w:r w:rsidR="0013570D" w:rsidRPr="0013570D">
              <w:rPr>
                <w:rStyle w:val="Emphasis"/>
                <w:b w:val="0"/>
              </w:rPr>
              <w:lastRenderedPageBreak/>
              <w:t>and will develop a plain language summary.</w:t>
            </w:r>
            <w:r w:rsidR="003E3D4C" w:rsidRPr="0013570D">
              <w:rPr>
                <w:rFonts w:asciiTheme="minorHAnsi" w:hAnsiTheme="minorHAnsi" w:cstheme="minorHAnsi"/>
                <w:b/>
                <w:color w:val="FF0000"/>
                <w:szCs w:val="28"/>
              </w:rPr>
              <w:t xml:space="preserve"> </w:t>
            </w:r>
          </w:p>
        </w:tc>
      </w:tr>
      <w:tr w:rsidR="002057F4" w:rsidRPr="002E7EAD" w14:paraId="186776CB" w14:textId="77777777" w:rsidTr="002057F4">
        <w:trPr>
          <w:jc w:val="center"/>
        </w:trPr>
        <w:tc>
          <w:tcPr>
            <w:tcW w:w="445" w:type="dxa"/>
            <w:tcMar>
              <w:top w:w="29" w:type="dxa"/>
              <w:left w:w="43" w:type="dxa"/>
              <w:bottom w:w="29" w:type="dxa"/>
              <w:right w:w="43" w:type="dxa"/>
            </w:tcMar>
          </w:tcPr>
          <w:p w14:paraId="47DD2FBB" w14:textId="708E6D1F" w:rsidR="001E76D0" w:rsidRPr="002F5B01" w:rsidRDefault="004C0A95" w:rsidP="00163B96">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lastRenderedPageBreak/>
              <w:t>4</w:t>
            </w:r>
          </w:p>
        </w:tc>
        <w:tc>
          <w:tcPr>
            <w:tcW w:w="5317" w:type="dxa"/>
          </w:tcPr>
          <w:p w14:paraId="5CDD6FDE" w14:textId="6BCD8E68" w:rsidR="001E76D0" w:rsidRPr="002F5B01" w:rsidRDefault="001E76D0" w:rsidP="00163B96">
            <w:pPr>
              <w:widowControl w:val="0"/>
              <w:tabs>
                <w:tab w:val="left" w:pos="1405"/>
              </w:tabs>
              <w:autoSpaceDE w:val="0"/>
              <w:autoSpaceDN w:val="0"/>
              <w:spacing w:after="120"/>
              <w:ind w:right="43"/>
              <w:rPr>
                <w:rFonts w:asciiTheme="minorHAnsi" w:hAnsiTheme="minorHAnsi" w:cstheme="minorHAnsi"/>
                <w:szCs w:val="28"/>
              </w:rPr>
            </w:pPr>
            <w:r w:rsidRPr="002F5B01">
              <w:rPr>
                <w:rFonts w:asciiTheme="minorHAnsi" w:hAnsiTheme="minorHAnsi" w:cstheme="minorHAnsi"/>
                <w:szCs w:val="28"/>
              </w:rPr>
              <w:t>Section 1 - Goals, Objectives and Activities - Page 4 - Goals to be Achieved - Objective 1.1 - Evaluation Measure</w:t>
            </w:r>
          </w:p>
          <w:p w14:paraId="08E45CEE" w14:textId="77777777" w:rsidR="001E76D0" w:rsidRPr="002F5B01" w:rsidRDefault="001E76D0" w:rsidP="00163B96">
            <w:pPr>
              <w:pStyle w:val="BodyText"/>
              <w:spacing w:before="92" w:line="259" w:lineRule="auto"/>
              <w:ind w:right="43"/>
              <w:rPr>
                <w:rFonts w:asciiTheme="minorHAnsi" w:hAnsiTheme="minorHAnsi" w:cstheme="minorHAnsi"/>
              </w:rPr>
            </w:pPr>
            <w:r w:rsidRPr="002F5B01">
              <w:rPr>
                <w:rFonts w:asciiTheme="minorHAnsi" w:hAnsiTheme="minorHAnsi" w:cstheme="minorHAnsi"/>
                <w:w w:val="105"/>
              </w:rPr>
              <w:t>Comments/Recommendation:</w:t>
            </w:r>
          </w:p>
          <w:p w14:paraId="3BCDD76D" w14:textId="77777777" w:rsidR="001E76D0" w:rsidRPr="002F5B01" w:rsidRDefault="001E76D0" w:rsidP="00163B96">
            <w:pPr>
              <w:pStyle w:val="BodyText"/>
              <w:spacing w:before="11" w:after="120" w:line="259" w:lineRule="auto"/>
              <w:ind w:right="43" w:firstLine="3"/>
              <w:rPr>
                <w:rFonts w:asciiTheme="minorHAnsi" w:hAnsiTheme="minorHAnsi" w:cstheme="minorHAnsi"/>
              </w:rPr>
            </w:pPr>
            <w:r w:rsidRPr="002F5B01">
              <w:rPr>
                <w:rFonts w:asciiTheme="minorHAnsi" w:hAnsiTheme="minorHAnsi" w:cstheme="minorHAnsi"/>
                <w:w w:val="105"/>
              </w:rPr>
              <w:t>Objective</w:t>
            </w:r>
            <w:r w:rsidRPr="002F5B01">
              <w:rPr>
                <w:rFonts w:asciiTheme="minorHAnsi" w:hAnsiTheme="minorHAnsi" w:cstheme="minorHAnsi"/>
                <w:spacing w:val="-9"/>
                <w:w w:val="105"/>
              </w:rPr>
              <w:t xml:space="preserve"> </w:t>
            </w:r>
            <w:r w:rsidRPr="002F5B01">
              <w:rPr>
                <w:rFonts w:asciiTheme="minorHAnsi" w:hAnsiTheme="minorHAnsi" w:cstheme="minorHAnsi"/>
                <w:w w:val="105"/>
              </w:rPr>
              <w:t>1.1</w:t>
            </w:r>
            <w:r w:rsidRPr="002F5B01">
              <w:rPr>
                <w:rFonts w:asciiTheme="minorHAnsi" w:hAnsiTheme="minorHAnsi" w:cstheme="minorHAnsi"/>
                <w:spacing w:val="-16"/>
                <w:w w:val="105"/>
              </w:rPr>
              <w:t xml:space="preserve"> </w:t>
            </w:r>
            <w:r w:rsidRPr="002F5B01">
              <w:rPr>
                <w:rFonts w:asciiTheme="minorHAnsi" w:hAnsiTheme="minorHAnsi" w:cstheme="minorHAnsi"/>
                <w:w w:val="105"/>
              </w:rPr>
              <w:t>evaluation</w:t>
            </w:r>
            <w:r w:rsidRPr="002F5B01">
              <w:rPr>
                <w:rFonts w:asciiTheme="minorHAnsi" w:hAnsiTheme="minorHAnsi" w:cstheme="minorHAnsi"/>
                <w:spacing w:val="-5"/>
                <w:w w:val="105"/>
              </w:rPr>
              <w:t xml:space="preserve"> </w:t>
            </w:r>
            <w:r w:rsidRPr="002F5B01">
              <w:rPr>
                <w:rFonts w:asciiTheme="minorHAnsi" w:hAnsiTheme="minorHAnsi" w:cstheme="minorHAnsi"/>
                <w:w w:val="105"/>
              </w:rPr>
              <w:t>measure</w:t>
            </w:r>
            <w:r w:rsidRPr="002F5B01">
              <w:rPr>
                <w:rFonts w:asciiTheme="minorHAnsi" w:hAnsiTheme="minorHAnsi" w:cstheme="minorHAnsi"/>
                <w:spacing w:val="-4"/>
                <w:w w:val="105"/>
              </w:rPr>
              <w:t xml:space="preserve"> </w:t>
            </w:r>
            <w:r w:rsidRPr="002F5B01">
              <w:rPr>
                <w:rFonts w:asciiTheme="minorHAnsi" w:hAnsiTheme="minorHAnsi" w:cstheme="minorHAnsi"/>
                <w:w w:val="105"/>
              </w:rPr>
              <w:t>does</w:t>
            </w:r>
            <w:r w:rsidRPr="002F5B01">
              <w:rPr>
                <w:rFonts w:asciiTheme="minorHAnsi" w:hAnsiTheme="minorHAnsi" w:cstheme="minorHAnsi"/>
                <w:spacing w:val="-11"/>
                <w:w w:val="105"/>
              </w:rPr>
              <w:t xml:space="preserve"> </w:t>
            </w:r>
            <w:r w:rsidRPr="002F5B01">
              <w:rPr>
                <w:rFonts w:asciiTheme="minorHAnsi" w:hAnsiTheme="minorHAnsi" w:cstheme="minorHAnsi"/>
                <w:w w:val="105"/>
              </w:rPr>
              <w:t>not</w:t>
            </w:r>
            <w:r w:rsidRPr="002F5B01">
              <w:rPr>
                <w:rFonts w:asciiTheme="minorHAnsi" w:hAnsiTheme="minorHAnsi" w:cstheme="minorHAnsi"/>
                <w:spacing w:val="-10"/>
                <w:w w:val="105"/>
              </w:rPr>
              <w:t xml:space="preserve"> </w:t>
            </w:r>
            <w:r w:rsidRPr="002F5B01">
              <w:rPr>
                <w:rFonts w:asciiTheme="minorHAnsi" w:hAnsiTheme="minorHAnsi" w:cstheme="minorHAnsi"/>
                <w:w w:val="105"/>
              </w:rPr>
              <w:t>specify</w:t>
            </w:r>
            <w:r w:rsidRPr="002F5B01">
              <w:rPr>
                <w:rFonts w:asciiTheme="minorHAnsi" w:hAnsiTheme="minorHAnsi" w:cstheme="minorHAnsi"/>
                <w:spacing w:val="-3"/>
                <w:w w:val="105"/>
              </w:rPr>
              <w:t xml:space="preserve"> </w:t>
            </w:r>
            <w:r w:rsidRPr="002F5B01">
              <w:rPr>
                <w:rFonts w:asciiTheme="minorHAnsi" w:hAnsiTheme="minorHAnsi" w:cstheme="minorHAnsi"/>
                <w:w w:val="105"/>
              </w:rPr>
              <w:t>who,</w:t>
            </w:r>
            <w:r w:rsidRPr="002F5B01">
              <w:rPr>
                <w:rFonts w:asciiTheme="minorHAnsi" w:hAnsiTheme="minorHAnsi" w:cstheme="minorHAnsi"/>
                <w:spacing w:val="-7"/>
                <w:w w:val="105"/>
              </w:rPr>
              <w:t xml:space="preserve"> </w:t>
            </w:r>
            <w:r w:rsidRPr="002F5B01">
              <w:rPr>
                <w:rFonts w:asciiTheme="minorHAnsi" w:hAnsiTheme="minorHAnsi" w:cstheme="minorHAnsi"/>
                <w:w w:val="105"/>
              </w:rPr>
              <w:t>as</w:t>
            </w:r>
            <w:r w:rsidRPr="002F5B01">
              <w:rPr>
                <w:rFonts w:asciiTheme="minorHAnsi" w:hAnsiTheme="minorHAnsi" w:cstheme="minorHAnsi"/>
                <w:spacing w:val="-15"/>
                <w:w w:val="105"/>
              </w:rPr>
              <w:t xml:space="preserve"> </w:t>
            </w:r>
            <w:r w:rsidRPr="002F5B01">
              <w:rPr>
                <w:rFonts w:asciiTheme="minorHAnsi" w:hAnsiTheme="minorHAnsi" w:cstheme="minorHAnsi"/>
                <w:w w:val="105"/>
              </w:rPr>
              <w:t>well</w:t>
            </w:r>
            <w:r w:rsidRPr="002F5B01">
              <w:rPr>
                <w:rFonts w:asciiTheme="minorHAnsi" w:hAnsiTheme="minorHAnsi" w:cstheme="minorHAnsi"/>
                <w:spacing w:val="-16"/>
                <w:w w:val="105"/>
              </w:rPr>
              <w:t xml:space="preserve"> </w:t>
            </w:r>
            <w:r w:rsidRPr="002F5B01">
              <w:rPr>
                <w:rFonts w:asciiTheme="minorHAnsi" w:hAnsiTheme="minorHAnsi" w:cstheme="minorHAnsi"/>
                <w:w w:val="105"/>
              </w:rPr>
              <w:t>as</w:t>
            </w:r>
            <w:r w:rsidRPr="002F5B01">
              <w:rPr>
                <w:rFonts w:asciiTheme="minorHAnsi" w:hAnsiTheme="minorHAnsi" w:cstheme="minorHAnsi"/>
                <w:spacing w:val="-22"/>
                <w:w w:val="105"/>
              </w:rPr>
              <w:t xml:space="preserve"> </w:t>
            </w:r>
            <w:r w:rsidRPr="002F5B01">
              <w:rPr>
                <w:rFonts w:asciiTheme="minorHAnsi" w:hAnsiTheme="minorHAnsi" w:cstheme="minorHAnsi"/>
                <w:w w:val="105"/>
              </w:rPr>
              <w:t>the qualifications required of individuals that will be reviewing the funding formula and</w:t>
            </w:r>
            <w:r w:rsidRPr="002F5B01">
              <w:rPr>
                <w:rFonts w:asciiTheme="minorHAnsi" w:hAnsiTheme="minorHAnsi" w:cstheme="minorHAnsi"/>
                <w:spacing w:val="16"/>
                <w:w w:val="105"/>
              </w:rPr>
              <w:t xml:space="preserve"> </w:t>
            </w:r>
            <w:r w:rsidRPr="002F5B01">
              <w:rPr>
                <w:rFonts w:asciiTheme="minorHAnsi" w:hAnsiTheme="minorHAnsi" w:cstheme="minorHAnsi"/>
                <w:w w:val="105"/>
              </w:rPr>
              <w:t>methodology.</w:t>
            </w:r>
          </w:p>
          <w:p w14:paraId="1C10BEA2" w14:textId="77777777" w:rsidR="001E76D0" w:rsidRPr="002F5B01" w:rsidRDefault="001E76D0" w:rsidP="00163B96">
            <w:pPr>
              <w:pStyle w:val="BodyText"/>
              <w:spacing w:before="1" w:after="120" w:line="259" w:lineRule="auto"/>
              <w:ind w:right="43" w:firstLine="3"/>
              <w:rPr>
                <w:rFonts w:asciiTheme="minorHAnsi" w:hAnsiTheme="minorHAnsi" w:cstheme="minorHAnsi"/>
              </w:rPr>
            </w:pPr>
            <w:r w:rsidRPr="002F5B01">
              <w:rPr>
                <w:rFonts w:asciiTheme="minorHAnsi" w:hAnsiTheme="minorHAnsi" w:cstheme="minorHAnsi"/>
                <w:w w:val="105"/>
              </w:rPr>
              <w:t>To promote transparency in state funding allocations, the IDSP recommends</w:t>
            </w:r>
            <w:r w:rsidRPr="002F5B01">
              <w:rPr>
                <w:rFonts w:asciiTheme="minorHAnsi" w:hAnsiTheme="minorHAnsi" w:cstheme="minorHAnsi"/>
                <w:spacing w:val="-9"/>
                <w:w w:val="105"/>
              </w:rPr>
              <w:t xml:space="preserve"> </w:t>
            </w:r>
            <w:r w:rsidRPr="002F5B01">
              <w:rPr>
                <w:rFonts w:asciiTheme="minorHAnsi" w:hAnsiTheme="minorHAnsi" w:cstheme="minorHAnsi"/>
                <w:w w:val="105"/>
              </w:rPr>
              <w:t>the</w:t>
            </w:r>
            <w:r w:rsidRPr="002F5B01">
              <w:rPr>
                <w:rFonts w:asciiTheme="minorHAnsi" w:hAnsiTheme="minorHAnsi" w:cstheme="minorHAnsi"/>
                <w:spacing w:val="-23"/>
                <w:w w:val="105"/>
              </w:rPr>
              <w:t xml:space="preserve"> </w:t>
            </w:r>
            <w:r w:rsidRPr="002F5B01">
              <w:rPr>
                <w:rFonts w:asciiTheme="minorHAnsi" w:hAnsiTheme="minorHAnsi" w:cstheme="minorHAnsi"/>
                <w:w w:val="105"/>
              </w:rPr>
              <w:t>evaluation</w:t>
            </w:r>
            <w:r w:rsidRPr="002F5B01">
              <w:rPr>
                <w:rFonts w:asciiTheme="minorHAnsi" w:hAnsiTheme="minorHAnsi" w:cstheme="minorHAnsi"/>
                <w:spacing w:val="-12"/>
                <w:w w:val="105"/>
              </w:rPr>
              <w:t xml:space="preserve"> </w:t>
            </w:r>
            <w:r w:rsidRPr="002F5B01">
              <w:rPr>
                <w:rFonts w:asciiTheme="minorHAnsi" w:hAnsiTheme="minorHAnsi" w:cstheme="minorHAnsi"/>
                <w:w w:val="105"/>
              </w:rPr>
              <w:t>include</w:t>
            </w:r>
            <w:r w:rsidRPr="002F5B01">
              <w:rPr>
                <w:rFonts w:asciiTheme="minorHAnsi" w:hAnsiTheme="minorHAnsi" w:cstheme="minorHAnsi"/>
                <w:spacing w:val="-14"/>
                <w:w w:val="105"/>
              </w:rPr>
              <w:t xml:space="preserve"> </w:t>
            </w:r>
            <w:r w:rsidRPr="002F5B01">
              <w:rPr>
                <w:rFonts w:asciiTheme="minorHAnsi" w:hAnsiTheme="minorHAnsi" w:cstheme="minorHAnsi"/>
                <w:w w:val="105"/>
              </w:rPr>
              <w:t>consultation</w:t>
            </w:r>
            <w:r w:rsidRPr="002F5B01">
              <w:rPr>
                <w:rFonts w:asciiTheme="minorHAnsi" w:hAnsiTheme="minorHAnsi" w:cstheme="minorHAnsi"/>
                <w:spacing w:val="-5"/>
                <w:w w:val="105"/>
              </w:rPr>
              <w:t xml:space="preserve"> </w:t>
            </w:r>
            <w:r w:rsidRPr="002F5B01">
              <w:rPr>
                <w:rFonts w:asciiTheme="minorHAnsi" w:hAnsiTheme="minorHAnsi" w:cstheme="minorHAnsi"/>
                <w:w w:val="105"/>
              </w:rPr>
              <w:t>with</w:t>
            </w:r>
            <w:r w:rsidRPr="002F5B01">
              <w:rPr>
                <w:rFonts w:asciiTheme="minorHAnsi" w:hAnsiTheme="minorHAnsi" w:cstheme="minorHAnsi"/>
                <w:spacing w:val="-16"/>
                <w:w w:val="105"/>
              </w:rPr>
              <w:t xml:space="preserve"> </w:t>
            </w:r>
            <w:r w:rsidRPr="002F5B01">
              <w:rPr>
                <w:rFonts w:asciiTheme="minorHAnsi" w:hAnsiTheme="minorHAnsi" w:cstheme="minorHAnsi"/>
                <w:w w:val="105"/>
              </w:rPr>
              <w:t>a</w:t>
            </w:r>
            <w:r w:rsidRPr="002F5B01">
              <w:rPr>
                <w:rFonts w:asciiTheme="minorHAnsi" w:hAnsiTheme="minorHAnsi" w:cstheme="minorHAnsi"/>
                <w:spacing w:val="-25"/>
                <w:w w:val="105"/>
              </w:rPr>
              <w:t xml:space="preserve"> </w:t>
            </w:r>
            <w:r w:rsidRPr="002F5B01">
              <w:rPr>
                <w:rFonts w:asciiTheme="minorHAnsi" w:hAnsiTheme="minorHAnsi" w:cstheme="minorHAnsi"/>
                <w:w w:val="105"/>
              </w:rPr>
              <w:t>subject</w:t>
            </w:r>
            <w:r w:rsidRPr="002F5B01">
              <w:rPr>
                <w:rFonts w:asciiTheme="minorHAnsi" w:hAnsiTheme="minorHAnsi" w:cstheme="minorHAnsi"/>
                <w:spacing w:val="-15"/>
                <w:w w:val="105"/>
              </w:rPr>
              <w:t xml:space="preserve"> </w:t>
            </w:r>
            <w:r w:rsidRPr="002F5B01">
              <w:rPr>
                <w:rFonts w:asciiTheme="minorHAnsi" w:hAnsiTheme="minorHAnsi" w:cstheme="minorHAnsi"/>
                <w:w w:val="105"/>
              </w:rPr>
              <w:t>matter expert or experts</w:t>
            </w:r>
            <w:r w:rsidRPr="002F5B01">
              <w:rPr>
                <w:rFonts w:asciiTheme="minorHAnsi" w:hAnsiTheme="minorHAnsi" w:cstheme="minorHAnsi"/>
                <w:spacing w:val="36"/>
                <w:w w:val="105"/>
              </w:rPr>
              <w:t xml:space="preserve"> </w:t>
            </w:r>
            <w:r w:rsidRPr="002F5B01">
              <w:rPr>
                <w:rFonts w:asciiTheme="minorHAnsi" w:hAnsiTheme="minorHAnsi" w:cstheme="minorHAnsi"/>
                <w:w w:val="105"/>
              </w:rPr>
              <w:t>(SMEs).</w:t>
            </w:r>
          </w:p>
          <w:p w14:paraId="36048F1E" w14:textId="74333359" w:rsidR="001E76D0" w:rsidRPr="002F5B01" w:rsidRDefault="001E76D0" w:rsidP="00163B96">
            <w:pPr>
              <w:pStyle w:val="BodyText"/>
              <w:spacing w:after="120" w:line="259" w:lineRule="auto"/>
              <w:ind w:right="43" w:firstLine="6"/>
              <w:rPr>
                <w:rFonts w:asciiTheme="minorHAnsi" w:hAnsiTheme="minorHAnsi" w:cstheme="minorHAnsi"/>
              </w:rPr>
            </w:pPr>
            <w:r w:rsidRPr="002F5B01">
              <w:rPr>
                <w:rFonts w:asciiTheme="minorHAnsi" w:hAnsiTheme="minorHAnsi" w:cstheme="minorHAnsi"/>
              </w:rPr>
              <w:t>SMEs can serve as a valuable resource during an evaluation process by offering discipline or topical expertise that sheds light on the nuances of a complex policy domain. SMEs will promote the overall quality and transparency of an evaluation and reduce the appearance of subjectivity and bias in the overall</w:t>
            </w:r>
            <w:r w:rsidRPr="002F5B01">
              <w:rPr>
                <w:rFonts w:asciiTheme="minorHAnsi" w:hAnsiTheme="minorHAnsi" w:cstheme="minorHAnsi"/>
                <w:spacing w:val="28"/>
              </w:rPr>
              <w:t xml:space="preserve"> </w:t>
            </w:r>
            <w:r w:rsidRPr="002F5B01">
              <w:rPr>
                <w:rFonts w:asciiTheme="minorHAnsi" w:hAnsiTheme="minorHAnsi" w:cstheme="minorHAnsi"/>
              </w:rPr>
              <w:t>findings.</w:t>
            </w:r>
          </w:p>
        </w:tc>
        <w:tc>
          <w:tcPr>
            <w:tcW w:w="1632" w:type="dxa"/>
          </w:tcPr>
          <w:p w14:paraId="67F34F72" w14:textId="0ECBB991" w:rsidR="001E76D0" w:rsidRPr="002F5B01" w:rsidRDefault="001E76D0" w:rsidP="00163B96">
            <w:pPr>
              <w:jc w:val="center"/>
              <w:rPr>
                <w:rFonts w:asciiTheme="minorHAnsi" w:hAnsiTheme="minorHAnsi" w:cstheme="minorHAnsi"/>
              </w:rPr>
            </w:pPr>
            <w:r w:rsidRPr="002F5B01">
              <w:rPr>
                <w:rFonts w:asciiTheme="minorHAnsi" w:hAnsiTheme="minorHAnsi" w:cstheme="minorHAnsi"/>
              </w:rPr>
              <w:t>1</w:t>
            </w:r>
          </w:p>
        </w:tc>
        <w:tc>
          <w:tcPr>
            <w:tcW w:w="3620" w:type="dxa"/>
          </w:tcPr>
          <w:p w14:paraId="7C3BACF7" w14:textId="53750A19" w:rsidR="001E76D0" w:rsidRPr="002F5B01" w:rsidRDefault="00600814" w:rsidP="00163B96">
            <w:pPr>
              <w:ind w:left="42"/>
              <w:rPr>
                <w:rFonts w:asciiTheme="minorHAnsi" w:hAnsiTheme="minorHAnsi" w:cstheme="minorHAnsi"/>
              </w:rPr>
            </w:pPr>
            <w:r>
              <w:rPr>
                <w:rFonts w:asciiTheme="minorHAnsi" w:hAnsiTheme="minorHAnsi" w:cstheme="minorHAnsi"/>
              </w:rPr>
              <w:t>Input received – No change warranted.</w:t>
            </w:r>
          </w:p>
        </w:tc>
      </w:tr>
      <w:tr w:rsidR="00FD0DCE" w:rsidRPr="002E7EAD" w14:paraId="658D4054" w14:textId="77777777" w:rsidTr="002057F4">
        <w:trPr>
          <w:jc w:val="center"/>
        </w:trPr>
        <w:tc>
          <w:tcPr>
            <w:tcW w:w="445" w:type="dxa"/>
            <w:tcMar>
              <w:top w:w="29" w:type="dxa"/>
              <w:left w:w="43" w:type="dxa"/>
              <w:bottom w:w="29" w:type="dxa"/>
              <w:right w:w="43" w:type="dxa"/>
            </w:tcMar>
          </w:tcPr>
          <w:p w14:paraId="52BCB023" w14:textId="7A4EEDF2"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5</w:t>
            </w:r>
          </w:p>
        </w:tc>
        <w:tc>
          <w:tcPr>
            <w:tcW w:w="5317" w:type="dxa"/>
          </w:tcPr>
          <w:p w14:paraId="3FC222FB" w14:textId="45284770"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Section 1 - Goals, Objectives and Activities - Page 4 - Goals to be Achieved - Objective 2.1 - Consumers will receive IL services to facilitate their independent living goals.</w:t>
            </w:r>
          </w:p>
          <w:p w14:paraId="3CE3CA36" w14:textId="77777777" w:rsidR="00FD0DCE" w:rsidRPr="002F5B01" w:rsidRDefault="00FD0DCE" w:rsidP="00FD0DCE">
            <w:pPr>
              <w:pStyle w:val="ListParagraph"/>
              <w:spacing w:after="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Comments/Recommendation:</w:t>
            </w:r>
          </w:p>
          <w:p w14:paraId="09D14E11"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lastRenderedPageBreak/>
              <w:t>The IDSP does not support objective 2.1 in its current form.</w:t>
            </w:r>
          </w:p>
          <w:p w14:paraId="1F49AC9D"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Data substantiating the necessity for this objective have not been compiled, reviewed, and analyzed by the SILC SPIL Committee, workgroups, or the SILC Council.</w:t>
            </w:r>
          </w:p>
          <w:p w14:paraId="0DA75791" w14:textId="22DAB620"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IL services that will be delivered to consumers to facilitate their independent living goals is required by 725 Standards and Assurances as part of CIL compliance. Monitoring the delivery of services is the DSE's role and not that of the SILC.</w:t>
            </w:r>
          </w:p>
          <w:p w14:paraId="2AC305FE" w14:textId="3FBD8C62" w:rsidR="00FD0DCE" w:rsidRPr="002F5B01" w:rsidRDefault="00FD0DCE" w:rsidP="00FD0DCE">
            <w:pPr>
              <w:pStyle w:val="ListParagraph"/>
              <w:ind w:left="-18"/>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The IDSP recommends the SILC identify another objective that does not closely correlate with 725 Standard and Assurances.</w:t>
            </w:r>
          </w:p>
        </w:tc>
        <w:tc>
          <w:tcPr>
            <w:tcW w:w="1632" w:type="dxa"/>
          </w:tcPr>
          <w:p w14:paraId="16C99B1F" w14:textId="3B89A50B" w:rsidR="00FD0DCE" w:rsidRPr="002F5B01" w:rsidRDefault="00FD0DCE" w:rsidP="00FD0DCE">
            <w:pPr>
              <w:jc w:val="center"/>
              <w:rPr>
                <w:rFonts w:asciiTheme="minorHAnsi" w:hAnsiTheme="minorHAnsi" w:cstheme="minorHAnsi"/>
              </w:rPr>
            </w:pPr>
            <w:r w:rsidRPr="002F5B01">
              <w:rPr>
                <w:rFonts w:asciiTheme="minorHAnsi" w:hAnsiTheme="minorHAnsi" w:cstheme="minorHAnsi"/>
              </w:rPr>
              <w:lastRenderedPageBreak/>
              <w:t>1</w:t>
            </w:r>
          </w:p>
        </w:tc>
        <w:tc>
          <w:tcPr>
            <w:tcW w:w="3620" w:type="dxa"/>
          </w:tcPr>
          <w:p w14:paraId="4F50B06E" w14:textId="6ADFCE00" w:rsidR="00FD0DCE" w:rsidRPr="002F5B01" w:rsidRDefault="00FD0DCE" w:rsidP="00FD0DCE">
            <w:pPr>
              <w:ind w:left="42"/>
              <w:rPr>
                <w:rFonts w:asciiTheme="minorHAnsi" w:hAnsiTheme="minorHAnsi" w:cstheme="minorHAnsi"/>
              </w:rPr>
            </w:pPr>
            <w:r>
              <w:rPr>
                <w:rFonts w:asciiTheme="minorHAnsi" w:hAnsiTheme="minorHAnsi" w:cstheme="minorHAnsi"/>
              </w:rPr>
              <w:t>Accept comment in part. In that it reflects activities and evaluation activities, we will look at other possible scientific evaluation methods.</w:t>
            </w:r>
          </w:p>
        </w:tc>
      </w:tr>
      <w:tr w:rsidR="00FD0DCE" w:rsidRPr="002E7EAD" w14:paraId="032E2430" w14:textId="77777777" w:rsidTr="002057F4">
        <w:trPr>
          <w:jc w:val="center"/>
        </w:trPr>
        <w:tc>
          <w:tcPr>
            <w:tcW w:w="445" w:type="dxa"/>
            <w:tcMar>
              <w:top w:w="29" w:type="dxa"/>
              <w:left w:w="43" w:type="dxa"/>
              <w:bottom w:w="29" w:type="dxa"/>
              <w:right w:w="43" w:type="dxa"/>
            </w:tcMar>
          </w:tcPr>
          <w:p w14:paraId="34CDFC16" w14:textId="2C8E604E"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6</w:t>
            </w:r>
          </w:p>
        </w:tc>
        <w:tc>
          <w:tcPr>
            <w:tcW w:w="5317" w:type="dxa"/>
          </w:tcPr>
          <w:p w14:paraId="2883E026"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Section 1 - Goals, Objectives and Activities - Page 5 - Goals to be Achieved - Objective 2.2 - Consumer access to healthcare is improved.</w:t>
            </w:r>
          </w:p>
          <w:p w14:paraId="7B3A1406" w14:textId="77777777" w:rsidR="00FD0DCE" w:rsidRPr="002F5B01" w:rsidRDefault="00FD0DCE" w:rsidP="00FD0DCE">
            <w:pPr>
              <w:pStyle w:val="BodyText"/>
              <w:widowControl/>
              <w:autoSpaceDE/>
              <w:autoSpaceDN/>
              <w:spacing w:before="92"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Comments/Recommendation:</w:t>
            </w:r>
          </w:p>
          <w:p w14:paraId="7E1F1ADE" w14:textId="77777777" w:rsidR="00FD0DCE" w:rsidRPr="002F5B01" w:rsidRDefault="00FD0DCE" w:rsidP="00FD0DCE">
            <w:pPr>
              <w:pStyle w:val="BodyText"/>
              <w:widowControl/>
              <w:autoSpaceDE/>
              <w:autoSpaceDN/>
              <w:spacing w:before="11" w:after="120"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Data collection and analysis of perceived barriers to healthcare by consumers have not been completed by the SILC SPIL Committee, workgroups, or the SILC Council to determine comprehensive action steps to alleviate barriers.</w:t>
            </w:r>
          </w:p>
          <w:p w14:paraId="54025C20" w14:textId="12C932B1" w:rsidR="00FD0DCE" w:rsidRPr="002F5B01" w:rsidRDefault="00FD0DCE" w:rsidP="00FD0DCE">
            <w:pPr>
              <w:pStyle w:val="BodyText"/>
              <w:widowControl/>
              <w:autoSpaceDE/>
              <w:autoSpaceDN/>
              <w:spacing w:after="120" w:line="259" w:lineRule="auto"/>
              <w:ind w:left="-14"/>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 w:val="28"/>
                <w:szCs w:val="28"/>
              </w:rPr>
              <w:t>The IDSP recommends the SILC revise objective that calls for data collection and analysis to identify top five systems barriers that prevent consumers access to healthcare. The SILC creating a white sheet for ClLs, and other IL system partners, would create a solid and consistent starting point.</w:t>
            </w:r>
          </w:p>
        </w:tc>
        <w:tc>
          <w:tcPr>
            <w:tcW w:w="1632" w:type="dxa"/>
          </w:tcPr>
          <w:p w14:paraId="79951715" w14:textId="4B0B9582" w:rsidR="00FD0DCE" w:rsidRPr="002F5B01" w:rsidRDefault="00FD0DCE" w:rsidP="00FD0DCE">
            <w:pPr>
              <w:jc w:val="center"/>
              <w:rPr>
                <w:rFonts w:asciiTheme="minorHAnsi" w:hAnsiTheme="minorHAnsi" w:cstheme="minorHAnsi"/>
              </w:rPr>
            </w:pPr>
            <w:r>
              <w:rPr>
                <w:rFonts w:asciiTheme="minorHAnsi" w:hAnsiTheme="minorHAnsi" w:cstheme="minorHAnsi"/>
              </w:rPr>
              <w:t>1</w:t>
            </w:r>
          </w:p>
        </w:tc>
        <w:tc>
          <w:tcPr>
            <w:tcW w:w="3620" w:type="dxa"/>
          </w:tcPr>
          <w:p w14:paraId="67A36A33" w14:textId="238BF281" w:rsidR="00FD0DCE" w:rsidRPr="002F5B01" w:rsidRDefault="00FD0DCE" w:rsidP="00FD0DCE">
            <w:pPr>
              <w:ind w:left="42"/>
              <w:rPr>
                <w:rFonts w:asciiTheme="minorHAnsi" w:hAnsiTheme="minorHAnsi" w:cstheme="minorHAnsi"/>
              </w:rPr>
            </w:pPr>
            <w:r>
              <w:rPr>
                <w:rFonts w:asciiTheme="minorHAnsi" w:hAnsiTheme="minorHAnsi" w:cstheme="minorHAnsi"/>
              </w:rPr>
              <w:t>Input received – No change warranted.</w:t>
            </w:r>
          </w:p>
        </w:tc>
      </w:tr>
      <w:tr w:rsidR="00FD0DCE" w:rsidRPr="002E7EAD" w14:paraId="25FA5EA5" w14:textId="77777777" w:rsidTr="002057F4">
        <w:trPr>
          <w:jc w:val="center"/>
        </w:trPr>
        <w:tc>
          <w:tcPr>
            <w:tcW w:w="445" w:type="dxa"/>
            <w:tcMar>
              <w:top w:w="29" w:type="dxa"/>
              <w:left w:w="43" w:type="dxa"/>
              <w:bottom w:w="29" w:type="dxa"/>
              <w:right w:w="43" w:type="dxa"/>
            </w:tcMar>
          </w:tcPr>
          <w:p w14:paraId="6088DE7C" w14:textId="6D115A36"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lastRenderedPageBreak/>
              <w:t>7</w:t>
            </w:r>
          </w:p>
        </w:tc>
        <w:tc>
          <w:tcPr>
            <w:tcW w:w="5317" w:type="dxa"/>
          </w:tcPr>
          <w:p w14:paraId="750D3166"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Section 1 - Goals, Objectives and Activities - Page 5 - Goals to be Achieved - Objective 2.3 - The IL system will advocate with transportation coalitions and partnerships to expand transportation options for people with disabilities.</w:t>
            </w:r>
          </w:p>
          <w:p w14:paraId="56C50173" w14:textId="77777777" w:rsidR="00FD0DCE" w:rsidRPr="002F5B01" w:rsidRDefault="00FD0DCE" w:rsidP="00FD0DCE">
            <w:pPr>
              <w:pStyle w:val="BodyText"/>
              <w:widowControl/>
              <w:autoSpaceDE/>
              <w:autoSpaceDN/>
              <w:spacing w:before="92"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Comments/Recommendation:</w:t>
            </w:r>
          </w:p>
          <w:p w14:paraId="5ED57D08" w14:textId="77777777" w:rsidR="00FD0DCE" w:rsidRPr="002F5B01" w:rsidRDefault="00FD0DCE" w:rsidP="00FD0DCE">
            <w:pPr>
              <w:pStyle w:val="BodyText"/>
              <w:widowControl/>
              <w:autoSpaceDE/>
              <w:autoSpaceDN/>
              <w:spacing w:before="11" w:after="120"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The State Plan does not demonstrate that data collection and analysis of consumers perceived transportation barriers have been completed by the SILC SPIL Committee, workgroups, or the SILC Council to determine comprehensive action steps to alleviate barriers.</w:t>
            </w:r>
          </w:p>
          <w:p w14:paraId="298D081E" w14:textId="5B27AFBB"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The IDSP recommends the SILC revise the objective that calls for data collection and analysis to identify top five systems transportation barriers to drive expansion efforts. The SILC producing a white sheet for CILs, and other IL system partners, would create a solid and consistent starting point.</w:t>
            </w:r>
          </w:p>
        </w:tc>
        <w:tc>
          <w:tcPr>
            <w:tcW w:w="1632" w:type="dxa"/>
          </w:tcPr>
          <w:p w14:paraId="227D3DBE" w14:textId="6CF9ED25" w:rsidR="00FD0DCE" w:rsidRPr="002F5B01" w:rsidRDefault="00FD0DCE" w:rsidP="00FD0DCE">
            <w:pPr>
              <w:jc w:val="center"/>
              <w:rPr>
                <w:rFonts w:asciiTheme="minorHAnsi" w:hAnsiTheme="minorHAnsi" w:cstheme="minorHAnsi"/>
              </w:rPr>
            </w:pPr>
            <w:r>
              <w:rPr>
                <w:rFonts w:asciiTheme="minorHAnsi" w:hAnsiTheme="minorHAnsi" w:cstheme="minorHAnsi"/>
              </w:rPr>
              <w:t>1</w:t>
            </w:r>
          </w:p>
        </w:tc>
        <w:tc>
          <w:tcPr>
            <w:tcW w:w="3620" w:type="dxa"/>
          </w:tcPr>
          <w:p w14:paraId="39B66981" w14:textId="65E5B367" w:rsidR="00FD0DCE" w:rsidRPr="002F5B01" w:rsidRDefault="00FD0DCE" w:rsidP="00FD0DCE">
            <w:pPr>
              <w:ind w:left="42"/>
              <w:rPr>
                <w:rFonts w:asciiTheme="minorHAnsi" w:hAnsiTheme="minorHAnsi" w:cstheme="minorHAnsi"/>
              </w:rPr>
            </w:pPr>
            <w:r>
              <w:rPr>
                <w:rFonts w:asciiTheme="minorHAnsi" w:hAnsiTheme="minorHAnsi" w:cstheme="minorHAnsi"/>
              </w:rPr>
              <w:t>Input received – No change warranted.</w:t>
            </w:r>
          </w:p>
        </w:tc>
      </w:tr>
      <w:tr w:rsidR="00FD0DCE" w:rsidRPr="002E7EAD" w14:paraId="22849FD6" w14:textId="77777777" w:rsidTr="002057F4">
        <w:trPr>
          <w:jc w:val="center"/>
        </w:trPr>
        <w:tc>
          <w:tcPr>
            <w:tcW w:w="445" w:type="dxa"/>
            <w:tcMar>
              <w:top w:w="29" w:type="dxa"/>
              <w:left w:w="43" w:type="dxa"/>
              <w:bottom w:w="29" w:type="dxa"/>
              <w:right w:w="43" w:type="dxa"/>
            </w:tcMar>
          </w:tcPr>
          <w:p w14:paraId="19109CBA" w14:textId="4DBECD91"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8</w:t>
            </w:r>
          </w:p>
        </w:tc>
        <w:tc>
          <w:tcPr>
            <w:tcW w:w="5317" w:type="dxa"/>
          </w:tcPr>
          <w:p w14:paraId="2D4D72DE"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Section 1 - Goals, Objectives and Activities - Page 6 - Goals to be Achieved - Objective 2.3 - The IL system will advocate with housing coalitions and partnerships to expand assess for people with disabilities.</w:t>
            </w:r>
          </w:p>
          <w:p w14:paraId="1B760CD3" w14:textId="77777777" w:rsidR="00FD0DCE" w:rsidRPr="002F5B01" w:rsidRDefault="00FD0DCE" w:rsidP="00FD0DCE">
            <w:pPr>
              <w:pStyle w:val="BodyText"/>
              <w:widowControl/>
              <w:autoSpaceDE/>
              <w:autoSpaceDN/>
              <w:spacing w:before="92"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Comments/Recommendation:</w:t>
            </w:r>
          </w:p>
          <w:p w14:paraId="1AD6B925" w14:textId="77777777" w:rsidR="00FD0DCE" w:rsidRPr="002F5B01" w:rsidRDefault="00FD0DCE" w:rsidP="00FD0DCE">
            <w:pPr>
              <w:pStyle w:val="BodyText"/>
              <w:widowControl/>
              <w:autoSpaceDE/>
              <w:autoSpaceDN/>
              <w:spacing w:after="120"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The IDSP recommends replacing assess with access.</w:t>
            </w:r>
          </w:p>
          <w:p w14:paraId="519AE486" w14:textId="1D5CBE3D" w:rsidR="00FD0DCE" w:rsidRPr="002F5B01" w:rsidRDefault="00FD0DCE" w:rsidP="00FD0DCE">
            <w:pPr>
              <w:pStyle w:val="BodyText"/>
              <w:widowControl/>
              <w:autoSpaceDE/>
              <w:autoSpaceDN/>
              <w:spacing w:after="120" w:line="259" w:lineRule="auto"/>
              <w:ind w:left="-14"/>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 w:val="28"/>
                <w:szCs w:val="28"/>
              </w:rPr>
              <w:t xml:space="preserve">The IDSP recommends the SILC revise objective to call for data collection and analysis to identify top five systems housing barriers to drive expansion efforts. The SILC producing a white sheet for CILs, and other </w:t>
            </w:r>
            <w:r w:rsidRPr="002F5B01">
              <w:rPr>
                <w:rFonts w:asciiTheme="minorHAnsi" w:eastAsia="Times New Roman" w:hAnsiTheme="minorHAnsi" w:cstheme="minorHAnsi"/>
                <w:color w:val="000000"/>
                <w:sz w:val="28"/>
                <w:szCs w:val="28"/>
              </w:rPr>
              <w:lastRenderedPageBreak/>
              <w:t>IL system partners, would create a solid and consistent starting point.</w:t>
            </w:r>
          </w:p>
        </w:tc>
        <w:tc>
          <w:tcPr>
            <w:tcW w:w="1632" w:type="dxa"/>
          </w:tcPr>
          <w:p w14:paraId="3E3DCB10" w14:textId="60C126CA" w:rsidR="00FD0DCE" w:rsidRPr="002F5B01" w:rsidRDefault="00FD0DCE" w:rsidP="00FD0DCE">
            <w:pPr>
              <w:jc w:val="center"/>
              <w:rPr>
                <w:rFonts w:asciiTheme="minorHAnsi" w:hAnsiTheme="minorHAnsi" w:cstheme="minorHAnsi"/>
              </w:rPr>
            </w:pPr>
            <w:r>
              <w:rPr>
                <w:rFonts w:asciiTheme="minorHAnsi" w:hAnsiTheme="minorHAnsi" w:cstheme="minorHAnsi"/>
              </w:rPr>
              <w:lastRenderedPageBreak/>
              <w:t>1</w:t>
            </w:r>
          </w:p>
        </w:tc>
        <w:tc>
          <w:tcPr>
            <w:tcW w:w="3620" w:type="dxa"/>
          </w:tcPr>
          <w:p w14:paraId="37A7D01E" w14:textId="77777777" w:rsidR="00FD0DCE" w:rsidRDefault="00FD0DCE" w:rsidP="00FD0DCE">
            <w:pPr>
              <w:ind w:left="42"/>
              <w:rPr>
                <w:rFonts w:asciiTheme="minorHAnsi" w:hAnsiTheme="minorHAnsi" w:cstheme="minorHAnsi"/>
              </w:rPr>
            </w:pPr>
            <w:r>
              <w:rPr>
                <w:rFonts w:asciiTheme="minorHAnsi" w:hAnsiTheme="minorHAnsi" w:cstheme="minorHAnsi"/>
              </w:rPr>
              <w:t>Typo noted and changed.</w:t>
            </w:r>
          </w:p>
          <w:p w14:paraId="63A3EB3E" w14:textId="3BE7DF26" w:rsidR="00FD0DCE" w:rsidRPr="002F5B01" w:rsidRDefault="00FD0DCE" w:rsidP="00FD0DCE">
            <w:pPr>
              <w:ind w:left="42"/>
              <w:rPr>
                <w:rFonts w:asciiTheme="minorHAnsi" w:hAnsiTheme="minorHAnsi" w:cstheme="minorHAnsi"/>
              </w:rPr>
            </w:pPr>
            <w:r>
              <w:rPr>
                <w:rFonts w:asciiTheme="minorHAnsi" w:hAnsiTheme="minorHAnsi" w:cstheme="minorHAnsi"/>
              </w:rPr>
              <w:t>Input received – No change warranted.</w:t>
            </w:r>
          </w:p>
        </w:tc>
      </w:tr>
      <w:tr w:rsidR="00FD0DCE" w:rsidRPr="002E7EAD" w14:paraId="121D55D1" w14:textId="77777777" w:rsidTr="002057F4">
        <w:trPr>
          <w:jc w:val="center"/>
        </w:trPr>
        <w:tc>
          <w:tcPr>
            <w:tcW w:w="445" w:type="dxa"/>
            <w:tcMar>
              <w:top w:w="29" w:type="dxa"/>
              <w:left w:w="43" w:type="dxa"/>
              <w:bottom w:w="29" w:type="dxa"/>
              <w:right w:w="43" w:type="dxa"/>
            </w:tcMar>
          </w:tcPr>
          <w:p w14:paraId="54A377B8" w14:textId="2BE10892"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9</w:t>
            </w:r>
          </w:p>
        </w:tc>
        <w:tc>
          <w:tcPr>
            <w:tcW w:w="5317" w:type="dxa"/>
          </w:tcPr>
          <w:p w14:paraId="7988E65B"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Section 1 - Goals, Objectives and Activities - Page 6 - Goals to be Achieved - Objective 3.1 - The IL system will educate community partners and funders regarding the value of IL services to consumers.</w:t>
            </w:r>
          </w:p>
          <w:p w14:paraId="7CC5912D" w14:textId="77777777" w:rsidR="00FD0DCE" w:rsidRPr="002F5B01" w:rsidRDefault="00FD0DCE" w:rsidP="00FD0DCE">
            <w:pPr>
              <w:pStyle w:val="BodyText"/>
              <w:widowControl/>
              <w:autoSpaceDE/>
              <w:autoSpaceDN/>
              <w:spacing w:before="92"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Comments/Recommendation:</w:t>
            </w:r>
          </w:p>
          <w:p w14:paraId="425F573F" w14:textId="77777777" w:rsidR="00FD0DCE" w:rsidRPr="002F5B01" w:rsidRDefault="00FD0DCE" w:rsidP="00FD0DCE">
            <w:pPr>
              <w:pStyle w:val="BodyText"/>
              <w:widowControl/>
              <w:autoSpaceDE/>
              <w:autoSpaceDN/>
              <w:spacing w:before="16" w:after="120"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This objective identifies two important demographics to educate. However, it does omit the most important demographic listed in the SILC mission - people in Oregon who experience disabilities. ClLs, and the other IL system partners, serve a small percentage of people in Oregon who experience disabilities and a statewide effort to provide education to this demographic regarding the value of IL services could increase demand and garner support for future investment.</w:t>
            </w:r>
          </w:p>
          <w:p w14:paraId="27CFFF37" w14:textId="77777777" w:rsidR="00FD0DCE" w:rsidRPr="002F5B01" w:rsidRDefault="00FD0DCE" w:rsidP="00FD0DCE">
            <w:pPr>
              <w:pStyle w:val="BodyText"/>
              <w:widowControl/>
              <w:autoSpaceDE/>
              <w:autoSpaceDN/>
              <w:spacing w:after="120"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The IDSP recommends the SILC revise the objective to include people in Oregon who experience disabilities.</w:t>
            </w:r>
          </w:p>
          <w:p w14:paraId="483DA8D7" w14:textId="09FAEBBA" w:rsidR="00FD0DCE" w:rsidRPr="002F5B01" w:rsidRDefault="00FD0DCE" w:rsidP="00FD0DCE">
            <w:pPr>
              <w:pStyle w:val="BodyText"/>
              <w:widowControl/>
              <w:autoSpaceDE/>
              <w:autoSpaceDN/>
              <w:spacing w:after="120"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Furthermore, if "community partners" means local community partners, then the IDSP recommends the addition of statewide community partners and funders. This objective could be further enhanced by referencing 2.3 Coordination - "non-IL" entities listed on page 14 as the list to guide CILs and other IL system partners.</w:t>
            </w:r>
          </w:p>
        </w:tc>
        <w:tc>
          <w:tcPr>
            <w:tcW w:w="1632" w:type="dxa"/>
          </w:tcPr>
          <w:p w14:paraId="00832E8E" w14:textId="1C401061" w:rsidR="00FD0DCE" w:rsidRPr="002F5B01" w:rsidRDefault="00FD0DCE" w:rsidP="00FD0DCE">
            <w:pPr>
              <w:jc w:val="center"/>
              <w:rPr>
                <w:rFonts w:asciiTheme="minorHAnsi" w:hAnsiTheme="minorHAnsi" w:cstheme="minorHAnsi"/>
              </w:rPr>
            </w:pPr>
            <w:r>
              <w:rPr>
                <w:rFonts w:asciiTheme="minorHAnsi" w:hAnsiTheme="minorHAnsi" w:cstheme="minorHAnsi"/>
              </w:rPr>
              <w:t>1</w:t>
            </w:r>
          </w:p>
        </w:tc>
        <w:tc>
          <w:tcPr>
            <w:tcW w:w="3620" w:type="dxa"/>
          </w:tcPr>
          <w:p w14:paraId="2EA5EDE3" w14:textId="77777777" w:rsidR="00FD0DCE" w:rsidRDefault="00FD0DCE" w:rsidP="00FD0DCE">
            <w:pPr>
              <w:ind w:left="42"/>
              <w:rPr>
                <w:rFonts w:asciiTheme="minorHAnsi" w:hAnsiTheme="minorHAnsi" w:cstheme="minorHAnsi"/>
              </w:rPr>
            </w:pPr>
            <w:r>
              <w:rPr>
                <w:rFonts w:asciiTheme="minorHAnsi" w:hAnsiTheme="minorHAnsi" w:cstheme="minorHAnsi"/>
              </w:rPr>
              <w:t>Will change Objective 3.1 to omit “to consumers.”</w:t>
            </w:r>
          </w:p>
          <w:p w14:paraId="439DA705" w14:textId="7B134E0B" w:rsidR="00FD0DCE" w:rsidRPr="002F5B01" w:rsidRDefault="00FD0DCE" w:rsidP="00FD0DCE">
            <w:pPr>
              <w:ind w:left="42"/>
              <w:rPr>
                <w:rFonts w:asciiTheme="minorHAnsi" w:hAnsiTheme="minorHAnsi" w:cstheme="minorHAnsi"/>
              </w:rPr>
            </w:pPr>
          </w:p>
        </w:tc>
      </w:tr>
      <w:tr w:rsidR="00FD0DCE" w:rsidRPr="002E7EAD" w14:paraId="4EF32E36" w14:textId="77777777" w:rsidTr="002057F4">
        <w:trPr>
          <w:jc w:val="center"/>
        </w:trPr>
        <w:tc>
          <w:tcPr>
            <w:tcW w:w="445" w:type="dxa"/>
            <w:tcMar>
              <w:top w:w="29" w:type="dxa"/>
              <w:left w:w="43" w:type="dxa"/>
              <w:bottom w:w="29" w:type="dxa"/>
              <w:right w:w="43" w:type="dxa"/>
            </w:tcMar>
          </w:tcPr>
          <w:p w14:paraId="6687656F" w14:textId="2BD750BB"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10</w:t>
            </w:r>
          </w:p>
        </w:tc>
        <w:tc>
          <w:tcPr>
            <w:tcW w:w="5317" w:type="dxa"/>
          </w:tcPr>
          <w:p w14:paraId="56443C6F"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 xml:space="preserve">Section 1 - Goals, Objectives and Activities - Page 6 - Goals to be Achieved - Objective 3.2 - The IL system will engage in local and </w:t>
            </w:r>
            <w:r w:rsidRPr="002F5B01">
              <w:rPr>
                <w:rFonts w:asciiTheme="minorHAnsi" w:eastAsia="Times New Roman" w:hAnsiTheme="minorHAnsi" w:cstheme="minorHAnsi"/>
                <w:color w:val="000000"/>
                <w:szCs w:val="28"/>
              </w:rPr>
              <w:lastRenderedPageBreak/>
              <w:t>statewide systems advocacy to address issues impacting consumer needs.</w:t>
            </w:r>
          </w:p>
          <w:p w14:paraId="36CDD0E3" w14:textId="77777777" w:rsidR="00FD0DCE" w:rsidRPr="002F5B01" w:rsidRDefault="00FD0DCE" w:rsidP="00FD0DCE">
            <w:pPr>
              <w:pStyle w:val="BodyText"/>
              <w:widowControl/>
              <w:autoSpaceDE/>
              <w:autoSpaceDN/>
              <w:spacing w:before="92"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Comments/Recommendation:</w:t>
            </w:r>
          </w:p>
          <w:p w14:paraId="10D354E8" w14:textId="77777777" w:rsidR="00FD0DCE" w:rsidRPr="002F5B01" w:rsidRDefault="00FD0DCE" w:rsidP="00FD0DCE">
            <w:pPr>
              <w:pStyle w:val="BodyText"/>
              <w:widowControl/>
              <w:autoSpaceDE/>
              <w:autoSpaceDN/>
              <w:spacing w:after="120"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The IDSP recommends the SILC revise objective that calls for data collection and analysis to identify top five systems issues impacting consumer needs. The SILC producing a white sheet for CILs, and other IL system partners, would create a solid and consistent starting point.</w:t>
            </w:r>
          </w:p>
          <w:p w14:paraId="40558A61" w14:textId="6F39852E"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Furthermore, the IDSP recommends referencing 2.3 Coordination - "non­ IL" entities listed on page 14 as the list to guide ClLs and other IL system partners.</w:t>
            </w:r>
          </w:p>
        </w:tc>
        <w:tc>
          <w:tcPr>
            <w:tcW w:w="1632" w:type="dxa"/>
          </w:tcPr>
          <w:p w14:paraId="2CAA7592" w14:textId="7B5F90B9" w:rsidR="00FD0DCE" w:rsidRPr="002F5B01" w:rsidRDefault="00FD0DCE" w:rsidP="00FD0DCE">
            <w:pPr>
              <w:jc w:val="center"/>
              <w:rPr>
                <w:rFonts w:asciiTheme="minorHAnsi" w:hAnsiTheme="minorHAnsi" w:cstheme="minorHAnsi"/>
              </w:rPr>
            </w:pPr>
            <w:r>
              <w:rPr>
                <w:rFonts w:asciiTheme="minorHAnsi" w:hAnsiTheme="minorHAnsi" w:cstheme="minorHAnsi"/>
              </w:rPr>
              <w:lastRenderedPageBreak/>
              <w:t>1</w:t>
            </w:r>
          </w:p>
        </w:tc>
        <w:tc>
          <w:tcPr>
            <w:tcW w:w="3620" w:type="dxa"/>
          </w:tcPr>
          <w:p w14:paraId="226D1CB6" w14:textId="5234E3B4" w:rsidR="00FD0DCE" w:rsidRPr="002F5B01" w:rsidRDefault="00FD0DCE" w:rsidP="00FD0DCE">
            <w:pPr>
              <w:ind w:left="42"/>
              <w:rPr>
                <w:rFonts w:asciiTheme="minorHAnsi" w:hAnsiTheme="minorHAnsi" w:cstheme="minorHAnsi"/>
              </w:rPr>
            </w:pPr>
            <w:r>
              <w:rPr>
                <w:rFonts w:asciiTheme="minorHAnsi" w:hAnsiTheme="minorHAnsi" w:cstheme="minorHAnsi"/>
              </w:rPr>
              <w:t>Input received – No change warranted.</w:t>
            </w:r>
          </w:p>
        </w:tc>
      </w:tr>
      <w:tr w:rsidR="00FD0DCE" w:rsidRPr="002E7EAD" w14:paraId="1513ACD1" w14:textId="77777777" w:rsidTr="002057F4">
        <w:trPr>
          <w:jc w:val="center"/>
        </w:trPr>
        <w:tc>
          <w:tcPr>
            <w:tcW w:w="445" w:type="dxa"/>
            <w:tcMar>
              <w:top w:w="29" w:type="dxa"/>
              <w:left w:w="43" w:type="dxa"/>
              <w:bottom w:w="29" w:type="dxa"/>
              <w:right w:w="43" w:type="dxa"/>
            </w:tcMar>
          </w:tcPr>
          <w:p w14:paraId="2632F461" w14:textId="1C8BCCFC"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11</w:t>
            </w:r>
          </w:p>
        </w:tc>
        <w:tc>
          <w:tcPr>
            <w:tcW w:w="5317" w:type="dxa"/>
          </w:tcPr>
          <w:p w14:paraId="05B34899"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Section 1 - Goals, Objectives and Activities - Page 7 - Goals to be Achieved - Objective 3.2 - With the support of the IL system, the Oregon SILC will pursue a youth leadership training initiative across the state.</w:t>
            </w:r>
          </w:p>
          <w:p w14:paraId="4CFD8B33" w14:textId="77777777" w:rsidR="00FD0DCE" w:rsidRPr="002F5B01" w:rsidRDefault="00FD0DCE" w:rsidP="00FD0DCE">
            <w:pPr>
              <w:pStyle w:val="BodyText"/>
              <w:widowControl/>
              <w:autoSpaceDE/>
              <w:autoSpaceDN/>
              <w:spacing w:before="92"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Comments/Recommendation:</w:t>
            </w:r>
          </w:p>
          <w:p w14:paraId="2236E73A" w14:textId="18953253" w:rsidR="00FD0DCE" w:rsidRPr="002F5B01" w:rsidRDefault="00FD0DCE" w:rsidP="00FD0DCE">
            <w:pPr>
              <w:pStyle w:val="BodyText"/>
              <w:widowControl/>
              <w:autoSpaceDE/>
              <w:autoSpaceDN/>
              <w:spacing w:after="120"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The IDSP supports this objective. The IDSP encourages the SILC to specify all phases of the design, implementation, and evaluation should include CILs. CILS have a myriad of expertise in this policy domain, and are essential to ensure statewide success of this objective. Furthermore, some Oregon CILs have developed and piloted youth leadership training projects.</w:t>
            </w:r>
          </w:p>
        </w:tc>
        <w:tc>
          <w:tcPr>
            <w:tcW w:w="1632" w:type="dxa"/>
          </w:tcPr>
          <w:p w14:paraId="2F51711E" w14:textId="2CA61AD1" w:rsidR="00FD0DCE" w:rsidRPr="002F5B01" w:rsidRDefault="00FD0DCE" w:rsidP="00FD0DCE">
            <w:pPr>
              <w:jc w:val="center"/>
              <w:rPr>
                <w:rFonts w:asciiTheme="minorHAnsi" w:hAnsiTheme="minorHAnsi" w:cstheme="minorHAnsi"/>
              </w:rPr>
            </w:pPr>
            <w:r>
              <w:rPr>
                <w:rFonts w:asciiTheme="minorHAnsi" w:hAnsiTheme="minorHAnsi" w:cstheme="minorHAnsi"/>
              </w:rPr>
              <w:t>1</w:t>
            </w:r>
          </w:p>
        </w:tc>
        <w:tc>
          <w:tcPr>
            <w:tcW w:w="3620" w:type="dxa"/>
          </w:tcPr>
          <w:p w14:paraId="626D4597" w14:textId="799744C1" w:rsidR="00FD0DCE" w:rsidRPr="002F5B01" w:rsidRDefault="00FD0DCE" w:rsidP="00FD0DCE">
            <w:pPr>
              <w:ind w:left="42"/>
              <w:rPr>
                <w:rFonts w:asciiTheme="minorHAnsi" w:hAnsiTheme="minorHAnsi" w:cstheme="minorHAnsi"/>
              </w:rPr>
            </w:pPr>
            <w:r>
              <w:rPr>
                <w:rFonts w:asciiTheme="minorHAnsi" w:hAnsiTheme="minorHAnsi" w:cstheme="minorHAnsi"/>
              </w:rPr>
              <w:t>Supportive – No response needed.</w:t>
            </w:r>
          </w:p>
        </w:tc>
      </w:tr>
      <w:tr w:rsidR="00FD0DCE" w:rsidRPr="002E7EAD" w14:paraId="10B72106" w14:textId="77777777" w:rsidTr="002057F4">
        <w:trPr>
          <w:jc w:val="center"/>
        </w:trPr>
        <w:tc>
          <w:tcPr>
            <w:tcW w:w="445" w:type="dxa"/>
            <w:tcMar>
              <w:top w:w="29" w:type="dxa"/>
              <w:left w:w="43" w:type="dxa"/>
              <w:bottom w:w="29" w:type="dxa"/>
              <w:right w:w="43" w:type="dxa"/>
            </w:tcMar>
          </w:tcPr>
          <w:p w14:paraId="2B256F99" w14:textId="4D551FE3"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12</w:t>
            </w:r>
          </w:p>
        </w:tc>
        <w:tc>
          <w:tcPr>
            <w:tcW w:w="5317" w:type="dxa"/>
          </w:tcPr>
          <w:p w14:paraId="27CD7F26" w14:textId="25D65359"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Section 1 - Goals, Objectives and Activities - Pages 3-7 - Goals to be Achieved - 1.3 Objectives</w:t>
            </w:r>
          </w:p>
          <w:p w14:paraId="69CDBF8B" w14:textId="77777777" w:rsidR="00FD0DCE" w:rsidRPr="002F5B01" w:rsidRDefault="00FD0DCE" w:rsidP="00FD0DCE">
            <w:pPr>
              <w:pStyle w:val="BodyText"/>
              <w:widowControl/>
              <w:autoSpaceDE/>
              <w:autoSpaceDN/>
              <w:spacing w:before="92"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Comments/Recommendation:</w:t>
            </w:r>
          </w:p>
          <w:p w14:paraId="153A1BAE"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lastRenderedPageBreak/>
              <w:t>The State Plan does not provide financial impact statements for objectives being proposed. Multiple objectives contain evaluation measures specifying 400, 1000, 1900 hours will be spent over the term of the SPIL. These objectives have a financial impact on CILs and other IL system partners.</w:t>
            </w:r>
          </w:p>
          <w:p w14:paraId="2371D21E" w14:textId="2A48505B"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The IDSP recommends a financial impact statement be comprised for the proposed and future objectives. This will provide transparent information to the board of directors of Clls and their staff, and other IL system partners, so they can make informed decisions when developing their CIL budgets and strategic plans. In addition, producing a financial impact statement appears to be a common practice of ACL.</w:t>
            </w:r>
          </w:p>
        </w:tc>
        <w:tc>
          <w:tcPr>
            <w:tcW w:w="1632" w:type="dxa"/>
          </w:tcPr>
          <w:p w14:paraId="60968570" w14:textId="60D6D494" w:rsidR="00FD0DCE" w:rsidRPr="002F5B01" w:rsidRDefault="00FD0DCE" w:rsidP="00FD0DCE">
            <w:pPr>
              <w:jc w:val="center"/>
              <w:rPr>
                <w:rFonts w:asciiTheme="minorHAnsi" w:hAnsiTheme="minorHAnsi" w:cstheme="minorHAnsi"/>
              </w:rPr>
            </w:pPr>
            <w:r>
              <w:rPr>
                <w:rFonts w:asciiTheme="minorHAnsi" w:hAnsiTheme="minorHAnsi" w:cstheme="minorHAnsi"/>
              </w:rPr>
              <w:lastRenderedPageBreak/>
              <w:t>1</w:t>
            </w:r>
          </w:p>
        </w:tc>
        <w:tc>
          <w:tcPr>
            <w:tcW w:w="3620" w:type="dxa"/>
          </w:tcPr>
          <w:p w14:paraId="098A10E7" w14:textId="1E2CC236" w:rsidR="00FD0DCE" w:rsidRPr="002F5B01" w:rsidRDefault="00FD0DCE" w:rsidP="00FD0DCE">
            <w:pPr>
              <w:ind w:left="42"/>
              <w:rPr>
                <w:rFonts w:asciiTheme="minorHAnsi" w:hAnsiTheme="minorHAnsi" w:cstheme="minorHAnsi"/>
              </w:rPr>
            </w:pPr>
            <w:r>
              <w:rPr>
                <w:rFonts w:asciiTheme="minorHAnsi" w:hAnsiTheme="minorHAnsi" w:cstheme="minorHAnsi"/>
              </w:rPr>
              <w:t>Input received – No change warranted.</w:t>
            </w:r>
          </w:p>
        </w:tc>
      </w:tr>
      <w:tr w:rsidR="00FD0DCE" w:rsidRPr="002E7EAD" w14:paraId="010288DC" w14:textId="77777777" w:rsidTr="002057F4">
        <w:trPr>
          <w:jc w:val="center"/>
        </w:trPr>
        <w:tc>
          <w:tcPr>
            <w:tcW w:w="445" w:type="dxa"/>
            <w:tcMar>
              <w:top w:w="29" w:type="dxa"/>
              <w:left w:w="43" w:type="dxa"/>
              <w:bottom w:w="29" w:type="dxa"/>
              <w:right w:w="43" w:type="dxa"/>
            </w:tcMar>
          </w:tcPr>
          <w:p w14:paraId="170F602C" w14:textId="1FEB4919"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13</w:t>
            </w:r>
          </w:p>
        </w:tc>
        <w:tc>
          <w:tcPr>
            <w:tcW w:w="5317" w:type="dxa"/>
          </w:tcPr>
          <w:p w14:paraId="02ED186A"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Section 2.2- Outreach - Pages 12-13 - Underserved</w:t>
            </w:r>
          </w:p>
          <w:p w14:paraId="7202A92D" w14:textId="77777777" w:rsidR="00FD0DCE" w:rsidRPr="002F5B01" w:rsidRDefault="00FD0DCE" w:rsidP="00FD0DCE">
            <w:pPr>
              <w:pStyle w:val="BodyText"/>
              <w:widowControl/>
              <w:autoSpaceDE/>
              <w:autoSpaceDN/>
              <w:spacing w:before="92"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Comments/Recommendation:</w:t>
            </w:r>
          </w:p>
          <w:p w14:paraId="6B210C78" w14:textId="77777777" w:rsidR="00FD0DCE" w:rsidRPr="002F5B01" w:rsidRDefault="00FD0DCE" w:rsidP="00FD0DCE">
            <w:pPr>
              <w:spacing w:after="120"/>
              <w:ind w:left="-14"/>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The IDSP supports CILs developing their own targeted outreach plans for their underserved populations.</w:t>
            </w:r>
          </w:p>
          <w:p w14:paraId="2A420050" w14:textId="34606916" w:rsidR="00FD0DCE" w:rsidRPr="002F5B01" w:rsidRDefault="00FD0DCE" w:rsidP="00FD0DCE">
            <w:pPr>
              <w:spacing w:after="120"/>
              <w:ind w:left="-14"/>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The IDSP recommends the SILC consider adding to their language that Cl Ls are required by compliance indicators to conduct and report activities, using the annual program performance reports, to eligible individuals. These individuals will represent a diversity of significant disabilities and will be members of populations that are unserved or underserved.</w:t>
            </w:r>
          </w:p>
        </w:tc>
        <w:tc>
          <w:tcPr>
            <w:tcW w:w="1632" w:type="dxa"/>
          </w:tcPr>
          <w:p w14:paraId="4112BD20" w14:textId="29FCC323" w:rsidR="00FD0DCE" w:rsidRPr="002F5B01" w:rsidRDefault="00FD0DCE" w:rsidP="00FD0DCE">
            <w:pPr>
              <w:jc w:val="center"/>
              <w:rPr>
                <w:rFonts w:asciiTheme="minorHAnsi" w:hAnsiTheme="minorHAnsi" w:cstheme="minorHAnsi"/>
              </w:rPr>
            </w:pPr>
            <w:r>
              <w:rPr>
                <w:rFonts w:asciiTheme="minorHAnsi" w:hAnsiTheme="minorHAnsi" w:cstheme="minorHAnsi"/>
              </w:rPr>
              <w:t>1</w:t>
            </w:r>
          </w:p>
        </w:tc>
        <w:tc>
          <w:tcPr>
            <w:tcW w:w="3620" w:type="dxa"/>
          </w:tcPr>
          <w:p w14:paraId="06EE5A15" w14:textId="78349CCC" w:rsidR="00FD0DCE" w:rsidRPr="002F5B01" w:rsidRDefault="00FD0DCE" w:rsidP="00FD0DCE">
            <w:pPr>
              <w:ind w:left="42"/>
              <w:rPr>
                <w:rFonts w:asciiTheme="minorHAnsi" w:hAnsiTheme="minorHAnsi" w:cstheme="minorHAnsi"/>
              </w:rPr>
            </w:pPr>
            <w:r>
              <w:rPr>
                <w:rFonts w:asciiTheme="minorHAnsi" w:hAnsiTheme="minorHAnsi" w:cstheme="minorHAnsi"/>
              </w:rPr>
              <w:t>Supportive – No response needed.</w:t>
            </w:r>
          </w:p>
        </w:tc>
      </w:tr>
      <w:tr w:rsidR="00FD0DCE" w:rsidRPr="002E7EAD" w14:paraId="42DD5F62" w14:textId="77777777" w:rsidTr="002057F4">
        <w:trPr>
          <w:jc w:val="center"/>
        </w:trPr>
        <w:tc>
          <w:tcPr>
            <w:tcW w:w="445" w:type="dxa"/>
            <w:tcMar>
              <w:top w:w="29" w:type="dxa"/>
              <w:left w:w="43" w:type="dxa"/>
              <w:bottom w:w="29" w:type="dxa"/>
              <w:right w:w="43" w:type="dxa"/>
            </w:tcMar>
          </w:tcPr>
          <w:p w14:paraId="669378BD" w14:textId="1EC5624F"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lastRenderedPageBreak/>
              <w:t>14</w:t>
            </w:r>
          </w:p>
        </w:tc>
        <w:tc>
          <w:tcPr>
            <w:tcW w:w="5317" w:type="dxa"/>
          </w:tcPr>
          <w:p w14:paraId="01D8D5E2"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Section 2.3- Coordination - Pages 13</w:t>
            </w:r>
          </w:p>
          <w:p w14:paraId="561FBFF1" w14:textId="77777777" w:rsidR="00FD0DCE" w:rsidRPr="002F5B01" w:rsidRDefault="00FD0DCE" w:rsidP="00FD0DCE">
            <w:pPr>
              <w:pStyle w:val="BodyText"/>
              <w:widowControl/>
              <w:autoSpaceDE/>
              <w:autoSpaceDN/>
              <w:spacing w:before="92"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Comments/Recommendation:</w:t>
            </w:r>
          </w:p>
          <w:p w14:paraId="1B13652F" w14:textId="77777777" w:rsidR="00FD0DCE" w:rsidRPr="002F5B01" w:rsidRDefault="00FD0DCE" w:rsidP="00FD0DCE">
            <w:pPr>
              <w:spacing w:before="23" w:after="120"/>
              <w:ind w:left="-14"/>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The IDSP concurs that the regularly scheduled meetings of the IL System partners provide opportunities for communication and coordination of services and activities.</w:t>
            </w:r>
          </w:p>
          <w:p w14:paraId="2D1E4BE3" w14:textId="43001D68" w:rsidR="00FD0DCE" w:rsidRPr="002F5B01" w:rsidRDefault="00FD0DCE" w:rsidP="00FD0DCE">
            <w:pPr>
              <w:spacing w:after="120"/>
              <w:ind w:left="-14"/>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The IDSP recommends this section be enhanced by adding IL System partners will review data, complete analysis and produce white sheets that will increase the effectiveness of statewide systems advocacy, improve the effectiveness of local service, promote inclusion, and minimize the duplication of services.</w:t>
            </w:r>
          </w:p>
        </w:tc>
        <w:tc>
          <w:tcPr>
            <w:tcW w:w="1632" w:type="dxa"/>
          </w:tcPr>
          <w:p w14:paraId="7E520313" w14:textId="1DADA76D" w:rsidR="00FD0DCE" w:rsidRPr="002F5B01" w:rsidRDefault="00FD0DCE" w:rsidP="00FD0DCE">
            <w:pPr>
              <w:jc w:val="center"/>
              <w:rPr>
                <w:rFonts w:asciiTheme="minorHAnsi" w:hAnsiTheme="minorHAnsi" w:cstheme="minorHAnsi"/>
              </w:rPr>
            </w:pPr>
            <w:r>
              <w:rPr>
                <w:rFonts w:asciiTheme="minorHAnsi" w:hAnsiTheme="minorHAnsi" w:cstheme="minorHAnsi"/>
              </w:rPr>
              <w:t>1</w:t>
            </w:r>
          </w:p>
        </w:tc>
        <w:tc>
          <w:tcPr>
            <w:tcW w:w="3620" w:type="dxa"/>
          </w:tcPr>
          <w:p w14:paraId="2B4CF846" w14:textId="15704129" w:rsidR="00FD0DCE" w:rsidRPr="002F5B01" w:rsidRDefault="00FD0DCE" w:rsidP="00FD0DCE">
            <w:pPr>
              <w:ind w:left="42"/>
              <w:rPr>
                <w:rFonts w:asciiTheme="minorHAnsi" w:hAnsiTheme="minorHAnsi" w:cstheme="minorHAnsi"/>
              </w:rPr>
            </w:pPr>
            <w:r>
              <w:rPr>
                <w:rFonts w:asciiTheme="minorHAnsi" w:hAnsiTheme="minorHAnsi" w:cstheme="minorHAnsi"/>
              </w:rPr>
              <w:t>Supportive – No response needed.</w:t>
            </w:r>
          </w:p>
        </w:tc>
      </w:tr>
      <w:tr w:rsidR="00FD0DCE" w:rsidRPr="002E7EAD" w14:paraId="31F5655F" w14:textId="77777777" w:rsidTr="002057F4">
        <w:trPr>
          <w:jc w:val="center"/>
        </w:trPr>
        <w:tc>
          <w:tcPr>
            <w:tcW w:w="445" w:type="dxa"/>
            <w:tcMar>
              <w:top w:w="29" w:type="dxa"/>
              <w:left w:w="43" w:type="dxa"/>
              <w:bottom w:w="29" w:type="dxa"/>
              <w:right w:w="43" w:type="dxa"/>
            </w:tcMar>
          </w:tcPr>
          <w:p w14:paraId="0B5F41BD" w14:textId="1C5CAF84"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15</w:t>
            </w:r>
          </w:p>
        </w:tc>
        <w:tc>
          <w:tcPr>
            <w:tcW w:w="5317" w:type="dxa"/>
          </w:tcPr>
          <w:p w14:paraId="64ADF7BC" w14:textId="6A90C57D"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Section 2.3- Coordination - Pages 14 - Non-IL Entities</w:t>
            </w:r>
          </w:p>
          <w:p w14:paraId="56A6982D" w14:textId="77777777" w:rsidR="00FD0DCE" w:rsidRPr="002F5B01" w:rsidRDefault="00FD0DCE" w:rsidP="00FD0DCE">
            <w:pPr>
              <w:pStyle w:val="BodyText"/>
              <w:widowControl/>
              <w:autoSpaceDE/>
              <w:autoSpaceDN/>
              <w:spacing w:before="92"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Comments/Recommendation:</w:t>
            </w:r>
          </w:p>
          <w:p w14:paraId="3070B6C8" w14:textId="4E0F962D"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This list is very comprehensive apart from omitting LGBTQIA+ &amp; Two Spirit agencies/organizations, Latino specific entities, and tribal specific entities. In addition, the United States Homeland Security, United States Citizenship and Immigration Services (USCIS) was removed from the comprehensive list.</w:t>
            </w:r>
          </w:p>
          <w:p w14:paraId="5E410399"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Public input and/or focus group feedback from people in eastern Oregon who experience disabilities expressed a need to improve IL services and coordination for people in Oregon who experience disabilities and are members of the LGBTQIA+ &amp; Two Spirit communities.</w:t>
            </w:r>
          </w:p>
          <w:p w14:paraId="08B6EF8F" w14:textId="0EF989E8"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lastRenderedPageBreak/>
              <w:t>People in Oregon who experience disabilities that have self-deported or are in the process of deportation, are at extreme risk of institutionalization, hate and bias crimes, not having access to adequate healthcare, medications, and durable medical equipment.</w:t>
            </w:r>
          </w:p>
          <w:p w14:paraId="3E94CA3C"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The IDSP concurs with all entities listed and recommends this section be enhanced by adding:</w:t>
            </w:r>
          </w:p>
          <w:p w14:paraId="6D1F3EBB" w14:textId="77777777" w:rsidR="00FD0DCE" w:rsidRPr="002F5B01" w:rsidRDefault="00FD0DCE" w:rsidP="00FD0DCE">
            <w:pPr>
              <w:pStyle w:val="ListParagraph"/>
              <w:spacing w:after="120"/>
              <w:ind w:left="246" w:hanging="270"/>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w:t>
            </w:r>
            <w:r w:rsidRPr="002F5B01">
              <w:rPr>
                <w:rFonts w:asciiTheme="minorHAnsi" w:eastAsia="Times New Roman" w:hAnsiTheme="minorHAnsi" w:cstheme="minorHAnsi"/>
                <w:color w:val="000000"/>
                <w:szCs w:val="28"/>
              </w:rPr>
              <w:tab/>
              <w:t>Basic Rights Oregon and/or other LGBTQIA+ &amp; Two Spirit entities;</w:t>
            </w:r>
          </w:p>
          <w:p w14:paraId="62B66B17" w14:textId="77777777" w:rsidR="00FD0DCE" w:rsidRPr="002F5B01" w:rsidRDefault="00FD0DCE" w:rsidP="00FD0DCE">
            <w:pPr>
              <w:pStyle w:val="ListParagraph"/>
              <w:spacing w:after="120"/>
              <w:ind w:left="246" w:hanging="270"/>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w:t>
            </w:r>
            <w:r w:rsidRPr="002F5B01">
              <w:rPr>
                <w:rFonts w:asciiTheme="minorHAnsi" w:eastAsia="Times New Roman" w:hAnsiTheme="minorHAnsi" w:cstheme="minorHAnsi"/>
                <w:color w:val="000000"/>
                <w:szCs w:val="28"/>
              </w:rPr>
              <w:tab/>
              <w:t>Latino specific entities;</w:t>
            </w:r>
          </w:p>
          <w:p w14:paraId="0B374593" w14:textId="77777777" w:rsidR="00FD0DCE" w:rsidRPr="002F5B01" w:rsidRDefault="00FD0DCE" w:rsidP="00FD0DCE">
            <w:pPr>
              <w:pStyle w:val="ListParagraph"/>
              <w:spacing w:after="120"/>
              <w:ind w:left="246" w:hanging="270"/>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w:t>
            </w:r>
            <w:r w:rsidRPr="002F5B01">
              <w:rPr>
                <w:rFonts w:asciiTheme="minorHAnsi" w:eastAsia="Times New Roman" w:hAnsiTheme="minorHAnsi" w:cstheme="minorHAnsi"/>
                <w:color w:val="000000"/>
                <w:szCs w:val="28"/>
              </w:rPr>
              <w:tab/>
              <w:t>Tribal specific entities;</w:t>
            </w:r>
          </w:p>
          <w:p w14:paraId="54CE8ECD" w14:textId="6274C150" w:rsidR="00FD0DCE" w:rsidRPr="002F5B01" w:rsidRDefault="00FD0DCE" w:rsidP="00FD0DCE">
            <w:pPr>
              <w:pStyle w:val="ListParagraph"/>
              <w:spacing w:after="120"/>
              <w:ind w:left="246" w:hanging="270"/>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w:t>
            </w:r>
            <w:r w:rsidRPr="002F5B01">
              <w:rPr>
                <w:rFonts w:asciiTheme="minorHAnsi" w:eastAsia="Times New Roman" w:hAnsiTheme="minorHAnsi" w:cstheme="minorHAnsi"/>
                <w:color w:val="000000"/>
                <w:szCs w:val="28"/>
              </w:rPr>
              <w:tab/>
              <w:t>United States Citizenship and Immigration Services (USCIS)</w:t>
            </w:r>
          </w:p>
        </w:tc>
        <w:tc>
          <w:tcPr>
            <w:tcW w:w="1632" w:type="dxa"/>
          </w:tcPr>
          <w:p w14:paraId="13493BB9" w14:textId="691D21FC" w:rsidR="00FD0DCE" w:rsidRPr="002F5B01" w:rsidRDefault="00FD0DCE" w:rsidP="00FD0DCE">
            <w:pPr>
              <w:jc w:val="center"/>
              <w:rPr>
                <w:rFonts w:asciiTheme="minorHAnsi" w:hAnsiTheme="minorHAnsi" w:cstheme="minorHAnsi"/>
              </w:rPr>
            </w:pPr>
            <w:r>
              <w:rPr>
                <w:rFonts w:asciiTheme="minorHAnsi" w:hAnsiTheme="minorHAnsi" w:cstheme="minorHAnsi"/>
              </w:rPr>
              <w:lastRenderedPageBreak/>
              <w:t>1</w:t>
            </w:r>
          </w:p>
        </w:tc>
        <w:tc>
          <w:tcPr>
            <w:tcW w:w="3620" w:type="dxa"/>
          </w:tcPr>
          <w:p w14:paraId="7B84D53C" w14:textId="3C009FE5" w:rsidR="00FD0DCE" w:rsidRPr="002F5B01" w:rsidRDefault="00FD0DCE" w:rsidP="00FD0DCE">
            <w:pPr>
              <w:ind w:left="42"/>
              <w:rPr>
                <w:rFonts w:asciiTheme="minorHAnsi" w:hAnsiTheme="minorHAnsi" w:cstheme="minorHAnsi"/>
              </w:rPr>
            </w:pPr>
            <w:r>
              <w:rPr>
                <w:rFonts w:asciiTheme="minorHAnsi" w:hAnsiTheme="minorHAnsi" w:cstheme="minorHAnsi"/>
              </w:rPr>
              <w:t>Will add the suggested entities.</w:t>
            </w:r>
          </w:p>
        </w:tc>
      </w:tr>
      <w:tr w:rsidR="00FD0DCE" w:rsidRPr="002E7EAD" w14:paraId="33C6843A" w14:textId="77777777" w:rsidTr="002057F4">
        <w:trPr>
          <w:jc w:val="center"/>
        </w:trPr>
        <w:tc>
          <w:tcPr>
            <w:tcW w:w="445" w:type="dxa"/>
            <w:tcMar>
              <w:top w:w="29" w:type="dxa"/>
              <w:left w:w="43" w:type="dxa"/>
              <w:bottom w:w="29" w:type="dxa"/>
              <w:right w:w="43" w:type="dxa"/>
            </w:tcMar>
          </w:tcPr>
          <w:p w14:paraId="3B58DB4D" w14:textId="2CE6ED61"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16</w:t>
            </w:r>
          </w:p>
        </w:tc>
        <w:tc>
          <w:tcPr>
            <w:tcW w:w="5317" w:type="dxa"/>
          </w:tcPr>
          <w:p w14:paraId="1A4D17B5" w14:textId="251E8C4B"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Section 3.1- Network of Centers - Pages 16 – EOCIL.</w:t>
            </w:r>
          </w:p>
          <w:p w14:paraId="1E8EDA82" w14:textId="77777777" w:rsidR="00FD0DCE" w:rsidRPr="002F5B01" w:rsidRDefault="00FD0DCE" w:rsidP="00FD0DCE">
            <w:pPr>
              <w:pStyle w:val="BodyText"/>
              <w:widowControl/>
              <w:autoSpaceDE/>
              <w:autoSpaceDN/>
              <w:spacing w:before="92"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Comments/Recommendation:</w:t>
            </w:r>
          </w:p>
          <w:p w14:paraId="69617741" w14:textId="77777777" w:rsidR="00FD0DCE" w:rsidRPr="002F5B01" w:rsidRDefault="00FD0DCE" w:rsidP="00FD0DCE">
            <w:pPr>
              <w:spacing w:before="19" w:after="120"/>
              <w:ind w:left="-14"/>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Each listing for CILs contains information regarding counties serviced. EOCIL's The Dalles office indicates Wasco County. EOCIL's The Dalles office serves Hood River, Wasco, and Sherman Counties.</w:t>
            </w:r>
          </w:p>
          <w:p w14:paraId="5AE1FCA0" w14:textId="4AC4DF4B"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The IDSP recommends the SILC list Hood River, Wasco, and Sherman Counites for this office.</w:t>
            </w:r>
          </w:p>
        </w:tc>
        <w:tc>
          <w:tcPr>
            <w:tcW w:w="1632" w:type="dxa"/>
          </w:tcPr>
          <w:p w14:paraId="2AA5764B" w14:textId="0ABF5499" w:rsidR="00FD0DCE" w:rsidRPr="002F5B01" w:rsidRDefault="00FD0DCE" w:rsidP="00FD0DCE">
            <w:pPr>
              <w:jc w:val="center"/>
              <w:rPr>
                <w:rFonts w:asciiTheme="minorHAnsi" w:hAnsiTheme="minorHAnsi" w:cstheme="minorHAnsi"/>
              </w:rPr>
            </w:pPr>
            <w:r>
              <w:rPr>
                <w:rFonts w:asciiTheme="minorHAnsi" w:hAnsiTheme="minorHAnsi" w:cstheme="minorHAnsi"/>
              </w:rPr>
              <w:t>1</w:t>
            </w:r>
          </w:p>
        </w:tc>
        <w:tc>
          <w:tcPr>
            <w:tcW w:w="3620" w:type="dxa"/>
          </w:tcPr>
          <w:p w14:paraId="28B7F1DD" w14:textId="5C648FEA" w:rsidR="00FD0DCE" w:rsidRPr="002F5B01" w:rsidRDefault="00FD0DCE" w:rsidP="00FD0DCE">
            <w:pPr>
              <w:ind w:left="42"/>
              <w:rPr>
                <w:rFonts w:asciiTheme="minorHAnsi" w:hAnsiTheme="minorHAnsi" w:cstheme="minorHAnsi"/>
              </w:rPr>
            </w:pPr>
            <w:r>
              <w:rPr>
                <w:rFonts w:asciiTheme="minorHAnsi" w:hAnsiTheme="minorHAnsi" w:cstheme="minorHAnsi"/>
              </w:rPr>
              <w:t xml:space="preserve">No change. We want to maintain the concept of unserved areas and priorities for expansion through state </w:t>
            </w:r>
            <w:r w:rsidR="00D15E67">
              <w:rPr>
                <w:rFonts w:asciiTheme="minorHAnsi" w:hAnsiTheme="minorHAnsi" w:cstheme="minorHAnsi"/>
              </w:rPr>
              <w:t>or</w:t>
            </w:r>
            <w:r>
              <w:rPr>
                <w:rFonts w:asciiTheme="minorHAnsi" w:hAnsiTheme="minorHAnsi" w:cstheme="minorHAnsi"/>
              </w:rPr>
              <w:t xml:space="preserve"> federal funding.</w:t>
            </w:r>
          </w:p>
        </w:tc>
      </w:tr>
      <w:tr w:rsidR="00FD0DCE" w:rsidRPr="002E7EAD" w14:paraId="4BB1CDB7" w14:textId="77777777" w:rsidTr="002057F4">
        <w:trPr>
          <w:jc w:val="center"/>
        </w:trPr>
        <w:tc>
          <w:tcPr>
            <w:tcW w:w="445" w:type="dxa"/>
            <w:tcMar>
              <w:top w:w="29" w:type="dxa"/>
              <w:left w:w="43" w:type="dxa"/>
              <w:bottom w:w="29" w:type="dxa"/>
              <w:right w:w="43" w:type="dxa"/>
            </w:tcMar>
          </w:tcPr>
          <w:p w14:paraId="4CDD90C1" w14:textId="11E4AC25"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17</w:t>
            </w:r>
          </w:p>
        </w:tc>
        <w:tc>
          <w:tcPr>
            <w:tcW w:w="5317" w:type="dxa"/>
          </w:tcPr>
          <w:p w14:paraId="0CA3FBD2" w14:textId="5740000F"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Section 3.1 -Network of Centers - Pages 16.</w:t>
            </w:r>
          </w:p>
          <w:p w14:paraId="487EFBB5" w14:textId="77777777" w:rsidR="00FD0DCE" w:rsidRPr="002F5B01" w:rsidRDefault="00FD0DCE" w:rsidP="00FD0DCE">
            <w:pPr>
              <w:pStyle w:val="BodyText"/>
              <w:widowControl/>
              <w:autoSpaceDE/>
              <w:autoSpaceDN/>
              <w:spacing w:before="92"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Comments/Recommendation:</w:t>
            </w:r>
          </w:p>
          <w:p w14:paraId="4A8B19C2" w14:textId="48CAE7F0"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 xml:space="preserve">Through an agreement with Aging and People with Disabilities, the network of centers provide limited IL services in all Oregon counties. This ADRC service delivery </w:t>
            </w:r>
            <w:r w:rsidRPr="002F5B01">
              <w:rPr>
                <w:rFonts w:asciiTheme="minorHAnsi" w:eastAsia="Times New Roman" w:hAnsiTheme="minorHAnsi" w:cstheme="minorHAnsi"/>
                <w:color w:val="000000"/>
                <w:szCs w:val="28"/>
              </w:rPr>
              <w:lastRenderedPageBreak/>
              <w:t>model list each Oregon county and identifies the CIL responsible for service delivery.</w:t>
            </w:r>
          </w:p>
          <w:p w14:paraId="6B071D85" w14:textId="2BDD4CCD"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The IDSP recommends the SILC determine if this information should be included in the State Plan.</w:t>
            </w:r>
          </w:p>
        </w:tc>
        <w:tc>
          <w:tcPr>
            <w:tcW w:w="1632" w:type="dxa"/>
          </w:tcPr>
          <w:p w14:paraId="0B045641" w14:textId="478D1730" w:rsidR="00FD0DCE" w:rsidRPr="002F5B01" w:rsidRDefault="00FD0DCE" w:rsidP="00FD0DCE">
            <w:pPr>
              <w:jc w:val="center"/>
              <w:rPr>
                <w:rFonts w:asciiTheme="minorHAnsi" w:hAnsiTheme="minorHAnsi" w:cstheme="minorHAnsi"/>
              </w:rPr>
            </w:pPr>
            <w:r>
              <w:rPr>
                <w:rFonts w:asciiTheme="minorHAnsi" w:hAnsiTheme="minorHAnsi" w:cstheme="minorHAnsi"/>
              </w:rPr>
              <w:lastRenderedPageBreak/>
              <w:t>1</w:t>
            </w:r>
          </w:p>
        </w:tc>
        <w:tc>
          <w:tcPr>
            <w:tcW w:w="3620" w:type="dxa"/>
          </w:tcPr>
          <w:p w14:paraId="406DB47C" w14:textId="5F2A0B0C" w:rsidR="00FD0DCE" w:rsidRPr="002F5B01" w:rsidRDefault="00FD0DCE" w:rsidP="00FD0DCE">
            <w:pPr>
              <w:ind w:left="42"/>
              <w:rPr>
                <w:rFonts w:asciiTheme="minorHAnsi" w:hAnsiTheme="minorHAnsi" w:cstheme="minorHAnsi"/>
              </w:rPr>
            </w:pPr>
            <w:r>
              <w:rPr>
                <w:rFonts w:asciiTheme="minorHAnsi" w:hAnsiTheme="minorHAnsi" w:cstheme="minorHAnsi"/>
              </w:rPr>
              <w:t xml:space="preserve">No change to existing language, to preserve the importance and meaning of </w:t>
            </w:r>
            <w:r w:rsidRPr="00936D21">
              <w:rPr>
                <w:rFonts w:asciiTheme="minorHAnsi" w:hAnsiTheme="minorHAnsi" w:cstheme="minorHAnsi"/>
                <w:i/>
                <w:iCs/>
              </w:rPr>
              <w:t>unserved areas</w:t>
            </w:r>
            <w:r>
              <w:rPr>
                <w:rFonts w:asciiTheme="minorHAnsi" w:hAnsiTheme="minorHAnsi" w:cstheme="minorHAnsi"/>
              </w:rPr>
              <w:t>.</w:t>
            </w:r>
          </w:p>
        </w:tc>
      </w:tr>
      <w:tr w:rsidR="00FD0DCE" w:rsidRPr="002E7EAD" w14:paraId="53EBF8B6" w14:textId="77777777" w:rsidTr="002057F4">
        <w:trPr>
          <w:jc w:val="center"/>
        </w:trPr>
        <w:tc>
          <w:tcPr>
            <w:tcW w:w="445" w:type="dxa"/>
            <w:tcMar>
              <w:top w:w="29" w:type="dxa"/>
              <w:left w:w="43" w:type="dxa"/>
              <w:bottom w:w="29" w:type="dxa"/>
              <w:right w:w="43" w:type="dxa"/>
            </w:tcMar>
          </w:tcPr>
          <w:p w14:paraId="7D94DC9C" w14:textId="5AADEDFB"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18</w:t>
            </w:r>
          </w:p>
        </w:tc>
        <w:tc>
          <w:tcPr>
            <w:tcW w:w="5317" w:type="dxa"/>
          </w:tcPr>
          <w:p w14:paraId="13C5AD71" w14:textId="1FF8D4AB"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Section 3.2 -Expansion and Adjustment of Network - Pages 19.</w:t>
            </w:r>
          </w:p>
          <w:p w14:paraId="68B8AF5B" w14:textId="77777777" w:rsidR="00FD0DCE" w:rsidRPr="002F5B01" w:rsidRDefault="00FD0DCE" w:rsidP="00FD0DCE">
            <w:pPr>
              <w:pStyle w:val="BodyText"/>
              <w:widowControl/>
              <w:autoSpaceDE/>
              <w:autoSpaceDN/>
              <w:spacing w:before="92"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Comments/Recommendation:</w:t>
            </w:r>
          </w:p>
          <w:p w14:paraId="102C155F" w14:textId="77777777" w:rsidR="00FD0DCE" w:rsidRPr="002F5B01" w:rsidRDefault="00FD0DCE" w:rsidP="00FD0DCE">
            <w:pPr>
              <w:pStyle w:val="BodyText"/>
              <w:widowControl/>
              <w:autoSpaceDE/>
              <w:autoSpaceDN/>
              <w:spacing w:before="11" w:after="120"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Prior SPILs listed the priorities as:</w:t>
            </w:r>
          </w:p>
          <w:p w14:paraId="5CD8087A" w14:textId="77777777" w:rsidR="00FD0DCE" w:rsidRPr="002F5B01" w:rsidRDefault="00FD0DCE" w:rsidP="00FD0DCE">
            <w:pPr>
              <w:pStyle w:val="ListParagraph"/>
              <w:numPr>
                <w:ilvl w:val="0"/>
                <w:numId w:val="18"/>
              </w:numPr>
              <w:tabs>
                <w:tab w:val="left" w:pos="1772"/>
              </w:tabs>
              <w:spacing w:after="0"/>
              <w:ind w:left="331"/>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Eastern Oregon Region (Baker, Gilliam, Grant, Harney, Malheur, Morrow, Umatilla, Union, Wallowa and Wheeler Counties - currently served by a non-Part C-funded CIL.) May receive funds of any amount not exceeding its Target Base Funding Level.</w:t>
            </w:r>
          </w:p>
          <w:p w14:paraId="66CA19E4" w14:textId="77777777" w:rsidR="00FD0DCE" w:rsidRPr="002F5B01" w:rsidRDefault="00FD0DCE" w:rsidP="00FD0DCE">
            <w:pPr>
              <w:pStyle w:val="ListParagraph"/>
              <w:numPr>
                <w:ilvl w:val="0"/>
                <w:numId w:val="18"/>
              </w:numPr>
              <w:tabs>
                <w:tab w:val="left" w:pos="1773"/>
              </w:tabs>
              <w:spacing w:after="0"/>
              <w:ind w:left="331"/>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Lane County Region (Lane County - currently served by a non-Part C­ funded CIL.) May receive funds of any amount not exceeding its Target Base Funding Level.</w:t>
            </w:r>
          </w:p>
          <w:p w14:paraId="72503D68" w14:textId="77777777" w:rsidR="00FD0DCE" w:rsidRPr="002F5B01" w:rsidRDefault="00FD0DCE" w:rsidP="00FD0DCE">
            <w:pPr>
              <w:pStyle w:val="ListParagraph"/>
              <w:numPr>
                <w:ilvl w:val="0"/>
                <w:numId w:val="18"/>
              </w:numPr>
              <w:tabs>
                <w:tab w:val="left" w:pos="1766"/>
              </w:tabs>
              <w:spacing w:after="0"/>
              <w:ind w:left="331"/>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Salem Region (Marion Polk and Yamhill Counties)</w:t>
            </w:r>
          </w:p>
          <w:p w14:paraId="0B50A91C" w14:textId="77777777" w:rsidR="00FD0DCE" w:rsidRPr="002F5B01" w:rsidRDefault="00FD0DCE" w:rsidP="00FD0DCE">
            <w:pPr>
              <w:pStyle w:val="ListParagraph"/>
              <w:numPr>
                <w:ilvl w:val="0"/>
                <w:numId w:val="18"/>
              </w:numPr>
              <w:tabs>
                <w:tab w:val="left" w:pos="1766"/>
              </w:tabs>
              <w:spacing w:before="8" w:after="0"/>
              <w:ind w:left="331"/>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South Coast Region (Coos and Curry Counties)</w:t>
            </w:r>
          </w:p>
          <w:p w14:paraId="3074410F" w14:textId="77777777" w:rsidR="00FD0DCE" w:rsidRPr="002F5B01" w:rsidRDefault="00FD0DCE" w:rsidP="00FD0DCE">
            <w:pPr>
              <w:pStyle w:val="ListParagraph"/>
              <w:numPr>
                <w:ilvl w:val="0"/>
                <w:numId w:val="18"/>
              </w:numPr>
              <w:tabs>
                <w:tab w:val="left" w:pos="1765"/>
              </w:tabs>
              <w:spacing w:before="12" w:after="0"/>
              <w:ind w:left="331"/>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Central Willamette Valley/Coast Region (Linn, Benton, and Lincoln Counties)</w:t>
            </w:r>
          </w:p>
          <w:p w14:paraId="76F0A487" w14:textId="77777777" w:rsidR="00FD0DCE" w:rsidRPr="002F5B01" w:rsidRDefault="00FD0DCE" w:rsidP="00FD0DCE">
            <w:pPr>
              <w:pStyle w:val="ListParagraph"/>
              <w:numPr>
                <w:ilvl w:val="0"/>
                <w:numId w:val="18"/>
              </w:numPr>
              <w:tabs>
                <w:tab w:val="left" w:pos="1763"/>
              </w:tabs>
              <w:spacing w:before="11" w:after="0"/>
              <w:ind w:left="331"/>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North Coast Region (Clatsop, Columbia and Tillamook)</w:t>
            </w:r>
          </w:p>
          <w:p w14:paraId="08E4C535" w14:textId="77777777" w:rsidR="00FD0DCE" w:rsidRPr="002F5B01" w:rsidRDefault="00FD0DCE" w:rsidP="00FD0DCE">
            <w:pPr>
              <w:pStyle w:val="ListParagraph"/>
              <w:numPr>
                <w:ilvl w:val="0"/>
                <w:numId w:val="18"/>
              </w:numPr>
              <w:tabs>
                <w:tab w:val="left" w:pos="1760"/>
              </w:tabs>
              <w:spacing w:before="11" w:after="120"/>
              <w:ind w:left="336"/>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Columbia Gorge Region (Hood River, Sherman and Wasco)</w:t>
            </w:r>
          </w:p>
          <w:p w14:paraId="60A53ADC" w14:textId="77777777" w:rsidR="00FD0DCE" w:rsidRPr="002F5B01" w:rsidRDefault="00FD0DCE" w:rsidP="00FD0DCE">
            <w:pPr>
              <w:pStyle w:val="BodyText"/>
              <w:widowControl/>
              <w:autoSpaceDE/>
              <w:autoSpaceDN/>
              <w:spacing w:after="120"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 xml:space="preserve">The IL network was informed the Eastern Oregon Region and Lane County Region had to be listed in order to be considered for any new Part C funding. SILC staff were asked to </w:t>
            </w:r>
            <w:r w:rsidRPr="002F5B01">
              <w:rPr>
                <w:rFonts w:asciiTheme="minorHAnsi" w:eastAsia="Times New Roman" w:hAnsiTheme="minorHAnsi" w:cstheme="minorHAnsi"/>
                <w:color w:val="000000"/>
                <w:sz w:val="28"/>
                <w:szCs w:val="28"/>
              </w:rPr>
              <w:lastRenderedPageBreak/>
              <w:t>verify if this was in fact necessary before removing these two previous priorities. Information had not been provided at the time of this State Plan Input.</w:t>
            </w:r>
          </w:p>
          <w:p w14:paraId="52E045C1" w14:textId="180CBAE8" w:rsidR="00FD0DCE" w:rsidRPr="002F5B01" w:rsidRDefault="00FD0DCE" w:rsidP="00FD0DCE">
            <w:pPr>
              <w:pStyle w:val="BodyText"/>
              <w:widowControl/>
              <w:autoSpaceDE/>
              <w:autoSpaceDN/>
              <w:spacing w:after="120"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The IDSP recommends the SILC obtain written clarification from ACL if the Eastern Oregon Region and Lane County Region need to be listed to be considered for new Part C funding and provide this interpretation to CILs and other IL partners.</w:t>
            </w:r>
          </w:p>
        </w:tc>
        <w:tc>
          <w:tcPr>
            <w:tcW w:w="1632" w:type="dxa"/>
          </w:tcPr>
          <w:p w14:paraId="00E0EB56" w14:textId="7CF113AF" w:rsidR="00FD0DCE" w:rsidRPr="002F5B01" w:rsidRDefault="00FD0DCE" w:rsidP="00FD0DCE">
            <w:pPr>
              <w:jc w:val="center"/>
              <w:rPr>
                <w:rFonts w:asciiTheme="minorHAnsi" w:hAnsiTheme="minorHAnsi" w:cstheme="minorHAnsi"/>
              </w:rPr>
            </w:pPr>
            <w:r>
              <w:rPr>
                <w:rFonts w:asciiTheme="minorHAnsi" w:hAnsiTheme="minorHAnsi" w:cstheme="minorHAnsi"/>
              </w:rPr>
              <w:lastRenderedPageBreak/>
              <w:t>1</w:t>
            </w:r>
          </w:p>
        </w:tc>
        <w:tc>
          <w:tcPr>
            <w:tcW w:w="3620" w:type="dxa"/>
          </w:tcPr>
          <w:p w14:paraId="4FB0FD23" w14:textId="29A54EBD" w:rsidR="00FD0DCE" w:rsidRPr="002F5B01" w:rsidRDefault="00FD0DCE" w:rsidP="00FD0DCE">
            <w:pPr>
              <w:ind w:left="42"/>
              <w:rPr>
                <w:rFonts w:asciiTheme="minorHAnsi" w:hAnsiTheme="minorHAnsi" w:cstheme="minorHAnsi"/>
              </w:rPr>
            </w:pPr>
            <w:r w:rsidRPr="00F36F34">
              <w:rPr>
                <w:rFonts w:asciiTheme="minorHAnsi" w:hAnsiTheme="minorHAnsi" w:cstheme="minorHAnsi"/>
              </w:rPr>
              <w:t>Need to get more clarification before making a decision.</w:t>
            </w:r>
          </w:p>
        </w:tc>
      </w:tr>
      <w:tr w:rsidR="00FD0DCE" w:rsidRPr="002E7EAD" w14:paraId="2B167DFC" w14:textId="77777777" w:rsidTr="002057F4">
        <w:trPr>
          <w:jc w:val="center"/>
        </w:trPr>
        <w:tc>
          <w:tcPr>
            <w:tcW w:w="445" w:type="dxa"/>
            <w:tcMar>
              <w:top w:w="29" w:type="dxa"/>
              <w:left w:w="43" w:type="dxa"/>
              <w:bottom w:w="29" w:type="dxa"/>
              <w:right w:w="43" w:type="dxa"/>
            </w:tcMar>
          </w:tcPr>
          <w:p w14:paraId="137F8DF7" w14:textId="68611EAB"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19</w:t>
            </w:r>
          </w:p>
        </w:tc>
        <w:tc>
          <w:tcPr>
            <w:tcW w:w="5317" w:type="dxa"/>
          </w:tcPr>
          <w:p w14:paraId="42C98AF7"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Section 4 - Designated State Entity - Pages 20</w:t>
            </w:r>
          </w:p>
          <w:p w14:paraId="13727E1F" w14:textId="77777777" w:rsidR="00FD0DCE" w:rsidRPr="002F5B01" w:rsidRDefault="00FD0DCE" w:rsidP="00FD0DCE">
            <w:pPr>
              <w:pStyle w:val="BodyText"/>
              <w:widowControl/>
              <w:autoSpaceDE/>
              <w:autoSpaceDN/>
              <w:spacing w:before="92"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Comments/Recommendation:</w:t>
            </w:r>
          </w:p>
          <w:p w14:paraId="2A5D1D9D" w14:textId="77777777" w:rsidR="00FD0DCE" w:rsidRPr="002F5B01" w:rsidRDefault="00FD0DCE" w:rsidP="00FD0DCE">
            <w:pPr>
              <w:spacing w:after="120"/>
              <w:ind w:left="-14"/>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Vocational Rehabilitation was selected to serve as the designated state entity; however, the State Plan does not provide any information on what research and analysis informed this decision. The IDSP is unable to determine if the SILC's decision was based on a comprehensive analysis and if Vocational Rehabilitation offers a higher-level of advocacy (e.g. legislative advocacy, executive branch advocacy, and advocacy within Vocational Rehabilitation's current service delivery model) than other agencies like Aging and People with Disabilities.</w:t>
            </w:r>
          </w:p>
          <w:p w14:paraId="1F75F993" w14:textId="7DE1C29D" w:rsidR="00FD0DCE" w:rsidRPr="002F5B01" w:rsidRDefault="00FD0DCE" w:rsidP="00FD0DCE">
            <w:pPr>
              <w:spacing w:after="120"/>
              <w:ind w:left="-14"/>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The IDSP recommends the SILC add an objective, or other language, indicating the SILC will engage in exploration activities to identify a designated state entity that will advance Oregon's IL system, at least once in a SPIL period. Furthermore, if not already a SILC practice, the IDSP recommends the full SILC body review the intergovernmental agreement at least once in a SPIL period.</w:t>
            </w:r>
          </w:p>
        </w:tc>
        <w:tc>
          <w:tcPr>
            <w:tcW w:w="1632" w:type="dxa"/>
          </w:tcPr>
          <w:p w14:paraId="0BF442C3" w14:textId="4BF7CFF0" w:rsidR="00FD0DCE" w:rsidRPr="002F5B01" w:rsidRDefault="00FD0DCE" w:rsidP="00FD0DCE">
            <w:pPr>
              <w:jc w:val="center"/>
              <w:rPr>
                <w:rFonts w:asciiTheme="minorHAnsi" w:hAnsiTheme="minorHAnsi" w:cstheme="minorHAnsi"/>
              </w:rPr>
            </w:pPr>
            <w:r>
              <w:rPr>
                <w:rFonts w:asciiTheme="minorHAnsi" w:hAnsiTheme="minorHAnsi" w:cstheme="minorHAnsi"/>
              </w:rPr>
              <w:t>1</w:t>
            </w:r>
          </w:p>
        </w:tc>
        <w:tc>
          <w:tcPr>
            <w:tcW w:w="3620" w:type="dxa"/>
          </w:tcPr>
          <w:p w14:paraId="34B1FBD2" w14:textId="3D92C824" w:rsidR="00FD0DCE" w:rsidRPr="002F5B01" w:rsidRDefault="00FD0DCE" w:rsidP="00FD0DCE">
            <w:pPr>
              <w:ind w:left="42"/>
              <w:rPr>
                <w:rFonts w:asciiTheme="minorHAnsi" w:hAnsiTheme="minorHAnsi" w:cstheme="minorHAnsi"/>
              </w:rPr>
            </w:pPr>
            <w:r>
              <w:rPr>
                <w:rFonts w:asciiTheme="minorHAnsi" w:hAnsiTheme="minorHAnsi" w:cstheme="minorHAnsi"/>
              </w:rPr>
              <w:t xml:space="preserve">Did not add language </w:t>
            </w:r>
            <w:r w:rsidRPr="009D504E">
              <w:rPr>
                <w:rFonts w:asciiTheme="minorHAnsi" w:hAnsiTheme="minorHAnsi" w:cstheme="minorHAnsi"/>
                <w:u w:val="single"/>
              </w:rPr>
              <w:t>in the SPIL</w:t>
            </w:r>
            <w:r>
              <w:rPr>
                <w:rFonts w:asciiTheme="minorHAnsi" w:hAnsiTheme="minorHAnsi" w:cstheme="minorHAnsi"/>
              </w:rPr>
              <w:t xml:space="preserve"> concerning the DSE relationship.</w:t>
            </w:r>
          </w:p>
        </w:tc>
      </w:tr>
      <w:tr w:rsidR="00FD0DCE" w:rsidRPr="002E7EAD" w14:paraId="244715B0" w14:textId="77777777" w:rsidTr="002057F4">
        <w:trPr>
          <w:jc w:val="center"/>
        </w:trPr>
        <w:tc>
          <w:tcPr>
            <w:tcW w:w="445" w:type="dxa"/>
            <w:tcMar>
              <w:top w:w="29" w:type="dxa"/>
              <w:left w:w="43" w:type="dxa"/>
              <w:bottom w:w="29" w:type="dxa"/>
              <w:right w:w="43" w:type="dxa"/>
            </w:tcMar>
          </w:tcPr>
          <w:p w14:paraId="00B340D8" w14:textId="296212CC"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lastRenderedPageBreak/>
              <w:t>20</w:t>
            </w:r>
          </w:p>
        </w:tc>
        <w:tc>
          <w:tcPr>
            <w:tcW w:w="5317" w:type="dxa"/>
          </w:tcPr>
          <w:p w14:paraId="394444A8" w14:textId="2803592C"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Section 5.3- Maintenance of SILC- Pages 26 Comments/Recommendation:</w:t>
            </w:r>
          </w:p>
          <w:p w14:paraId="0B0AB807"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The current SILC Council, SILC Executive Committee, SILC staff, SILC Council leadership positions, and possibly Cl Ls, appear to significantly lack adequate representation from:</w:t>
            </w:r>
          </w:p>
          <w:p w14:paraId="35429399" w14:textId="77777777" w:rsidR="00FD0DCE" w:rsidRPr="002F5B01" w:rsidRDefault="00FD0DCE" w:rsidP="00FD0DCE">
            <w:pPr>
              <w:pStyle w:val="ListParagraph"/>
              <w:spacing w:after="120"/>
              <w:ind w:left="246" w:hanging="246"/>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w:t>
            </w:r>
            <w:r w:rsidRPr="002F5B01">
              <w:rPr>
                <w:rFonts w:asciiTheme="minorHAnsi" w:eastAsia="Times New Roman" w:hAnsiTheme="minorHAnsi" w:cstheme="minorHAnsi"/>
                <w:color w:val="000000"/>
                <w:szCs w:val="28"/>
              </w:rPr>
              <w:tab/>
              <w:t>People in Oregon who experience disabilities and are members of the LGBTQIA+ &amp; Two Spirit community;</w:t>
            </w:r>
          </w:p>
          <w:p w14:paraId="5625311E" w14:textId="77777777" w:rsidR="00FD0DCE" w:rsidRPr="002F5B01" w:rsidRDefault="00FD0DCE" w:rsidP="00FD0DCE">
            <w:pPr>
              <w:pStyle w:val="ListParagraph"/>
              <w:spacing w:after="120"/>
              <w:ind w:left="246" w:hanging="246"/>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w:t>
            </w:r>
            <w:r w:rsidRPr="002F5B01">
              <w:rPr>
                <w:rFonts w:asciiTheme="minorHAnsi" w:eastAsia="Times New Roman" w:hAnsiTheme="minorHAnsi" w:cstheme="minorHAnsi"/>
                <w:color w:val="000000"/>
                <w:szCs w:val="28"/>
              </w:rPr>
              <w:tab/>
              <w:t>People in Oregon who experience disabilities and are members of the Latino community;</w:t>
            </w:r>
          </w:p>
          <w:p w14:paraId="6BDA3240" w14:textId="77777777" w:rsidR="00FD0DCE" w:rsidRPr="002F5B01" w:rsidRDefault="00FD0DCE" w:rsidP="00FD0DCE">
            <w:pPr>
              <w:pStyle w:val="ListParagraph"/>
              <w:spacing w:after="120"/>
              <w:ind w:left="246" w:hanging="246"/>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w:t>
            </w:r>
            <w:r w:rsidRPr="002F5B01">
              <w:rPr>
                <w:rFonts w:asciiTheme="minorHAnsi" w:eastAsia="Times New Roman" w:hAnsiTheme="minorHAnsi" w:cstheme="minorHAnsi"/>
                <w:color w:val="000000"/>
                <w:szCs w:val="28"/>
              </w:rPr>
              <w:tab/>
              <w:t>People in Oregon who experience disabilities and are members of Tribal communities;</w:t>
            </w:r>
          </w:p>
          <w:p w14:paraId="2CC69FBC" w14:textId="77777777" w:rsidR="00FD0DCE" w:rsidRPr="002F5B01" w:rsidRDefault="00FD0DCE" w:rsidP="00FD0DCE">
            <w:pPr>
              <w:pStyle w:val="ListParagraph"/>
              <w:spacing w:after="120"/>
              <w:ind w:left="246" w:hanging="246"/>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w:t>
            </w:r>
            <w:r w:rsidRPr="002F5B01">
              <w:rPr>
                <w:rFonts w:asciiTheme="minorHAnsi" w:eastAsia="Times New Roman" w:hAnsiTheme="minorHAnsi" w:cstheme="minorHAnsi"/>
                <w:color w:val="000000"/>
                <w:szCs w:val="28"/>
              </w:rPr>
              <w:tab/>
              <w:t>People in Oregon who experience disabilities and are members of other ethnic and racial communities;</w:t>
            </w:r>
          </w:p>
          <w:p w14:paraId="5AEACB15" w14:textId="77777777" w:rsidR="00FD0DCE" w:rsidRPr="002F5B01" w:rsidRDefault="00FD0DCE" w:rsidP="00FD0DCE">
            <w:pPr>
              <w:pStyle w:val="ListParagraph"/>
              <w:spacing w:after="120"/>
              <w:ind w:left="246" w:hanging="246"/>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w:t>
            </w:r>
            <w:r w:rsidRPr="002F5B01">
              <w:rPr>
                <w:rFonts w:asciiTheme="minorHAnsi" w:eastAsia="Times New Roman" w:hAnsiTheme="minorHAnsi" w:cstheme="minorHAnsi"/>
                <w:color w:val="000000"/>
                <w:szCs w:val="28"/>
              </w:rPr>
              <w:tab/>
              <w:t>People in Oregon who experience disabilities and are women in SILC leadership positions.</w:t>
            </w:r>
          </w:p>
          <w:p w14:paraId="77CB41D5" w14:textId="01EF1184"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The IDSP recommends the SILC Council obtain SME assistance and evaluate its composition, and the IL system as a whole, to limit institutional bias and ensure the cultural, ethnic, and racial diversity of the State of Oregon.</w:t>
            </w:r>
          </w:p>
        </w:tc>
        <w:tc>
          <w:tcPr>
            <w:tcW w:w="1632" w:type="dxa"/>
          </w:tcPr>
          <w:p w14:paraId="4BA97E64" w14:textId="3C6363C8" w:rsidR="00FD0DCE" w:rsidRPr="002F5B01" w:rsidRDefault="00FD0DCE" w:rsidP="00FD0DCE">
            <w:pPr>
              <w:jc w:val="center"/>
              <w:rPr>
                <w:rFonts w:asciiTheme="minorHAnsi" w:hAnsiTheme="minorHAnsi" w:cstheme="minorHAnsi"/>
              </w:rPr>
            </w:pPr>
            <w:r>
              <w:rPr>
                <w:rFonts w:asciiTheme="minorHAnsi" w:hAnsiTheme="minorHAnsi" w:cstheme="minorHAnsi"/>
              </w:rPr>
              <w:t>1</w:t>
            </w:r>
          </w:p>
        </w:tc>
        <w:tc>
          <w:tcPr>
            <w:tcW w:w="3620" w:type="dxa"/>
          </w:tcPr>
          <w:p w14:paraId="4062AB01" w14:textId="0BF424F7" w:rsidR="00FD0DCE" w:rsidRPr="002F5B01" w:rsidRDefault="00FD0DCE" w:rsidP="00FD0DCE">
            <w:pPr>
              <w:ind w:left="42"/>
              <w:rPr>
                <w:rFonts w:asciiTheme="minorHAnsi" w:hAnsiTheme="minorHAnsi" w:cstheme="minorHAnsi"/>
              </w:rPr>
            </w:pPr>
            <w:r>
              <w:rPr>
                <w:rFonts w:asciiTheme="minorHAnsi" w:hAnsiTheme="minorHAnsi" w:cstheme="minorHAnsi"/>
              </w:rPr>
              <w:t>This is a SILC issue. No comment needed in the SPIL.</w:t>
            </w:r>
          </w:p>
        </w:tc>
      </w:tr>
      <w:tr w:rsidR="00FD0DCE" w:rsidRPr="002E7EAD" w14:paraId="2ADD50F8" w14:textId="77777777" w:rsidTr="002057F4">
        <w:trPr>
          <w:jc w:val="center"/>
        </w:trPr>
        <w:tc>
          <w:tcPr>
            <w:tcW w:w="445" w:type="dxa"/>
            <w:tcMar>
              <w:top w:w="29" w:type="dxa"/>
              <w:left w:w="43" w:type="dxa"/>
              <w:bottom w:w="29" w:type="dxa"/>
              <w:right w:w="43" w:type="dxa"/>
            </w:tcMar>
          </w:tcPr>
          <w:p w14:paraId="2CBAD707" w14:textId="3EC18159"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21</w:t>
            </w:r>
          </w:p>
        </w:tc>
        <w:tc>
          <w:tcPr>
            <w:tcW w:w="5317" w:type="dxa"/>
          </w:tcPr>
          <w:p w14:paraId="54163C36" w14:textId="77777777" w:rsidR="00FD0DCE" w:rsidRPr="002F5B01" w:rsidRDefault="00FD0DCE" w:rsidP="00FD0DCE">
            <w:pPr>
              <w:pStyle w:val="BodyText"/>
              <w:widowControl/>
              <w:autoSpaceDE/>
              <w:autoSpaceDN/>
              <w:spacing w:before="92" w:line="259" w:lineRule="auto"/>
              <w:ind w:left="-14"/>
              <w:rPr>
                <w:rFonts w:asciiTheme="minorHAnsi" w:eastAsia="Times New Roman" w:hAnsiTheme="minorHAnsi" w:cstheme="minorHAnsi"/>
                <w:color w:val="000000"/>
                <w:sz w:val="28"/>
                <w:szCs w:val="28"/>
              </w:rPr>
            </w:pPr>
            <w:r w:rsidRPr="002F5B01">
              <w:rPr>
                <w:rFonts w:asciiTheme="minorHAnsi" w:eastAsia="Times New Roman" w:hAnsiTheme="minorHAnsi" w:cstheme="minorHAnsi"/>
                <w:color w:val="000000"/>
                <w:sz w:val="28"/>
                <w:szCs w:val="28"/>
              </w:rPr>
              <w:t>Comments/Recommendation:</w:t>
            </w:r>
          </w:p>
          <w:p w14:paraId="7410D7E7"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 xml:space="preserve">The draft State Plan does not appear to have been juxtaposed with recent passed legislation (e.g. House Concurrent Resolution 33) executive orders, or other </w:t>
            </w:r>
            <w:r w:rsidRPr="002F5B01">
              <w:rPr>
                <w:rFonts w:asciiTheme="minorHAnsi" w:eastAsia="Times New Roman" w:hAnsiTheme="minorHAnsi" w:cstheme="minorHAnsi"/>
                <w:color w:val="000000"/>
                <w:szCs w:val="28"/>
              </w:rPr>
              <w:lastRenderedPageBreak/>
              <w:t>state plans/initiatives (e.g. OHA - Oregon State Health Improvement Plan).</w:t>
            </w:r>
          </w:p>
          <w:p w14:paraId="053BB238"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The IDSP recommends the draft State Plan be juxtaposed with recent passed legislation, executive orders, and state plans/initiatives.</w:t>
            </w:r>
          </w:p>
          <w:p w14:paraId="1168715E" w14:textId="77777777" w:rsidR="00FD0DCE" w:rsidRPr="002F5B01" w:rsidRDefault="00FD0DCE" w:rsidP="00FD0DCE">
            <w:pPr>
              <w:pStyle w:val="ListParagraph"/>
              <w:spacing w:after="120"/>
              <w:ind w:left="-14"/>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At a minimum, the SILC should consider revising the draft State Plan to include the following aspects of House Concurrent Resolution 33:</w:t>
            </w:r>
          </w:p>
          <w:p w14:paraId="6ED1D87F" w14:textId="77777777" w:rsidR="00FD0DCE" w:rsidRPr="002F5B01" w:rsidRDefault="00FD0DCE" w:rsidP="00FD0DCE">
            <w:pPr>
              <w:pStyle w:val="ListParagraph"/>
              <w:spacing w:after="120"/>
              <w:ind w:left="246" w:hanging="246"/>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w:t>
            </w:r>
            <w:r w:rsidRPr="002F5B01">
              <w:rPr>
                <w:rFonts w:asciiTheme="minorHAnsi" w:eastAsia="Times New Roman" w:hAnsiTheme="minorHAnsi" w:cstheme="minorHAnsi"/>
                <w:color w:val="000000"/>
                <w:szCs w:val="28"/>
              </w:rPr>
              <w:tab/>
              <w:t>Culturally responsive, linguistically appropriate, gender relevant and informed by voices of those with lived experiences;</w:t>
            </w:r>
          </w:p>
          <w:p w14:paraId="036B6691" w14:textId="77777777" w:rsidR="00FD0DCE" w:rsidRPr="002F5B01" w:rsidRDefault="00FD0DCE" w:rsidP="00FD0DCE">
            <w:pPr>
              <w:pStyle w:val="ListParagraph"/>
              <w:spacing w:after="120"/>
              <w:ind w:left="246" w:hanging="246"/>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w:t>
            </w:r>
            <w:r w:rsidRPr="002F5B01">
              <w:rPr>
                <w:rFonts w:asciiTheme="minorHAnsi" w:eastAsia="Times New Roman" w:hAnsiTheme="minorHAnsi" w:cstheme="minorHAnsi"/>
                <w:color w:val="000000"/>
                <w:szCs w:val="28"/>
              </w:rPr>
              <w:tab/>
              <w:t>Become informed regarding well-documented short-term, long-term and generational impacts of adverse childhood experiences; toxic stress and structural violence on children, adults and communities and to become aware of evidence-based and evidence-informed trauma-informed care practices; tools and interventions that promote healing and resiliency in children, adults and communities so that people, systems and communities can function at their full capacity and potential in school, in the workplace and in community, family and interpersonal relationships;</w:t>
            </w:r>
          </w:p>
          <w:p w14:paraId="16D800C9" w14:textId="4A4A87D7" w:rsidR="00FD0DCE" w:rsidRPr="002F5B01" w:rsidRDefault="00FD0DCE" w:rsidP="00FD0DCE">
            <w:pPr>
              <w:pStyle w:val="ListParagraph"/>
              <w:spacing w:after="120"/>
              <w:ind w:left="246" w:hanging="246"/>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w:t>
            </w:r>
            <w:r w:rsidRPr="002F5B01">
              <w:rPr>
                <w:rFonts w:asciiTheme="minorHAnsi" w:eastAsia="Times New Roman" w:hAnsiTheme="minorHAnsi" w:cstheme="minorHAnsi"/>
                <w:color w:val="000000"/>
                <w:szCs w:val="28"/>
              </w:rPr>
              <w:tab/>
              <w:t>Apply a trauma-informed care approach to services.</w:t>
            </w:r>
          </w:p>
        </w:tc>
        <w:tc>
          <w:tcPr>
            <w:tcW w:w="1632" w:type="dxa"/>
          </w:tcPr>
          <w:p w14:paraId="77A2DF4E" w14:textId="45AA96AE" w:rsidR="00FD0DCE" w:rsidRPr="002F5B01" w:rsidRDefault="00FD0DCE" w:rsidP="00FD0DCE">
            <w:pPr>
              <w:jc w:val="center"/>
              <w:rPr>
                <w:rFonts w:asciiTheme="minorHAnsi" w:hAnsiTheme="minorHAnsi" w:cstheme="minorHAnsi"/>
              </w:rPr>
            </w:pPr>
            <w:r>
              <w:rPr>
                <w:rFonts w:asciiTheme="minorHAnsi" w:hAnsiTheme="minorHAnsi" w:cstheme="minorHAnsi"/>
              </w:rPr>
              <w:lastRenderedPageBreak/>
              <w:t>1</w:t>
            </w:r>
          </w:p>
        </w:tc>
        <w:tc>
          <w:tcPr>
            <w:tcW w:w="3620" w:type="dxa"/>
          </w:tcPr>
          <w:p w14:paraId="3E5DADB2" w14:textId="039BDBC6" w:rsidR="00FD0DCE" w:rsidRPr="002F5B01" w:rsidRDefault="00FD0DCE" w:rsidP="00FD0DCE">
            <w:pPr>
              <w:ind w:left="42"/>
              <w:rPr>
                <w:rFonts w:asciiTheme="minorHAnsi" w:hAnsiTheme="minorHAnsi" w:cstheme="minorHAnsi"/>
              </w:rPr>
            </w:pPr>
            <w:r>
              <w:rPr>
                <w:rFonts w:asciiTheme="minorHAnsi" w:hAnsiTheme="minorHAnsi" w:cstheme="minorHAnsi"/>
              </w:rPr>
              <w:t>Accept as input and commit to considering this in the future.</w:t>
            </w:r>
          </w:p>
        </w:tc>
      </w:tr>
      <w:tr w:rsidR="00FD0DCE" w:rsidRPr="002E7EAD" w14:paraId="42EB0453" w14:textId="77777777" w:rsidTr="002057F4">
        <w:trPr>
          <w:jc w:val="center"/>
        </w:trPr>
        <w:tc>
          <w:tcPr>
            <w:tcW w:w="445" w:type="dxa"/>
            <w:tcMar>
              <w:top w:w="29" w:type="dxa"/>
              <w:left w:w="43" w:type="dxa"/>
              <w:bottom w:w="29" w:type="dxa"/>
              <w:right w:w="43" w:type="dxa"/>
            </w:tcMar>
          </w:tcPr>
          <w:p w14:paraId="6B9F6794" w14:textId="35D13A74"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22</w:t>
            </w:r>
          </w:p>
        </w:tc>
        <w:tc>
          <w:tcPr>
            <w:tcW w:w="5317" w:type="dxa"/>
          </w:tcPr>
          <w:p w14:paraId="5D558DE1" w14:textId="58F3FCBE" w:rsidR="00FD0DCE" w:rsidRPr="002F5B01" w:rsidRDefault="00FD0DCE" w:rsidP="00FD0DCE">
            <w:pPr>
              <w:pStyle w:val="ListParagraph"/>
              <w:ind w:left="-18"/>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 xml:space="preserve">I have reviewed the draft State Plan and input provided by EOCIL’s Institute for Disability Studies and Policy. I concur with EOCIL’s IDSP input. </w:t>
            </w:r>
          </w:p>
        </w:tc>
        <w:tc>
          <w:tcPr>
            <w:tcW w:w="1632" w:type="dxa"/>
          </w:tcPr>
          <w:p w14:paraId="3630C6FB" w14:textId="167286C4" w:rsidR="00FD0DCE" w:rsidRPr="002F5B01" w:rsidRDefault="00FD0DCE" w:rsidP="00FD0DCE">
            <w:pPr>
              <w:jc w:val="center"/>
              <w:rPr>
                <w:rFonts w:asciiTheme="minorHAnsi" w:hAnsiTheme="minorHAnsi" w:cstheme="minorHAnsi"/>
              </w:rPr>
            </w:pPr>
            <w:r w:rsidRPr="002F5B01">
              <w:rPr>
                <w:rFonts w:asciiTheme="minorHAnsi" w:hAnsiTheme="minorHAnsi" w:cstheme="minorHAnsi"/>
              </w:rPr>
              <w:t>33</w:t>
            </w:r>
          </w:p>
        </w:tc>
        <w:tc>
          <w:tcPr>
            <w:tcW w:w="3620" w:type="dxa"/>
          </w:tcPr>
          <w:p w14:paraId="084E67A6" w14:textId="4B0A593B" w:rsidR="00FD0DCE" w:rsidRPr="002F5B01" w:rsidRDefault="00FD0DCE" w:rsidP="00FD0DCE">
            <w:pPr>
              <w:ind w:left="42"/>
              <w:rPr>
                <w:rFonts w:asciiTheme="minorHAnsi" w:hAnsiTheme="minorHAnsi" w:cstheme="minorHAnsi"/>
              </w:rPr>
            </w:pPr>
            <w:r>
              <w:rPr>
                <w:rFonts w:asciiTheme="minorHAnsi" w:hAnsiTheme="minorHAnsi" w:cstheme="minorHAnsi"/>
              </w:rPr>
              <w:t>Input received – no change warranted. (See responses to comments 4-21)</w:t>
            </w:r>
          </w:p>
        </w:tc>
      </w:tr>
      <w:tr w:rsidR="00FD0DCE" w:rsidRPr="002E7EAD" w14:paraId="504A5754" w14:textId="77777777" w:rsidTr="002057F4">
        <w:trPr>
          <w:jc w:val="center"/>
        </w:trPr>
        <w:tc>
          <w:tcPr>
            <w:tcW w:w="445" w:type="dxa"/>
            <w:tcMar>
              <w:top w:w="29" w:type="dxa"/>
              <w:left w:w="43" w:type="dxa"/>
              <w:bottom w:w="29" w:type="dxa"/>
              <w:right w:w="43" w:type="dxa"/>
            </w:tcMar>
          </w:tcPr>
          <w:p w14:paraId="45840B3D" w14:textId="6F9E3826"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lastRenderedPageBreak/>
              <w:t>23</w:t>
            </w:r>
          </w:p>
        </w:tc>
        <w:tc>
          <w:tcPr>
            <w:tcW w:w="5317" w:type="dxa"/>
          </w:tcPr>
          <w:p w14:paraId="75AFF534" w14:textId="60E63EDE" w:rsidR="00FD0DCE" w:rsidRPr="002F5B01" w:rsidRDefault="00FD0DCE" w:rsidP="00FD0DCE">
            <w:pPr>
              <w:pStyle w:val="ListParagraph"/>
              <w:ind w:left="-18"/>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 xml:space="preserve">Section 2.3 Coordination: Equal Assistance to immigrants and also immigrants with a disability without having a penalty because of the executive order as the public charge. </w:t>
            </w:r>
          </w:p>
        </w:tc>
        <w:tc>
          <w:tcPr>
            <w:tcW w:w="1632" w:type="dxa"/>
          </w:tcPr>
          <w:p w14:paraId="7A5EC81E" w14:textId="432538B6" w:rsidR="00FD0DCE" w:rsidRPr="002F5B01" w:rsidRDefault="00FD0DCE" w:rsidP="00FD0DCE">
            <w:pPr>
              <w:jc w:val="center"/>
              <w:rPr>
                <w:rFonts w:asciiTheme="minorHAnsi" w:hAnsiTheme="minorHAnsi" w:cstheme="minorHAnsi"/>
              </w:rPr>
            </w:pPr>
            <w:r w:rsidRPr="002F5B01">
              <w:rPr>
                <w:rFonts w:asciiTheme="minorHAnsi" w:hAnsiTheme="minorHAnsi" w:cstheme="minorHAnsi"/>
              </w:rPr>
              <w:t>3</w:t>
            </w:r>
          </w:p>
        </w:tc>
        <w:tc>
          <w:tcPr>
            <w:tcW w:w="3620" w:type="dxa"/>
          </w:tcPr>
          <w:p w14:paraId="21302D66" w14:textId="6832C092" w:rsidR="00FD0DCE" w:rsidRPr="002F5B01" w:rsidRDefault="00FD0DCE" w:rsidP="00FD0DCE">
            <w:pPr>
              <w:ind w:left="42"/>
              <w:rPr>
                <w:rFonts w:asciiTheme="minorHAnsi" w:hAnsiTheme="minorHAnsi" w:cstheme="minorHAnsi"/>
              </w:rPr>
            </w:pPr>
            <w:r>
              <w:rPr>
                <w:rFonts w:asciiTheme="minorHAnsi" w:hAnsiTheme="minorHAnsi" w:cstheme="minorHAnsi"/>
              </w:rPr>
              <w:t>Input received – addressed in other responses.</w:t>
            </w:r>
          </w:p>
        </w:tc>
      </w:tr>
      <w:tr w:rsidR="00FD0DCE" w:rsidRPr="002E7EAD" w14:paraId="7CA60390" w14:textId="77777777" w:rsidTr="002057F4">
        <w:trPr>
          <w:jc w:val="center"/>
        </w:trPr>
        <w:tc>
          <w:tcPr>
            <w:tcW w:w="445" w:type="dxa"/>
            <w:tcMar>
              <w:top w:w="29" w:type="dxa"/>
              <w:left w:w="43" w:type="dxa"/>
              <w:bottom w:w="29" w:type="dxa"/>
              <w:right w:w="43" w:type="dxa"/>
            </w:tcMar>
          </w:tcPr>
          <w:p w14:paraId="3D0349AA" w14:textId="6F186007"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24</w:t>
            </w:r>
          </w:p>
        </w:tc>
        <w:tc>
          <w:tcPr>
            <w:tcW w:w="5317" w:type="dxa"/>
          </w:tcPr>
          <w:p w14:paraId="422DE63C" w14:textId="4F968853" w:rsidR="00FD0DCE" w:rsidRPr="002F5B01" w:rsidRDefault="00FD0DCE" w:rsidP="00FD0DCE">
            <w:pPr>
              <w:pStyle w:val="ListParagraph"/>
              <w:ind w:left="-18"/>
              <w:contextualSpacing w:val="0"/>
              <w:rPr>
                <w:rFonts w:asciiTheme="minorHAnsi" w:eastAsia="Times New Roman" w:hAnsiTheme="minorHAnsi" w:cstheme="minorHAnsi"/>
                <w:color w:val="000000"/>
                <w:szCs w:val="28"/>
              </w:rPr>
            </w:pPr>
            <w:r w:rsidRPr="002F5B01">
              <w:rPr>
                <w:rFonts w:asciiTheme="minorHAnsi" w:eastAsia="Times New Roman" w:hAnsiTheme="minorHAnsi" w:cstheme="minorHAnsi"/>
                <w:color w:val="000000"/>
                <w:szCs w:val="28"/>
              </w:rPr>
              <w:t xml:space="preserve">Please include more assistance for immigrants who are in the United States. Please provide help to those with a disability without using the assistance against them at a later time due to their immigration status. All individuals should be granted the same assistance without any fear of it later affecting their immigration process. </w:t>
            </w:r>
          </w:p>
        </w:tc>
        <w:tc>
          <w:tcPr>
            <w:tcW w:w="1632" w:type="dxa"/>
          </w:tcPr>
          <w:p w14:paraId="75E65FB7" w14:textId="664C2D8F" w:rsidR="00FD0DCE" w:rsidRPr="002F5B01" w:rsidRDefault="00FD0DCE" w:rsidP="00FD0DCE">
            <w:pPr>
              <w:jc w:val="center"/>
              <w:rPr>
                <w:rFonts w:asciiTheme="minorHAnsi" w:hAnsiTheme="minorHAnsi" w:cstheme="minorHAnsi"/>
              </w:rPr>
            </w:pPr>
            <w:r w:rsidRPr="002F5B01">
              <w:rPr>
                <w:rFonts w:asciiTheme="minorHAnsi" w:hAnsiTheme="minorHAnsi" w:cstheme="minorHAnsi"/>
              </w:rPr>
              <w:t>3</w:t>
            </w:r>
          </w:p>
        </w:tc>
        <w:tc>
          <w:tcPr>
            <w:tcW w:w="3620" w:type="dxa"/>
          </w:tcPr>
          <w:p w14:paraId="21F2DA1B" w14:textId="18184359" w:rsidR="00FD0DCE" w:rsidRPr="002F5B01" w:rsidRDefault="00FD0DCE" w:rsidP="00FD0DCE">
            <w:pPr>
              <w:ind w:left="42"/>
              <w:rPr>
                <w:rFonts w:asciiTheme="minorHAnsi" w:hAnsiTheme="minorHAnsi" w:cstheme="minorHAnsi"/>
              </w:rPr>
            </w:pPr>
            <w:r>
              <w:rPr>
                <w:rFonts w:asciiTheme="minorHAnsi" w:hAnsiTheme="minorHAnsi" w:cstheme="minorHAnsi"/>
              </w:rPr>
              <w:t xml:space="preserve">Input received, but no action needed </w:t>
            </w:r>
            <w:r w:rsidRPr="00CD72D0">
              <w:rPr>
                <w:rFonts w:asciiTheme="minorHAnsi" w:hAnsiTheme="minorHAnsi" w:cstheme="minorHAnsi"/>
                <w:u w:val="single"/>
              </w:rPr>
              <w:t>in the SPIL</w:t>
            </w:r>
            <w:r>
              <w:rPr>
                <w:rFonts w:asciiTheme="minorHAnsi" w:hAnsiTheme="minorHAnsi" w:cstheme="minorHAnsi"/>
              </w:rPr>
              <w:t>.</w:t>
            </w:r>
          </w:p>
        </w:tc>
      </w:tr>
      <w:tr w:rsidR="00FD0DCE" w:rsidRPr="002E7EAD" w14:paraId="314A31E5" w14:textId="77777777" w:rsidTr="002057F4">
        <w:trPr>
          <w:jc w:val="center"/>
        </w:trPr>
        <w:tc>
          <w:tcPr>
            <w:tcW w:w="445" w:type="dxa"/>
            <w:tcMar>
              <w:top w:w="29" w:type="dxa"/>
              <w:left w:w="43" w:type="dxa"/>
              <w:bottom w:w="29" w:type="dxa"/>
              <w:right w:w="43" w:type="dxa"/>
            </w:tcMar>
          </w:tcPr>
          <w:p w14:paraId="5FC20854" w14:textId="0F70942B" w:rsidR="00FD0DCE" w:rsidRPr="002F5B01" w:rsidRDefault="00FD0DCE" w:rsidP="00FD0DCE">
            <w:pPr>
              <w:pStyle w:val="ListParagraph"/>
              <w:spacing w:after="120"/>
              <w:ind w:left="-24"/>
              <w:contextualSpacing w:val="0"/>
              <w:jc w:val="center"/>
              <w:rPr>
                <w:rFonts w:asciiTheme="minorHAnsi" w:hAnsiTheme="minorHAnsi" w:cstheme="minorHAnsi"/>
                <w:szCs w:val="28"/>
              </w:rPr>
            </w:pPr>
            <w:r>
              <w:rPr>
                <w:rFonts w:asciiTheme="minorHAnsi" w:hAnsiTheme="minorHAnsi" w:cstheme="minorHAnsi"/>
                <w:szCs w:val="28"/>
              </w:rPr>
              <w:t>25</w:t>
            </w:r>
          </w:p>
        </w:tc>
        <w:tc>
          <w:tcPr>
            <w:tcW w:w="5317" w:type="dxa"/>
          </w:tcPr>
          <w:p w14:paraId="41CECC2C" w14:textId="01CC4185"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We appreciate the work of the State Independent Living Council and Oregon’s Centers for Independent Living in drafting this plan to empower people in Oregon who experience disabilities to direct their lives, access their communities and fulfill their responsibility at their desired level of</w:t>
            </w:r>
          </w:p>
          <w:p w14:paraId="053AC33C" w14:textId="0452EBE3" w:rsidR="00FD0DCE" w:rsidRPr="002F5B01" w:rsidRDefault="00FD0DCE" w:rsidP="00FD0DCE">
            <w:pPr>
              <w:autoSpaceDE w:val="0"/>
              <w:autoSpaceDN w:val="0"/>
              <w:adjustRightInd w:val="0"/>
              <w:spacing w:after="0"/>
              <w:rPr>
                <w:rFonts w:asciiTheme="minorHAnsi" w:hAnsiTheme="minorHAnsi" w:cstheme="minorHAnsi"/>
                <w:i/>
                <w:iCs/>
                <w:szCs w:val="28"/>
              </w:rPr>
            </w:pPr>
            <w:r w:rsidRPr="002F5B01">
              <w:rPr>
                <w:rFonts w:asciiTheme="minorHAnsi" w:hAnsiTheme="minorHAnsi" w:cstheme="minorHAnsi"/>
                <w:szCs w:val="28"/>
              </w:rPr>
              <w:t xml:space="preserve">independence. Generally, [commenter] would note that a few of the evaluation measures listed in pp4-7 (particularly with regard to “Access to Transportation” and “Access to Housing”) seem too broad compared to other evaluation measures: </w:t>
            </w:r>
          </w:p>
          <w:p w14:paraId="0668F291" w14:textId="55A06475"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On page 4, under “Objective 1.2”, the evaluation measure for advocating</w:t>
            </w:r>
          </w:p>
          <w:p w14:paraId="55D574F5" w14:textId="17589D34"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for IL program funding states, “Completed advocacy activities and any</w:t>
            </w:r>
            <w:r>
              <w:rPr>
                <w:rFonts w:asciiTheme="minorHAnsi" w:hAnsiTheme="minorHAnsi" w:cstheme="minorHAnsi"/>
                <w:szCs w:val="28"/>
              </w:rPr>
              <w:t xml:space="preserve"> </w:t>
            </w:r>
            <w:r w:rsidRPr="002F5B01">
              <w:rPr>
                <w:rFonts w:asciiTheme="minorHAnsi" w:hAnsiTheme="minorHAnsi" w:cstheme="minorHAnsi"/>
                <w:szCs w:val="28"/>
              </w:rPr>
              <w:t>outcomes have been identified.” [Commenter] recommends that the SPIL specify some of the specific “advocacy activities” that will be</w:t>
            </w:r>
          </w:p>
          <w:p w14:paraId="31C66BC3" w14:textId="4C6A1EF5" w:rsidR="00FD0DCE" w:rsidRPr="002F5B01" w:rsidRDefault="00FD0DCE" w:rsidP="00FD0DCE">
            <w:pPr>
              <w:autoSpaceDE w:val="0"/>
              <w:autoSpaceDN w:val="0"/>
              <w:adjustRightInd w:val="0"/>
              <w:spacing w:after="0"/>
              <w:rPr>
                <w:rFonts w:asciiTheme="minorHAnsi" w:hAnsiTheme="minorHAnsi" w:cstheme="minorHAnsi"/>
                <w:i/>
                <w:iCs/>
                <w:szCs w:val="28"/>
              </w:rPr>
            </w:pPr>
            <w:r w:rsidRPr="002F5B01">
              <w:rPr>
                <w:rFonts w:asciiTheme="minorHAnsi" w:hAnsiTheme="minorHAnsi" w:cstheme="minorHAnsi"/>
                <w:szCs w:val="28"/>
              </w:rPr>
              <w:t xml:space="preserve">undertaken to secure program funds. We do not have specific wording to suggest. </w:t>
            </w:r>
            <w:r w:rsidRPr="002F5B01">
              <w:rPr>
                <w:rFonts w:asciiTheme="minorHAnsi" w:hAnsiTheme="minorHAnsi" w:cstheme="minorHAnsi"/>
                <w:i/>
                <w:iCs/>
                <w:szCs w:val="28"/>
              </w:rPr>
              <w:t>[see also related comments 27-29]</w:t>
            </w:r>
          </w:p>
        </w:tc>
        <w:tc>
          <w:tcPr>
            <w:tcW w:w="1632" w:type="dxa"/>
          </w:tcPr>
          <w:p w14:paraId="2420EB3D" w14:textId="26AD17A8" w:rsidR="00FD0DCE" w:rsidRPr="002F5B01" w:rsidRDefault="00FD0DCE" w:rsidP="00FD0DCE">
            <w:pPr>
              <w:jc w:val="center"/>
              <w:rPr>
                <w:rFonts w:asciiTheme="minorHAnsi" w:hAnsiTheme="minorHAnsi" w:cstheme="minorHAnsi"/>
              </w:rPr>
            </w:pPr>
            <w:r w:rsidRPr="002F5B01">
              <w:rPr>
                <w:rFonts w:asciiTheme="minorHAnsi" w:hAnsiTheme="minorHAnsi" w:cstheme="minorHAnsi"/>
              </w:rPr>
              <w:t>1</w:t>
            </w:r>
          </w:p>
        </w:tc>
        <w:tc>
          <w:tcPr>
            <w:tcW w:w="3620" w:type="dxa"/>
          </w:tcPr>
          <w:p w14:paraId="1DED3D02" w14:textId="0B0E9C8E" w:rsidR="00FD0DCE" w:rsidRPr="002F5B01" w:rsidRDefault="00FD0DCE" w:rsidP="00FD0DCE">
            <w:pPr>
              <w:ind w:left="42"/>
              <w:rPr>
                <w:rFonts w:asciiTheme="minorHAnsi" w:hAnsiTheme="minorHAnsi" w:cstheme="minorHAnsi"/>
              </w:rPr>
            </w:pPr>
            <w:r>
              <w:rPr>
                <w:rFonts w:asciiTheme="minorHAnsi" w:hAnsiTheme="minorHAnsi" w:cstheme="minorHAnsi"/>
              </w:rPr>
              <w:t>Input received – No change warranted.</w:t>
            </w:r>
          </w:p>
        </w:tc>
      </w:tr>
      <w:tr w:rsidR="00FD0DCE" w:rsidRPr="002E7EAD" w14:paraId="30DCC881" w14:textId="77777777" w:rsidTr="002057F4">
        <w:trPr>
          <w:jc w:val="center"/>
        </w:trPr>
        <w:tc>
          <w:tcPr>
            <w:tcW w:w="445" w:type="dxa"/>
            <w:tcMar>
              <w:top w:w="29" w:type="dxa"/>
              <w:left w:w="43" w:type="dxa"/>
              <w:bottom w:w="29" w:type="dxa"/>
              <w:right w:w="43" w:type="dxa"/>
            </w:tcMar>
          </w:tcPr>
          <w:p w14:paraId="2423B381" w14:textId="309218F0" w:rsidR="00FD0DCE" w:rsidRPr="002F5B01" w:rsidRDefault="00FD0DCE" w:rsidP="00FD0DCE">
            <w:pPr>
              <w:pStyle w:val="ListParagraph"/>
              <w:spacing w:after="120"/>
              <w:ind w:left="-24"/>
              <w:contextualSpacing w:val="0"/>
              <w:jc w:val="center"/>
              <w:rPr>
                <w:rFonts w:asciiTheme="minorHAnsi" w:hAnsiTheme="minorHAnsi" w:cstheme="minorHAnsi"/>
                <w:szCs w:val="28"/>
              </w:rPr>
            </w:pPr>
            <w:r>
              <w:rPr>
                <w:rFonts w:asciiTheme="minorHAnsi" w:hAnsiTheme="minorHAnsi" w:cstheme="minorHAnsi"/>
                <w:szCs w:val="28"/>
              </w:rPr>
              <w:lastRenderedPageBreak/>
              <w:t>26</w:t>
            </w:r>
          </w:p>
        </w:tc>
        <w:tc>
          <w:tcPr>
            <w:tcW w:w="5317" w:type="dxa"/>
          </w:tcPr>
          <w:p w14:paraId="6177EA5A" w14:textId="77777777"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On page 5, under “Objective 2.3,” the evaluation measure for “Access to</w:t>
            </w:r>
          </w:p>
          <w:p w14:paraId="08AA2FF0" w14:textId="178A4F30"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Transportation” states, “PPR data will show at least 400 hours spent over the term of the SPIL period on community activities, to address Access to Transportation.” Hours spent does not necessarily reflect outcomes achieved. [Commenter] recommends that the SPIL evaluation measure state, “PPR data will show at least 400 hours spent over the term of the SPIL period on community activities, to address Access to Transportation</w:t>
            </w:r>
            <w:r w:rsidRPr="002F5B01">
              <w:rPr>
                <w:rFonts w:asciiTheme="minorHAnsi" w:hAnsiTheme="minorHAnsi" w:cstheme="minorHAnsi"/>
                <w:b/>
                <w:bCs/>
                <w:szCs w:val="28"/>
              </w:rPr>
              <w:t>, and positive outcomes that have expanded transportation options for people with disabilities will be identified</w:t>
            </w:r>
            <w:r w:rsidRPr="002F5B01">
              <w:rPr>
                <w:rFonts w:asciiTheme="minorHAnsi" w:hAnsiTheme="minorHAnsi" w:cstheme="minorHAnsi"/>
                <w:szCs w:val="28"/>
              </w:rPr>
              <w:t xml:space="preserve">.” (Added language in </w:t>
            </w:r>
            <w:r w:rsidRPr="002F5B01">
              <w:rPr>
                <w:rFonts w:asciiTheme="minorHAnsi" w:hAnsiTheme="minorHAnsi" w:cstheme="minorHAnsi"/>
                <w:b/>
                <w:bCs/>
                <w:szCs w:val="28"/>
              </w:rPr>
              <w:t>bold</w:t>
            </w:r>
            <w:r w:rsidRPr="002F5B01">
              <w:rPr>
                <w:rFonts w:asciiTheme="minorHAnsi" w:hAnsiTheme="minorHAnsi" w:cstheme="minorHAnsi"/>
                <w:szCs w:val="28"/>
              </w:rPr>
              <w:t>.)</w:t>
            </w:r>
          </w:p>
        </w:tc>
        <w:tc>
          <w:tcPr>
            <w:tcW w:w="1632" w:type="dxa"/>
          </w:tcPr>
          <w:p w14:paraId="03FDB606" w14:textId="72B5C712" w:rsidR="00FD0DCE" w:rsidRPr="002F5B01" w:rsidRDefault="00FD0DCE" w:rsidP="00FD0DCE">
            <w:pPr>
              <w:jc w:val="center"/>
              <w:rPr>
                <w:rFonts w:asciiTheme="minorHAnsi" w:hAnsiTheme="minorHAnsi" w:cstheme="minorHAnsi"/>
              </w:rPr>
            </w:pPr>
            <w:r w:rsidRPr="002F5B01">
              <w:rPr>
                <w:rFonts w:asciiTheme="minorHAnsi" w:hAnsiTheme="minorHAnsi" w:cstheme="minorHAnsi"/>
              </w:rPr>
              <w:t>1</w:t>
            </w:r>
          </w:p>
        </w:tc>
        <w:tc>
          <w:tcPr>
            <w:tcW w:w="3620" w:type="dxa"/>
          </w:tcPr>
          <w:p w14:paraId="373CC19F" w14:textId="4A98AF61" w:rsidR="00FD0DCE" w:rsidRPr="002F5B01" w:rsidRDefault="00FD0DCE" w:rsidP="00FD0DCE">
            <w:pPr>
              <w:ind w:left="42"/>
              <w:rPr>
                <w:rFonts w:asciiTheme="minorHAnsi" w:hAnsiTheme="minorHAnsi" w:cstheme="minorHAnsi"/>
              </w:rPr>
            </w:pPr>
            <w:r>
              <w:rPr>
                <w:rFonts w:asciiTheme="minorHAnsi" w:hAnsiTheme="minorHAnsi" w:cstheme="minorHAnsi"/>
              </w:rPr>
              <w:t>Input received – No change warranted.</w:t>
            </w:r>
          </w:p>
        </w:tc>
      </w:tr>
      <w:tr w:rsidR="00FD0DCE" w:rsidRPr="002F5B01" w14:paraId="284C5490" w14:textId="77777777" w:rsidTr="002057F4">
        <w:trPr>
          <w:jc w:val="center"/>
        </w:trPr>
        <w:tc>
          <w:tcPr>
            <w:tcW w:w="445" w:type="dxa"/>
            <w:tcMar>
              <w:top w:w="29" w:type="dxa"/>
              <w:left w:w="43" w:type="dxa"/>
              <w:bottom w:w="29" w:type="dxa"/>
              <w:right w:w="43" w:type="dxa"/>
            </w:tcMar>
          </w:tcPr>
          <w:p w14:paraId="22094C32" w14:textId="6FD38EB8" w:rsidR="00FD0DCE" w:rsidRPr="002F5B01" w:rsidRDefault="00FD0DCE" w:rsidP="00FD0DCE">
            <w:pPr>
              <w:pStyle w:val="ListParagraph"/>
              <w:spacing w:after="120"/>
              <w:ind w:left="-24"/>
              <w:contextualSpacing w:val="0"/>
              <w:jc w:val="center"/>
              <w:rPr>
                <w:rFonts w:asciiTheme="minorHAnsi" w:hAnsiTheme="minorHAnsi" w:cstheme="minorHAnsi"/>
                <w:szCs w:val="28"/>
              </w:rPr>
            </w:pPr>
            <w:r>
              <w:rPr>
                <w:rFonts w:asciiTheme="minorHAnsi" w:hAnsiTheme="minorHAnsi" w:cstheme="minorHAnsi"/>
                <w:szCs w:val="28"/>
              </w:rPr>
              <w:t>27</w:t>
            </w:r>
          </w:p>
        </w:tc>
        <w:tc>
          <w:tcPr>
            <w:tcW w:w="5317" w:type="dxa"/>
          </w:tcPr>
          <w:p w14:paraId="59BCECF5" w14:textId="7D0BED41"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On page 6, under “Objective 2.4,” the evaluation measure for “Access to Housing” states, “PPR data will show at least 400 hours spent over the term of the SPIL period on community activities, to address Access to</w:t>
            </w:r>
            <w:r>
              <w:rPr>
                <w:rFonts w:asciiTheme="minorHAnsi" w:hAnsiTheme="minorHAnsi" w:cstheme="minorHAnsi"/>
                <w:szCs w:val="28"/>
              </w:rPr>
              <w:t xml:space="preserve"> </w:t>
            </w:r>
            <w:r w:rsidRPr="002F5B01">
              <w:rPr>
                <w:rFonts w:asciiTheme="minorHAnsi" w:hAnsiTheme="minorHAnsi" w:cstheme="minorHAnsi"/>
                <w:szCs w:val="28"/>
              </w:rPr>
              <w:t>Housing.” As noted above, hours spent does not necessarily reflect outcomes achieved. [Commenter] recommends that the SPIL</w:t>
            </w:r>
            <w:r>
              <w:rPr>
                <w:rFonts w:asciiTheme="minorHAnsi" w:hAnsiTheme="minorHAnsi" w:cstheme="minorHAnsi"/>
                <w:szCs w:val="28"/>
              </w:rPr>
              <w:t xml:space="preserve"> </w:t>
            </w:r>
            <w:r w:rsidRPr="002F5B01">
              <w:rPr>
                <w:rFonts w:asciiTheme="minorHAnsi" w:hAnsiTheme="minorHAnsi" w:cstheme="minorHAnsi"/>
                <w:szCs w:val="28"/>
              </w:rPr>
              <w:t>evaluation measure state, “PPR data will show at least 400 hours spent over the term of the SPIL period on community activities, to address</w:t>
            </w:r>
            <w:r>
              <w:rPr>
                <w:rFonts w:asciiTheme="minorHAnsi" w:hAnsiTheme="minorHAnsi" w:cstheme="minorHAnsi"/>
                <w:szCs w:val="28"/>
              </w:rPr>
              <w:t xml:space="preserve"> </w:t>
            </w:r>
            <w:r w:rsidRPr="002F5B01">
              <w:rPr>
                <w:rFonts w:asciiTheme="minorHAnsi" w:hAnsiTheme="minorHAnsi" w:cstheme="minorHAnsi"/>
                <w:szCs w:val="28"/>
              </w:rPr>
              <w:t>Access to Housing</w:t>
            </w:r>
            <w:r w:rsidRPr="002F5B01">
              <w:rPr>
                <w:rFonts w:asciiTheme="minorHAnsi" w:hAnsiTheme="minorHAnsi" w:cstheme="minorHAnsi"/>
                <w:b/>
                <w:bCs/>
                <w:szCs w:val="28"/>
              </w:rPr>
              <w:t>, and positive outcomes that have expanded access for people with disabilities will be identified</w:t>
            </w:r>
            <w:r w:rsidRPr="002F5B01">
              <w:rPr>
                <w:rFonts w:asciiTheme="minorHAnsi" w:hAnsiTheme="minorHAnsi" w:cstheme="minorHAnsi"/>
                <w:szCs w:val="28"/>
              </w:rPr>
              <w:t xml:space="preserve">.” (Added language in </w:t>
            </w:r>
            <w:r w:rsidRPr="002F5B01">
              <w:rPr>
                <w:rFonts w:asciiTheme="minorHAnsi" w:hAnsiTheme="minorHAnsi" w:cstheme="minorHAnsi"/>
                <w:b/>
                <w:bCs/>
                <w:szCs w:val="28"/>
              </w:rPr>
              <w:t>bold</w:t>
            </w:r>
            <w:r w:rsidRPr="002F5B01">
              <w:rPr>
                <w:rFonts w:asciiTheme="minorHAnsi" w:hAnsiTheme="minorHAnsi" w:cstheme="minorHAnsi"/>
                <w:szCs w:val="28"/>
              </w:rPr>
              <w:t>.)</w:t>
            </w:r>
          </w:p>
        </w:tc>
        <w:tc>
          <w:tcPr>
            <w:tcW w:w="1632" w:type="dxa"/>
          </w:tcPr>
          <w:p w14:paraId="3FDB6831" w14:textId="59537B80" w:rsidR="00FD0DCE" w:rsidRPr="002F5B01" w:rsidRDefault="00FD0DCE" w:rsidP="00FD0DCE">
            <w:pPr>
              <w:jc w:val="center"/>
              <w:rPr>
                <w:rFonts w:asciiTheme="minorHAnsi" w:hAnsiTheme="minorHAnsi" w:cstheme="minorHAnsi"/>
                <w:szCs w:val="28"/>
              </w:rPr>
            </w:pPr>
            <w:r w:rsidRPr="002F5B01">
              <w:rPr>
                <w:rFonts w:asciiTheme="minorHAnsi" w:hAnsiTheme="minorHAnsi" w:cstheme="minorHAnsi"/>
                <w:szCs w:val="28"/>
              </w:rPr>
              <w:t>1</w:t>
            </w:r>
          </w:p>
        </w:tc>
        <w:tc>
          <w:tcPr>
            <w:tcW w:w="3620" w:type="dxa"/>
          </w:tcPr>
          <w:p w14:paraId="5F38FCEF" w14:textId="5E8CF421" w:rsidR="00FD0DCE" w:rsidRPr="002F5B01" w:rsidRDefault="00FD0DCE" w:rsidP="00FD0DCE">
            <w:pPr>
              <w:ind w:left="42"/>
              <w:rPr>
                <w:rFonts w:asciiTheme="minorHAnsi" w:hAnsiTheme="minorHAnsi" w:cstheme="minorHAnsi"/>
                <w:szCs w:val="28"/>
              </w:rPr>
            </w:pPr>
            <w:r>
              <w:rPr>
                <w:rFonts w:asciiTheme="minorHAnsi" w:hAnsiTheme="minorHAnsi" w:cstheme="minorHAnsi"/>
              </w:rPr>
              <w:t>Input received – No change warranted.</w:t>
            </w:r>
          </w:p>
        </w:tc>
      </w:tr>
      <w:tr w:rsidR="00FD0DCE" w:rsidRPr="002F5B01" w14:paraId="322BA760" w14:textId="77777777" w:rsidTr="002057F4">
        <w:trPr>
          <w:jc w:val="center"/>
        </w:trPr>
        <w:tc>
          <w:tcPr>
            <w:tcW w:w="445" w:type="dxa"/>
            <w:tcMar>
              <w:top w:w="29" w:type="dxa"/>
              <w:left w:w="43" w:type="dxa"/>
              <w:bottom w:w="29" w:type="dxa"/>
              <w:right w:w="43" w:type="dxa"/>
            </w:tcMar>
          </w:tcPr>
          <w:p w14:paraId="4CFDB00F" w14:textId="22171963" w:rsidR="00FD0DCE" w:rsidRPr="002F5B01" w:rsidRDefault="00FD0DCE" w:rsidP="00FD0DCE">
            <w:pPr>
              <w:pStyle w:val="ListParagraph"/>
              <w:spacing w:after="120"/>
              <w:ind w:left="-24"/>
              <w:contextualSpacing w:val="0"/>
              <w:jc w:val="center"/>
              <w:rPr>
                <w:rFonts w:asciiTheme="minorHAnsi" w:hAnsiTheme="minorHAnsi" w:cstheme="minorHAnsi"/>
                <w:szCs w:val="28"/>
              </w:rPr>
            </w:pPr>
            <w:r>
              <w:rPr>
                <w:rFonts w:asciiTheme="minorHAnsi" w:hAnsiTheme="minorHAnsi" w:cstheme="minorHAnsi"/>
                <w:szCs w:val="28"/>
              </w:rPr>
              <w:t>28</w:t>
            </w:r>
          </w:p>
        </w:tc>
        <w:tc>
          <w:tcPr>
            <w:tcW w:w="5317" w:type="dxa"/>
          </w:tcPr>
          <w:p w14:paraId="5E6173E5" w14:textId="329A39BA"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 xml:space="preserve">On page 7, under Objective 3.4, the evaluation measure for “the youth leadership training initiative” states, “By the end of the SPIL period, the SILC will have conducted research and developed a </w:t>
            </w:r>
            <w:r w:rsidRPr="002F5B01">
              <w:rPr>
                <w:rFonts w:asciiTheme="minorHAnsi" w:hAnsiTheme="minorHAnsi" w:cstheme="minorHAnsi"/>
                <w:szCs w:val="28"/>
              </w:rPr>
              <w:lastRenderedPageBreak/>
              <w:t>concept for a youth</w:t>
            </w:r>
            <w:r>
              <w:rPr>
                <w:rFonts w:asciiTheme="minorHAnsi" w:hAnsiTheme="minorHAnsi" w:cstheme="minorHAnsi"/>
                <w:szCs w:val="28"/>
              </w:rPr>
              <w:t xml:space="preserve"> </w:t>
            </w:r>
            <w:r w:rsidRPr="002F5B01">
              <w:rPr>
                <w:rFonts w:asciiTheme="minorHAnsi" w:hAnsiTheme="minorHAnsi" w:cstheme="minorHAnsi"/>
                <w:szCs w:val="28"/>
              </w:rPr>
              <w:t>leadership training initiative, including how it could be funded.” The development of a concept may be too modest a measure of progress on pursuing a youth leadership training initiative across the state for the</w:t>
            </w:r>
            <w:r>
              <w:rPr>
                <w:rFonts w:asciiTheme="minorHAnsi" w:hAnsiTheme="minorHAnsi" w:cstheme="minorHAnsi"/>
                <w:szCs w:val="28"/>
              </w:rPr>
              <w:t xml:space="preserve"> </w:t>
            </w:r>
            <w:r w:rsidRPr="002F5B01">
              <w:rPr>
                <w:rFonts w:asciiTheme="minorHAnsi" w:hAnsiTheme="minorHAnsi" w:cstheme="minorHAnsi"/>
                <w:szCs w:val="28"/>
              </w:rPr>
              <w:t>three-year period. [Commenter] recommends that, in addition to developing a concept and identifying how it could possibly be funded,</w:t>
            </w:r>
            <w:r>
              <w:rPr>
                <w:rFonts w:asciiTheme="minorHAnsi" w:hAnsiTheme="minorHAnsi" w:cstheme="minorHAnsi"/>
                <w:szCs w:val="28"/>
              </w:rPr>
              <w:t xml:space="preserve"> </w:t>
            </w:r>
            <w:r w:rsidRPr="002F5B01">
              <w:rPr>
                <w:rFonts w:asciiTheme="minorHAnsi" w:hAnsiTheme="minorHAnsi" w:cstheme="minorHAnsi"/>
                <w:szCs w:val="28"/>
              </w:rPr>
              <w:t>that the SPIL state that the SILC will have taken significant steps toward actually securing that funding. We propose the following revised</w:t>
            </w:r>
          </w:p>
          <w:p w14:paraId="3B57FC7A" w14:textId="20CBF7DD"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 xml:space="preserve">language: “By the end of the SPIL period, the SILC will have conducted research and developed a concept for a youth leadership training initiative, including how it could be funded, </w:t>
            </w:r>
            <w:r w:rsidRPr="002F5B01">
              <w:rPr>
                <w:rFonts w:asciiTheme="minorHAnsi" w:hAnsiTheme="minorHAnsi" w:cstheme="minorHAnsi"/>
                <w:b/>
                <w:bCs/>
                <w:szCs w:val="28"/>
              </w:rPr>
              <w:t>and will have taken significant steps</w:t>
            </w:r>
            <w:r>
              <w:rPr>
                <w:rFonts w:asciiTheme="minorHAnsi" w:hAnsiTheme="minorHAnsi" w:cstheme="minorHAnsi"/>
                <w:b/>
                <w:bCs/>
                <w:szCs w:val="28"/>
              </w:rPr>
              <w:t xml:space="preserve"> </w:t>
            </w:r>
            <w:r w:rsidRPr="002F5B01">
              <w:rPr>
                <w:rFonts w:asciiTheme="minorHAnsi" w:hAnsiTheme="minorHAnsi" w:cstheme="minorHAnsi"/>
                <w:b/>
                <w:bCs/>
                <w:szCs w:val="28"/>
              </w:rPr>
              <w:t>toward securing that funding</w:t>
            </w:r>
            <w:r w:rsidRPr="002F5B01">
              <w:rPr>
                <w:rFonts w:asciiTheme="minorHAnsi" w:hAnsiTheme="minorHAnsi" w:cstheme="minorHAnsi"/>
                <w:szCs w:val="28"/>
              </w:rPr>
              <w:t xml:space="preserve">.” (Added language in </w:t>
            </w:r>
            <w:r w:rsidRPr="002F5B01">
              <w:rPr>
                <w:rFonts w:asciiTheme="minorHAnsi" w:hAnsiTheme="minorHAnsi" w:cstheme="minorHAnsi"/>
                <w:b/>
                <w:bCs/>
                <w:szCs w:val="28"/>
              </w:rPr>
              <w:t>bold</w:t>
            </w:r>
            <w:r w:rsidRPr="002F5B01">
              <w:rPr>
                <w:rFonts w:asciiTheme="minorHAnsi" w:hAnsiTheme="minorHAnsi" w:cstheme="minorHAnsi"/>
                <w:szCs w:val="28"/>
              </w:rPr>
              <w:t>).</w:t>
            </w:r>
          </w:p>
        </w:tc>
        <w:tc>
          <w:tcPr>
            <w:tcW w:w="1632" w:type="dxa"/>
          </w:tcPr>
          <w:p w14:paraId="397DA3AC" w14:textId="44F3D587" w:rsidR="00FD0DCE" w:rsidRPr="002F5B01" w:rsidRDefault="00FD0DCE" w:rsidP="00FD0DCE">
            <w:pPr>
              <w:jc w:val="center"/>
              <w:rPr>
                <w:rFonts w:asciiTheme="minorHAnsi" w:hAnsiTheme="minorHAnsi" w:cstheme="minorHAnsi"/>
                <w:szCs w:val="28"/>
              </w:rPr>
            </w:pPr>
            <w:r w:rsidRPr="002F5B01">
              <w:rPr>
                <w:rFonts w:asciiTheme="minorHAnsi" w:hAnsiTheme="minorHAnsi" w:cstheme="minorHAnsi"/>
                <w:szCs w:val="28"/>
              </w:rPr>
              <w:lastRenderedPageBreak/>
              <w:t>1</w:t>
            </w:r>
          </w:p>
        </w:tc>
        <w:tc>
          <w:tcPr>
            <w:tcW w:w="3620" w:type="dxa"/>
          </w:tcPr>
          <w:p w14:paraId="23FCBEAD" w14:textId="607E724C" w:rsidR="00FD0DCE" w:rsidRPr="002F5B01" w:rsidRDefault="00FD0DCE" w:rsidP="00FD0DCE">
            <w:pPr>
              <w:ind w:left="42"/>
              <w:rPr>
                <w:rFonts w:asciiTheme="minorHAnsi" w:hAnsiTheme="minorHAnsi" w:cstheme="minorHAnsi"/>
                <w:szCs w:val="28"/>
              </w:rPr>
            </w:pPr>
            <w:r>
              <w:rPr>
                <w:rFonts w:asciiTheme="minorHAnsi" w:hAnsiTheme="minorHAnsi" w:cstheme="minorHAnsi"/>
              </w:rPr>
              <w:t>Input received – No change warranted.</w:t>
            </w:r>
          </w:p>
        </w:tc>
      </w:tr>
      <w:tr w:rsidR="00FD0DCE" w:rsidRPr="002F5B01" w14:paraId="5B4C6BE6" w14:textId="77777777" w:rsidTr="002057F4">
        <w:trPr>
          <w:jc w:val="center"/>
        </w:trPr>
        <w:tc>
          <w:tcPr>
            <w:tcW w:w="445" w:type="dxa"/>
            <w:tcMar>
              <w:top w:w="29" w:type="dxa"/>
              <w:left w:w="43" w:type="dxa"/>
              <w:bottom w:w="29" w:type="dxa"/>
              <w:right w:w="43" w:type="dxa"/>
            </w:tcMar>
          </w:tcPr>
          <w:p w14:paraId="72EB8C88" w14:textId="6B35BE35" w:rsidR="00FD0DCE" w:rsidRPr="002F5B01" w:rsidRDefault="00FD0DCE" w:rsidP="00FD0DCE">
            <w:pPr>
              <w:pStyle w:val="ListParagraph"/>
              <w:spacing w:after="120"/>
              <w:ind w:left="-24"/>
              <w:contextualSpacing w:val="0"/>
              <w:jc w:val="center"/>
              <w:rPr>
                <w:rFonts w:asciiTheme="minorHAnsi" w:hAnsiTheme="minorHAnsi" w:cstheme="minorHAnsi"/>
                <w:szCs w:val="28"/>
              </w:rPr>
            </w:pPr>
            <w:r>
              <w:rPr>
                <w:rFonts w:asciiTheme="minorHAnsi" w:hAnsiTheme="minorHAnsi" w:cstheme="minorHAnsi"/>
                <w:szCs w:val="28"/>
              </w:rPr>
              <w:t>29</w:t>
            </w:r>
          </w:p>
        </w:tc>
        <w:tc>
          <w:tcPr>
            <w:tcW w:w="5317" w:type="dxa"/>
          </w:tcPr>
          <w:p w14:paraId="2A605281" w14:textId="32B84574"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We have a number of comments related to the table of “Independent living</w:t>
            </w:r>
          </w:p>
          <w:p w14:paraId="5A6D6F86" w14:textId="77777777"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 xml:space="preserve">services,” (Table 2.1A): </w:t>
            </w:r>
          </w:p>
          <w:p w14:paraId="4C4BF389" w14:textId="6A00DC38"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On page 9, under Table 2.1A “Independent living services,” the entities identified providing services include “CIL” or “CIL – OCB.” The previous SPIL (2017-2019) arranged this information differently and included the</w:t>
            </w:r>
            <w:r>
              <w:rPr>
                <w:rFonts w:asciiTheme="minorHAnsi" w:hAnsiTheme="minorHAnsi" w:cstheme="minorHAnsi"/>
                <w:szCs w:val="28"/>
              </w:rPr>
              <w:t xml:space="preserve"> </w:t>
            </w:r>
            <w:r w:rsidRPr="002F5B01">
              <w:rPr>
                <w:rFonts w:asciiTheme="minorHAnsi" w:hAnsiTheme="minorHAnsi" w:cstheme="minorHAnsi"/>
                <w:szCs w:val="28"/>
              </w:rPr>
              <w:t>Designated State Unit (DSU) as a provider, and whether it would be provided “directly,” “through contract and/or grant,” or “not through DSU</w:t>
            </w:r>
          </w:p>
          <w:p w14:paraId="517B3883" w14:textId="1F0BC5B7"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contracts/grants.” [Commenter] is curious to know the reason for and significance of this rearrangement of the information. We do not</w:t>
            </w:r>
            <w:r>
              <w:rPr>
                <w:rFonts w:asciiTheme="minorHAnsi" w:hAnsiTheme="minorHAnsi" w:cstheme="minorHAnsi"/>
                <w:szCs w:val="28"/>
              </w:rPr>
              <w:t xml:space="preserve"> </w:t>
            </w:r>
            <w:r w:rsidRPr="002F5B01">
              <w:rPr>
                <w:rFonts w:asciiTheme="minorHAnsi" w:hAnsiTheme="minorHAnsi" w:cstheme="minorHAnsi"/>
                <w:szCs w:val="28"/>
              </w:rPr>
              <w:t xml:space="preserve">necessarily have a specific recommendation to make, without more </w:t>
            </w:r>
            <w:r w:rsidRPr="002F5B01">
              <w:rPr>
                <w:rFonts w:asciiTheme="minorHAnsi" w:hAnsiTheme="minorHAnsi" w:cstheme="minorHAnsi"/>
                <w:szCs w:val="28"/>
              </w:rPr>
              <w:lastRenderedPageBreak/>
              <w:t xml:space="preserve">information. </w:t>
            </w:r>
            <w:r w:rsidRPr="002F5B01">
              <w:rPr>
                <w:rFonts w:asciiTheme="minorHAnsi" w:hAnsiTheme="minorHAnsi" w:cstheme="minorHAnsi"/>
                <w:i/>
                <w:iCs/>
                <w:szCs w:val="28"/>
              </w:rPr>
              <w:t>[see also related comments 31 &amp; 32 below]</w:t>
            </w:r>
          </w:p>
        </w:tc>
        <w:tc>
          <w:tcPr>
            <w:tcW w:w="1632" w:type="dxa"/>
          </w:tcPr>
          <w:p w14:paraId="7F33E436" w14:textId="0D2AFB35" w:rsidR="00FD0DCE" w:rsidRPr="002F5B01" w:rsidRDefault="00FD0DCE" w:rsidP="00FD0DCE">
            <w:pPr>
              <w:jc w:val="center"/>
              <w:rPr>
                <w:rFonts w:asciiTheme="minorHAnsi" w:hAnsiTheme="minorHAnsi" w:cstheme="minorHAnsi"/>
                <w:szCs w:val="28"/>
              </w:rPr>
            </w:pPr>
            <w:r w:rsidRPr="002F5B01">
              <w:rPr>
                <w:rFonts w:asciiTheme="minorHAnsi" w:hAnsiTheme="minorHAnsi" w:cstheme="minorHAnsi"/>
                <w:szCs w:val="28"/>
              </w:rPr>
              <w:lastRenderedPageBreak/>
              <w:t>1</w:t>
            </w:r>
          </w:p>
        </w:tc>
        <w:tc>
          <w:tcPr>
            <w:tcW w:w="3620" w:type="dxa"/>
          </w:tcPr>
          <w:p w14:paraId="04C6D7AB" w14:textId="05C44F96" w:rsidR="00FD0DCE" w:rsidRPr="002F5B01" w:rsidRDefault="00507BDC" w:rsidP="00FD0DCE">
            <w:pPr>
              <w:ind w:left="42"/>
              <w:rPr>
                <w:rFonts w:asciiTheme="minorHAnsi" w:hAnsiTheme="minorHAnsi" w:cstheme="minorHAnsi"/>
                <w:szCs w:val="28"/>
              </w:rPr>
            </w:pPr>
            <w:r>
              <w:rPr>
                <w:rFonts w:asciiTheme="minorHAnsi" w:hAnsiTheme="minorHAnsi" w:cstheme="minorHAnsi"/>
                <w:szCs w:val="28"/>
              </w:rPr>
              <w:t>Requires t</w:t>
            </w:r>
            <w:r w:rsidR="00FD0DCE">
              <w:rPr>
                <w:rFonts w:asciiTheme="minorHAnsi" w:hAnsiTheme="minorHAnsi" w:cstheme="minorHAnsi"/>
                <w:szCs w:val="28"/>
              </w:rPr>
              <w:t>emplate change – no change to this section.</w:t>
            </w:r>
          </w:p>
        </w:tc>
      </w:tr>
      <w:tr w:rsidR="00FD0DCE" w:rsidRPr="002F5B01" w14:paraId="641E0CAC" w14:textId="77777777" w:rsidTr="002057F4">
        <w:trPr>
          <w:jc w:val="center"/>
        </w:trPr>
        <w:tc>
          <w:tcPr>
            <w:tcW w:w="445" w:type="dxa"/>
            <w:tcMar>
              <w:top w:w="29" w:type="dxa"/>
              <w:left w:w="43" w:type="dxa"/>
              <w:bottom w:w="29" w:type="dxa"/>
              <w:right w:w="43" w:type="dxa"/>
            </w:tcMar>
          </w:tcPr>
          <w:p w14:paraId="5AF34C04" w14:textId="07CEEFE4" w:rsidR="00FD0DCE" w:rsidRPr="002F5B01" w:rsidRDefault="00FD0DCE" w:rsidP="00FD0DCE">
            <w:pPr>
              <w:pStyle w:val="ListParagraph"/>
              <w:spacing w:after="120"/>
              <w:ind w:left="-24"/>
              <w:contextualSpacing w:val="0"/>
              <w:jc w:val="center"/>
              <w:rPr>
                <w:rFonts w:asciiTheme="minorHAnsi" w:hAnsiTheme="minorHAnsi" w:cstheme="minorHAnsi"/>
                <w:szCs w:val="28"/>
              </w:rPr>
            </w:pPr>
            <w:r>
              <w:rPr>
                <w:rFonts w:asciiTheme="minorHAnsi" w:hAnsiTheme="minorHAnsi" w:cstheme="minorHAnsi"/>
                <w:szCs w:val="28"/>
              </w:rPr>
              <w:t>30</w:t>
            </w:r>
          </w:p>
        </w:tc>
        <w:tc>
          <w:tcPr>
            <w:tcW w:w="5317" w:type="dxa"/>
          </w:tcPr>
          <w:p w14:paraId="42B81FC7" w14:textId="7C96EFEF"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On page 9, under Table 2.1A “Independent living services,” under the first row about “Core Independent Living Services,” the table could probably be clearer. It is unclear how the information about “Subchapter B” funds,</w:t>
            </w:r>
            <w:r>
              <w:rPr>
                <w:rFonts w:asciiTheme="minorHAnsi" w:hAnsiTheme="minorHAnsi" w:cstheme="minorHAnsi"/>
                <w:szCs w:val="28"/>
              </w:rPr>
              <w:t xml:space="preserve"> </w:t>
            </w:r>
            <w:r w:rsidRPr="002F5B01">
              <w:rPr>
                <w:rFonts w:asciiTheme="minorHAnsi" w:hAnsiTheme="minorHAnsi" w:cstheme="minorHAnsi"/>
                <w:szCs w:val="28"/>
              </w:rPr>
              <w:t>“other funds,” and who the service is “provided by” in the columns on the right correspond to the bulleted list in the first column on the left. For example, there are five bullets (and three sub-bullets) on the first column on the left; however, there are only four (not five) rows filled in under the columns on the right. [Commenter] would recommend that the table row concerning “Core Independent Living Services” be edited to make it a little clearer. The previous SPIL (2017-2019) organized each of the bullets in the left-most column as its own distinct row of information. We recommend using a similar format.</w:t>
            </w:r>
          </w:p>
        </w:tc>
        <w:tc>
          <w:tcPr>
            <w:tcW w:w="1632" w:type="dxa"/>
          </w:tcPr>
          <w:p w14:paraId="2CA7E578" w14:textId="782A6328" w:rsidR="00FD0DCE" w:rsidRPr="002F5B01" w:rsidRDefault="00FD0DCE" w:rsidP="00FD0DCE">
            <w:pPr>
              <w:jc w:val="center"/>
              <w:rPr>
                <w:rFonts w:asciiTheme="minorHAnsi" w:hAnsiTheme="minorHAnsi" w:cstheme="minorHAnsi"/>
                <w:szCs w:val="28"/>
              </w:rPr>
            </w:pPr>
            <w:r w:rsidRPr="002F5B01">
              <w:rPr>
                <w:rFonts w:asciiTheme="minorHAnsi" w:hAnsiTheme="minorHAnsi" w:cstheme="minorHAnsi"/>
                <w:szCs w:val="28"/>
              </w:rPr>
              <w:t>1</w:t>
            </w:r>
          </w:p>
        </w:tc>
        <w:tc>
          <w:tcPr>
            <w:tcW w:w="3620" w:type="dxa"/>
          </w:tcPr>
          <w:p w14:paraId="401AEDB5" w14:textId="7088644E" w:rsidR="00FD0DCE" w:rsidRPr="002F5B01" w:rsidRDefault="00507BDC" w:rsidP="00FD0DCE">
            <w:pPr>
              <w:ind w:left="42"/>
              <w:rPr>
                <w:rFonts w:asciiTheme="minorHAnsi" w:hAnsiTheme="minorHAnsi" w:cstheme="minorHAnsi"/>
                <w:szCs w:val="28"/>
              </w:rPr>
            </w:pPr>
            <w:r>
              <w:rPr>
                <w:rFonts w:asciiTheme="minorHAnsi" w:hAnsiTheme="minorHAnsi" w:cstheme="minorHAnsi"/>
                <w:szCs w:val="28"/>
              </w:rPr>
              <w:t>Requires t</w:t>
            </w:r>
            <w:r w:rsidR="00FD0DCE">
              <w:rPr>
                <w:rFonts w:asciiTheme="minorHAnsi" w:hAnsiTheme="minorHAnsi" w:cstheme="minorHAnsi"/>
                <w:szCs w:val="28"/>
              </w:rPr>
              <w:t>emplate change – no change to this section.</w:t>
            </w:r>
          </w:p>
        </w:tc>
      </w:tr>
      <w:tr w:rsidR="00FD0DCE" w:rsidRPr="002F5B01" w14:paraId="301B528E" w14:textId="77777777" w:rsidTr="002057F4">
        <w:trPr>
          <w:jc w:val="center"/>
        </w:trPr>
        <w:tc>
          <w:tcPr>
            <w:tcW w:w="445" w:type="dxa"/>
            <w:tcMar>
              <w:top w:w="29" w:type="dxa"/>
              <w:left w:w="43" w:type="dxa"/>
              <w:bottom w:w="29" w:type="dxa"/>
              <w:right w:w="43" w:type="dxa"/>
            </w:tcMar>
          </w:tcPr>
          <w:p w14:paraId="632BD9C4" w14:textId="28D5C264" w:rsidR="00FD0DCE" w:rsidRPr="002F5B01" w:rsidRDefault="00FD0DCE" w:rsidP="00FD0DCE">
            <w:pPr>
              <w:pStyle w:val="ListParagraph"/>
              <w:spacing w:after="120"/>
              <w:ind w:left="-24"/>
              <w:contextualSpacing w:val="0"/>
              <w:jc w:val="center"/>
              <w:rPr>
                <w:rFonts w:asciiTheme="minorHAnsi" w:hAnsiTheme="minorHAnsi" w:cstheme="minorHAnsi"/>
                <w:szCs w:val="28"/>
              </w:rPr>
            </w:pPr>
            <w:r>
              <w:rPr>
                <w:rFonts w:asciiTheme="minorHAnsi" w:hAnsiTheme="minorHAnsi" w:cstheme="minorHAnsi"/>
                <w:szCs w:val="28"/>
              </w:rPr>
              <w:t>31</w:t>
            </w:r>
          </w:p>
        </w:tc>
        <w:tc>
          <w:tcPr>
            <w:tcW w:w="5317" w:type="dxa"/>
          </w:tcPr>
          <w:p w14:paraId="244E172F" w14:textId="4DA1C842"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On page 11, under Table 2.1A “Independent living services,” under “Therapeutic treatment,” the current SPIL (2021-2023) states that no</w:t>
            </w:r>
            <w:r>
              <w:rPr>
                <w:rFonts w:asciiTheme="minorHAnsi" w:hAnsiTheme="minorHAnsi" w:cstheme="minorHAnsi"/>
                <w:szCs w:val="28"/>
              </w:rPr>
              <w:t xml:space="preserve"> </w:t>
            </w:r>
            <w:r w:rsidRPr="002F5B01">
              <w:rPr>
                <w:rFonts w:asciiTheme="minorHAnsi" w:hAnsiTheme="minorHAnsi" w:cstheme="minorHAnsi"/>
                <w:szCs w:val="28"/>
              </w:rPr>
              <w:t xml:space="preserve">“therapeutic treatment” will be provided using “Subchapter B” or “other funds,” yet the previous SPIL (2017-2019) indicated that there would be “therapeutic treatment” provided by both the Designated State Unit (DSU) and the Centers for Independent Living (CILs). [Commenter] is concerned about the lack of “therapeutic treatment” planned for in the current SPIL. We recommend including “therapeutic </w:t>
            </w:r>
            <w:r w:rsidRPr="002F5B01">
              <w:rPr>
                <w:rFonts w:asciiTheme="minorHAnsi" w:hAnsiTheme="minorHAnsi" w:cstheme="minorHAnsi"/>
                <w:szCs w:val="28"/>
              </w:rPr>
              <w:lastRenderedPageBreak/>
              <w:t>treatment,” to the extent feasible, in the current SPIL (2021-2023).</w:t>
            </w:r>
          </w:p>
        </w:tc>
        <w:tc>
          <w:tcPr>
            <w:tcW w:w="1632" w:type="dxa"/>
          </w:tcPr>
          <w:p w14:paraId="62DC3DE3" w14:textId="63B37F60" w:rsidR="00FD0DCE" w:rsidRPr="002F5B01" w:rsidRDefault="00FD0DCE" w:rsidP="00FD0DCE">
            <w:pPr>
              <w:jc w:val="center"/>
              <w:rPr>
                <w:rFonts w:asciiTheme="minorHAnsi" w:hAnsiTheme="minorHAnsi" w:cstheme="minorHAnsi"/>
                <w:szCs w:val="28"/>
              </w:rPr>
            </w:pPr>
            <w:r w:rsidRPr="002F5B01">
              <w:rPr>
                <w:rFonts w:asciiTheme="minorHAnsi" w:hAnsiTheme="minorHAnsi" w:cstheme="minorHAnsi"/>
                <w:szCs w:val="28"/>
              </w:rPr>
              <w:lastRenderedPageBreak/>
              <w:t>1</w:t>
            </w:r>
          </w:p>
        </w:tc>
        <w:tc>
          <w:tcPr>
            <w:tcW w:w="3620" w:type="dxa"/>
          </w:tcPr>
          <w:p w14:paraId="363F292C" w14:textId="620377ED" w:rsidR="00FD0DCE" w:rsidRPr="002F5B01" w:rsidRDefault="00507BDC" w:rsidP="00FD0DCE">
            <w:pPr>
              <w:ind w:left="42"/>
              <w:rPr>
                <w:rFonts w:asciiTheme="minorHAnsi" w:hAnsiTheme="minorHAnsi" w:cstheme="minorHAnsi"/>
                <w:szCs w:val="28"/>
              </w:rPr>
            </w:pPr>
            <w:r>
              <w:rPr>
                <w:rFonts w:asciiTheme="minorHAnsi" w:hAnsiTheme="minorHAnsi" w:cstheme="minorHAnsi"/>
                <w:szCs w:val="28"/>
              </w:rPr>
              <w:t>Requires t</w:t>
            </w:r>
            <w:r w:rsidR="00FD0DCE">
              <w:rPr>
                <w:rFonts w:asciiTheme="minorHAnsi" w:hAnsiTheme="minorHAnsi" w:cstheme="minorHAnsi"/>
                <w:szCs w:val="28"/>
              </w:rPr>
              <w:t>emplate change – no change to this section.</w:t>
            </w:r>
          </w:p>
        </w:tc>
      </w:tr>
      <w:tr w:rsidR="00FD0DCE" w:rsidRPr="002F5B01" w14:paraId="30FB1492" w14:textId="77777777" w:rsidTr="002057F4">
        <w:trPr>
          <w:jc w:val="center"/>
        </w:trPr>
        <w:tc>
          <w:tcPr>
            <w:tcW w:w="445" w:type="dxa"/>
            <w:tcMar>
              <w:top w:w="29" w:type="dxa"/>
              <w:left w:w="43" w:type="dxa"/>
              <w:bottom w:w="29" w:type="dxa"/>
              <w:right w:w="43" w:type="dxa"/>
            </w:tcMar>
          </w:tcPr>
          <w:p w14:paraId="721364AD" w14:textId="2B8F3186" w:rsidR="00FD0DCE" w:rsidRPr="002F5B01" w:rsidRDefault="00FD0DCE" w:rsidP="00FD0DCE">
            <w:pPr>
              <w:pStyle w:val="ListParagraph"/>
              <w:spacing w:after="120"/>
              <w:ind w:left="-24"/>
              <w:contextualSpacing w:val="0"/>
              <w:jc w:val="center"/>
              <w:rPr>
                <w:rFonts w:asciiTheme="minorHAnsi" w:hAnsiTheme="minorHAnsi" w:cstheme="minorHAnsi"/>
                <w:szCs w:val="28"/>
              </w:rPr>
            </w:pPr>
            <w:r>
              <w:rPr>
                <w:rFonts w:asciiTheme="minorHAnsi" w:hAnsiTheme="minorHAnsi" w:cstheme="minorHAnsi"/>
                <w:szCs w:val="28"/>
              </w:rPr>
              <w:t>32</w:t>
            </w:r>
          </w:p>
        </w:tc>
        <w:tc>
          <w:tcPr>
            <w:tcW w:w="5317" w:type="dxa"/>
          </w:tcPr>
          <w:p w14:paraId="1B5B6E25" w14:textId="625B11BA"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[Commenter] would also like to share the following comments concerning subsection 2.2 “Outreach”:</w:t>
            </w:r>
          </w:p>
          <w:p w14:paraId="76FDCBEB" w14:textId="6D8A0759"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On page 12, under subsection 2.2 “Outreach,” under “Unserved”, the draft states, “In unserved populations, outreach by the SILC will consist of</w:t>
            </w:r>
            <w:r>
              <w:rPr>
                <w:rFonts w:asciiTheme="minorHAnsi" w:hAnsiTheme="minorHAnsi" w:cstheme="minorHAnsi"/>
                <w:szCs w:val="28"/>
              </w:rPr>
              <w:t xml:space="preserve"> </w:t>
            </w:r>
            <w:r w:rsidRPr="002F5B01">
              <w:rPr>
                <w:rFonts w:asciiTheme="minorHAnsi" w:hAnsiTheme="minorHAnsi" w:cstheme="minorHAnsi"/>
                <w:szCs w:val="28"/>
              </w:rPr>
              <w:t>conducting assessments to support the identification of needs for IL services in these areas, to identify statewide advocacy issues for guiding SPIL activities and to recruit SILC members.” The previous SPIL (2017-2019) described that “The network of CILs will continue to engage in outreach to provide specific services in un-served areas, through</w:t>
            </w:r>
          </w:p>
          <w:p w14:paraId="6D0A2A1F" w14:textId="2D0EC85B"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contracts/fee-for-service agreements as they are developed.” [Commenter] would recommend that outreach to provide specific</w:t>
            </w:r>
            <w:r>
              <w:rPr>
                <w:rFonts w:asciiTheme="minorHAnsi" w:hAnsiTheme="minorHAnsi" w:cstheme="minorHAnsi"/>
                <w:szCs w:val="28"/>
              </w:rPr>
              <w:t xml:space="preserve"> </w:t>
            </w:r>
            <w:r w:rsidRPr="002F5B01">
              <w:rPr>
                <w:rFonts w:asciiTheme="minorHAnsi" w:hAnsiTheme="minorHAnsi" w:cstheme="minorHAnsi"/>
                <w:szCs w:val="28"/>
              </w:rPr>
              <w:t>services to unserved areas through contracts/fee-for-service agreements, to the extent feasible, should continue and be included in the SPIL (2021-2023). We propose the following revised language: “In unserved</w:t>
            </w:r>
            <w:r>
              <w:rPr>
                <w:rFonts w:asciiTheme="minorHAnsi" w:hAnsiTheme="minorHAnsi" w:cstheme="minorHAnsi"/>
                <w:szCs w:val="28"/>
              </w:rPr>
              <w:t xml:space="preserve"> </w:t>
            </w:r>
            <w:r w:rsidRPr="002F5B01">
              <w:rPr>
                <w:rFonts w:asciiTheme="minorHAnsi" w:hAnsiTheme="minorHAnsi" w:cstheme="minorHAnsi"/>
                <w:szCs w:val="28"/>
              </w:rPr>
              <w:t xml:space="preserve">populations, outreach by the SILC will consist of conducting assessments to support the identification of needs for IL services in these areas, to identify statewide advocacy issues for guiding SPIL activities and to recruit SILC members. </w:t>
            </w:r>
            <w:r w:rsidRPr="002F5B01">
              <w:rPr>
                <w:rFonts w:asciiTheme="minorHAnsi" w:hAnsiTheme="minorHAnsi" w:cstheme="minorHAnsi"/>
                <w:b/>
                <w:bCs/>
                <w:szCs w:val="28"/>
              </w:rPr>
              <w:t>The network of CILs will continue to engage in outreach to provide specific services in un-served areas, through</w:t>
            </w:r>
            <w:r>
              <w:rPr>
                <w:rFonts w:asciiTheme="minorHAnsi" w:hAnsiTheme="minorHAnsi" w:cstheme="minorHAnsi"/>
                <w:b/>
                <w:bCs/>
                <w:szCs w:val="28"/>
              </w:rPr>
              <w:t xml:space="preserve"> </w:t>
            </w:r>
            <w:r w:rsidRPr="002F5B01">
              <w:rPr>
                <w:rFonts w:asciiTheme="minorHAnsi" w:hAnsiTheme="minorHAnsi" w:cstheme="minorHAnsi"/>
                <w:b/>
                <w:bCs/>
                <w:szCs w:val="28"/>
              </w:rPr>
              <w:t>contracts/fee-for-service agreements as they are developed</w:t>
            </w:r>
            <w:r w:rsidRPr="002F5B01">
              <w:rPr>
                <w:rFonts w:asciiTheme="minorHAnsi" w:hAnsiTheme="minorHAnsi" w:cstheme="minorHAnsi"/>
                <w:szCs w:val="28"/>
              </w:rPr>
              <w:t xml:space="preserve">.” (Added </w:t>
            </w:r>
            <w:r w:rsidRPr="002F5B01">
              <w:rPr>
                <w:rFonts w:asciiTheme="minorHAnsi" w:hAnsiTheme="minorHAnsi" w:cstheme="minorHAnsi"/>
                <w:szCs w:val="28"/>
              </w:rPr>
              <w:lastRenderedPageBreak/>
              <w:t xml:space="preserve">language in </w:t>
            </w:r>
            <w:r w:rsidRPr="002F5B01">
              <w:rPr>
                <w:rFonts w:asciiTheme="minorHAnsi" w:hAnsiTheme="minorHAnsi" w:cstheme="minorHAnsi"/>
                <w:b/>
                <w:bCs/>
                <w:szCs w:val="28"/>
              </w:rPr>
              <w:t>bold</w:t>
            </w:r>
            <w:r w:rsidRPr="002F5B01">
              <w:rPr>
                <w:rFonts w:asciiTheme="minorHAnsi" w:hAnsiTheme="minorHAnsi" w:cstheme="minorHAnsi"/>
                <w:szCs w:val="28"/>
              </w:rPr>
              <w:t>).</w:t>
            </w:r>
            <w:r w:rsidRPr="002F5B01">
              <w:rPr>
                <w:rFonts w:asciiTheme="minorHAnsi" w:hAnsiTheme="minorHAnsi" w:cstheme="minorHAnsi"/>
                <w:i/>
                <w:iCs/>
                <w:szCs w:val="28"/>
              </w:rPr>
              <w:t xml:space="preserve"> [see also related comment 34 below]</w:t>
            </w:r>
          </w:p>
        </w:tc>
        <w:tc>
          <w:tcPr>
            <w:tcW w:w="1632" w:type="dxa"/>
          </w:tcPr>
          <w:p w14:paraId="39FEC90B" w14:textId="7407A0DF" w:rsidR="00FD0DCE" w:rsidRPr="002F5B01" w:rsidRDefault="00FD0DCE" w:rsidP="00FD0DCE">
            <w:pPr>
              <w:jc w:val="center"/>
              <w:rPr>
                <w:rFonts w:asciiTheme="minorHAnsi" w:hAnsiTheme="minorHAnsi" w:cstheme="minorHAnsi"/>
                <w:szCs w:val="28"/>
              </w:rPr>
            </w:pPr>
            <w:r w:rsidRPr="002F5B01">
              <w:rPr>
                <w:rFonts w:asciiTheme="minorHAnsi" w:hAnsiTheme="minorHAnsi" w:cstheme="minorHAnsi"/>
                <w:szCs w:val="28"/>
              </w:rPr>
              <w:lastRenderedPageBreak/>
              <w:t>1</w:t>
            </w:r>
          </w:p>
        </w:tc>
        <w:tc>
          <w:tcPr>
            <w:tcW w:w="3620" w:type="dxa"/>
          </w:tcPr>
          <w:p w14:paraId="65CD69B1" w14:textId="77777777" w:rsidR="00FD0DCE" w:rsidRDefault="00FD0DCE" w:rsidP="00FD0DCE">
            <w:pPr>
              <w:ind w:left="42"/>
              <w:rPr>
                <w:rFonts w:asciiTheme="minorHAnsi" w:hAnsiTheme="minorHAnsi" w:cstheme="minorHAnsi"/>
                <w:szCs w:val="28"/>
              </w:rPr>
            </w:pPr>
            <w:r>
              <w:rPr>
                <w:rFonts w:asciiTheme="minorHAnsi" w:hAnsiTheme="minorHAnsi" w:cstheme="minorHAnsi"/>
                <w:szCs w:val="28"/>
              </w:rPr>
              <w:t>Input received – the following change incorporated.</w:t>
            </w:r>
          </w:p>
          <w:p w14:paraId="7E73867B" w14:textId="145C9FF8" w:rsidR="00FD0DCE" w:rsidRPr="002F5B01" w:rsidRDefault="00FD0DCE" w:rsidP="00FD0DCE">
            <w:pPr>
              <w:ind w:left="42"/>
              <w:rPr>
                <w:rFonts w:asciiTheme="minorHAnsi" w:hAnsiTheme="minorHAnsi" w:cstheme="minorHAnsi"/>
                <w:szCs w:val="28"/>
              </w:rPr>
            </w:pPr>
            <w:r w:rsidRPr="002F5B01">
              <w:rPr>
                <w:rFonts w:asciiTheme="minorHAnsi" w:hAnsiTheme="minorHAnsi" w:cstheme="minorHAnsi"/>
                <w:b/>
                <w:bCs/>
                <w:szCs w:val="28"/>
              </w:rPr>
              <w:t>The network of CILs will continue to engage in outreach to provide specific services in un-served areas, through</w:t>
            </w:r>
            <w:r>
              <w:rPr>
                <w:rFonts w:asciiTheme="minorHAnsi" w:hAnsiTheme="minorHAnsi" w:cstheme="minorHAnsi"/>
                <w:b/>
                <w:bCs/>
                <w:szCs w:val="28"/>
              </w:rPr>
              <w:t xml:space="preserve"> </w:t>
            </w:r>
            <w:r w:rsidRPr="002F5B01">
              <w:rPr>
                <w:rFonts w:asciiTheme="minorHAnsi" w:hAnsiTheme="minorHAnsi" w:cstheme="minorHAnsi"/>
                <w:b/>
                <w:bCs/>
                <w:szCs w:val="28"/>
              </w:rPr>
              <w:t>contracts/fee-for-service agreements as they are developed</w:t>
            </w:r>
            <w:r>
              <w:rPr>
                <w:rFonts w:asciiTheme="minorHAnsi" w:hAnsiTheme="minorHAnsi" w:cstheme="minorHAnsi"/>
                <w:b/>
                <w:bCs/>
                <w:szCs w:val="28"/>
              </w:rPr>
              <w:t>.</w:t>
            </w:r>
          </w:p>
        </w:tc>
      </w:tr>
      <w:tr w:rsidR="00FD0DCE" w:rsidRPr="002F5B01" w14:paraId="1B9DEB5D" w14:textId="77777777" w:rsidTr="002057F4">
        <w:trPr>
          <w:jc w:val="center"/>
        </w:trPr>
        <w:tc>
          <w:tcPr>
            <w:tcW w:w="445" w:type="dxa"/>
            <w:tcMar>
              <w:top w:w="29" w:type="dxa"/>
              <w:left w:w="43" w:type="dxa"/>
              <w:bottom w:w="29" w:type="dxa"/>
              <w:right w:w="43" w:type="dxa"/>
            </w:tcMar>
          </w:tcPr>
          <w:p w14:paraId="7C1789E3" w14:textId="2F6BA830" w:rsidR="00FD0DCE" w:rsidRPr="002F5B01" w:rsidRDefault="00FD0DCE" w:rsidP="00FD0DCE">
            <w:pPr>
              <w:pStyle w:val="ListParagraph"/>
              <w:spacing w:after="120"/>
              <w:ind w:left="-24"/>
              <w:contextualSpacing w:val="0"/>
              <w:jc w:val="center"/>
              <w:rPr>
                <w:rFonts w:asciiTheme="minorHAnsi" w:hAnsiTheme="minorHAnsi" w:cstheme="minorHAnsi"/>
                <w:szCs w:val="28"/>
              </w:rPr>
            </w:pPr>
            <w:r>
              <w:rPr>
                <w:rFonts w:asciiTheme="minorHAnsi" w:hAnsiTheme="minorHAnsi" w:cstheme="minorHAnsi"/>
                <w:szCs w:val="28"/>
              </w:rPr>
              <w:t>33</w:t>
            </w:r>
          </w:p>
        </w:tc>
        <w:tc>
          <w:tcPr>
            <w:tcW w:w="5317" w:type="dxa"/>
          </w:tcPr>
          <w:p w14:paraId="13951ED9" w14:textId="780C4C0B"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On page 13, under “Underserved,” the draft states, “Through the SPIL, outreach to underserved populations will be performed through collaboration of the SILC and CILs conducting needs assessments. In addition, CILs will develop their own targeted outreach plans to their underserved populations.” This section is vague and probably provides too much discretion in terms of what the outreach plan will be based upon. A comparable section in the previous SPIL (2017-2019) described</w:t>
            </w:r>
          </w:p>
          <w:p w14:paraId="05A15A8F" w14:textId="57775299"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those efforts with greater specificity and guided CILs toward specific sources of information. The previous SPIL (2017-2019) stated, “Each CIL will develop outreach plans based on SPIL needs assessment, 704 statistical information, and Oregon’s information in Cornell University’s</w:t>
            </w:r>
          </w:p>
          <w:p w14:paraId="39B8AFAC" w14:textId="31B1E9EC"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Disability Status Report to address various target populations within their service areas, and will include all populations included in this section of the SPIL.” Assuming the aforementioned sources of information are still</w:t>
            </w:r>
            <w:r>
              <w:rPr>
                <w:rFonts w:asciiTheme="minorHAnsi" w:hAnsiTheme="minorHAnsi" w:cstheme="minorHAnsi"/>
                <w:szCs w:val="28"/>
              </w:rPr>
              <w:t xml:space="preserve"> </w:t>
            </w:r>
            <w:r w:rsidRPr="002F5B01">
              <w:rPr>
                <w:rFonts w:asciiTheme="minorHAnsi" w:hAnsiTheme="minorHAnsi" w:cstheme="minorHAnsi"/>
                <w:szCs w:val="28"/>
              </w:rPr>
              <w:t>available, we propose the following revised language in the SPIL (2021-2023): “Through the SPIL, outreach to underserved populations will be performed through collaboration of the SILC and CILs conducting needs</w:t>
            </w:r>
            <w:r>
              <w:rPr>
                <w:rFonts w:asciiTheme="minorHAnsi" w:hAnsiTheme="minorHAnsi" w:cstheme="minorHAnsi"/>
                <w:szCs w:val="28"/>
              </w:rPr>
              <w:t xml:space="preserve"> </w:t>
            </w:r>
            <w:r w:rsidRPr="002F5B01">
              <w:rPr>
                <w:rFonts w:asciiTheme="minorHAnsi" w:hAnsiTheme="minorHAnsi" w:cstheme="minorHAnsi"/>
                <w:szCs w:val="28"/>
              </w:rPr>
              <w:t xml:space="preserve">assessments. In addition, CILs will develop their own targeted outreach plans to their underserved populations. </w:t>
            </w:r>
            <w:r w:rsidRPr="002F5B01">
              <w:rPr>
                <w:rFonts w:asciiTheme="minorHAnsi" w:hAnsiTheme="minorHAnsi" w:cstheme="minorHAnsi"/>
                <w:b/>
                <w:bCs/>
                <w:szCs w:val="28"/>
              </w:rPr>
              <w:t xml:space="preserve">Those targeted outreach plans will be based on SPIL needs assessment, </w:t>
            </w:r>
            <w:r w:rsidRPr="002F5B01">
              <w:rPr>
                <w:rFonts w:asciiTheme="minorHAnsi" w:hAnsiTheme="minorHAnsi" w:cstheme="minorHAnsi"/>
                <w:b/>
                <w:bCs/>
                <w:szCs w:val="28"/>
              </w:rPr>
              <w:lastRenderedPageBreak/>
              <w:t>704 statistical information,</w:t>
            </w:r>
            <w:r>
              <w:rPr>
                <w:rFonts w:asciiTheme="minorHAnsi" w:hAnsiTheme="minorHAnsi" w:cstheme="minorHAnsi"/>
                <w:b/>
                <w:bCs/>
                <w:szCs w:val="28"/>
              </w:rPr>
              <w:t xml:space="preserve"> </w:t>
            </w:r>
            <w:r w:rsidRPr="002F5B01">
              <w:rPr>
                <w:rFonts w:asciiTheme="minorHAnsi" w:hAnsiTheme="minorHAnsi" w:cstheme="minorHAnsi"/>
                <w:b/>
                <w:bCs/>
                <w:szCs w:val="28"/>
              </w:rPr>
              <w:t>Oregon’s information in Cornell University’s Disability Status Report, and other relevant sources, to address various target populations within their services areas, and will include all populations included in this section of the SPIL</w:t>
            </w:r>
            <w:r w:rsidRPr="002F5B01">
              <w:rPr>
                <w:rFonts w:asciiTheme="minorHAnsi" w:hAnsiTheme="minorHAnsi" w:cstheme="minorHAnsi"/>
                <w:szCs w:val="28"/>
              </w:rPr>
              <w:t>.” (Added language in</w:t>
            </w:r>
          </w:p>
          <w:p w14:paraId="2E11BCEE" w14:textId="368C2F37"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b/>
                <w:bCs/>
                <w:szCs w:val="28"/>
              </w:rPr>
              <w:t>bold</w:t>
            </w:r>
            <w:r w:rsidRPr="002F5B01">
              <w:rPr>
                <w:rFonts w:asciiTheme="minorHAnsi" w:hAnsiTheme="minorHAnsi" w:cstheme="minorHAnsi"/>
                <w:szCs w:val="28"/>
              </w:rPr>
              <w:t>). The SPIL (2021-2023) may need to specify all populations that should be considered in creating the targeted outreach plan. While a targeted outreach plan may focus on one population more than another, the plan can still address all populations—such as why other subpopulations were not targeted.</w:t>
            </w:r>
          </w:p>
        </w:tc>
        <w:tc>
          <w:tcPr>
            <w:tcW w:w="1632" w:type="dxa"/>
          </w:tcPr>
          <w:p w14:paraId="7989CCDA" w14:textId="44B522DF" w:rsidR="00FD0DCE" w:rsidRPr="002F5B01" w:rsidRDefault="00FD0DCE" w:rsidP="00FD0DCE">
            <w:pPr>
              <w:jc w:val="center"/>
              <w:rPr>
                <w:rFonts w:asciiTheme="minorHAnsi" w:hAnsiTheme="minorHAnsi" w:cstheme="minorHAnsi"/>
                <w:szCs w:val="28"/>
              </w:rPr>
            </w:pPr>
            <w:r w:rsidRPr="002F5B01">
              <w:rPr>
                <w:rFonts w:asciiTheme="minorHAnsi" w:hAnsiTheme="minorHAnsi" w:cstheme="minorHAnsi"/>
                <w:szCs w:val="28"/>
              </w:rPr>
              <w:lastRenderedPageBreak/>
              <w:t>1</w:t>
            </w:r>
          </w:p>
        </w:tc>
        <w:tc>
          <w:tcPr>
            <w:tcW w:w="3620" w:type="dxa"/>
          </w:tcPr>
          <w:p w14:paraId="3684B198" w14:textId="40719974" w:rsidR="00FD0DCE" w:rsidRPr="002F5B01" w:rsidRDefault="00FD0DCE" w:rsidP="00FD0DCE">
            <w:pPr>
              <w:ind w:left="42"/>
              <w:rPr>
                <w:rFonts w:asciiTheme="minorHAnsi" w:hAnsiTheme="minorHAnsi" w:cstheme="minorHAnsi"/>
                <w:szCs w:val="28"/>
              </w:rPr>
            </w:pPr>
            <w:r>
              <w:rPr>
                <w:rFonts w:asciiTheme="minorHAnsi" w:hAnsiTheme="minorHAnsi" w:cstheme="minorHAnsi"/>
                <w:szCs w:val="28"/>
              </w:rPr>
              <w:t>Input received – No change warranted.</w:t>
            </w:r>
          </w:p>
        </w:tc>
      </w:tr>
      <w:tr w:rsidR="00FD0DCE" w:rsidRPr="002F5B01" w14:paraId="0829704C" w14:textId="77777777" w:rsidTr="002057F4">
        <w:trPr>
          <w:jc w:val="center"/>
        </w:trPr>
        <w:tc>
          <w:tcPr>
            <w:tcW w:w="445" w:type="dxa"/>
            <w:tcMar>
              <w:top w:w="29" w:type="dxa"/>
              <w:left w:w="43" w:type="dxa"/>
              <w:bottom w:w="29" w:type="dxa"/>
              <w:right w:w="43" w:type="dxa"/>
            </w:tcMar>
          </w:tcPr>
          <w:p w14:paraId="5834F442" w14:textId="5020105B" w:rsidR="00FD0DCE" w:rsidRPr="002F5B01" w:rsidRDefault="00FD0DCE" w:rsidP="00FD0DCE">
            <w:pPr>
              <w:pStyle w:val="ListParagraph"/>
              <w:spacing w:after="120"/>
              <w:ind w:left="-24"/>
              <w:contextualSpacing w:val="0"/>
              <w:jc w:val="center"/>
              <w:rPr>
                <w:rFonts w:asciiTheme="minorHAnsi" w:hAnsiTheme="minorHAnsi" w:cstheme="minorHAnsi"/>
                <w:szCs w:val="28"/>
              </w:rPr>
            </w:pPr>
            <w:r w:rsidRPr="002F5B01">
              <w:rPr>
                <w:rFonts w:asciiTheme="minorHAnsi" w:hAnsiTheme="minorHAnsi" w:cstheme="minorHAnsi"/>
                <w:szCs w:val="28"/>
              </w:rPr>
              <w:t>3</w:t>
            </w:r>
            <w:r>
              <w:rPr>
                <w:rFonts w:asciiTheme="minorHAnsi" w:hAnsiTheme="minorHAnsi" w:cstheme="minorHAnsi"/>
                <w:szCs w:val="28"/>
              </w:rPr>
              <w:t>4</w:t>
            </w:r>
          </w:p>
        </w:tc>
        <w:tc>
          <w:tcPr>
            <w:tcW w:w="5317" w:type="dxa"/>
          </w:tcPr>
          <w:p w14:paraId="56063275" w14:textId="4BA2FE71"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Finally, we also identified a one minor typographical error that we wanted to note,</w:t>
            </w:r>
          </w:p>
          <w:p w14:paraId="46CA85C0" w14:textId="77777777"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so that it can be corrected in the final draft:</w:t>
            </w:r>
          </w:p>
          <w:p w14:paraId="028B724E" w14:textId="54EAF053" w:rsidR="00FD0DCE" w:rsidRPr="002F5B01" w:rsidRDefault="00FD0DCE" w:rsidP="00FD0DCE">
            <w:pPr>
              <w:autoSpaceDE w:val="0"/>
              <w:autoSpaceDN w:val="0"/>
              <w:adjustRightInd w:val="0"/>
              <w:spacing w:after="0"/>
              <w:rPr>
                <w:rFonts w:asciiTheme="minorHAnsi" w:hAnsiTheme="minorHAnsi" w:cstheme="minorHAnsi"/>
                <w:szCs w:val="28"/>
              </w:rPr>
            </w:pPr>
            <w:r w:rsidRPr="002F5B01">
              <w:rPr>
                <w:rFonts w:asciiTheme="minorHAnsi" w:hAnsiTheme="minorHAnsi" w:cstheme="minorHAnsi"/>
                <w:szCs w:val="28"/>
              </w:rPr>
              <w:t xml:space="preserve">On page 6, under Objective 2.4, the draft states, “The IL system will advocate with housing coalitions and partnerships to expand </w:t>
            </w:r>
            <w:r w:rsidRPr="002F5B01">
              <w:rPr>
                <w:rFonts w:asciiTheme="minorHAnsi" w:hAnsiTheme="minorHAnsi" w:cstheme="minorHAnsi"/>
                <w:b/>
                <w:bCs/>
                <w:szCs w:val="28"/>
              </w:rPr>
              <w:t xml:space="preserve">assess </w:t>
            </w:r>
            <w:r w:rsidRPr="002F5B01">
              <w:rPr>
                <w:rFonts w:asciiTheme="minorHAnsi" w:hAnsiTheme="minorHAnsi" w:cstheme="minorHAnsi"/>
                <w:szCs w:val="28"/>
              </w:rPr>
              <w:t>for people with disabilities.” [Commenter] recommends that the typo be corrected by replacing the use of the word “</w:t>
            </w:r>
            <w:r w:rsidRPr="002F5B01">
              <w:rPr>
                <w:rFonts w:asciiTheme="minorHAnsi" w:hAnsiTheme="minorHAnsi" w:cstheme="minorHAnsi"/>
                <w:b/>
                <w:bCs/>
                <w:szCs w:val="28"/>
              </w:rPr>
              <w:t>assess</w:t>
            </w:r>
            <w:r w:rsidRPr="002F5B01">
              <w:rPr>
                <w:rFonts w:asciiTheme="minorHAnsi" w:hAnsiTheme="minorHAnsi" w:cstheme="minorHAnsi"/>
                <w:szCs w:val="28"/>
              </w:rPr>
              <w:t>,” with the word “</w:t>
            </w:r>
            <w:r w:rsidRPr="002F5B01">
              <w:rPr>
                <w:rFonts w:asciiTheme="minorHAnsi" w:hAnsiTheme="minorHAnsi" w:cstheme="minorHAnsi"/>
                <w:b/>
                <w:bCs/>
                <w:szCs w:val="28"/>
              </w:rPr>
              <w:t>access</w:t>
            </w:r>
            <w:r w:rsidRPr="002F5B01">
              <w:rPr>
                <w:rFonts w:asciiTheme="minorHAnsi" w:hAnsiTheme="minorHAnsi" w:cstheme="minorHAnsi"/>
                <w:szCs w:val="28"/>
              </w:rPr>
              <w:t xml:space="preserve">.” </w:t>
            </w:r>
          </w:p>
        </w:tc>
        <w:tc>
          <w:tcPr>
            <w:tcW w:w="1632" w:type="dxa"/>
          </w:tcPr>
          <w:p w14:paraId="3AACC426" w14:textId="1B69CB9E" w:rsidR="00FD0DCE" w:rsidRPr="002F5B01" w:rsidRDefault="00FD0DCE" w:rsidP="00FD0DCE">
            <w:pPr>
              <w:jc w:val="center"/>
              <w:rPr>
                <w:rFonts w:asciiTheme="minorHAnsi" w:hAnsiTheme="minorHAnsi" w:cstheme="minorHAnsi"/>
                <w:szCs w:val="28"/>
              </w:rPr>
            </w:pPr>
            <w:r w:rsidRPr="002F5B01">
              <w:rPr>
                <w:rFonts w:asciiTheme="minorHAnsi" w:hAnsiTheme="minorHAnsi" w:cstheme="minorHAnsi"/>
                <w:szCs w:val="28"/>
              </w:rPr>
              <w:t>1</w:t>
            </w:r>
          </w:p>
        </w:tc>
        <w:tc>
          <w:tcPr>
            <w:tcW w:w="3620" w:type="dxa"/>
          </w:tcPr>
          <w:p w14:paraId="10EDA6EC" w14:textId="6118BEFF" w:rsidR="00FD0DCE" w:rsidRPr="002F5B01" w:rsidRDefault="00FD0DCE" w:rsidP="00FD0DCE">
            <w:pPr>
              <w:ind w:left="42"/>
              <w:rPr>
                <w:rFonts w:asciiTheme="minorHAnsi" w:hAnsiTheme="minorHAnsi" w:cstheme="minorHAnsi"/>
                <w:szCs w:val="28"/>
              </w:rPr>
            </w:pPr>
            <w:r>
              <w:rPr>
                <w:rFonts w:asciiTheme="minorHAnsi" w:hAnsiTheme="minorHAnsi" w:cstheme="minorHAnsi"/>
                <w:szCs w:val="28"/>
              </w:rPr>
              <w:t>Typo noted and changed.</w:t>
            </w:r>
          </w:p>
        </w:tc>
      </w:tr>
    </w:tbl>
    <w:p w14:paraId="6882B135" w14:textId="7DF27071" w:rsidR="002E7EAD" w:rsidRDefault="002E7EAD" w:rsidP="002E7EAD">
      <w:pPr>
        <w:rPr>
          <w:rFonts w:asciiTheme="minorHAnsi" w:hAnsiTheme="minorHAnsi" w:cstheme="minorHAnsi"/>
          <w:szCs w:val="28"/>
        </w:rPr>
      </w:pPr>
    </w:p>
    <w:p w14:paraId="58D08E2B" w14:textId="53EAEFD8" w:rsidR="00742F32" w:rsidRPr="00742F32" w:rsidRDefault="00742F32" w:rsidP="00742F32">
      <w:pPr>
        <w:rPr>
          <w:rFonts w:asciiTheme="minorHAnsi" w:hAnsiTheme="minorHAnsi" w:cstheme="minorHAnsi"/>
          <w:szCs w:val="28"/>
        </w:rPr>
      </w:pPr>
    </w:p>
    <w:p w14:paraId="770024B5" w14:textId="5B8D1B87" w:rsidR="00742F32" w:rsidRPr="00742F32" w:rsidRDefault="00742F32" w:rsidP="00742F32">
      <w:pPr>
        <w:rPr>
          <w:rFonts w:asciiTheme="minorHAnsi" w:hAnsiTheme="minorHAnsi" w:cstheme="minorHAnsi"/>
          <w:szCs w:val="28"/>
        </w:rPr>
      </w:pPr>
    </w:p>
    <w:p w14:paraId="4F65F9E9" w14:textId="163140C1" w:rsidR="00742F32" w:rsidRPr="00742F32" w:rsidRDefault="00742F32" w:rsidP="00742F32">
      <w:pPr>
        <w:rPr>
          <w:rFonts w:asciiTheme="minorHAnsi" w:hAnsiTheme="minorHAnsi" w:cstheme="minorHAnsi"/>
          <w:szCs w:val="28"/>
        </w:rPr>
      </w:pPr>
    </w:p>
    <w:p w14:paraId="7A8DEF2C" w14:textId="321D5AA1" w:rsidR="00742F32" w:rsidRPr="00742F32" w:rsidRDefault="00742F32" w:rsidP="00742F32">
      <w:pPr>
        <w:rPr>
          <w:rFonts w:asciiTheme="minorHAnsi" w:hAnsiTheme="minorHAnsi" w:cstheme="minorHAnsi"/>
          <w:szCs w:val="28"/>
        </w:rPr>
      </w:pPr>
    </w:p>
    <w:p w14:paraId="2B2A9ED8" w14:textId="1D1C7B78" w:rsidR="00742F32" w:rsidRPr="00742F32" w:rsidRDefault="00742F32" w:rsidP="00742F32">
      <w:pPr>
        <w:rPr>
          <w:rFonts w:asciiTheme="minorHAnsi" w:hAnsiTheme="minorHAnsi" w:cstheme="minorHAnsi"/>
          <w:szCs w:val="28"/>
        </w:rPr>
      </w:pPr>
    </w:p>
    <w:p w14:paraId="68B96A81" w14:textId="2C37D4BF" w:rsidR="00742F32" w:rsidRPr="00742F32" w:rsidRDefault="00742F32" w:rsidP="00742F32">
      <w:pPr>
        <w:rPr>
          <w:rFonts w:asciiTheme="minorHAnsi" w:hAnsiTheme="minorHAnsi" w:cstheme="minorHAnsi"/>
          <w:szCs w:val="28"/>
        </w:rPr>
      </w:pPr>
    </w:p>
    <w:p w14:paraId="74E95CDB" w14:textId="379C239D" w:rsidR="00742F32" w:rsidRPr="00742F32" w:rsidRDefault="00742F32" w:rsidP="00742F32">
      <w:pPr>
        <w:tabs>
          <w:tab w:val="left" w:pos="9771"/>
        </w:tabs>
        <w:rPr>
          <w:rFonts w:asciiTheme="minorHAnsi" w:hAnsiTheme="minorHAnsi" w:cstheme="minorHAnsi"/>
          <w:szCs w:val="28"/>
        </w:rPr>
      </w:pPr>
      <w:r>
        <w:rPr>
          <w:rFonts w:asciiTheme="minorHAnsi" w:hAnsiTheme="minorHAnsi" w:cstheme="minorHAnsi"/>
          <w:szCs w:val="28"/>
        </w:rPr>
        <w:tab/>
      </w:r>
    </w:p>
    <w:sectPr w:rsidR="00742F32" w:rsidRPr="00742F32" w:rsidSect="001E76D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0"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6B2B2" w14:textId="77777777" w:rsidR="00952957" w:rsidRDefault="00952957" w:rsidP="002E7EAD">
      <w:pPr>
        <w:spacing w:after="0" w:line="240" w:lineRule="auto"/>
      </w:pPr>
      <w:r>
        <w:separator/>
      </w:r>
    </w:p>
  </w:endnote>
  <w:endnote w:type="continuationSeparator" w:id="0">
    <w:p w14:paraId="6EDC1D0C" w14:textId="77777777" w:rsidR="00952957" w:rsidRDefault="00952957" w:rsidP="002E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B09A" w14:textId="77777777" w:rsidR="00742F32" w:rsidRDefault="00742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216023"/>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p w14:paraId="12BD0DF9" w14:textId="0E91A2F2" w:rsidR="00952957" w:rsidRPr="002E7EAD" w:rsidRDefault="0054034C">
            <w:pPr>
              <w:pStyle w:val="Footer"/>
              <w:jc w:val="right"/>
              <w:rPr>
                <w:rFonts w:ascii="Arial" w:hAnsi="Arial" w:cs="Arial"/>
              </w:rPr>
            </w:pPr>
            <w:r>
              <w:rPr>
                <w:rFonts w:ascii="Arial" w:hAnsi="Arial" w:cs="Arial"/>
                <w:szCs w:val="28"/>
              </w:rPr>
              <w:t xml:space="preserve">                                                                                         </w:t>
            </w:r>
            <w:r w:rsidR="00952957" w:rsidRPr="0054034C">
              <w:rPr>
                <w:rFonts w:ascii="Arial" w:hAnsi="Arial" w:cs="Arial"/>
                <w:szCs w:val="28"/>
              </w:rPr>
              <w:t xml:space="preserve"> </w:t>
            </w:r>
            <w:r w:rsidR="00952957" w:rsidRPr="0054034C">
              <w:rPr>
                <w:rFonts w:ascii="Arial" w:hAnsi="Arial" w:cs="Arial"/>
                <w:b/>
                <w:bCs/>
                <w:szCs w:val="28"/>
              </w:rPr>
              <w:fldChar w:fldCharType="begin"/>
            </w:r>
            <w:r w:rsidR="00952957" w:rsidRPr="0054034C">
              <w:rPr>
                <w:rFonts w:ascii="Arial" w:hAnsi="Arial" w:cs="Arial"/>
                <w:b/>
                <w:bCs/>
                <w:szCs w:val="28"/>
              </w:rPr>
              <w:instrText xml:space="preserve"> PAGE </w:instrText>
            </w:r>
            <w:r w:rsidR="00952957" w:rsidRPr="0054034C">
              <w:rPr>
                <w:rFonts w:ascii="Arial" w:hAnsi="Arial" w:cs="Arial"/>
                <w:b/>
                <w:bCs/>
                <w:szCs w:val="28"/>
              </w:rPr>
              <w:fldChar w:fldCharType="separate"/>
            </w:r>
            <w:r w:rsidR="00952957" w:rsidRPr="0054034C">
              <w:rPr>
                <w:rFonts w:ascii="Arial" w:hAnsi="Arial" w:cs="Arial"/>
                <w:b/>
                <w:bCs/>
                <w:noProof/>
                <w:szCs w:val="28"/>
              </w:rPr>
              <w:t>2</w:t>
            </w:r>
            <w:r w:rsidR="00952957" w:rsidRPr="0054034C">
              <w:rPr>
                <w:rFonts w:ascii="Arial" w:hAnsi="Arial" w:cs="Arial"/>
                <w:b/>
                <w:bCs/>
                <w:szCs w:val="28"/>
              </w:rPr>
              <w:fldChar w:fldCharType="end"/>
            </w:r>
            <w:r w:rsidR="00952957" w:rsidRPr="0054034C">
              <w:rPr>
                <w:rFonts w:ascii="Arial" w:hAnsi="Arial" w:cs="Arial"/>
                <w:szCs w:val="28"/>
              </w:rPr>
              <w:t xml:space="preserve"> of </w:t>
            </w:r>
            <w:r w:rsidR="00952957" w:rsidRPr="0054034C">
              <w:rPr>
                <w:rFonts w:ascii="Arial" w:hAnsi="Arial" w:cs="Arial"/>
                <w:b/>
                <w:bCs/>
                <w:szCs w:val="28"/>
              </w:rPr>
              <w:fldChar w:fldCharType="begin"/>
            </w:r>
            <w:r w:rsidR="00952957" w:rsidRPr="0054034C">
              <w:rPr>
                <w:rFonts w:ascii="Arial" w:hAnsi="Arial" w:cs="Arial"/>
                <w:b/>
                <w:bCs/>
                <w:szCs w:val="28"/>
              </w:rPr>
              <w:instrText xml:space="preserve"> NUMPAGES  </w:instrText>
            </w:r>
            <w:r w:rsidR="00952957" w:rsidRPr="0054034C">
              <w:rPr>
                <w:rFonts w:ascii="Arial" w:hAnsi="Arial" w:cs="Arial"/>
                <w:b/>
                <w:bCs/>
                <w:szCs w:val="28"/>
              </w:rPr>
              <w:fldChar w:fldCharType="separate"/>
            </w:r>
            <w:r w:rsidR="00952957" w:rsidRPr="0054034C">
              <w:rPr>
                <w:rFonts w:ascii="Arial" w:hAnsi="Arial" w:cs="Arial"/>
                <w:b/>
                <w:bCs/>
                <w:noProof/>
                <w:szCs w:val="28"/>
              </w:rPr>
              <w:t>2</w:t>
            </w:r>
            <w:r w:rsidR="00952957" w:rsidRPr="0054034C">
              <w:rPr>
                <w:rFonts w:ascii="Arial" w:hAnsi="Arial" w:cs="Arial"/>
                <w:b/>
                <w:bCs/>
                <w:szCs w:val="28"/>
              </w:rPr>
              <w:fldChar w:fldCharType="end"/>
            </w:r>
          </w:p>
        </w:sdtContent>
      </w:sdt>
    </w:sdtContent>
  </w:sdt>
  <w:p w14:paraId="28811611" w14:textId="77777777" w:rsidR="00952957" w:rsidRDefault="00952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1435" w14:textId="77777777" w:rsidR="00742F32" w:rsidRDefault="00742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91DD1" w14:textId="77777777" w:rsidR="00952957" w:rsidRDefault="00952957" w:rsidP="002E7EAD">
      <w:pPr>
        <w:spacing w:after="0" w:line="240" w:lineRule="auto"/>
      </w:pPr>
      <w:r>
        <w:separator/>
      </w:r>
    </w:p>
  </w:footnote>
  <w:footnote w:type="continuationSeparator" w:id="0">
    <w:p w14:paraId="24E8D581" w14:textId="77777777" w:rsidR="00952957" w:rsidRDefault="00952957" w:rsidP="002E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E65E1" w14:textId="77777777" w:rsidR="00742F32" w:rsidRDefault="00742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F444" w14:textId="77777777" w:rsidR="00742F32" w:rsidRDefault="00742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BC47" w14:textId="77777777" w:rsidR="00742F32" w:rsidRDefault="00742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C5950"/>
    <w:multiLevelType w:val="hybridMultilevel"/>
    <w:tmpl w:val="6834283A"/>
    <w:lvl w:ilvl="0" w:tplc="B12C8432">
      <w:start w:val="1"/>
      <w:numFmt w:val="decimal"/>
      <w:lvlText w:val="%1."/>
      <w:lvlJc w:val="left"/>
      <w:pPr>
        <w:ind w:left="1408" w:hanging="359"/>
        <w:jc w:val="right"/>
      </w:pPr>
      <w:rPr>
        <w:rFonts w:hint="default"/>
        <w:spacing w:val="-1"/>
        <w:w w:val="101"/>
      </w:rPr>
    </w:lvl>
    <w:lvl w:ilvl="1" w:tplc="0B38D0BE">
      <w:numFmt w:val="bullet"/>
      <w:lvlText w:val="•"/>
      <w:lvlJc w:val="left"/>
      <w:pPr>
        <w:ind w:left="2120" w:hanging="358"/>
      </w:pPr>
      <w:rPr>
        <w:rFonts w:hint="default"/>
        <w:w w:val="101"/>
      </w:rPr>
    </w:lvl>
    <w:lvl w:ilvl="2" w:tplc="851ABE8A">
      <w:numFmt w:val="bullet"/>
      <w:lvlText w:val="•"/>
      <w:lvlJc w:val="left"/>
      <w:pPr>
        <w:ind w:left="2100" w:hanging="358"/>
      </w:pPr>
      <w:rPr>
        <w:rFonts w:hint="default"/>
      </w:rPr>
    </w:lvl>
    <w:lvl w:ilvl="3" w:tplc="25F203DA">
      <w:numFmt w:val="bullet"/>
      <w:lvlText w:val="•"/>
      <w:lvlJc w:val="left"/>
      <w:pPr>
        <w:ind w:left="2120" w:hanging="358"/>
      </w:pPr>
      <w:rPr>
        <w:rFonts w:hint="default"/>
      </w:rPr>
    </w:lvl>
    <w:lvl w:ilvl="4" w:tplc="3384A8D8">
      <w:numFmt w:val="bullet"/>
      <w:lvlText w:val="•"/>
      <w:lvlJc w:val="left"/>
      <w:pPr>
        <w:ind w:left="3477" w:hanging="358"/>
      </w:pPr>
      <w:rPr>
        <w:rFonts w:hint="default"/>
      </w:rPr>
    </w:lvl>
    <w:lvl w:ilvl="5" w:tplc="EA4CEBD8">
      <w:numFmt w:val="bullet"/>
      <w:lvlText w:val="•"/>
      <w:lvlJc w:val="left"/>
      <w:pPr>
        <w:ind w:left="4834" w:hanging="358"/>
      </w:pPr>
      <w:rPr>
        <w:rFonts w:hint="default"/>
      </w:rPr>
    </w:lvl>
    <w:lvl w:ilvl="6" w:tplc="673CFD0A">
      <w:numFmt w:val="bullet"/>
      <w:lvlText w:val="•"/>
      <w:lvlJc w:val="left"/>
      <w:pPr>
        <w:ind w:left="6191" w:hanging="358"/>
      </w:pPr>
      <w:rPr>
        <w:rFonts w:hint="default"/>
      </w:rPr>
    </w:lvl>
    <w:lvl w:ilvl="7" w:tplc="08F63372">
      <w:numFmt w:val="bullet"/>
      <w:lvlText w:val="•"/>
      <w:lvlJc w:val="left"/>
      <w:pPr>
        <w:ind w:left="7548" w:hanging="358"/>
      </w:pPr>
      <w:rPr>
        <w:rFonts w:hint="default"/>
      </w:rPr>
    </w:lvl>
    <w:lvl w:ilvl="8" w:tplc="EEEA40DE">
      <w:numFmt w:val="bullet"/>
      <w:lvlText w:val="•"/>
      <w:lvlJc w:val="left"/>
      <w:pPr>
        <w:ind w:left="8905" w:hanging="358"/>
      </w:pPr>
      <w:rPr>
        <w:rFonts w:hint="default"/>
      </w:rPr>
    </w:lvl>
  </w:abstractNum>
  <w:abstractNum w:abstractNumId="1" w15:restartNumberingAfterBreak="0">
    <w:nsid w:val="1D5F7803"/>
    <w:multiLevelType w:val="hybridMultilevel"/>
    <w:tmpl w:val="AD24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6026A"/>
    <w:multiLevelType w:val="hybridMultilevel"/>
    <w:tmpl w:val="6834283A"/>
    <w:lvl w:ilvl="0" w:tplc="B12C8432">
      <w:start w:val="1"/>
      <w:numFmt w:val="decimal"/>
      <w:lvlText w:val="%1."/>
      <w:lvlJc w:val="left"/>
      <w:pPr>
        <w:ind w:left="1408" w:hanging="359"/>
        <w:jc w:val="right"/>
      </w:pPr>
      <w:rPr>
        <w:rFonts w:hint="default"/>
        <w:spacing w:val="-1"/>
        <w:w w:val="101"/>
      </w:rPr>
    </w:lvl>
    <w:lvl w:ilvl="1" w:tplc="0B38D0BE">
      <w:numFmt w:val="bullet"/>
      <w:lvlText w:val="•"/>
      <w:lvlJc w:val="left"/>
      <w:pPr>
        <w:ind w:left="2120" w:hanging="358"/>
      </w:pPr>
      <w:rPr>
        <w:rFonts w:hint="default"/>
        <w:w w:val="101"/>
      </w:rPr>
    </w:lvl>
    <w:lvl w:ilvl="2" w:tplc="851ABE8A">
      <w:numFmt w:val="bullet"/>
      <w:lvlText w:val="•"/>
      <w:lvlJc w:val="left"/>
      <w:pPr>
        <w:ind w:left="2100" w:hanging="358"/>
      </w:pPr>
      <w:rPr>
        <w:rFonts w:hint="default"/>
      </w:rPr>
    </w:lvl>
    <w:lvl w:ilvl="3" w:tplc="25F203DA">
      <w:numFmt w:val="bullet"/>
      <w:lvlText w:val="•"/>
      <w:lvlJc w:val="left"/>
      <w:pPr>
        <w:ind w:left="2120" w:hanging="358"/>
      </w:pPr>
      <w:rPr>
        <w:rFonts w:hint="default"/>
      </w:rPr>
    </w:lvl>
    <w:lvl w:ilvl="4" w:tplc="3384A8D8">
      <w:numFmt w:val="bullet"/>
      <w:lvlText w:val="•"/>
      <w:lvlJc w:val="left"/>
      <w:pPr>
        <w:ind w:left="3477" w:hanging="358"/>
      </w:pPr>
      <w:rPr>
        <w:rFonts w:hint="default"/>
      </w:rPr>
    </w:lvl>
    <w:lvl w:ilvl="5" w:tplc="EA4CEBD8">
      <w:numFmt w:val="bullet"/>
      <w:lvlText w:val="•"/>
      <w:lvlJc w:val="left"/>
      <w:pPr>
        <w:ind w:left="4834" w:hanging="358"/>
      </w:pPr>
      <w:rPr>
        <w:rFonts w:hint="default"/>
      </w:rPr>
    </w:lvl>
    <w:lvl w:ilvl="6" w:tplc="673CFD0A">
      <w:numFmt w:val="bullet"/>
      <w:lvlText w:val="•"/>
      <w:lvlJc w:val="left"/>
      <w:pPr>
        <w:ind w:left="6191" w:hanging="358"/>
      </w:pPr>
      <w:rPr>
        <w:rFonts w:hint="default"/>
      </w:rPr>
    </w:lvl>
    <w:lvl w:ilvl="7" w:tplc="08F63372">
      <w:numFmt w:val="bullet"/>
      <w:lvlText w:val="•"/>
      <w:lvlJc w:val="left"/>
      <w:pPr>
        <w:ind w:left="7548" w:hanging="358"/>
      </w:pPr>
      <w:rPr>
        <w:rFonts w:hint="default"/>
      </w:rPr>
    </w:lvl>
    <w:lvl w:ilvl="8" w:tplc="EEEA40DE">
      <w:numFmt w:val="bullet"/>
      <w:lvlText w:val="•"/>
      <w:lvlJc w:val="left"/>
      <w:pPr>
        <w:ind w:left="8905" w:hanging="358"/>
      </w:pPr>
      <w:rPr>
        <w:rFonts w:hint="default"/>
      </w:rPr>
    </w:lvl>
  </w:abstractNum>
  <w:abstractNum w:abstractNumId="3" w15:restartNumberingAfterBreak="0">
    <w:nsid w:val="23DC5B79"/>
    <w:multiLevelType w:val="hybridMultilevel"/>
    <w:tmpl w:val="6834283A"/>
    <w:lvl w:ilvl="0" w:tplc="B12C8432">
      <w:start w:val="1"/>
      <w:numFmt w:val="decimal"/>
      <w:lvlText w:val="%1."/>
      <w:lvlJc w:val="left"/>
      <w:pPr>
        <w:ind w:left="1408" w:hanging="359"/>
        <w:jc w:val="right"/>
      </w:pPr>
      <w:rPr>
        <w:rFonts w:hint="default"/>
        <w:spacing w:val="-1"/>
        <w:w w:val="101"/>
      </w:rPr>
    </w:lvl>
    <w:lvl w:ilvl="1" w:tplc="0B38D0BE">
      <w:numFmt w:val="bullet"/>
      <w:lvlText w:val="•"/>
      <w:lvlJc w:val="left"/>
      <w:pPr>
        <w:ind w:left="2120" w:hanging="358"/>
      </w:pPr>
      <w:rPr>
        <w:rFonts w:hint="default"/>
        <w:w w:val="101"/>
      </w:rPr>
    </w:lvl>
    <w:lvl w:ilvl="2" w:tplc="851ABE8A">
      <w:numFmt w:val="bullet"/>
      <w:lvlText w:val="•"/>
      <w:lvlJc w:val="left"/>
      <w:pPr>
        <w:ind w:left="2100" w:hanging="358"/>
      </w:pPr>
      <w:rPr>
        <w:rFonts w:hint="default"/>
      </w:rPr>
    </w:lvl>
    <w:lvl w:ilvl="3" w:tplc="25F203DA">
      <w:numFmt w:val="bullet"/>
      <w:lvlText w:val="•"/>
      <w:lvlJc w:val="left"/>
      <w:pPr>
        <w:ind w:left="2120" w:hanging="358"/>
      </w:pPr>
      <w:rPr>
        <w:rFonts w:hint="default"/>
      </w:rPr>
    </w:lvl>
    <w:lvl w:ilvl="4" w:tplc="3384A8D8">
      <w:numFmt w:val="bullet"/>
      <w:lvlText w:val="•"/>
      <w:lvlJc w:val="left"/>
      <w:pPr>
        <w:ind w:left="3477" w:hanging="358"/>
      </w:pPr>
      <w:rPr>
        <w:rFonts w:hint="default"/>
      </w:rPr>
    </w:lvl>
    <w:lvl w:ilvl="5" w:tplc="EA4CEBD8">
      <w:numFmt w:val="bullet"/>
      <w:lvlText w:val="•"/>
      <w:lvlJc w:val="left"/>
      <w:pPr>
        <w:ind w:left="4834" w:hanging="358"/>
      </w:pPr>
      <w:rPr>
        <w:rFonts w:hint="default"/>
      </w:rPr>
    </w:lvl>
    <w:lvl w:ilvl="6" w:tplc="673CFD0A">
      <w:numFmt w:val="bullet"/>
      <w:lvlText w:val="•"/>
      <w:lvlJc w:val="left"/>
      <w:pPr>
        <w:ind w:left="6191" w:hanging="358"/>
      </w:pPr>
      <w:rPr>
        <w:rFonts w:hint="default"/>
      </w:rPr>
    </w:lvl>
    <w:lvl w:ilvl="7" w:tplc="08F63372">
      <w:numFmt w:val="bullet"/>
      <w:lvlText w:val="•"/>
      <w:lvlJc w:val="left"/>
      <w:pPr>
        <w:ind w:left="7548" w:hanging="358"/>
      </w:pPr>
      <w:rPr>
        <w:rFonts w:hint="default"/>
      </w:rPr>
    </w:lvl>
    <w:lvl w:ilvl="8" w:tplc="EEEA40DE">
      <w:numFmt w:val="bullet"/>
      <w:lvlText w:val="•"/>
      <w:lvlJc w:val="left"/>
      <w:pPr>
        <w:ind w:left="8905" w:hanging="358"/>
      </w:pPr>
      <w:rPr>
        <w:rFonts w:hint="default"/>
      </w:rPr>
    </w:lvl>
  </w:abstractNum>
  <w:abstractNum w:abstractNumId="4" w15:restartNumberingAfterBreak="0">
    <w:nsid w:val="2C212853"/>
    <w:multiLevelType w:val="hybridMultilevel"/>
    <w:tmpl w:val="6834283A"/>
    <w:lvl w:ilvl="0" w:tplc="B12C8432">
      <w:start w:val="1"/>
      <w:numFmt w:val="decimal"/>
      <w:lvlText w:val="%1."/>
      <w:lvlJc w:val="left"/>
      <w:pPr>
        <w:ind w:left="1408" w:hanging="359"/>
        <w:jc w:val="right"/>
      </w:pPr>
      <w:rPr>
        <w:rFonts w:hint="default"/>
        <w:spacing w:val="-1"/>
        <w:w w:val="101"/>
      </w:rPr>
    </w:lvl>
    <w:lvl w:ilvl="1" w:tplc="0B38D0BE">
      <w:numFmt w:val="bullet"/>
      <w:lvlText w:val="•"/>
      <w:lvlJc w:val="left"/>
      <w:pPr>
        <w:ind w:left="2120" w:hanging="358"/>
      </w:pPr>
      <w:rPr>
        <w:rFonts w:hint="default"/>
        <w:w w:val="101"/>
      </w:rPr>
    </w:lvl>
    <w:lvl w:ilvl="2" w:tplc="851ABE8A">
      <w:numFmt w:val="bullet"/>
      <w:lvlText w:val="•"/>
      <w:lvlJc w:val="left"/>
      <w:pPr>
        <w:ind w:left="2100" w:hanging="358"/>
      </w:pPr>
      <w:rPr>
        <w:rFonts w:hint="default"/>
      </w:rPr>
    </w:lvl>
    <w:lvl w:ilvl="3" w:tplc="25F203DA">
      <w:numFmt w:val="bullet"/>
      <w:lvlText w:val="•"/>
      <w:lvlJc w:val="left"/>
      <w:pPr>
        <w:ind w:left="2120" w:hanging="358"/>
      </w:pPr>
      <w:rPr>
        <w:rFonts w:hint="default"/>
      </w:rPr>
    </w:lvl>
    <w:lvl w:ilvl="4" w:tplc="3384A8D8">
      <w:numFmt w:val="bullet"/>
      <w:lvlText w:val="•"/>
      <w:lvlJc w:val="left"/>
      <w:pPr>
        <w:ind w:left="3477" w:hanging="358"/>
      </w:pPr>
      <w:rPr>
        <w:rFonts w:hint="default"/>
      </w:rPr>
    </w:lvl>
    <w:lvl w:ilvl="5" w:tplc="EA4CEBD8">
      <w:numFmt w:val="bullet"/>
      <w:lvlText w:val="•"/>
      <w:lvlJc w:val="left"/>
      <w:pPr>
        <w:ind w:left="4834" w:hanging="358"/>
      </w:pPr>
      <w:rPr>
        <w:rFonts w:hint="default"/>
      </w:rPr>
    </w:lvl>
    <w:lvl w:ilvl="6" w:tplc="673CFD0A">
      <w:numFmt w:val="bullet"/>
      <w:lvlText w:val="•"/>
      <w:lvlJc w:val="left"/>
      <w:pPr>
        <w:ind w:left="6191" w:hanging="358"/>
      </w:pPr>
      <w:rPr>
        <w:rFonts w:hint="default"/>
      </w:rPr>
    </w:lvl>
    <w:lvl w:ilvl="7" w:tplc="08F63372">
      <w:numFmt w:val="bullet"/>
      <w:lvlText w:val="•"/>
      <w:lvlJc w:val="left"/>
      <w:pPr>
        <w:ind w:left="7548" w:hanging="358"/>
      </w:pPr>
      <w:rPr>
        <w:rFonts w:hint="default"/>
      </w:rPr>
    </w:lvl>
    <w:lvl w:ilvl="8" w:tplc="EEEA40DE">
      <w:numFmt w:val="bullet"/>
      <w:lvlText w:val="•"/>
      <w:lvlJc w:val="left"/>
      <w:pPr>
        <w:ind w:left="8905" w:hanging="358"/>
      </w:pPr>
      <w:rPr>
        <w:rFonts w:hint="default"/>
      </w:rPr>
    </w:lvl>
  </w:abstractNum>
  <w:abstractNum w:abstractNumId="5" w15:restartNumberingAfterBreak="0">
    <w:nsid w:val="2E647BF4"/>
    <w:multiLevelType w:val="hybridMultilevel"/>
    <w:tmpl w:val="0BCA8DCE"/>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 w15:restartNumberingAfterBreak="0">
    <w:nsid w:val="32256BC7"/>
    <w:multiLevelType w:val="hybridMultilevel"/>
    <w:tmpl w:val="6834283A"/>
    <w:lvl w:ilvl="0" w:tplc="B12C8432">
      <w:start w:val="1"/>
      <w:numFmt w:val="decimal"/>
      <w:lvlText w:val="%1."/>
      <w:lvlJc w:val="left"/>
      <w:pPr>
        <w:ind w:left="1408" w:hanging="359"/>
        <w:jc w:val="right"/>
      </w:pPr>
      <w:rPr>
        <w:rFonts w:hint="default"/>
        <w:spacing w:val="-1"/>
        <w:w w:val="101"/>
      </w:rPr>
    </w:lvl>
    <w:lvl w:ilvl="1" w:tplc="0B38D0BE">
      <w:numFmt w:val="bullet"/>
      <w:lvlText w:val="•"/>
      <w:lvlJc w:val="left"/>
      <w:pPr>
        <w:ind w:left="2120" w:hanging="358"/>
      </w:pPr>
      <w:rPr>
        <w:rFonts w:hint="default"/>
        <w:w w:val="101"/>
      </w:rPr>
    </w:lvl>
    <w:lvl w:ilvl="2" w:tplc="851ABE8A">
      <w:numFmt w:val="bullet"/>
      <w:lvlText w:val="•"/>
      <w:lvlJc w:val="left"/>
      <w:pPr>
        <w:ind w:left="2100" w:hanging="358"/>
      </w:pPr>
      <w:rPr>
        <w:rFonts w:hint="default"/>
      </w:rPr>
    </w:lvl>
    <w:lvl w:ilvl="3" w:tplc="25F203DA">
      <w:numFmt w:val="bullet"/>
      <w:lvlText w:val="•"/>
      <w:lvlJc w:val="left"/>
      <w:pPr>
        <w:ind w:left="2120" w:hanging="358"/>
      </w:pPr>
      <w:rPr>
        <w:rFonts w:hint="default"/>
      </w:rPr>
    </w:lvl>
    <w:lvl w:ilvl="4" w:tplc="3384A8D8">
      <w:numFmt w:val="bullet"/>
      <w:lvlText w:val="•"/>
      <w:lvlJc w:val="left"/>
      <w:pPr>
        <w:ind w:left="3477" w:hanging="358"/>
      </w:pPr>
      <w:rPr>
        <w:rFonts w:hint="default"/>
      </w:rPr>
    </w:lvl>
    <w:lvl w:ilvl="5" w:tplc="EA4CEBD8">
      <w:numFmt w:val="bullet"/>
      <w:lvlText w:val="•"/>
      <w:lvlJc w:val="left"/>
      <w:pPr>
        <w:ind w:left="4834" w:hanging="358"/>
      </w:pPr>
      <w:rPr>
        <w:rFonts w:hint="default"/>
      </w:rPr>
    </w:lvl>
    <w:lvl w:ilvl="6" w:tplc="673CFD0A">
      <w:numFmt w:val="bullet"/>
      <w:lvlText w:val="•"/>
      <w:lvlJc w:val="left"/>
      <w:pPr>
        <w:ind w:left="6191" w:hanging="358"/>
      </w:pPr>
      <w:rPr>
        <w:rFonts w:hint="default"/>
      </w:rPr>
    </w:lvl>
    <w:lvl w:ilvl="7" w:tplc="08F63372">
      <w:numFmt w:val="bullet"/>
      <w:lvlText w:val="•"/>
      <w:lvlJc w:val="left"/>
      <w:pPr>
        <w:ind w:left="7548" w:hanging="358"/>
      </w:pPr>
      <w:rPr>
        <w:rFonts w:hint="default"/>
      </w:rPr>
    </w:lvl>
    <w:lvl w:ilvl="8" w:tplc="EEEA40DE">
      <w:numFmt w:val="bullet"/>
      <w:lvlText w:val="•"/>
      <w:lvlJc w:val="left"/>
      <w:pPr>
        <w:ind w:left="8905" w:hanging="358"/>
      </w:pPr>
      <w:rPr>
        <w:rFonts w:hint="default"/>
      </w:rPr>
    </w:lvl>
  </w:abstractNum>
  <w:abstractNum w:abstractNumId="7" w15:restartNumberingAfterBreak="0">
    <w:nsid w:val="3526208F"/>
    <w:multiLevelType w:val="hybridMultilevel"/>
    <w:tmpl w:val="6834283A"/>
    <w:lvl w:ilvl="0" w:tplc="B12C8432">
      <w:start w:val="1"/>
      <w:numFmt w:val="decimal"/>
      <w:lvlText w:val="%1."/>
      <w:lvlJc w:val="left"/>
      <w:pPr>
        <w:ind w:left="1408" w:hanging="359"/>
        <w:jc w:val="right"/>
      </w:pPr>
      <w:rPr>
        <w:rFonts w:hint="default"/>
        <w:spacing w:val="-1"/>
        <w:w w:val="101"/>
      </w:rPr>
    </w:lvl>
    <w:lvl w:ilvl="1" w:tplc="0B38D0BE">
      <w:numFmt w:val="bullet"/>
      <w:lvlText w:val="•"/>
      <w:lvlJc w:val="left"/>
      <w:pPr>
        <w:ind w:left="2120" w:hanging="358"/>
      </w:pPr>
      <w:rPr>
        <w:rFonts w:hint="default"/>
        <w:w w:val="101"/>
      </w:rPr>
    </w:lvl>
    <w:lvl w:ilvl="2" w:tplc="851ABE8A">
      <w:numFmt w:val="bullet"/>
      <w:lvlText w:val="•"/>
      <w:lvlJc w:val="left"/>
      <w:pPr>
        <w:ind w:left="2100" w:hanging="358"/>
      </w:pPr>
      <w:rPr>
        <w:rFonts w:hint="default"/>
      </w:rPr>
    </w:lvl>
    <w:lvl w:ilvl="3" w:tplc="25F203DA">
      <w:numFmt w:val="bullet"/>
      <w:lvlText w:val="•"/>
      <w:lvlJc w:val="left"/>
      <w:pPr>
        <w:ind w:left="2120" w:hanging="358"/>
      </w:pPr>
      <w:rPr>
        <w:rFonts w:hint="default"/>
      </w:rPr>
    </w:lvl>
    <w:lvl w:ilvl="4" w:tplc="3384A8D8">
      <w:numFmt w:val="bullet"/>
      <w:lvlText w:val="•"/>
      <w:lvlJc w:val="left"/>
      <w:pPr>
        <w:ind w:left="3477" w:hanging="358"/>
      </w:pPr>
      <w:rPr>
        <w:rFonts w:hint="default"/>
      </w:rPr>
    </w:lvl>
    <w:lvl w:ilvl="5" w:tplc="EA4CEBD8">
      <w:numFmt w:val="bullet"/>
      <w:lvlText w:val="•"/>
      <w:lvlJc w:val="left"/>
      <w:pPr>
        <w:ind w:left="4834" w:hanging="358"/>
      </w:pPr>
      <w:rPr>
        <w:rFonts w:hint="default"/>
      </w:rPr>
    </w:lvl>
    <w:lvl w:ilvl="6" w:tplc="673CFD0A">
      <w:numFmt w:val="bullet"/>
      <w:lvlText w:val="•"/>
      <w:lvlJc w:val="left"/>
      <w:pPr>
        <w:ind w:left="6191" w:hanging="358"/>
      </w:pPr>
      <w:rPr>
        <w:rFonts w:hint="default"/>
      </w:rPr>
    </w:lvl>
    <w:lvl w:ilvl="7" w:tplc="08F63372">
      <w:numFmt w:val="bullet"/>
      <w:lvlText w:val="•"/>
      <w:lvlJc w:val="left"/>
      <w:pPr>
        <w:ind w:left="7548" w:hanging="358"/>
      </w:pPr>
      <w:rPr>
        <w:rFonts w:hint="default"/>
      </w:rPr>
    </w:lvl>
    <w:lvl w:ilvl="8" w:tplc="EEEA40DE">
      <w:numFmt w:val="bullet"/>
      <w:lvlText w:val="•"/>
      <w:lvlJc w:val="left"/>
      <w:pPr>
        <w:ind w:left="8905" w:hanging="358"/>
      </w:pPr>
      <w:rPr>
        <w:rFonts w:hint="default"/>
      </w:rPr>
    </w:lvl>
  </w:abstractNum>
  <w:abstractNum w:abstractNumId="8" w15:restartNumberingAfterBreak="0">
    <w:nsid w:val="3AD54D63"/>
    <w:multiLevelType w:val="hybridMultilevel"/>
    <w:tmpl w:val="AD24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21EF4"/>
    <w:multiLevelType w:val="hybridMultilevel"/>
    <w:tmpl w:val="F16A09BA"/>
    <w:lvl w:ilvl="0" w:tplc="D4FE8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C16A37"/>
    <w:multiLevelType w:val="hybridMultilevel"/>
    <w:tmpl w:val="FF504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A3E70"/>
    <w:multiLevelType w:val="hybridMultilevel"/>
    <w:tmpl w:val="AD24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A6427"/>
    <w:multiLevelType w:val="hybridMultilevel"/>
    <w:tmpl w:val="D9704E3A"/>
    <w:lvl w:ilvl="0" w:tplc="7138FF2E">
      <w:start w:val="1"/>
      <w:numFmt w:val="decimal"/>
      <w:lvlText w:val="%1."/>
      <w:lvlJc w:val="left"/>
      <w:pPr>
        <w:ind w:left="1769" w:hanging="359"/>
      </w:pPr>
      <w:rPr>
        <w:rFonts w:ascii="Arial" w:eastAsia="Arial" w:hAnsi="Arial" w:cs="Arial" w:hint="default"/>
        <w:spacing w:val="-1"/>
        <w:w w:val="104"/>
        <w:sz w:val="27"/>
        <w:szCs w:val="27"/>
      </w:rPr>
    </w:lvl>
    <w:lvl w:ilvl="1" w:tplc="0F021AF4">
      <w:numFmt w:val="bullet"/>
      <w:lvlText w:val="•"/>
      <w:lvlJc w:val="left"/>
      <w:pPr>
        <w:ind w:left="2746" w:hanging="359"/>
      </w:pPr>
      <w:rPr>
        <w:rFonts w:hint="default"/>
      </w:rPr>
    </w:lvl>
    <w:lvl w:ilvl="2" w:tplc="4C9671EE">
      <w:numFmt w:val="bullet"/>
      <w:lvlText w:val="•"/>
      <w:lvlJc w:val="left"/>
      <w:pPr>
        <w:ind w:left="3732" w:hanging="359"/>
      </w:pPr>
      <w:rPr>
        <w:rFonts w:hint="default"/>
      </w:rPr>
    </w:lvl>
    <w:lvl w:ilvl="3" w:tplc="1D1C3EE0">
      <w:numFmt w:val="bullet"/>
      <w:lvlText w:val="•"/>
      <w:lvlJc w:val="left"/>
      <w:pPr>
        <w:ind w:left="4718" w:hanging="359"/>
      </w:pPr>
      <w:rPr>
        <w:rFonts w:hint="default"/>
      </w:rPr>
    </w:lvl>
    <w:lvl w:ilvl="4" w:tplc="A0AEC3CE">
      <w:numFmt w:val="bullet"/>
      <w:lvlText w:val="•"/>
      <w:lvlJc w:val="left"/>
      <w:pPr>
        <w:ind w:left="5704" w:hanging="359"/>
      </w:pPr>
      <w:rPr>
        <w:rFonts w:hint="default"/>
      </w:rPr>
    </w:lvl>
    <w:lvl w:ilvl="5" w:tplc="407A0BB2">
      <w:numFmt w:val="bullet"/>
      <w:lvlText w:val="•"/>
      <w:lvlJc w:val="left"/>
      <w:pPr>
        <w:ind w:left="6690" w:hanging="359"/>
      </w:pPr>
      <w:rPr>
        <w:rFonts w:hint="default"/>
      </w:rPr>
    </w:lvl>
    <w:lvl w:ilvl="6" w:tplc="2ECEE2BA">
      <w:numFmt w:val="bullet"/>
      <w:lvlText w:val="•"/>
      <w:lvlJc w:val="left"/>
      <w:pPr>
        <w:ind w:left="7676" w:hanging="359"/>
      </w:pPr>
      <w:rPr>
        <w:rFonts w:hint="default"/>
      </w:rPr>
    </w:lvl>
    <w:lvl w:ilvl="7" w:tplc="75B2CDC4">
      <w:numFmt w:val="bullet"/>
      <w:lvlText w:val="•"/>
      <w:lvlJc w:val="left"/>
      <w:pPr>
        <w:ind w:left="8662" w:hanging="359"/>
      </w:pPr>
      <w:rPr>
        <w:rFonts w:hint="default"/>
      </w:rPr>
    </w:lvl>
    <w:lvl w:ilvl="8" w:tplc="95289112">
      <w:numFmt w:val="bullet"/>
      <w:lvlText w:val="•"/>
      <w:lvlJc w:val="left"/>
      <w:pPr>
        <w:ind w:left="9648" w:hanging="359"/>
      </w:pPr>
      <w:rPr>
        <w:rFonts w:hint="default"/>
      </w:rPr>
    </w:lvl>
  </w:abstractNum>
  <w:abstractNum w:abstractNumId="13" w15:restartNumberingAfterBreak="0">
    <w:nsid w:val="5D31753E"/>
    <w:multiLevelType w:val="hybridMultilevel"/>
    <w:tmpl w:val="BBE8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E0058"/>
    <w:multiLevelType w:val="hybridMultilevel"/>
    <w:tmpl w:val="D3781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011267"/>
    <w:multiLevelType w:val="hybridMultilevel"/>
    <w:tmpl w:val="6834283A"/>
    <w:lvl w:ilvl="0" w:tplc="B12C8432">
      <w:start w:val="1"/>
      <w:numFmt w:val="decimal"/>
      <w:lvlText w:val="%1."/>
      <w:lvlJc w:val="left"/>
      <w:pPr>
        <w:ind w:left="1408" w:hanging="359"/>
        <w:jc w:val="right"/>
      </w:pPr>
      <w:rPr>
        <w:rFonts w:hint="default"/>
        <w:spacing w:val="-1"/>
        <w:w w:val="101"/>
      </w:rPr>
    </w:lvl>
    <w:lvl w:ilvl="1" w:tplc="0B38D0BE">
      <w:numFmt w:val="bullet"/>
      <w:lvlText w:val="•"/>
      <w:lvlJc w:val="left"/>
      <w:pPr>
        <w:ind w:left="2120" w:hanging="358"/>
      </w:pPr>
      <w:rPr>
        <w:rFonts w:hint="default"/>
        <w:w w:val="101"/>
      </w:rPr>
    </w:lvl>
    <w:lvl w:ilvl="2" w:tplc="851ABE8A">
      <w:numFmt w:val="bullet"/>
      <w:lvlText w:val="•"/>
      <w:lvlJc w:val="left"/>
      <w:pPr>
        <w:ind w:left="2100" w:hanging="358"/>
      </w:pPr>
      <w:rPr>
        <w:rFonts w:hint="default"/>
      </w:rPr>
    </w:lvl>
    <w:lvl w:ilvl="3" w:tplc="25F203DA">
      <w:numFmt w:val="bullet"/>
      <w:lvlText w:val="•"/>
      <w:lvlJc w:val="left"/>
      <w:pPr>
        <w:ind w:left="2120" w:hanging="358"/>
      </w:pPr>
      <w:rPr>
        <w:rFonts w:hint="default"/>
      </w:rPr>
    </w:lvl>
    <w:lvl w:ilvl="4" w:tplc="3384A8D8">
      <w:numFmt w:val="bullet"/>
      <w:lvlText w:val="•"/>
      <w:lvlJc w:val="left"/>
      <w:pPr>
        <w:ind w:left="3477" w:hanging="358"/>
      </w:pPr>
      <w:rPr>
        <w:rFonts w:hint="default"/>
      </w:rPr>
    </w:lvl>
    <w:lvl w:ilvl="5" w:tplc="EA4CEBD8">
      <w:numFmt w:val="bullet"/>
      <w:lvlText w:val="•"/>
      <w:lvlJc w:val="left"/>
      <w:pPr>
        <w:ind w:left="4834" w:hanging="358"/>
      </w:pPr>
      <w:rPr>
        <w:rFonts w:hint="default"/>
      </w:rPr>
    </w:lvl>
    <w:lvl w:ilvl="6" w:tplc="673CFD0A">
      <w:numFmt w:val="bullet"/>
      <w:lvlText w:val="•"/>
      <w:lvlJc w:val="left"/>
      <w:pPr>
        <w:ind w:left="6191" w:hanging="358"/>
      </w:pPr>
      <w:rPr>
        <w:rFonts w:hint="default"/>
      </w:rPr>
    </w:lvl>
    <w:lvl w:ilvl="7" w:tplc="08F63372">
      <w:numFmt w:val="bullet"/>
      <w:lvlText w:val="•"/>
      <w:lvlJc w:val="left"/>
      <w:pPr>
        <w:ind w:left="7548" w:hanging="358"/>
      </w:pPr>
      <w:rPr>
        <w:rFonts w:hint="default"/>
      </w:rPr>
    </w:lvl>
    <w:lvl w:ilvl="8" w:tplc="EEEA40DE">
      <w:numFmt w:val="bullet"/>
      <w:lvlText w:val="•"/>
      <w:lvlJc w:val="left"/>
      <w:pPr>
        <w:ind w:left="8905" w:hanging="358"/>
      </w:pPr>
      <w:rPr>
        <w:rFonts w:hint="default"/>
      </w:rPr>
    </w:lvl>
  </w:abstractNum>
  <w:abstractNum w:abstractNumId="16" w15:restartNumberingAfterBreak="0">
    <w:nsid w:val="76B552AA"/>
    <w:multiLevelType w:val="hybridMultilevel"/>
    <w:tmpl w:val="6834283A"/>
    <w:lvl w:ilvl="0" w:tplc="B12C8432">
      <w:start w:val="1"/>
      <w:numFmt w:val="decimal"/>
      <w:lvlText w:val="%1."/>
      <w:lvlJc w:val="left"/>
      <w:pPr>
        <w:ind w:left="1408" w:hanging="359"/>
        <w:jc w:val="right"/>
      </w:pPr>
      <w:rPr>
        <w:rFonts w:hint="default"/>
        <w:spacing w:val="-1"/>
        <w:w w:val="101"/>
      </w:rPr>
    </w:lvl>
    <w:lvl w:ilvl="1" w:tplc="0B38D0BE">
      <w:numFmt w:val="bullet"/>
      <w:lvlText w:val="•"/>
      <w:lvlJc w:val="left"/>
      <w:pPr>
        <w:ind w:left="2120" w:hanging="358"/>
      </w:pPr>
      <w:rPr>
        <w:rFonts w:hint="default"/>
        <w:w w:val="101"/>
      </w:rPr>
    </w:lvl>
    <w:lvl w:ilvl="2" w:tplc="851ABE8A">
      <w:numFmt w:val="bullet"/>
      <w:lvlText w:val="•"/>
      <w:lvlJc w:val="left"/>
      <w:pPr>
        <w:ind w:left="2100" w:hanging="358"/>
      </w:pPr>
      <w:rPr>
        <w:rFonts w:hint="default"/>
      </w:rPr>
    </w:lvl>
    <w:lvl w:ilvl="3" w:tplc="25F203DA">
      <w:numFmt w:val="bullet"/>
      <w:lvlText w:val="•"/>
      <w:lvlJc w:val="left"/>
      <w:pPr>
        <w:ind w:left="2120" w:hanging="358"/>
      </w:pPr>
      <w:rPr>
        <w:rFonts w:hint="default"/>
      </w:rPr>
    </w:lvl>
    <w:lvl w:ilvl="4" w:tplc="3384A8D8">
      <w:numFmt w:val="bullet"/>
      <w:lvlText w:val="•"/>
      <w:lvlJc w:val="left"/>
      <w:pPr>
        <w:ind w:left="3477" w:hanging="358"/>
      </w:pPr>
      <w:rPr>
        <w:rFonts w:hint="default"/>
      </w:rPr>
    </w:lvl>
    <w:lvl w:ilvl="5" w:tplc="EA4CEBD8">
      <w:numFmt w:val="bullet"/>
      <w:lvlText w:val="•"/>
      <w:lvlJc w:val="left"/>
      <w:pPr>
        <w:ind w:left="4834" w:hanging="358"/>
      </w:pPr>
      <w:rPr>
        <w:rFonts w:hint="default"/>
      </w:rPr>
    </w:lvl>
    <w:lvl w:ilvl="6" w:tplc="673CFD0A">
      <w:numFmt w:val="bullet"/>
      <w:lvlText w:val="•"/>
      <w:lvlJc w:val="left"/>
      <w:pPr>
        <w:ind w:left="6191" w:hanging="358"/>
      </w:pPr>
      <w:rPr>
        <w:rFonts w:hint="default"/>
      </w:rPr>
    </w:lvl>
    <w:lvl w:ilvl="7" w:tplc="08F63372">
      <w:numFmt w:val="bullet"/>
      <w:lvlText w:val="•"/>
      <w:lvlJc w:val="left"/>
      <w:pPr>
        <w:ind w:left="7548" w:hanging="358"/>
      </w:pPr>
      <w:rPr>
        <w:rFonts w:hint="default"/>
      </w:rPr>
    </w:lvl>
    <w:lvl w:ilvl="8" w:tplc="EEEA40DE">
      <w:numFmt w:val="bullet"/>
      <w:lvlText w:val="•"/>
      <w:lvlJc w:val="left"/>
      <w:pPr>
        <w:ind w:left="8905" w:hanging="358"/>
      </w:pPr>
      <w:rPr>
        <w:rFonts w:hint="default"/>
      </w:rPr>
    </w:lvl>
  </w:abstractNum>
  <w:abstractNum w:abstractNumId="17" w15:restartNumberingAfterBreak="0">
    <w:nsid w:val="7E1A79D0"/>
    <w:multiLevelType w:val="hybridMultilevel"/>
    <w:tmpl w:val="6834283A"/>
    <w:lvl w:ilvl="0" w:tplc="B12C8432">
      <w:start w:val="1"/>
      <w:numFmt w:val="decimal"/>
      <w:lvlText w:val="%1."/>
      <w:lvlJc w:val="left"/>
      <w:pPr>
        <w:ind w:left="1408" w:hanging="359"/>
        <w:jc w:val="right"/>
      </w:pPr>
      <w:rPr>
        <w:rFonts w:hint="default"/>
        <w:spacing w:val="-1"/>
        <w:w w:val="101"/>
      </w:rPr>
    </w:lvl>
    <w:lvl w:ilvl="1" w:tplc="0B38D0BE">
      <w:numFmt w:val="bullet"/>
      <w:lvlText w:val="•"/>
      <w:lvlJc w:val="left"/>
      <w:pPr>
        <w:ind w:left="2120" w:hanging="358"/>
      </w:pPr>
      <w:rPr>
        <w:rFonts w:hint="default"/>
        <w:w w:val="101"/>
      </w:rPr>
    </w:lvl>
    <w:lvl w:ilvl="2" w:tplc="851ABE8A">
      <w:numFmt w:val="bullet"/>
      <w:lvlText w:val="•"/>
      <w:lvlJc w:val="left"/>
      <w:pPr>
        <w:ind w:left="2100" w:hanging="358"/>
      </w:pPr>
      <w:rPr>
        <w:rFonts w:hint="default"/>
      </w:rPr>
    </w:lvl>
    <w:lvl w:ilvl="3" w:tplc="25F203DA">
      <w:numFmt w:val="bullet"/>
      <w:lvlText w:val="•"/>
      <w:lvlJc w:val="left"/>
      <w:pPr>
        <w:ind w:left="2120" w:hanging="358"/>
      </w:pPr>
      <w:rPr>
        <w:rFonts w:hint="default"/>
      </w:rPr>
    </w:lvl>
    <w:lvl w:ilvl="4" w:tplc="3384A8D8">
      <w:numFmt w:val="bullet"/>
      <w:lvlText w:val="•"/>
      <w:lvlJc w:val="left"/>
      <w:pPr>
        <w:ind w:left="3477" w:hanging="358"/>
      </w:pPr>
      <w:rPr>
        <w:rFonts w:hint="default"/>
      </w:rPr>
    </w:lvl>
    <w:lvl w:ilvl="5" w:tplc="EA4CEBD8">
      <w:numFmt w:val="bullet"/>
      <w:lvlText w:val="•"/>
      <w:lvlJc w:val="left"/>
      <w:pPr>
        <w:ind w:left="4834" w:hanging="358"/>
      </w:pPr>
      <w:rPr>
        <w:rFonts w:hint="default"/>
      </w:rPr>
    </w:lvl>
    <w:lvl w:ilvl="6" w:tplc="673CFD0A">
      <w:numFmt w:val="bullet"/>
      <w:lvlText w:val="•"/>
      <w:lvlJc w:val="left"/>
      <w:pPr>
        <w:ind w:left="6191" w:hanging="358"/>
      </w:pPr>
      <w:rPr>
        <w:rFonts w:hint="default"/>
      </w:rPr>
    </w:lvl>
    <w:lvl w:ilvl="7" w:tplc="08F63372">
      <w:numFmt w:val="bullet"/>
      <w:lvlText w:val="•"/>
      <w:lvlJc w:val="left"/>
      <w:pPr>
        <w:ind w:left="7548" w:hanging="358"/>
      </w:pPr>
      <w:rPr>
        <w:rFonts w:hint="default"/>
      </w:rPr>
    </w:lvl>
    <w:lvl w:ilvl="8" w:tplc="EEEA40DE">
      <w:numFmt w:val="bullet"/>
      <w:lvlText w:val="•"/>
      <w:lvlJc w:val="left"/>
      <w:pPr>
        <w:ind w:left="8905" w:hanging="358"/>
      </w:pPr>
      <w:rPr>
        <w:rFonts w:hint="default"/>
      </w:rPr>
    </w:lvl>
  </w:abstractNum>
  <w:num w:numId="1">
    <w:abstractNumId w:val="8"/>
  </w:num>
  <w:num w:numId="2">
    <w:abstractNumId w:val="9"/>
  </w:num>
  <w:num w:numId="3">
    <w:abstractNumId w:val="11"/>
  </w:num>
  <w:num w:numId="4">
    <w:abstractNumId w:val="1"/>
  </w:num>
  <w:num w:numId="5">
    <w:abstractNumId w:val="13"/>
  </w:num>
  <w:num w:numId="6">
    <w:abstractNumId w:val="15"/>
  </w:num>
  <w:num w:numId="7">
    <w:abstractNumId w:val="10"/>
  </w:num>
  <w:num w:numId="8">
    <w:abstractNumId w:val="14"/>
  </w:num>
  <w:num w:numId="9">
    <w:abstractNumId w:val="4"/>
  </w:num>
  <w:num w:numId="10">
    <w:abstractNumId w:val="3"/>
  </w:num>
  <w:num w:numId="11">
    <w:abstractNumId w:val="2"/>
  </w:num>
  <w:num w:numId="12">
    <w:abstractNumId w:val="16"/>
  </w:num>
  <w:num w:numId="13">
    <w:abstractNumId w:val="7"/>
  </w:num>
  <w:num w:numId="14">
    <w:abstractNumId w:val="6"/>
  </w:num>
  <w:num w:numId="15">
    <w:abstractNumId w:val="17"/>
  </w:num>
  <w:num w:numId="16">
    <w:abstractNumId w:val="1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C3"/>
    <w:rsid w:val="00034F36"/>
    <w:rsid w:val="00095FA2"/>
    <w:rsid w:val="000B00C9"/>
    <w:rsid w:val="000C5A53"/>
    <w:rsid w:val="001313D5"/>
    <w:rsid w:val="0013570D"/>
    <w:rsid w:val="00163B96"/>
    <w:rsid w:val="001E76D0"/>
    <w:rsid w:val="002057F4"/>
    <w:rsid w:val="002309EF"/>
    <w:rsid w:val="0028234F"/>
    <w:rsid w:val="002A0F7E"/>
    <w:rsid w:val="002A7ECE"/>
    <w:rsid w:val="002B1209"/>
    <w:rsid w:val="002E7EAD"/>
    <w:rsid w:val="002F5B01"/>
    <w:rsid w:val="003E3D4C"/>
    <w:rsid w:val="004103C4"/>
    <w:rsid w:val="00491B04"/>
    <w:rsid w:val="004958ED"/>
    <w:rsid w:val="004C0A95"/>
    <w:rsid w:val="00507BDC"/>
    <w:rsid w:val="0054034C"/>
    <w:rsid w:val="0055778A"/>
    <w:rsid w:val="005C7424"/>
    <w:rsid w:val="005E2C50"/>
    <w:rsid w:val="005F5E2A"/>
    <w:rsid w:val="00600814"/>
    <w:rsid w:val="006106D4"/>
    <w:rsid w:val="00625C29"/>
    <w:rsid w:val="00642959"/>
    <w:rsid w:val="006F4577"/>
    <w:rsid w:val="00734CC3"/>
    <w:rsid w:val="00742F32"/>
    <w:rsid w:val="00762070"/>
    <w:rsid w:val="00774329"/>
    <w:rsid w:val="007D0781"/>
    <w:rsid w:val="00824CE5"/>
    <w:rsid w:val="00837BAC"/>
    <w:rsid w:val="00860C71"/>
    <w:rsid w:val="00867DDA"/>
    <w:rsid w:val="008C02E5"/>
    <w:rsid w:val="008C0509"/>
    <w:rsid w:val="00936D21"/>
    <w:rsid w:val="00952957"/>
    <w:rsid w:val="009A760D"/>
    <w:rsid w:val="009D504E"/>
    <w:rsid w:val="00A078BB"/>
    <w:rsid w:val="00A11E56"/>
    <w:rsid w:val="00A13787"/>
    <w:rsid w:val="00A264CC"/>
    <w:rsid w:val="00A45A0A"/>
    <w:rsid w:val="00A956F1"/>
    <w:rsid w:val="00AA18E1"/>
    <w:rsid w:val="00AC7440"/>
    <w:rsid w:val="00AD48E9"/>
    <w:rsid w:val="00AE0793"/>
    <w:rsid w:val="00B23629"/>
    <w:rsid w:val="00B77313"/>
    <w:rsid w:val="00BB7A6E"/>
    <w:rsid w:val="00BE485A"/>
    <w:rsid w:val="00C055B3"/>
    <w:rsid w:val="00C06BD3"/>
    <w:rsid w:val="00C6622F"/>
    <w:rsid w:val="00CB20BC"/>
    <w:rsid w:val="00CD72D0"/>
    <w:rsid w:val="00D112E9"/>
    <w:rsid w:val="00D15E67"/>
    <w:rsid w:val="00EA300E"/>
    <w:rsid w:val="00EC368C"/>
    <w:rsid w:val="00ED69EC"/>
    <w:rsid w:val="00F22A3C"/>
    <w:rsid w:val="00FA1800"/>
    <w:rsid w:val="00FD0DCE"/>
    <w:rsid w:val="00FD1075"/>
    <w:rsid w:val="00FD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544720"/>
  <w15:chartTrackingRefBased/>
  <w15:docId w15:val="{459BA658-F7FE-4184-B074-30DECE08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F36"/>
    <w:pPr>
      <w:spacing w:after="160" w:line="259" w:lineRule="auto"/>
    </w:pPr>
    <w:rPr>
      <w:rFonts w:ascii="Calibri" w:hAnsi="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
    <w:name w:val="Highlight"/>
    <w:basedOn w:val="ListParagraph"/>
    <w:link w:val="HighlightChar"/>
    <w:qFormat/>
    <w:rsid w:val="004958ED"/>
    <w:pPr>
      <w:shd w:val="clear" w:color="auto" w:fill="FFFF00"/>
      <w:ind w:left="0"/>
    </w:pPr>
    <w:rPr>
      <w:rFonts w:ascii="Tahoma" w:eastAsia="Calibri" w:hAnsi="Tahoma"/>
      <w:sz w:val="24"/>
    </w:rPr>
  </w:style>
  <w:style w:type="character" w:customStyle="1" w:styleId="HighlightChar">
    <w:name w:val="Highlight Char"/>
    <w:basedOn w:val="DefaultParagraphFont"/>
    <w:link w:val="Highlight"/>
    <w:rsid w:val="004958ED"/>
    <w:rPr>
      <w:rFonts w:ascii="Tahoma" w:eastAsia="Calibri" w:hAnsi="Tahoma" w:cs="Tahoma"/>
      <w:sz w:val="24"/>
      <w:szCs w:val="24"/>
      <w:shd w:val="clear" w:color="auto" w:fill="FFFF00"/>
    </w:rPr>
  </w:style>
  <w:style w:type="paragraph" w:styleId="ListParagraph">
    <w:name w:val="List Paragraph"/>
    <w:basedOn w:val="Normal"/>
    <w:uiPriority w:val="1"/>
    <w:qFormat/>
    <w:rsid w:val="004958ED"/>
    <w:pPr>
      <w:ind w:left="720"/>
      <w:contextualSpacing/>
    </w:pPr>
  </w:style>
  <w:style w:type="paragraph" w:styleId="Title">
    <w:name w:val="Title"/>
    <w:basedOn w:val="Normal"/>
    <w:next w:val="Normal"/>
    <w:link w:val="TitleChar"/>
    <w:uiPriority w:val="10"/>
    <w:qFormat/>
    <w:rsid w:val="002A0F7E"/>
    <w:pPr>
      <w:widowControl w:val="0"/>
      <w:pBdr>
        <w:bottom w:val="single" w:sz="18" w:space="1" w:color="auto"/>
      </w:pBdr>
      <w:contextualSpacing/>
    </w:pPr>
    <w:rPr>
      <w:rFonts w:ascii="Arial Unicode MS" w:eastAsiaTheme="majorEastAsia" w:hAnsi="Arial Unicode MS"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2A0F7E"/>
    <w:rPr>
      <w:rFonts w:ascii="Arial Unicode MS" w:eastAsiaTheme="majorEastAsia" w:hAnsi="Arial Unicode MS" w:cstheme="majorBidi"/>
      <w:color w:val="1F3864" w:themeColor="accent1" w:themeShade="80"/>
      <w:spacing w:val="-10"/>
      <w:kern w:val="28"/>
      <w:sz w:val="56"/>
      <w:szCs w:val="56"/>
    </w:rPr>
  </w:style>
  <w:style w:type="paragraph" w:customStyle="1" w:styleId="Frame">
    <w:name w:val="Frame"/>
    <w:basedOn w:val="Normal"/>
    <w:qFormat/>
    <w:rsid w:val="00EA300E"/>
    <w:pPr>
      <w:framePr w:wrap="around" w:vAnchor="text" w:hAnchor="text" w:y="1"/>
      <w:widowControl w:val="0"/>
      <w:pBdr>
        <w:top w:val="single" w:sz="4" w:space="1" w:color="auto"/>
        <w:left w:val="single" w:sz="4" w:space="4" w:color="auto"/>
        <w:bottom w:val="single" w:sz="4" w:space="1" w:color="auto"/>
        <w:right w:val="single" w:sz="4" w:space="4" w:color="auto"/>
      </w:pBd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cs="Times New Roman"/>
      <w:sz w:val="24"/>
    </w:rPr>
  </w:style>
  <w:style w:type="table" w:styleId="TableGrid">
    <w:name w:val="Table Grid"/>
    <w:basedOn w:val="TableNormal"/>
    <w:uiPriority w:val="39"/>
    <w:rsid w:val="0073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EAD"/>
    <w:rPr>
      <w:rFonts w:ascii="Calibri" w:hAnsi="Calibri"/>
      <w:sz w:val="28"/>
      <w:szCs w:val="22"/>
    </w:rPr>
  </w:style>
  <w:style w:type="paragraph" w:styleId="Footer">
    <w:name w:val="footer"/>
    <w:basedOn w:val="Normal"/>
    <w:link w:val="FooterChar"/>
    <w:uiPriority w:val="99"/>
    <w:unhideWhenUsed/>
    <w:rsid w:val="002E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EAD"/>
    <w:rPr>
      <w:rFonts w:ascii="Calibri" w:hAnsi="Calibri"/>
      <w:sz w:val="28"/>
      <w:szCs w:val="22"/>
    </w:rPr>
  </w:style>
  <w:style w:type="paragraph" w:styleId="BodyText">
    <w:name w:val="Body Text"/>
    <w:basedOn w:val="Normal"/>
    <w:link w:val="BodyTextChar"/>
    <w:uiPriority w:val="1"/>
    <w:qFormat/>
    <w:rsid w:val="001E76D0"/>
    <w:pPr>
      <w:widowControl w:val="0"/>
      <w:autoSpaceDE w:val="0"/>
      <w:autoSpaceDN w:val="0"/>
      <w:spacing w:after="0" w:line="240" w:lineRule="auto"/>
    </w:pPr>
    <w:rPr>
      <w:rFonts w:ascii="Arial" w:eastAsia="Arial" w:hAnsi="Arial" w:cs="Arial"/>
      <w:sz w:val="27"/>
      <w:szCs w:val="27"/>
    </w:rPr>
  </w:style>
  <w:style w:type="character" w:customStyle="1" w:styleId="BodyTextChar">
    <w:name w:val="Body Text Char"/>
    <w:basedOn w:val="DefaultParagraphFont"/>
    <w:link w:val="BodyText"/>
    <w:uiPriority w:val="1"/>
    <w:rsid w:val="001E76D0"/>
    <w:rPr>
      <w:rFonts w:ascii="Arial" w:eastAsia="Arial" w:hAnsi="Arial" w:cs="Arial"/>
      <w:sz w:val="27"/>
      <w:szCs w:val="27"/>
    </w:rPr>
  </w:style>
  <w:style w:type="paragraph" w:customStyle="1" w:styleId="TableParagraph">
    <w:name w:val="Table Paragraph"/>
    <w:basedOn w:val="Normal"/>
    <w:uiPriority w:val="1"/>
    <w:qFormat/>
    <w:rsid w:val="000C5A53"/>
    <w:pPr>
      <w:widowControl w:val="0"/>
      <w:autoSpaceDE w:val="0"/>
      <w:autoSpaceDN w:val="0"/>
      <w:spacing w:after="0" w:line="240" w:lineRule="auto"/>
    </w:pPr>
    <w:rPr>
      <w:rFonts w:ascii="Arial" w:eastAsia="Arial" w:hAnsi="Arial" w:cs="Arial"/>
      <w:sz w:val="22"/>
    </w:rPr>
  </w:style>
  <w:style w:type="paragraph" w:styleId="BalloonText">
    <w:name w:val="Balloon Text"/>
    <w:basedOn w:val="Normal"/>
    <w:link w:val="BalloonTextChar"/>
    <w:uiPriority w:val="99"/>
    <w:semiHidden/>
    <w:unhideWhenUsed/>
    <w:rsid w:val="00491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B04"/>
    <w:rPr>
      <w:rFonts w:ascii="Segoe UI" w:hAnsi="Segoe UI" w:cs="Segoe UI"/>
      <w:sz w:val="18"/>
      <w:szCs w:val="18"/>
    </w:rPr>
  </w:style>
  <w:style w:type="character" w:styleId="Emphasis">
    <w:name w:val="Emphasis"/>
    <w:basedOn w:val="DefaultParagraphFont"/>
    <w:uiPriority w:val="20"/>
    <w:qFormat/>
    <w:rsid w:val="0013570D"/>
    <w:rPr>
      <w:b/>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B83EC04F73745BF80402BF0031E07" ma:contentTypeVersion="4" ma:contentTypeDescription="Create a new document." ma:contentTypeScope="" ma:versionID="645fe1d69e9f06c0c843a052c34d7bce">
  <xsd:schema xmlns:xsd="http://www.w3.org/2001/XMLSchema" xmlns:xs="http://www.w3.org/2001/XMLSchema" xmlns:p="http://schemas.microsoft.com/office/2006/metadata/properties" xmlns:ns2="6bebb505-54d2-483b-bb92-78d719d0d018" xmlns:ns3="49e1b1f5-4598-4f10-9cb7-32cc96214367" targetNamespace="http://schemas.microsoft.com/office/2006/metadata/properties" ma:root="true" ma:fieldsID="b296091456edc851193015862f39ea8d" ns2:_="" ns3:_="">
    <xsd:import namespace="6bebb505-54d2-483b-bb92-78d719d0d018"/>
    <xsd:import namespace="49e1b1f5-4598-4f10-9cb7-32cc96214367"/>
    <xsd:element name="properties">
      <xsd:complexType>
        <xsd:sequence>
          <xsd:element name="documentManagement">
            <xsd:complexType>
              <xsd:all>
                <xsd:element ref="ns2:Agency_x0020_Committee" minOccurs="0"/>
                <xsd:element ref="ns2:Document_x0020_Type" minOccurs="0"/>
                <xsd:element ref="ns2:Sort_x0020_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bb505-54d2-483b-bb92-78d719d0d018" elementFormDefault="qualified">
    <xsd:import namespace="http://schemas.microsoft.com/office/2006/documentManagement/types"/>
    <xsd:import namespace="http://schemas.microsoft.com/office/infopath/2007/PartnerControls"/>
    <xsd:element name="Agency_x0020_Committee" ma:index="8" nillable="true" ma:displayName="Agency Committee" ma:list="{fb4f4c23-a1e6-428b-9cb7-f1c129aaf868}" ma:internalName="Agency_x0020_Committee" ma:showField="Title">
      <xsd:simpleType>
        <xsd:restriction base="dms:Lookup"/>
      </xsd:simpleType>
    </xsd:element>
    <xsd:element name="Document_x0020_Type" ma:index="9" nillable="true" ma:displayName="Document Type" ma:description="If you select &quot;operation documents&quot; or &quot;reports&quot; the document will automatically display in that section" ma:format="Dropdown" ma:internalName="Document_x0020_Type">
      <xsd:simpleType>
        <xsd:restriction base="dms:Choice">
          <xsd:enumeration value="Operation Documents"/>
          <xsd:enumeration value="Reports"/>
          <xsd:enumeration value="Unspecified"/>
        </xsd:restriction>
      </xsd:simpleType>
    </xsd:element>
    <xsd:element name="Sort_x0020_Order" ma:index="10" nillable="true" ma:displayName="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6bebb505-54d2-483b-bb92-78d719d0d018" xsi:nil="true"/>
    <Sort_x0020_Order xmlns="6bebb505-54d2-483b-bb92-78d719d0d018" xsi:nil="true"/>
    <Agency_x0020_Committee xmlns="6bebb505-54d2-483b-bb92-78d719d0d018">15</Agency_x0020_Committee>
  </documentManagement>
</p:properties>
</file>

<file path=customXml/itemProps1.xml><?xml version="1.0" encoding="utf-8"?>
<ds:datastoreItem xmlns:ds="http://schemas.openxmlformats.org/officeDocument/2006/customXml" ds:itemID="{81C929A5-E478-475A-AC5E-EE44D2A346F0}"/>
</file>

<file path=customXml/itemProps2.xml><?xml version="1.0" encoding="utf-8"?>
<ds:datastoreItem xmlns:ds="http://schemas.openxmlformats.org/officeDocument/2006/customXml" ds:itemID="{69362492-57E8-4B0A-B735-70AD8F249E9D}"/>
</file>

<file path=customXml/itemProps3.xml><?xml version="1.0" encoding="utf-8"?>
<ds:datastoreItem xmlns:ds="http://schemas.openxmlformats.org/officeDocument/2006/customXml" ds:itemID="{C9E6C2A6-E532-4BCA-B540-A9BA900E151F}"/>
</file>

<file path=docProps/app.xml><?xml version="1.0" encoding="utf-8"?>
<Properties xmlns="http://schemas.openxmlformats.org/officeDocument/2006/extended-properties" xmlns:vt="http://schemas.openxmlformats.org/officeDocument/2006/docPropsVTypes">
  <Template>Normal</Template>
  <TotalTime>22</TotalTime>
  <Pages>20</Pages>
  <Words>4199</Words>
  <Characters>23939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 State Plan Input Responses</dc:title>
  <dc:subject/>
  <dc:creator>EMERY Shelly</dc:creator>
  <cp:keywords/>
  <dc:description/>
  <cp:lastModifiedBy>EMERY Shelly</cp:lastModifiedBy>
  <cp:revision>13</cp:revision>
  <dcterms:created xsi:type="dcterms:W3CDTF">2020-04-24T16:51:00Z</dcterms:created>
  <dcterms:modified xsi:type="dcterms:W3CDTF">2021-06-14T16:12:00Z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0x0101001BDB83EC04F73745BF80402BF0031E07</vt:lpwstr>
  </property>
  <property fmtid="{D5CDD505-2E9C-101B-9397-08002B2CF9AE}" pid="3" name="WorkflowChangePath">
    <vt:lpwstr>cca9d124-648f-4b18-9a59-d034ee97c387,2;</vt:lpwstr>
  </property>
</Properties>
</file>