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81CE" w14:textId="68540FED" w:rsidR="007D700D" w:rsidRPr="00E855CC" w:rsidRDefault="00577D19" w:rsidP="007D700D">
      <w:pPr>
        <w:pStyle w:val="Heading1"/>
        <w:rPr>
          <w:rFonts w:ascii="Noto Sans" w:hAnsi="Noto Sans" w:cs="Noto Sans"/>
          <w:b/>
          <w:color w:val="2E3192"/>
          <w:sz w:val="40"/>
          <w:szCs w:val="40"/>
        </w:rPr>
      </w:pPr>
      <w:r w:rsidRPr="00E855CC">
        <w:rPr>
          <w:rFonts w:ascii="Noto Sans" w:hAnsi="Noto Sans" w:cs="Noto Sans"/>
          <w:b/>
          <w:bCs w:val="0"/>
          <w:color w:val="2E3192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6F953520" wp14:editId="226E2FCF">
            <wp:simplePos x="0" y="0"/>
            <wp:positionH relativeFrom="margin">
              <wp:posOffset>18415</wp:posOffset>
            </wp:positionH>
            <wp:positionV relativeFrom="paragraph">
              <wp:posOffset>-38100</wp:posOffset>
            </wp:positionV>
            <wp:extent cx="2891518" cy="809625"/>
            <wp:effectExtent l="0" t="0" r="0" b="0"/>
            <wp:wrapNone/>
            <wp:docPr id="2109322044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22044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18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1FA" w:rsidRPr="00E855CC">
        <w:rPr>
          <w:rFonts w:ascii="Noto Sans" w:hAnsi="Noto Sans" w:cs="Noto Sans"/>
          <w:b/>
          <w:color w:val="2E3192"/>
          <w:sz w:val="40"/>
          <w:szCs w:val="40"/>
        </w:rPr>
        <w:t xml:space="preserve">Renewal </w:t>
      </w:r>
      <w:r w:rsidR="00772E7F" w:rsidRPr="00E855CC">
        <w:rPr>
          <w:rFonts w:ascii="Noto Sans" w:hAnsi="Noto Sans" w:cs="Noto Sans"/>
          <w:b/>
          <w:color w:val="2E3192"/>
          <w:sz w:val="40"/>
          <w:szCs w:val="40"/>
        </w:rPr>
        <w:t>Inspection</w:t>
      </w:r>
      <w:r w:rsidR="00093FFC" w:rsidRPr="00E855CC">
        <w:rPr>
          <w:rFonts w:ascii="Noto Sans" w:hAnsi="Noto Sans" w:cs="Noto Sans"/>
          <w:b/>
          <w:color w:val="2E3192"/>
          <w:sz w:val="40"/>
          <w:szCs w:val="40"/>
        </w:rPr>
        <w:t xml:space="preserve"> </w:t>
      </w:r>
      <w:r w:rsidRPr="00E855CC">
        <w:rPr>
          <w:rFonts w:ascii="Noto Sans" w:hAnsi="Noto Sans" w:cs="Noto Sans"/>
          <w:b/>
          <w:color w:val="2E3192"/>
          <w:sz w:val="40"/>
          <w:szCs w:val="40"/>
        </w:rPr>
        <w:t>Questionnaire</w:t>
      </w:r>
    </w:p>
    <w:p w14:paraId="54B74C71" w14:textId="619A52ED" w:rsidR="007D700D" w:rsidRPr="008660BD" w:rsidRDefault="007D700D" w:rsidP="008660BD">
      <w:pPr>
        <w:pStyle w:val="BodyText1"/>
        <w:spacing w:before="0"/>
        <w:jc w:val="right"/>
        <w:rPr>
          <w:color w:val="2E3192"/>
          <w:sz w:val="40"/>
          <w:szCs w:val="40"/>
        </w:rPr>
      </w:pPr>
      <w:r w:rsidRPr="008660BD">
        <w:rPr>
          <w:color w:val="2E3192"/>
          <w:sz w:val="40"/>
          <w:szCs w:val="40"/>
        </w:rPr>
        <w:t>Quick Reference Guide</w:t>
      </w:r>
    </w:p>
    <w:p w14:paraId="0F4C9A18" w14:textId="6824AB99" w:rsidR="00E30F8A" w:rsidRPr="00E855CC" w:rsidRDefault="00E30F8A" w:rsidP="1A694A14">
      <w:pPr>
        <w:spacing w:after="0" w:line="240" w:lineRule="auto"/>
        <w:rPr>
          <w:rStyle w:val="Heading1Char"/>
          <w:rFonts w:ascii="Noto Sans" w:hAnsi="Noto Sans" w:cs="Noto Sans"/>
          <w:b/>
          <w:color w:val="2E3192"/>
          <w:sz w:val="24"/>
          <w:szCs w:val="24"/>
        </w:rPr>
      </w:pPr>
    </w:p>
    <w:p w14:paraId="6050F1F4" w14:textId="05EAF61D" w:rsidR="00E855CC" w:rsidRPr="000B5743" w:rsidRDefault="00E855CC" w:rsidP="000B5743">
      <w:pPr>
        <w:spacing w:line="240" w:lineRule="auto"/>
        <w:ind w:left="180"/>
        <w:rPr>
          <w:rStyle w:val="Emphasis"/>
          <w:i w:val="0"/>
          <w:iCs w:val="0"/>
        </w:rPr>
      </w:pPr>
      <w:r w:rsidRPr="000B5743">
        <w:rPr>
          <w:rStyle w:val="Emphasis"/>
          <w:b/>
          <w:bCs/>
          <w:i w:val="0"/>
          <w:iCs w:val="0"/>
        </w:rPr>
        <w:t>Note:</w:t>
      </w:r>
      <w:r w:rsidRPr="000B5743">
        <w:rPr>
          <w:rStyle w:val="Emphasis"/>
          <w:i w:val="0"/>
          <w:iCs w:val="0"/>
        </w:rPr>
        <w:t xml:space="preserve"> This guide is to be used as a supplemental document to help you understand what information should be included for each question of the </w:t>
      </w:r>
      <w:hyperlink r:id="rId12" w:history="1">
        <w:r w:rsidRPr="00CF3DB1">
          <w:rPr>
            <w:rStyle w:val="Hyperlink"/>
            <w:rFonts w:cs="Noto Sans"/>
          </w:rPr>
          <w:t>inspection questionnaire</w:t>
        </w:r>
      </w:hyperlink>
      <w:r w:rsidRPr="000B5743">
        <w:rPr>
          <w:rStyle w:val="Emphasis"/>
          <w:i w:val="0"/>
          <w:iCs w:val="0"/>
        </w:rPr>
        <w:t>.</w:t>
      </w:r>
    </w:p>
    <w:p w14:paraId="68234043" w14:textId="76DB90DA" w:rsidR="00D551EA" w:rsidRPr="002A3E67" w:rsidRDefault="00901E5D" w:rsidP="000B5743">
      <w:pPr>
        <w:tabs>
          <w:tab w:val="left" w:pos="3118"/>
        </w:tabs>
        <w:spacing w:line="240" w:lineRule="auto"/>
        <w:ind w:left="180"/>
        <w:rPr>
          <w:rStyle w:val="Emphasis"/>
          <w:rFonts w:eastAsiaTheme="majorEastAsia"/>
          <w:b/>
          <w:bCs/>
          <w:i w:val="0"/>
          <w:iCs w:val="0"/>
          <w:noProof/>
          <w:color w:val="2E3192"/>
        </w:rPr>
      </w:pPr>
      <w:r w:rsidRPr="00D4195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F959" wp14:editId="5F7F13B1">
                <wp:simplePos x="0" y="0"/>
                <wp:positionH relativeFrom="margin">
                  <wp:posOffset>131197</wp:posOffset>
                </wp:positionH>
                <wp:positionV relativeFrom="page">
                  <wp:posOffset>1224501</wp:posOffset>
                </wp:positionV>
                <wp:extent cx="8810045" cy="0"/>
                <wp:effectExtent l="0" t="0" r="0" b="0"/>
                <wp:wrapNone/>
                <wp:docPr id="86822821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100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602E7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0.35pt,96.4pt" to="704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" strokecolor="#94b64e [3046]" strokeweight="1.5pt">
                <w10:wrap anchorx="margin" anchory="page"/>
              </v:line>
            </w:pict>
          </mc:Fallback>
        </mc:AlternateContent>
      </w:r>
      <w:r w:rsidR="00EF5F56" w:rsidRPr="00D4195C">
        <w:rPr>
          <w:rStyle w:val="Heading2Char"/>
          <w:rFonts w:ascii="Noto Sans" w:hAnsi="Noto Sans" w:cs="Noto Sans"/>
          <w:b/>
          <w:bCs/>
          <w:color w:val="2E3192"/>
          <w:sz w:val="36"/>
          <w:szCs w:val="36"/>
        </w:rPr>
        <w:t xml:space="preserve">Site </w:t>
      </w:r>
      <w:r w:rsidR="00EF5F56" w:rsidRPr="007E324E">
        <w:rPr>
          <w:rStyle w:val="Heading2Char"/>
          <w:rFonts w:ascii="Noto Sans" w:hAnsi="Noto Sans" w:cs="Noto Sans"/>
          <w:b/>
          <w:bCs/>
          <w:color w:val="2E3192"/>
          <w:sz w:val="36"/>
          <w:szCs w:val="36"/>
        </w:rPr>
        <w:t>Address</w:t>
      </w:r>
      <w:r w:rsidR="00EF5F56" w:rsidRPr="00D4195C">
        <w:rPr>
          <w:rStyle w:val="Heading2Char"/>
          <w:rFonts w:ascii="Noto Sans" w:hAnsi="Noto Sans" w:cs="Noto Sans"/>
          <w:b/>
          <w:bCs/>
          <w:color w:val="2E3192"/>
          <w:sz w:val="36"/>
          <w:szCs w:val="36"/>
        </w:rPr>
        <w:t>:</w:t>
      </w:r>
      <w:r w:rsidR="00EF5F56" w:rsidRPr="00D4195C">
        <w:rPr>
          <w:rStyle w:val="Heading2Char"/>
          <w:rFonts w:ascii="Noto Sans" w:hAnsi="Noto Sans" w:cs="Noto Sans"/>
          <w:color w:val="2E3192"/>
          <w:sz w:val="36"/>
          <w:szCs w:val="36"/>
        </w:rPr>
        <w:t xml:space="preserve"> </w:t>
      </w:r>
      <w:r w:rsidR="00562341" w:rsidRPr="000B5743">
        <w:rPr>
          <w:rStyle w:val="Heading1Char"/>
          <w:rFonts w:ascii="Noto Sans" w:eastAsiaTheme="majorEastAsia" w:hAnsi="Noto Sans" w:cs="Noto Sans"/>
          <w:bCs w:val="0"/>
          <w:color w:val="auto"/>
          <w:sz w:val="24"/>
          <w:szCs w:val="24"/>
        </w:rPr>
        <w:t>The address of the licensed or certified setting</w:t>
      </w:r>
    </w:p>
    <w:tbl>
      <w:tblPr>
        <w:tblW w:w="1390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80" w:firstRow="0" w:lastRow="0" w:firstColumn="1" w:lastColumn="0" w:noHBand="1" w:noVBand="1"/>
      </w:tblPr>
      <w:tblGrid>
        <w:gridCol w:w="4285"/>
        <w:gridCol w:w="9620"/>
      </w:tblGrid>
      <w:tr w:rsidR="00A170E4" w:rsidRPr="00D4195C" w14:paraId="55C31CDA" w14:textId="77777777" w:rsidTr="00D906B7">
        <w:trPr>
          <w:cantSplit/>
          <w:trHeight w:val="451"/>
        </w:trPr>
        <w:tc>
          <w:tcPr>
            <w:tcW w:w="4285" w:type="dxa"/>
          </w:tcPr>
          <w:p w14:paraId="08C053B4" w14:textId="619CE2AD" w:rsidR="00A170E4" w:rsidRPr="007E324E" w:rsidRDefault="00A170E4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Individual Names</w:t>
            </w:r>
          </w:p>
        </w:tc>
        <w:tc>
          <w:tcPr>
            <w:tcW w:w="9620" w:type="dxa"/>
          </w:tcPr>
          <w:p w14:paraId="5D5F35D8" w14:textId="3D110606" w:rsidR="007E714A" w:rsidRPr="007E324E" w:rsidRDefault="007E714A" w:rsidP="00CF3DB1">
            <w:r w:rsidRPr="007E324E">
              <w:t xml:space="preserve">List the full name of each </w:t>
            </w:r>
            <w:r w:rsidR="00CF3DB1">
              <w:t>person</w:t>
            </w:r>
            <w:r w:rsidRPr="007E324E">
              <w:t xml:space="preserve"> receiving services in the home.</w:t>
            </w:r>
            <w:r w:rsidR="00570506" w:rsidRPr="007E324E">
              <w:t xml:space="preserve"> </w:t>
            </w:r>
            <w:r w:rsidR="007D230D" w:rsidRPr="007E324E">
              <w:t xml:space="preserve">The </w:t>
            </w:r>
            <w:r w:rsidRPr="007E324E">
              <w:t xml:space="preserve">Person Code (P1, P2, </w:t>
            </w:r>
            <w:proofErr w:type="spellStart"/>
            <w:r w:rsidRPr="007E324E">
              <w:t>etc</w:t>
            </w:r>
            <w:proofErr w:type="spellEnd"/>
            <w:r w:rsidRPr="007E324E">
              <w:t xml:space="preserve">) to each </w:t>
            </w:r>
            <w:r w:rsidR="00CF3DB1">
              <w:t>person</w:t>
            </w:r>
            <w:r w:rsidRPr="007E324E">
              <w:t>. The Person Codes, instead of individuals’ names, will be used in the licensi</w:t>
            </w:r>
            <w:r w:rsidR="007153E4" w:rsidRPr="007E324E">
              <w:t xml:space="preserve">ng report </w:t>
            </w:r>
            <w:r w:rsidR="004F1E9D" w:rsidRPr="007E324E">
              <w:t>to protect confidentiality.</w:t>
            </w:r>
          </w:p>
        </w:tc>
      </w:tr>
      <w:tr w:rsidR="00F52151" w:rsidRPr="00D4195C" w14:paraId="63335FFA" w14:textId="77777777" w:rsidTr="00D906B7">
        <w:trPr>
          <w:cantSplit/>
          <w:trHeight w:val="143"/>
        </w:trPr>
        <w:tc>
          <w:tcPr>
            <w:tcW w:w="4285" w:type="dxa"/>
          </w:tcPr>
          <w:p w14:paraId="33835E07" w14:textId="79E50279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Entry/Exit</w:t>
            </w:r>
          </w:p>
        </w:tc>
        <w:tc>
          <w:tcPr>
            <w:tcW w:w="9620" w:type="dxa"/>
          </w:tcPr>
          <w:p w14:paraId="66109FDF" w14:textId="645D9B5D" w:rsidR="00F52151" w:rsidRPr="007E324E" w:rsidRDefault="00F52151" w:rsidP="00CF3DB1">
            <w:r w:rsidRPr="007E324E">
              <w:t xml:space="preserve">If individual(s) moved in (entry) or out (exit) of the home since the last renewal inspection, include the date(s) of their entry or exit. If </w:t>
            </w:r>
            <w:r w:rsidR="000C385C" w:rsidRPr="007E324E">
              <w:t>you need more space for individuals, you can use another page</w:t>
            </w:r>
            <w:r w:rsidR="009964E7" w:rsidRPr="007E324E">
              <w:t>.</w:t>
            </w:r>
          </w:p>
        </w:tc>
      </w:tr>
      <w:tr w:rsidR="00F52151" w:rsidRPr="00D4195C" w14:paraId="0381471C" w14:textId="77777777" w:rsidTr="00D906B7">
        <w:trPr>
          <w:cantSplit/>
          <w:trHeight w:val="143"/>
        </w:trPr>
        <w:tc>
          <w:tcPr>
            <w:tcW w:w="4285" w:type="dxa"/>
          </w:tcPr>
          <w:p w14:paraId="2846CF3A" w14:textId="0EEC6640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Aspiration Risk</w:t>
            </w:r>
          </w:p>
        </w:tc>
        <w:tc>
          <w:tcPr>
            <w:tcW w:w="9620" w:type="dxa"/>
          </w:tcPr>
          <w:p w14:paraId="7DB425EE" w14:textId="381D641B" w:rsidR="00F52151" w:rsidRPr="007E324E" w:rsidRDefault="00F52151" w:rsidP="00CF3DB1">
            <w:r w:rsidRPr="007E324E">
              <w:t>Check the box if the individual has an identified risk of Aspiration</w:t>
            </w:r>
            <w:r w:rsidR="000F6657" w:rsidRPr="007E324E">
              <w:t>.</w:t>
            </w:r>
          </w:p>
        </w:tc>
      </w:tr>
      <w:tr w:rsidR="00F52151" w:rsidRPr="00D4195C" w14:paraId="0D38499D" w14:textId="77777777" w:rsidTr="00D906B7">
        <w:trPr>
          <w:cantSplit/>
          <w:trHeight w:val="143"/>
        </w:trPr>
        <w:tc>
          <w:tcPr>
            <w:tcW w:w="4285" w:type="dxa"/>
          </w:tcPr>
          <w:p w14:paraId="1D861539" w14:textId="7CAB6729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Dehydration Risk</w:t>
            </w:r>
          </w:p>
        </w:tc>
        <w:tc>
          <w:tcPr>
            <w:tcW w:w="9620" w:type="dxa"/>
          </w:tcPr>
          <w:p w14:paraId="03B8B0B9" w14:textId="10CAA6E3" w:rsidR="00F52151" w:rsidRPr="007E324E" w:rsidRDefault="00F52151" w:rsidP="00CF3DB1">
            <w:r w:rsidRPr="007E324E">
              <w:t>Check the box if the individual has an identified risk of Dehydration.</w:t>
            </w:r>
          </w:p>
        </w:tc>
      </w:tr>
      <w:tr w:rsidR="00F52151" w:rsidRPr="00D4195C" w14:paraId="55900CBE" w14:textId="77777777" w:rsidTr="00D906B7">
        <w:trPr>
          <w:cantSplit/>
          <w:trHeight w:val="143"/>
        </w:trPr>
        <w:tc>
          <w:tcPr>
            <w:tcW w:w="4285" w:type="dxa"/>
          </w:tcPr>
          <w:p w14:paraId="3F60463A" w14:textId="7C8A0169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Constipation Risk</w:t>
            </w:r>
          </w:p>
        </w:tc>
        <w:tc>
          <w:tcPr>
            <w:tcW w:w="9620" w:type="dxa"/>
          </w:tcPr>
          <w:p w14:paraId="1E283F32" w14:textId="03723A1C" w:rsidR="00F52151" w:rsidRPr="007E324E" w:rsidRDefault="00F52151" w:rsidP="00CF3DB1">
            <w:r w:rsidRPr="007E324E">
              <w:t>Check the box if the individual has an identified risk of Constipation.</w:t>
            </w:r>
          </w:p>
        </w:tc>
      </w:tr>
      <w:tr w:rsidR="00F52151" w:rsidRPr="00D4195C" w14:paraId="588E0AEF" w14:textId="77777777" w:rsidTr="00D906B7">
        <w:trPr>
          <w:cantSplit/>
          <w:trHeight w:val="143"/>
        </w:trPr>
        <w:tc>
          <w:tcPr>
            <w:tcW w:w="4285" w:type="dxa"/>
          </w:tcPr>
          <w:p w14:paraId="15AE4D55" w14:textId="47FEE3BA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Seizures</w:t>
            </w:r>
          </w:p>
        </w:tc>
        <w:tc>
          <w:tcPr>
            <w:tcW w:w="9620" w:type="dxa"/>
          </w:tcPr>
          <w:p w14:paraId="1FE6E307" w14:textId="2E6FECBA" w:rsidR="00F52151" w:rsidRPr="007E324E" w:rsidRDefault="00F52151" w:rsidP="00CF3DB1">
            <w:r w:rsidRPr="007E324E">
              <w:t>Check the box if the individual has an identified risk of Seizures.</w:t>
            </w:r>
          </w:p>
        </w:tc>
      </w:tr>
      <w:tr w:rsidR="00F52151" w:rsidRPr="00D4195C" w14:paraId="233A73FA" w14:textId="77777777" w:rsidTr="00D906B7">
        <w:trPr>
          <w:cantSplit/>
          <w:trHeight w:val="143"/>
        </w:trPr>
        <w:tc>
          <w:tcPr>
            <w:tcW w:w="4285" w:type="dxa"/>
          </w:tcPr>
          <w:p w14:paraId="1402B8E0" w14:textId="4F0B4DCA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Fall Risk/with Injuries</w:t>
            </w:r>
          </w:p>
        </w:tc>
        <w:tc>
          <w:tcPr>
            <w:tcW w:w="9620" w:type="dxa"/>
          </w:tcPr>
          <w:p w14:paraId="2E7ADC9A" w14:textId="05D1AA68" w:rsidR="00F52151" w:rsidRPr="007E324E" w:rsidRDefault="00F52151" w:rsidP="00CF3DB1">
            <w:r w:rsidRPr="007E324E">
              <w:t>Check the box if the individual has had an injury due to falling since the last renewal inspection.</w:t>
            </w:r>
          </w:p>
        </w:tc>
      </w:tr>
      <w:tr w:rsidR="00F52151" w:rsidRPr="00D4195C" w14:paraId="41F03C25" w14:textId="77777777" w:rsidTr="00D906B7">
        <w:trPr>
          <w:cantSplit/>
          <w:trHeight w:val="143"/>
        </w:trPr>
        <w:tc>
          <w:tcPr>
            <w:tcW w:w="4285" w:type="dxa"/>
          </w:tcPr>
          <w:p w14:paraId="2A1A4D8B" w14:textId="77ABAC91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Ingest non-edibles</w:t>
            </w:r>
          </w:p>
        </w:tc>
        <w:tc>
          <w:tcPr>
            <w:tcW w:w="9620" w:type="dxa"/>
          </w:tcPr>
          <w:p w14:paraId="2A0DE1A9" w14:textId="0F5D9DBE" w:rsidR="00F52151" w:rsidRPr="007E324E" w:rsidRDefault="00F52151" w:rsidP="00CF3DB1">
            <w:r w:rsidRPr="007E324E">
              <w:t>Check the box if the individual has an identified risk of Ingesting Non-Edible Objects.</w:t>
            </w:r>
          </w:p>
        </w:tc>
      </w:tr>
      <w:tr w:rsidR="00F52151" w:rsidRPr="00D4195C" w14:paraId="269BE5B3" w14:textId="77777777" w:rsidTr="00D906B7">
        <w:trPr>
          <w:cantSplit/>
          <w:trHeight w:val="143"/>
        </w:trPr>
        <w:tc>
          <w:tcPr>
            <w:tcW w:w="4285" w:type="dxa"/>
          </w:tcPr>
          <w:p w14:paraId="14334BDD" w14:textId="1873233A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Specialized Diet</w:t>
            </w:r>
          </w:p>
        </w:tc>
        <w:tc>
          <w:tcPr>
            <w:tcW w:w="9620" w:type="dxa"/>
          </w:tcPr>
          <w:p w14:paraId="7EB55ABE" w14:textId="772A9B32" w:rsidR="00F52151" w:rsidRPr="007E324E" w:rsidRDefault="00F52151" w:rsidP="00CF3DB1">
            <w:r w:rsidRPr="007E324E">
              <w:t xml:space="preserve">List the specialized or modified diet for each </w:t>
            </w:r>
            <w:r w:rsidR="00CF3DB1">
              <w:t>person</w:t>
            </w:r>
            <w:r w:rsidRPr="007E324E">
              <w:t>. If not applicable, mark as “N/A”</w:t>
            </w:r>
          </w:p>
        </w:tc>
      </w:tr>
      <w:tr w:rsidR="00F52151" w:rsidRPr="00D4195C" w14:paraId="4D8CBBAD" w14:textId="77777777" w:rsidTr="00D906B7">
        <w:trPr>
          <w:cantSplit/>
          <w:trHeight w:val="143"/>
        </w:trPr>
        <w:tc>
          <w:tcPr>
            <w:tcW w:w="4285" w:type="dxa"/>
          </w:tcPr>
          <w:p w14:paraId="1C19678B" w14:textId="4C429622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lastRenderedPageBreak/>
              <w:t>Major Medical Issues</w:t>
            </w:r>
          </w:p>
        </w:tc>
        <w:tc>
          <w:tcPr>
            <w:tcW w:w="9620" w:type="dxa"/>
          </w:tcPr>
          <w:p w14:paraId="06BCA2F8" w14:textId="5346FD39" w:rsidR="00F52151" w:rsidRPr="007E324E" w:rsidRDefault="00F52151" w:rsidP="00CF3DB1">
            <w:r w:rsidRPr="007E324E">
              <w:t>List the current major medical issues each individual experiences. If not applicable, mark as “N/A”</w:t>
            </w:r>
          </w:p>
        </w:tc>
      </w:tr>
      <w:tr w:rsidR="00F52151" w:rsidRPr="00D4195C" w14:paraId="539F93AD" w14:textId="77777777" w:rsidTr="00D906B7">
        <w:trPr>
          <w:cantSplit/>
          <w:trHeight w:val="143"/>
        </w:trPr>
        <w:tc>
          <w:tcPr>
            <w:tcW w:w="4285" w:type="dxa"/>
          </w:tcPr>
          <w:p w14:paraId="53A31949" w14:textId="77777777" w:rsidR="007D700D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RN Services</w:t>
            </w:r>
            <w:r w:rsidR="007D700D" w:rsidRPr="007E324E">
              <w:rPr>
                <w:b/>
                <w:bCs/>
                <w:color w:val="2E3192"/>
              </w:rPr>
              <w:t>/</w:t>
            </w:r>
          </w:p>
          <w:p w14:paraId="234884D3" w14:textId="34D738B0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Delegation/Training</w:t>
            </w:r>
          </w:p>
        </w:tc>
        <w:tc>
          <w:tcPr>
            <w:tcW w:w="9620" w:type="dxa"/>
          </w:tcPr>
          <w:p w14:paraId="6D1AC32F" w14:textId="3960960E" w:rsidR="00F52151" w:rsidRPr="007E324E" w:rsidRDefault="00F52151" w:rsidP="00CF3DB1">
            <w:r w:rsidRPr="007E324E">
              <w:t>Check the box if the individual has Registered Nursing services, delegation, or training.</w:t>
            </w:r>
          </w:p>
        </w:tc>
      </w:tr>
      <w:tr w:rsidR="00F52151" w:rsidRPr="00D4195C" w14:paraId="4F14A2D3" w14:textId="77777777" w:rsidTr="00D906B7">
        <w:trPr>
          <w:cantSplit/>
          <w:trHeight w:val="288"/>
        </w:trPr>
        <w:tc>
          <w:tcPr>
            <w:tcW w:w="4285" w:type="dxa"/>
          </w:tcPr>
          <w:p w14:paraId="075A0F1A" w14:textId="369C9658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Most Medical</w:t>
            </w:r>
          </w:p>
        </w:tc>
        <w:tc>
          <w:tcPr>
            <w:tcW w:w="9620" w:type="dxa"/>
          </w:tcPr>
          <w:p w14:paraId="5A502B4F" w14:textId="3DE027FD" w:rsidR="00F52151" w:rsidRPr="007E324E" w:rsidRDefault="00F52151" w:rsidP="00CF3DB1">
            <w:r w:rsidRPr="007E324E">
              <w:t>Check one box for the individual who has the most medical support needs.</w:t>
            </w:r>
          </w:p>
        </w:tc>
      </w:tr>
      <w:tr w:rsidR="00F52151" w:rsidRPr="00D4195C" w14:paraId="53C768F3" w14:textId="77777777" w:rsidTr="00D906B7">
        <w:trPr>
          <w:cantSplit/>
          <w:trHeight w:val="143"/>
        </w:trPr>
        <w:tc>
          <w:tcPr>
            <w:tcW w:w="4285" w:type="dxa"/>
          </w:tcPr>
          <w:p w14:paraId="45A7E242" w14:textId="784B0509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Positive Behavior Support Plan</w:t>
            </w:r>
          </w:p>
        </w:tc>
        <w:tc>
          <w:tcPr>
            <w:tcW w:w="9620" w:type="dxa"/>
          </w:tcPr>
          <w:p w14:paraId="6CA86F6F" w14:textId="76E3D75D" w:rsidR="00F52151" w:rsidRPr="007E324E" w:rsidRDefault="00F52151" w:rsidP="00CF3DB1">
            <w:r w:rsidRPr="007E324E">
              <w:t xml:space="preserve">Check the box if the individual has a Positive Behavior Support Plan. </w:t>
            </w:r>
          </w:p>
        </w:tc>
      </w:tr>
      <w:tr w:rsidR="00F52151" w:rsidRPr="00D4195C" w14:paraId="759AED64" w14:textId="77777777" w:rsidTr="00D906B7">
        <w:trPr>
          <w:cantSplit/>
          <w:trHeight w:val="143"/>
        </w:trPr>
        <w:tc>
          <w:tcPr>
            <w:tcW w:w="4285" w:type="dxa"/>
          </w:tcPr>
          <w:p w14:paraId="61D81E8B" w14:textId="6E4933B8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Safeguarding Interventions</w:t>
            </w:r>
          </w:p>
        </w:tc>
        <w:tc>
          <w:tcPr>
            <w:tcW w:w="9620" w:type="dxa"/>
          </w:tcPr>
          <w:p w14:paraId="3AC041B5" w14:textId="3420AA0C" w:rsidR="00F52151" w:rsidRPr="007E324E" w:rsidRDefault="00F52151" w:rsidP="00CF3DB1">
            <w:r w:rsidRPr="007E324E">
              <w:t>Check the box if the individual has approved Safeguarding Interventions in their Positive Behavior Support Plan.</w:t>
            </w:r>
          </w:p>
        </w:tc>
      </w:tr>
      <w:tr w:rsidR="00F52151" w:rsidRPr="00D4195C" w14:paraId="62E98508" w14:textId="77777777" w:rsidTr="00D906B7">
        <w:trPr>
          <w:cantSplit/>
          <w:trHeight w:val="143"/>
        </w:trPr>
        <w:tc>
          <w:tcPr>
            <w:tcW w:w="4285" w:type="dxa"/>
          </w:tcPr>
          <w:p w14:paraId="2479695D" w14:textId="0BA87475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Safeguarding Equipment</w:t>
            </w:r>
          </w:p>
        </w:tc>
        <w:tc>
          <w:tcPr>
            <w:tcW w:w="9620" w:type="dxa"/>
          </w:tcPr>
          <w:p w14:paraId="0558CC1B" w14:textId="72E90831" w:rsidR="00F52151" w:rsidRPr="007E324E" w:rsidRDefault="00F52151" w:rsidP="00CF3DB1">
            <w:r w:rsidRPr="007E324E">
              <w:t>Check the box if the individual has approved Safeguarding Equipment in their Positive Behavior Support Plan.</w:t>
            </w:r>
          </w:p>
        </w:tc>
      </w:tr>
      <w:tr w:rsidR="00F52151" w:rsidRPr="00D4195C" w14:paraId="615474FB" w14:textId="77777777" w:rsidTr="00D906B7">
        <w:trPr>
          <w:cantSplit/>
          <w:trHeight w:val="143"/>
        </w:trPr>
        <w:tc>
          <w:tcPr>
            <w:tcW w:w="4285" w:type="dxa"/>
          </w:tcPr>
          <w:p w14:paraId="55B4FF16" w14:textId="141B1495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Emergency Physical Interventions</w:t>
            </w:r>
          </w:p>
        </w:tc>
        <w:tc>
          <w:tcPr>
            <w:tcW w:w="9620" w:type="dxa"/>
          </w:tcPr>
          <w:p w14:paraId="77F1BD53" w14:textId="24A7B8CA" w:rsidR="00F52151" w:rsidRPr="007E324E" w:rsidRDefault="00F52151" w:rsidP="00CF3DB1">
            <w:r w:rsidRPr="007E324E">
              <w:t>Check the box if the individual has needed an Emergency Physical Intervention since the last renewal inspection.</w:t>
            </w:r>
          </w:p>
        </w:tc>
      </w:tr>
      <w:tr w:rsidR="00F52151" w:rsidRPr="00D4195C" w14:paraId="0C6ECD7E" w14:textId="77777777" w:rsidTr="00D906B7">
        <w:trPr>
          <w:cantSplit/>
          <w:trHeight w:val="143"/>
        </w:trPr>
        <w:tc>
          <w:tcPr>
            <w:tcW w:w="4285" w:type="dxa"/>
          </w:tcPr>
          <w:p w14:paraId="4CEB90BD" w14:textId="70F16F36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Most Behavioral</w:t>
            </w:r>
          </w:p>
        </w:tc>
        <w:tc>
          <w:tcPr>
            <w:tcW w:w="9620" w:type="dxa"/>
          </w:tcPr>
          <w:p w14:paraId="0D6A6B3A" w14:textId="00BF5E10" w:rsidR="00F52151" w:rsidRPr="007E324E" w:rsidRDefault="00F52151" w:rsidP="00CF3DB1">
            <w:r w:rsidRPr="007E324E">
              <w:t>Check one box for the individual who has the most behavioral support needs.</w:t>
            </w:r>
          </w:p>
        </w:tc>
      </w:tr>
      <w:tr w:rsidR="00F52151" w:rsidRPr="00D4195C" w14:paraId="6C7064B4" w14:textId="77777777" w:rsidTr="00D906B7">
        <w:trPr>
          <w:cantSplit/>
          <w:trHeight w:val="143"/>
        </w:trPr>
        <w:tc>
          <w:tcPr>
            <w:tcW w:w="4285" w:type="dxa"/>
          </w:tcPr>
          <w:p w14:paraId="6AD99506" w14:textId="4C9E1BD5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Police Involvement, Jail, Court Orders</w:t>
            </w:r>
          </w:p>
        </w:tc>
        <w:tc>
          <w:tcPr>
            <w:tcW w:w="9620" w:type="dxa"/>
          </w:tcPr>
          <w:p w14:paraId="696ED55B" w14:textId="37EE85E9" w:rsidR="00F52151" w:rsidRPr="007E324E" w:rsidRDefault="00F52151" w:rsidP="00CF3DB1">
            <w:r w:rsidRPr="007E324E">
              <w:t>Check the box if the individual has had any police involvement, been to jail, or had court orders, since the last renewal inspection.</w:t>
            </w:r>
          </w:p>
        </w:tc>
      </w:tr>
      <w:tr w:rsidR="00F52151" w:rsidRPr="00D4195C" w14:paraId="0D6D86A2" w14:textId="77777777" w:rsidTr="00D906B7">
        <w:trPr>
          <w:cantSplit/>
          <w:trHeight w:val="143"/>
        </w:trPr>
        <w:tc>
          <w:tcPr>
            <w:tcW w:w="4285" w:type="dxa"/>
          </w:tcPr>
          <w:p w14:paraId="1CF4888B" w14:textId="02089FE3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Home/Community Alone</w:t>
            </w:r>
          </w:p>
        </w:tc>
        <w:tc>
          <w:tcPr>
            <w:tcW w:w="9620" w:type="dxa"/>
          </w:tcPr>
          <w:p w14:paraId="000A07B6" w14:textId="6C219733" w:rsidR="00F52151" w:rsidRPr="007E324E" w:rsidRDefault="00F52151" w:rsidP="00CF3DB1">
            <w:r w:rsidRPr="007E324E">
              <w:t>Check the box if the individual has an approved variance to remain home alone or if they spend time in the community without paid caregivers.</w:t>
            </w:r>
          </w:p>
        </w:tc>
      </w:tr>
      <w:tr w:rsidR="00F52151" w:rsidRPr="00D4195C" w14:paraId="22DD242B" w14:textId="77777777" w:rsidTr="00D906B7">
        <w:trPr>
          <w:cantSplit/>
          <w:trHeight w:val="143"/>
        </w:trPr>
        <w:tc>
          <w:tcPr>
            <w:tcW w:w="4285" w:type="dxa"/>
          </w:tcPr>
          <w:p w14:paraId="53F562AE" w14:textId="5F67B1DA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Alarms</w:t>
            </w:r>
            <w:r w:rsidR="00E855CC" w:rsidRPr="007E324E">
              <w:rPr>
                <w:b/>
                <w:bCs/>
                <w:color w:val="2E3192"/>
              </w:rPr>
              <w:t>/M</w:t>
            </w:r>
            <w:r w:rsidRPr="007E324E">
              <w:rPr>
                <w:b/>
                <w:bCs/>
                <w:color w:val="2E3192"/>
              </w:rPr>
              <w:t>otion detectors</w:t>
            </w:r>
          </w:p>
        </w:tc>
        <w:tc>
          <w:tcPr>
            <w:tcW w:w="9620" w:type="dxa"/>
          </w:tcPr>
          <w:p w14:paraId="0136625E" w14:textId="49A28931" w:rsidR="00F52151" w:rsidRPr="007E324E" w:rsidRDefault="00F52151" w:rsidP="00CF3DB1">
            <w:r w:rsidRPr="007E324E">
              <w:t>List all places in the home that have alarms or motion detectors for individual safety. This does not include fire or smoke alarms.</w:t>
            </w:r>
          </w:p>
        </w:tc>
      </w:tr>
      <w:tr w:rsidR="00F52151" w:rsidRPr="00D4195C" w14:paraId="312F1F2B" w14:textId="77777777" w:rsidTr="00D906B7">
        <w:trPr>
          <w:cantSplit/>
          <w:trHeight w:val="143"/>
        </w:trPr>
        <w:tc>
          <w:tcPr>
            <w:tcW w:w="4285" w:type="dxa"/>
          </w:tcPr>
          <w:p w14:paraId="47BC958F" w14:textId="6DF1478E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lastRenderedPageBreak/>
              <w:t>Locks</w:t>
            </w:r>
          </w:p>
        </w:tc>
        <w:tc>
          <w:tcPr>
            <w:tcW w:w="9620" w:type="dxa"/>
          </w:tcPr>
          <w:p w14:paraId="25583406" w14:textId="2B47B0FE" w:rsidR="00F52151" w:rsidRPr="007E324E" w:rsidRDefault="00F52151" w:rsidP="00CF3DB1">
            <w:r w:rsidRPr="007E324E">
              <w:t>List all items in the home that are locked, that are not already required by rule.</w:t>
            </w:r>
          </w:p>
        </w:tc>
      </w:tr>
      <w:tr w:rsidR="00F52151" w:rsidRPr="00D4195C" w14:paraId="5ECD3DB4" w14:textId="77777777" w:rsidTr="00D906B7">
        <w:trPr>
          <w:cantSplit/>
          <w:trHeight w:val="143"/>
        </w:trPr>
        <w:tc>
          <w:tcPr>
            <w:tcW w:w="4285" w:type="dxa"/>
          </w:tcPr>
          <w:p w14:paraId="5ACF586B" w14:textId="3E8F1FAB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List any IBL’s and the reason they are being used</w:t>
            </w:r>
          </w:p>
        </w:tc>
        <w:tc>
          <w:tcPr>
            <w:tcW w:w="9620" w:type="dxa"/>
          </w:tcPr>
          <w:p w14:paraId="72CEE3EB" w14:textId="3DE67426" w:rsidR="00F52151" w:rsidRPr="007E324E" w:rsidRDefault="00F52151" w:rsidP="00CF3DB1">
            <w:r w:rsidRPr="007E324E">
              <w:t>List all Individually Based Limitations for each individual and why are they are being used.</w:t>
            </w:r>
          </w:p>
        </w:tc>
      </w:tr>
      <w:tr w:rsidR="00F52151" w:rsidRPr="00D4195C" w14:paraId="11943842" w14:textId="77777777" w:rsidTr="00D906B7">
        <w:trPr>
          <w:cantSplit/>
          <w:trHeight w:val="143"/>
        </w:trPr>
        <w:tc>
          <w:tcPr>
            <w:tcW w:w="4285" w:type="dxa"/>
          </w:tcPr>
          <w:p w14:paraId="24B02C8E" w14:textId="5C5311F6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Rep Payee</w:t>
            </w:r>
          </w:p>
        </w:tc>
        <w:tc>
          <w:tcPr>
            <w:tcW w:w="9620" w:type="dxa"/>
          </w:tcPr>
          <w:p w14:paraId="335293A9" w14:textId="06EFA9C7" w:rsidR="00F52151" w:rsidRPr="007E324E" w:rsidRDefault="00F52151" w:rsidP="00CF3DB1">
            <w:r w:rsidRPr="007E324E">
              <w:t xml:space="preserve">List each </w:t>
            </w:r>
            <w:r w:rsidR="00CF3DB1">
              <w:t>person’s</w:t>
            </w:r>
            <w:r w:rsidRPr="007E324E">
              <w:t xml:space="preserve"> representative payee.</w:t>
            </w:r>
          </w:p>
        </w:tc>
      </w:tr>
      <w:tr w:rsidR="00F52151" w:rsidRPr="00D4195C" w14:paraId="17E357ED" w14:textId="77777777" w:rsidTr="00D906B7">
        <w:trPr>
          <w:cantSplit/>
          <w:trHeight w:val="143"/>
        </w:trPr>
        <w:tc>
          <w:tcPr>
            <w:tcW w:w="4285" w:type="dxa"/>
          </w:tcPr>
          <w:p w14:paraId="5FAE7E6B" w14:textId="1BC07F1E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Substantiated PSI's</w:t>
            </w:r>
          </w:p>
        </w:tc>
        <w:tc>
          <w:tcPr>
            <w:tcW w:w="9620" w:type="dxa"/>
          </w:tcPr>
          <w:p w14:paraId="0A38E111" w14:textId="2F7C61E6" w:rsidR="00F52151" w:rsidRPr="007E324E" w:rsidRDefault="00F52151" w:rsidP="00CF3DB1">
            <w:r w:rsidRPr="007E324E">
              <w:t xml:space="preserve">Check the box if the individual has had substantiated abuse since the last renewal inspection. </w:t>
            </w:r>
          </w:p>
        </w:tc>
      </w:tr>
      <w:tr w:rsidR="00F52151" w:rsidRPr="00D4195C" w14:paraId="72D67FA8" w14:textId="77777777" w:rsidTr="00D906B7">
        <w:trPr>
          <w:cantSplit/>
          <w:trHeight w:val="143"/>
        </w:trPr>
        <w:tc>
          <w:tcPr>
            <w:tcW w:w="4285" w:type="dxa"/>
          </w:tcPr>
          <w:p w14:paraId="296DB654" w14:textId="25C9E184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Most Changes in Support Needs (Increase or Decrease)</w:t>
            </w:r>
          </w:p>
        </w:tc>
        <w:tc>
          <w:tcPr>
            <w:tcW w:w="9620" w:type="dxa"/>
          </w:tcPr>
          <w:p w14:paraId="582691D3" w14:textId="066843D9" w:rsidR="00F52151" w:rsidRPr="007E324E" w:rsidRDefault="00F52151" w:rsidP="00CF3DB1">
            <w:r w:rsidRPr="007E324E">
              <w:t>Check one box for the individual who has the most changes in support needs since the last renewal inspection. This can be either an increase or decrease in need.</w:t>
            </w:r>
          </w:p>
        </w:tc>
      </w:tr>
      <w:tr w:rsidR="00F52151" w:rsidRPr="00D4195C" w14:paraId="1D7584E6" w14:textId="77777777" w:rsidTr="00D906B7">
        <w:trPr>
          <w:cantSplit/>
          <w:trHeight w:val="143"/>
        </w:trPr>
        <w:tc>
          <w:tcPr>
            <w:tcW w:w="4285" w:type="dxa"/>
          </w:tcPr>
          <w:p w14:paraId="44527CF6" w14:textId="69A95EDF" w:rsidR="00F52151" w:rsidRPr="007E324E" w:rsidRDefault="00F52151" w:rsidP="00CF3DB1">
            <w:pPr>
              <w:rPr>
                <w:b/>
                <w:bCs/>
                <w:color w:val="2E3192"/>
              </w:rPr>
            </w:pPr>
            <w:r w:rsidRPr="007E324E">
              <w:rPr>
                <w:b/>
                <w:bCs/>
                <w:color w:val="2E3192"/>
              </w:rPr>
              <w:t>Potential Causes of Distress</w:t>
            </w:r>
          </w:p>
        </w:tc>
        <w:tc>
          <w:tcPr>
            <w:tcW w:w="9620" w:type="dxa"/>
          </w:tcPr>
          <w:p w14:paraId="74AC8118" w14:textId="2C75DF0E" w:rsidR="00F52151" w:rsidRPr="007E324E" w:rsidRDefault="00CF3DB1" w:rsidP="00CF3DB1">
            <w:r>
              <w:t>List</w:t>
            </w:r>
            <w:r w:rsidR="00F52151" w:rsidRPr="007E324E">
              <w:t xml:space="preserve"> situations, environments, or interactions that may cause someone in your home to feel unsafe, anxious, or unsettled. This helps ODDS licensing prepare for your inspection.</w:t>
            </w:r>
          </w:p>
        </w:tc>
      </w:tr>
    </w:tbl>
    <w:p w14:paraId="4BA6306F" w14:textId="0D06D381" w:rsidR="009A2DA9" w:rsidRPr="002A3E67" w:rsidRDefault="009A2DA9" w:rsidP="00260B90">
      <w:pPr>
        <w:spacing w:after="0" w:line="240" w:lineRule="auto"/>
        <w:ind w:left="180"/>
        <w:rPr>
          <w:rFonts w:eastAsia="Calibri"/>
        </w:rPr>
      </w:pPr>
    </w:p>
    <w:p w14:paraId="3ACC8810" w14:textId="00FD5FB9" w:rsidR="009A2DA9" w:rsidRPr="002A3E67" w:rsidRDefault="00F8467A" w:rsidP="00260B90">
      <w:pPr>
        <w:spacing w:after="0" w:line="240" w:lineRule="auto"/>
        <w:ind w:left="180"/>
        <w:rPr>
          <w:rFonts w:eastAsia="Calibri"/>
        </w:rPr>
      </w:pPr>
      <w:r w:rsidRPr="00F8467A">
        <w:rPr>
          <w:rFonts w:eastAsia="Calibri" w:cs="Arial"/>
          <w:noProof/>
          <w:szCs w:val="26"/>
          <w14:ligatures w14:val="standardContextual"/>
        </w:rPr>
        <mc:AlternateContent>
          <mc:Choice Requires="wps">
            <w:drawing>
              <wp:inline distT="0" distB="0" distL="0" distR="0" wp14:anchorId="134DFC20" wp14:editId="5A928BD1">
                <wp:extent cx="8791575" cy="0"/>
                <wp:effectExtent l="0" t="0" r="0" b="0"/>
                <wp:docPr id="134606711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1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86C67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ACEDD0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9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" strokecolor="#86c679" strokeweight=".5pt">
                <v:stroke joinstyle="miter"/>
                <w10:anchorlock/>
              </v:line>
            </w:pict>
          </mc:Fallback>
        </mc:AlternateContent>
      </w:r>
    </w:p>
    <w:p w14:paraId="1E4E8ACC" w14:textId="177C0CE1" w:rsidR="00DA0490" w:rsidRPr="002A3E67" w:rsidRDefault="00260B90" w:rsidP="00CF3DB1">
      <w:pPr>
        <w:spacing w:after="0" w:line="240" w:lineRule="auto"/>
        <w:ind w:left="180"/>
        <w:rPr>
          <w:rFonts w:eastAsia="Calibri"/>
        </w:rPr>
      </w:pPr>
      <w:r w:rsidRPr="002A3E67">
        <w:rPr>
          <w:rFonts w:eastAsia="Calibri"/>
        </w:rPr>
        <w:t xml:space="preserve">You can get this document in other languages, large print, braille or a format you prefer free of charge. Contact the Office of Developmental Disabilities Services at </w:t>
      </w:r>
      <w:hyperlink r:id="rId13" w:history="1">
        <w:r w:rsidR="009A2DA9" w:rsidRPr="002A3E67">
          <w:rPr>
            <w:rStyle w:val="Hyperlink"/>
            <w:rFonts w:eastAsia="Calibri" w:cs="Noto Sans"/>
          </w:rPr>
          <w:t>dd.licensing@odhsoha.oregon.gov</w:t>
        </w:r>
      </w:hyperlink>
      <w:r w:rsidR="009A2DA9" w:rsidRPr="002A3E67">
        <w:rPr>
          <w:rFonts w:eastAsia="Calibri"/>
        </w:rPr>
        <w:t xml:space="preserve"> </w:t>
      </w:r>
      <w:r w:rsidRPr="002A3E67">
        <w:rPr>
          <w:rFonts w:eastAsia="Calibri"/>
        </w:rPr>
        <w:t>or 503-945-7800. We accept all relay calls.</w:t>
      </w:r>
    </w:p>
    <w:sectPr w:rsidR="00DA0490" w:rsidRPr="002A3E67" w:rsidSect="0051381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5840" w:h="12240" w:orient="landscape" w:code="1"/>
      <w:pgMar w:top="630" w:right="1080" w:bottom="720" w:left="720" w:header="288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4176" w14:textId="77777777" w:rsidR="00493BE1" w:rsidRDefault="00493BE1">
      <w:pPr>
        <w:spacing w:after="0" w:line="240" w:lineRule="auto"/>
      </w:pPr>
      <w:r>
        <w:separator/>
      </w:r>
    </w:p>
  </w:endnote>
  <w:endnote w:type="continuationSeparator" w:id="0">
    <w:p w14:paraId="121CD264" w14:textId="77777777" w:rsidR="00493BE1" w:rsidRDefault="00493BE1">
      <w:pPr>
        <w:spacing w:after="0" w:line="240" w:lineRule="auto"/>
      </w:pPr>
      <w:r>
        <w:continuationSeparator/>
      </w:r>
    </w:p>
  </w:endnote>
  <w:endnote w:type="continuationNotice" w:id="1">
    <w:p w14:paraId="41B63947" w14:textId="77777777" w:rsidR="00493BE1" w:rsidRDefault="00493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68939" w14:textId="77777777" w:rsidR="009E1E8C" w:rsidRDefault="009E1E8C">
    <w:pPr>
      <w:pStyle w:val="Footer"/>
    </w:pPr>
  </w:p>
  <w:p w14:paraId="5AE954A2" w14:textId="77777777" w:rsidR="00766EEA" w:rsidRDefault="00766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7E10A" w14:textId="2E1BB8E4" w:rsidR="00F12E6A" w:rsidRPr="00FB1985" w:rsidRDefault="007273D4" w:rsidP="007273D4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 w:rsidR="00577D19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BE13F4">
      <w:rPr>
        <w:color w:val="1F497D" w:themeColor="text2"/>
      </w:rPr>
      <w:tab/>
    </w:r>
    <w:r w:rsidR="00577D19">
      <w:rPr>
        <w:color w:val="1F497D" w:themeColor="text2"/>
      </w:rPr>
      <w:tab/>
    </w:r>
    <w:r w:rsidR="00577D19">
      <w:rPr>
        <w:color w:val="1F497D" w:themeColor="text2"/>
      </w:rPr>
      <w:tab/>
    </w:r>
    <w:r w:rsidR="00F12E6A" w:rsidRPr="009E1E8C">
      <w:rPr>
        <w:color w:val="1F497D" w:themeColor="text2"/>
      </w:rPr>
      <w:t xml:space="preserve">Page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PAGE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  <w:r w:rsidR="00F12E6A" w:rsidRPr="00FB1985">
      <w:rPr>
        <w:color w:val="244061" w:themeColor="accent1" w:themeShade="80"/>
      </w:rPr>
      <w:t xml:space="preserve"> of </w:t>
    </w:r>
    <w:r w:rsidR="00F12E6A" w:rsidRPr="00FB1985">
      <w:rPr>
        <w:color w:val="244061" w:themeColor="accent1" w:themeShade="80"/>
      </w:rPr>
      <w:fldChar w:fldCharType="begin"/>
    </w:r>
    <w:r w:rsidR="00F12E6A" w:rsidRPr="00FB1985">
      <w:rPr>
        <w:color w:val="244061" w:themeColor="accent1" w:themeShade="80"/>
      </w:rPr>
      <w:instrText xml:space="preserve"> NUMPAGES  \* Arabic  \* MERGEFORMAT </w:instrText>
    </w:r>
    <w:r w:rsidR="00F12E6A" w:rsidRPr="00FB1985">
      <w:rPr>
        <w:color w:val="244061" w:themeColor="accent1" w:themeShade="80"/>
      </w:rPr>
      <w:fldChar w:fldCharType="separate"/>
    </w:r>
    <w:r w:rsidR="00F12E6A" w:rsidRPr="00FB1985">
      <w:rPr>
        <w:noProof/>
        <w:color w:val="244061" w:themeColor="accent1" w:themeShade="80"/>
      </w:rPr>
      <w:t>2</w:t>
    </w:r>
    <w:r w:rsidR="00F12E6A" w:rsidRPr="00FB1985">
      <w:rPr>
        <w:color w:val="244061" w:themeColor="accent1" w:themeShade="80"/>
      </w:rPr>
      <w:fldChar w:fldCharType="end"/>
    </w:r>
  </w:p>
  <w:p w14:paraId="36071BB6" w14:textId="03970077" w:rsidR="00FA31F9" w:rsidRPr="00FB1985" w:rsidRDefault="00FA31F9" w:rsidP="005850A7">
    <w:pPr>
      <w:spacing w:after="0" w:line="240" w:lineRule="auto"/>
      <w:jc w:val="right"/>
      <w:rPr>
        <w:sz w:val="20"/>
        <w:szCs w:val="20"/>
      </w:rPr>
    </w:pPr>
  </w:p>
  <w:p w14:paraId="6778F2D2" w14:textId="77777777" w:rsidR="00766EEA" w:rsidRDefault="00766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48AF" w14:textId="59ED0877" w:rsidR="00AE58DF" w:rsidRPr="00FB1985" w:rsidRDefault="00AE58DF" w:rsidP="00AE58DF">
    <w:pPr>
      <w:pStyle w:val="Footer"/>
      <w:spacing w:after="0"/>
      <w:jc w:val="center"/>
      <w:rPr>
        <w:color w:val="244061" w:themeColor="accent1" w:themeShade="80"/>
      </w:rPr>
    </w:pPr>
    <w:r w:rsidRPr="009E1E8C">
      <w:rPr>
        <w:color w:val="1F497D" w:themeColor="text2"/>
      </w:rPr>
      <w:t>Nov. 1, 2025</w:t>
    </w:r>
    <w:r>
      <w:rPr>
        <w:color w:val="1F497D" w:themeColor="text2"/>
      </w:rPr>
      <w:tab/>
    </w:r>
    <w:r>
      <w:rPr>
        <w:color w:val="1F497D" w:themeColor="text2"/>
      </w:rPr>
      <w:tab/>
    </w:r>
    <w:r w:rsidR="00BE13F4">
      <w:rPr>
        <w:color w:val="1F497D" w:themeColor="text2"/>
      </w:rPr>
      <w:tab/>
    </w:r>
    <w:r w:rsidR="003C0912">
      <w:rPr>
        <w:color w:val="1F497D" w:themeColor="text2"/>
      </w:rPr>
      <w:tab/>
    </w:r>
    <w:r w:rsidR="003C0912">
      <w:rPr>
        <w:color w:val="1F497D" w:themeColor="text2"/>
      </w:rPr>
      <w:tab/>
    </w:r>
    <w:r>
      <w:rPr>
        <w:color w:val="1F497D" w:themeColor="text2"/>
      </w:rPr>
      <w:tab/>
    </w:r>
    <w:r w:rsidRPr="009E1E8C">
      <w:rPr>
        <w:color w:val="1F497D" w:themeColor="text2"/>
      </w:rPr>
      <w:t xml:space="preserve">Page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PAGE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2</w:t>
    </w:r>
    <w:r w:rsidRPr="00FB1985">
      <w:rPr>
        <w:color w:val="244061" w:themeColor="accent1" w:themeShade="80"/>
      </w:rPr>
      <w:fldChar w:fldCharType="end"/>
    </w:r>
    <w:r w:rsidRPr="00FB1985">
      <w:rPr>
        <w:color w:val="244061" w:themeColor="accent1" w:themeShade="80"/>
      </w:rPr>
      <w:t xml:space="preserve"> of </w:t>
    </w:r>
    <w:r w:rsidRPr="00FB1985">
      <w:rPr>
        <w:color w:val="244061" w:themeColor="accent1" w:themeShade="80"/>
      </w:rPr>
      <w:fldChar w:fldCharType="begin"/>
    </w:r>
    <w:r w:rsidRPr="00FB1985">
      <w:rPr>
        <w:color w:val="244061" w:themeColor="accent1" w:themeShade="80"/>
      </w:rPr>
      <w:instrText xml:space="preserve"> NUMPAGES  \* Arabic  \* MERGEFORMAT </w:instrText>
    </w:r>
    <w:r w:rsidRPr="00FB1985">
      <w:rPr>
        <w:color w:val="244061" w:themeColor="accent1" w:themeShade="80"/>
      </w:rPr>
      <w:fldChar w:fldCharType="separate"/>
    </w:r>
    <w:r>
      <w:rPr>
        <w:color w:val="244061" w:themeColor="accent1" w:themeShade="80"/>
      </w:rPr>
      <w:t>5</w:t>
    </w:r>
    <w:r w:rsidRPr="00FB1985">
      <w:rPr>
        <w:color w:val="244061" w:themeColor="accent1" w:themeShade="80"/>
      </w:rPr>
      <w:fldChar w:fldCharType="end"/>
    </w:r>
  </w:p>
  <w:p w14:paraId="58A2E440" w14:textId="77777777" w:rsidR="00AE58DF" w:rsidRDefault="00AE5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A5A9" w14:textId="77777777" w:rsidR="00493BE1" w:rsidRDefault="00493BE1">
      <w:pPr>
        <w:spacing w:after="0" w:line="240" w:lineRule="auto"/>
      </w:pPr>
      <w:r>
        <w:separator/>
      </w:r>
    </w:p>
  </w:footnote>
  <w:footnote w:type="continuationSeparator" w:id="0">
    <w:p w14:paraId="65BC1D5C" w14:textId="77777777" w:rsidR="00493BE1" w:rsidRDefault="00493BE1">
      <w:pPr>
        <w:spacing w:after="0" w:line="240" w:lineRule="auto"/>
      </w:pPr>
      <w:r>
        <w:continuationSeparator/>
      </w:r>
    </w:p>
  </w:footnote>
  <w:footnote w:type="continuationNotice" w:id="1">
    <w:p w14:paraId="50A6CEC2" w14:textId="77777777" w:rsidR="00493BE1" w:rsidRDefault="00493B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D93D" w14:textId="77777777" w:rsidR="009E1E8C" w:rsidRDefault="009E1E8C">
    <w:pPr>
      <w:pStyle w:val="Header"/>
    </w:pPr>
  </w:p>
  <w:p w14:paraId="62F8A781" w14:textId="77777777" w:rsidR="00766EEA" w:rsidRDefault="00766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1F1E" w14:textId="42E2CB89" w:rsidR="00E523BD" w:rsidRPr="00B17C17" w:rsidRDefault="00E523BD" w:rsidP="00B17C17">
    <w:pPr>
      <w:spacing w:after="0" w:line="240" w:lineRule="auto"/>
      <w:rPr>
        <w:rFonts w:ascii="Times New Roman" w:hAnsi="Times New Roman" w:cs="Times New Roman"/>
        <w:b/>
        <w:sz w:val="40"/>
        <w:szCs w:val="40"/>
      </w:rPr>
    </w:pPr>
  </w:p>
  <w:p w14:paraId="64CED5B5" w14:textId="77777777" w:rsidR="00766EEA" w:rsidRDefault="00766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113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BD"/>
    <w:rsid w:val="000033C7"/>
    <w:rsid w:val="0002548F"/>
    <w:rsid w:val="0003234B"/>
    <w:rsid w:val="00033AE9"/>
    <w:rsid w:val="00040013"/>
    <w:rsid w:val="000411B0"/>
    <w:rsid w:val="00051207"/>
    <w:rsid w:val="00052843"/>
    <w:rsid w:val="00054121"/>
    <w:rsid w:val="00060B5D"/>
    <w:rsid w:val="0006419C"/>
    <w:rsid w:val="00066957"/>
    <w:rsid w:val="000703E6"/>
    <w:rsid w:val="0007273C"/>
    <w:rsid w:val="000872AA"/>
    <w:rsid w:val="00092563"/>
    <w:rsid w:val="00093FFC"/>
    <w:rsid w:val="000B5743"/>
    <w:rsid w:val="000C385C"/>
    <w:rsid w:val="000C4493"/>
    <w:rsid w:val="000D6ED3"/>
    <w:rsid w:val="000F19A3"/>
    <w:rsid w:val="000F5FE3"/>
    <w:rsid w:val="000F6657"/>
    <w:rsid w:val="00107586"/>
    <w:rsid w:val="00111AD3"/>
    <w:rsid w:val="00112C8D"/>
    <w:rsid w:val="00115AA1"/>
    <w:rsid w:val="00120301"/>
    <w:rsid w:val="0014016A"/>
    <w:rsid w:val="0014427F"/>
    <w:rsid w:val="00144C78"/>
    <w:rsid w:val="00145B7B"/>
    <w:rsid w:val="0015291F"/>
    <w:rsid w:val="00155B50"/>
    <w:rsid w:val="00160069"/>
    <w:rsid w:val="001A617B"/>
    <w:rsid w:val="001B60F0"/>
    <w:rsid w:val="001D14D2"/>
    <w:rsid w:val="001F3CD4"/>
    <w:rsid w:val="00201475"/>
    <w:rsid w:val="00204293"/>
    <w:rsid w:val="0021240C"/>
    <w:rsid w:val="00217648"/>
    <w:rsid w:val="0022192C"/>
    <w:rsid w:val="00234925"/>
    <w:rsid w:val="00235AD7"/>
    <w:rsid w:val="00243FAC"/>
    <w:rsid w:val="00252283"/>
    <w:rsid w:val="002523B9"/>
    <w:rsid w:val="00252AAA"/>
    <w:rsid w:val="00256D27"/>
    <w:rsid w:val="00260B90"/>
    <w:rsid w:val="00262C3E"/>
    <w:rsid w:val="00294EB8"/>
    <w:rsid w:val="002A3E67"/>
    <w:rsid w:val="002B40E0"/>
    <w:rsid w:val="002B457D"/>
    <w:rsid w:val="002C4493"/>
    <w:rsid w:val="002D1349"/>
    <w:rsid w:val="002D5B35"/>
    <w:rsid w:val="002D7275"/>
    <w:rsid w:val="002E381D"/>
    <w:rsid w:val="002F0330"/>
    <w:rsid w:val="00302DF6"/>
    <w:rsid w:val="00304029"/>
    <w:rsid w:val="0030780F"/>
    <w:rsid w:val="00307DFE"/>
    <w:rsid w:val="003113DF"/>
    <w:rsid w:val="00336A63"/>
    <w:rsid w:val="0037310C"/>
    <w:rsid w:val="00375A8F"/>
    <w:rsid w:val="00386AA2"/>
    <w:rsid w:val="00391106"/>
    <w:rsid w:val="003956B5"/>
    <w:rsid w:val="003B637D"/>
    <w:rsid w:val="003C0912"/>
    <w:rsid w:val="003C2BD7"/>
    <w:rsid w:val="003D5774"/>
    <w:rsid w:val="003F1A54"/>
    <w:rsid w:val="0040705B"/>
    <w:rsid w:val="004154F9"/>
    <w:rsid w:val="004203FE"/>
    <w:rsid w:val="0042241D"/>
    <w:rsid w:val="004237D6"/>
    <w:rsid w:val="00423800"/>
    <w:rsid w:val="00430429"/>
    <w:rsid w:val="004535AF"/>
    <w:rsid w:val="00455A62"/>
    <w:rsid w:val="00460016"/>
    <w:rsid w:val="00466949"/>
    <w:rsid w:val="0047247B"/>
    <w:rsid w:val="00483650"/>
    <w:rsid w:val="00486F2B"/>
    <w:rsid w:val="00493BE1"/>
    <w:rsid w:val="0049753F"/>
    <w:rsid w:val="004A387F"/>
    <w:rsid w:val="004B1C94"/>
    <w:rsid w:val="004C0B82"/>
    <w:rsid w:val="004D09B6"/>
    <w:rsid w:val="004D4C94"/>
    <w:rsid w:val="004F1E9D"/>
    <w:rsid w:val="004F6199"/>
    <w:rsid w:val="00501930"/>
    <w:rsid w:val="00513817"/>
    <w:rsid w:val="0051471D"/>
    <w:rsid w:val="00522DA8"/>
    <w:rsid w:val="005316C9"/>
    <w:rsid w:val="00552FB2"/>
    <w:rsid w:val="005574F6"/>
    <w:rsid w:val="00562341"/>
    <w:rsid w:val="00570506"/>
    <w:rsid w:val="00577D19"/>
    <w:rsid w:val="00580A4A"/>
    <w:rsid w:val="005850A7"/>
    <w:rsid w:val="00586147"/>
    <w:rsid w:val="00590F92"/>
    <w:rsid w:val="0059745F"/>
    <w:rsid w:val="005A2517"/>
    <w:rsid w:val="005A7B53"/>
    <w:rsid w:val="005D0959"/>
    <w:rsid w:val="005D0F48"/>
    <w:rsid w:val="005E055E"/>
    <w:rsid w:val="005E44FD"/>
    <w:rsid w:val="005F1A59"/>
    <w:rsid w:val="005F5130"/>
    <w:rsid w:val="006064F2"/>
    <w:rsid w:val="00612F28"/>
    <w:rsid w:val="006177BB"/>
    <w:rsid w:val="00622F64"/>
    <w:rsid w:val="006306BA"/>
    <w:rsid w:val="00632805"/>
    <w:rsid w:val="00634D19"/>
    <w:rsid w:val="006640E5"/>
    <w:rsid w:val="00665B3B"/>
    <w:rsid w:val="006804F2"/>
    <w:rsid w:val="00682E70"/>
    <w:rsid w:val="0068505D"/>
    <w:rsid w:val="0069548D"/>
    <w:rsid w:val="006A3C0C"/>
    <w:rsid w:val="006A6BBE"/>
    <w:rsid w:val="006B6BBD"/>
    <w:rsid w:val="006D7E1A"/>
    <w:rsid w:val="006E7BA4"/>
    <w:rsid w:val="0071525E"/>
    <w:rsid w:val="007153E4"/>
    <w:rsid w:val="00722EB8"/>
    <w:rsid w:val="007273D4"/>
    <w:rsid w:val="007309C0"/>
    <w:rsid w:val="00732309"/>
    <w:rsid w:val="00744761"/>
    <w:rsid w:val="007632D2"/>
    <w:rsid w:val="00766EEA"/>
    <w:rsid w:val="00772E7F"/>
    <w:rsid w:val="0079320D"/>
    <w:rsid w:val="00794F9E"/>
    <w:rsid w:val="00795756"/>
    <w:rsid w:val="007A1455"/>
    <w:rsid w:val="007B26C6"/>
    <w:rsid w:val="007C00E1"/>
    <w:rsid w:val="007D230D"/>
    <w:rsid w:val="007D700D"/>
    <w:rsid w:val="007E324E"/>
    <w:rsid w:val="007E714A"/>
    <w:rsid w:val="007F307F"/>
    <w:rsid w:val="00817ACE"/>
    <w:rsid w:val="008217A3"/>
    <w:rsid w:val="00823ABD"/>
    <w:rsid w:val="00826A96"/>
    <w:rsid w:val="008271C0"/>
    <w:rsid w:val="00831755"/>
    <w:rsid w:val="0084081F"/>
    <w:rsid w:val="00840924"/>
    <w:rsid w:val="00840C0A"/>
    <w:rsid w:val="00851643"/>
    <w:rsid w:val="0086270E"/>
    <w:rsid w:val="00864BC0"/>
    <w:rsid w:val="008660BD"/>
    <w:rsid w:val="0086664A"/>
    <w:rsid w:val="00874FE0"/>
    <w:rsid w:val="0088382B"/>
    <w:rsid w:val="00885E47"/>
    <w:rsid w:val="0088611D"/>
    <w:rsid w:val="00892E86"/>
    <w:rsid w:val="00892F8A"/>
    <w:rsid w:val="00894417"/>
    <w:rsid w:val="008950B1"/>
    <w:rsid w:val="00897A78"/>
    <w:rsid w:val="008A032E"/>
    <w:rsid w:val="008A50BD"/>
    <w:rsid w:val="008B71A0"/>
    <w:rsid w:val="008C55AF"/>
    <w:rsid w:val="008C67E8"/>
    <w:rsid w:val="008C6D70"/>
    <w:rsid w:val="008C7319"/>
    <w:rsid w:val="008D5C4A"/>
    <w:rsid w:val="008F4803"/>
    <w:rsid w:val="008F7A63"/>
    <w:rsid w:val="00901E5D"/>
    <w:rsid w:val="00907829"/>
    <w:rsid w:val="00911D48"/>
    <w:rsid w:val="00917B94"/>
    <w:rsid w:val="00930AD0"/>
    <w:rsid w:val="0094568E"/>
    <w:rsid w:val="009467E7"/>
    <w:rsid w:val="00955D04"/>
    <w:rsid w:val="009606A5"/>
    <w:rsid w:val="00963E0D"/>
    <w:rsid w:val="009726BF"/>
    <w:rsid w:val="009865E3"/>
    <w:rsid w:val="009913C7"/>
    <w:rsid w:val="00994337"/>
    <w:rsid w:val="00995A7E"/>
    <w:rsid w:val="009964E7"/>
    <w:rsid w:val="009A2DA9"/>
    <w:rsid w:val="009B5340"/>
    <w:rsid w:val="009B69D5"/>
    <w:rsid w:val="009E1E8C"/>
    <w:rsid w:val="00A03A03"/>
    <w:rsid w:val="00A03CE8"/>
    <w:rsid w:val="00A05709"/>
    <w:rsid w:val="00A057DC"/>
    <w:rsid w:val="00A06811"/>
    <w:rsid w:val="00A127CA"/>
    <w:rsid w:val="00A1583C"/>
    <w:rsid w:val="00A170E4"/>
    <w:rsid w:val="00A17934"/>
    <w:rsid w:val="00A2554C"/>
    <w:rsid w:val="00A350B3"/>
    <w:rsid w:val="00A455B5"/>
    <w:rsid w:val="00A45C88"/>
    <w:rsid w:val="00A466C7"/>
    <w:rsid w:val="00A5094A"/>
    <w:rsid w:val="00A62967"/>
    <w:rsid w:val="00A64EEF"/>
    <w:rsid w:val="00A65885"/>
    <w:rsid w:val="00A75491"/>
    <w:rsid w:val="00A96FA9"/>
    <w:rsid w:val="00AA7419"/>
    <w:rsid w:val="00AA78E2"/>
    <w:rsid w:val="00AB3F3A"/>
    <w:rsid w:val="00AC6096"/>
    <w:rsid w:val="00AD091B"/>
    <w:rsid w:val="00AD72ED"/>
    <w:rsid w:val="00AE107D"/>
    <w:rsid w:val="00AE58DF"/>
    <w:rsid w:val="00AF11A9"/>
    <w:rsid w:val="00B1363B"/>
    <w:rsid w:val="00B17C17"/>
    <w:rsid w:val="00B228A4"/>
    <w:rsid w:val="00B2565A"/>
    <w:rsid w:val="00B27C99"/>
    <w:rsid w:val="00B35FAF"/>
    <w:rsid w:val="00B61D68"/>
    <w:rsid w:val="00B646E2"/>
    <w:rsid w:val="00B73D05"/>
    <w:rsid w:val="00B80E5D"/>
    <w:rsid w:val="00B84FBB"/>
    <w:rsid w:val="00B94C0B"/>
    <w:rsid w:val="00BA404D"/>
    <w:rsid w:val="00BA6DA0"/>
    <w:rsid w:val="00BB0890"/>
    <w:rsid w:val="00BB218E"/>
    <w:rsid w:val="00BC25AD"/>
    <w:rsid w:val="00BD5615"/>
    <w:rsid w:val="00BE13F4"/>
    <w:rsid w:val="00BE391F"/>
    <w:rsid w:val="00BF4F70"/>
    <w:rsid w:val="00C06543"/>
    <w:rsid w:val="00C25035"/>
    <w:rsid w:val="00C27A06"/>
    <w:rsid w:val="00C33DA3"/>
    <w:rsid w:val="00C33F0F"/>
    <w:rsid w:val="00C475DC"/>
    <w:rsid w:val="00C53A0F"/>
    <w:rsid w:val="00C54D79"/>
    <w:rsid w:val="00C7685B"/>
    <w:rsid w:val="00CC0217"/>
    <w:rsid w:val="00CC795C"/>
    <w:rsid w:val="00CD1604"/>
    <w:rsid w:val="00CD42A9"/>
    <w:rsid w:val="00CE1545"/>
    <w:rsid w:val="00CF2364"/>
    <w:rsid w:val="00CF3DB1"/>
    <w:rsid w:val="00CF5912"/>
    <w:rsid w:val="00D03CFD"/>
    <w:rsid w:val="00D07D9F"/>
    <w:rsid w:val="00D14CC0"/>
    <w:rsid w:val="00D2199D"/>
    <w:rsid w:val="00D31C48"/>
    <w:rsid w:val="00D3469E"/>
    <w:rsid w:val="00D372B9"/>
    <w:rsid w:val="00D3778A"/>
    <w:rsid w:val="00D4195C"/>
    <w:rsid w:val="00D446DF"/>
    <w:rsid w:val="00D451FA"/>
    <w:rsid w:val="00D551EA"/>
    <w:rsid w:val="00D61A7E"/>
    <w:rsid w:val="00D65BFC"/>
    <w:rsid w:val="00D71C74"/>
    <w:rsid w:val="00D869C4"/>
    <w:rsid w:val="00D906B7"/>
    <w:rsid w:val="00D92EED"/>
    <w:rsid w:val="00DA0490"/>
    <w:rsid w:val="00DC07F6"/>
    <w:rsid w:val="00DC15B6"/>
    <w:rsid w:val="00DC275A"/>
    <w:rsid w:val="00DD01B8"/>
    <w:rsid w:val="00E00B9C"/>
    <w:rsid w:val="00E30F8A"/>
    <w:rsid w:val="00E437ED"/>
    <w:rsid w:val="00E523BD"/>
    <w:rsid w:val="00E545CA"/>
    <w:rsid w:val="00E54A68"/>
    <w:rsid w:val="00E62471"/>
    <w:rsid w:val="00E6271D"/>
    <w:rsid w:val="00E7732C"/>
    <w:rsid w:val="00E84582"/>
    <w:rsid w:val="00E855CC"/>
    <w:rsid w:val="00EB1B63"/>
    <w:rsid w:val="00EB533F"/>
    <w:rsid w:val="00EC2C5C"/>
    <w:rsid w:val="00ED081A"/>
    <w:rsid w:val="00ED390C"/>
    <w:rsid w:val="00EE3517"/>
    <w:rsid w:val="00EF4B6E"/>
    <w:rsid w:val="00EF566C"/>
    <w:rsid w:val="00EF5F56"/>
    <w:rsid w:val="00F048DE"/>
    <w:rsid w:val="00F05A37"/>
    <w:rsid w:val="00F12E6A"/>
    <w:rsid w:val="00F17F21"/>
    <w:rsid w:val="00F24B99"/>
    <w:rsid w:val="00F24D57"/>
    <w:rsid w:val="00F307B5"/>
    <w:rsid w:val="00F410EB"/>
    <w:rsid w:val="00F42578"/>
    <w:rsid w:val="00F45987"/>
    <w:rsid w:val="00F52151"/>
    <w:rsid w:val="00F60125"/>
    <w:rsid w:val="00F72672"/>
    <w:rsid w:val="00F726F8"/>
    <w:rsid w:val="00F8467A"/>
    <w:rsid w:val="00F84B78"/>
    <w:rsid w:val="00F92910"/>
    <w:rsid w:val="00FA0ADB"/>
    <w:rsid w:val="00FA31F9"/>
    <w:rsid w:val="00FB050A"/>
    <w:rsid w:val="00FB1985"/>
    <w:rsid w:val="00FB7B5D"/>
    <w:rsid w:val="00FC4760"/>
    <w:rsid w:val="00FE278A"/>
    <w:rsid w:val="039F7605"/>
    <w:rsid w:val="1A694A14"/>
    <w:rsid w:val="3006A195"/>
    <w:rsid w:val="31CF00E4"/>
    <w:rsid w:val="3DA86AA6"/>
    <w:rsid w:val="41AE2889"/>
    <w:rsid w:val="4A5825C0"/>
    <w:rsid w:val="4AA9F130"/>
    <w:rsid w:val="4E39DA15"/>
    <w:rsid w:val="50EC3A23"/>
    <w:rsid w:val="60F195E0"/>
    <w:rsid w:val="7FB1E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184100"/>
  <w14:defaultImageDpi w14:val="96"/>
  <w15:docId w15:val="{0C549F00-1969-45B4-9B3B-FAB9D61E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="Times New Roman" w:hAnsi="Noto Sans" w:cs="Noto Sans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locked/>
    <w:rsid w:val="00F048DE"/>
    <w:pPr>
      <w:spacing w:after="0" w:line="240" w:lineRule="auto"/>
      <w:jc w:val="right"/>
      <w:outlineLvl w:val="0"/>
    </w:pPr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3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55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48DE"/>
    <w:rPr>
      <w:rFonts w:ascii="Times New Roman" w:hAnsi="Times New Roman" w:cs="Times New Roman"/>
      <w:bCs/>
      <w:noProof/>
      <w:color w:val="1F497D" w:themeColor="text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6270E"/>
    <w:rPr>
      <w:color w:val="666666"/>
    </w:rPr>
  </w:style>
  <w:style w:type="paragraph" w:customStyle="1" w:styleId="BodyText1">
    <w:name w:val="Body Text1"/>
    <w:basedOn w:val="Normal"/>
    <w:qFormat/>
    <w:rsid w:val="00F410EB"/>
    <w:pPr>
      <w:widowControl/>
      <w:autoSpaceDE/>
      <w:autoSpaceDN/>
      <w:adjustRightInd/>
      <w:spacing w:before="200" w:after="0" w:line="300" w:lineRule="auto"/>
      <w:ind w:left="202"/>
    </w:pPr>
    <w:rPr>
      <w:rFonts w:eastAsia="Calibri" w:cs="Arial"/>
      <w:szCs w:val="26"/>
    </w:rPr>
  </w:style>
  <w:style w:type="table" w:styleId="TableGrid">
    <w:name w:val="Table Grid"/>
    <w:basedOn w:val="TableNormal"/>
    <w:locked/>
    <w:rsid w:val="002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84582"/>
    <w:pPr>
      <w:adjustRightInd/>
      <w:spacing w:after="0" w:line="240" w:lineRule="auto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E84582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033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qFormat/>
    <w:locked/>
    <w:rsid w:val="00F6012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A2D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7A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rsid w:val="008F7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7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7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F7A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d.licensing@odhsoha.oregon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hs/licensing/idd-agencies/Documents/idd-afh-cfh-renewal-inspection-questionnaire-en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C02DA-2CF8-496F-8CB3-353A5F17B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C5220-57D0-4830-908F-61FBA9E0A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960E17-28BE-4F9A-9F64-060538D5A786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5f958f7-070a-4117-bcb5-b50c0ccba210"/>
    <ds:schemaRef ds:uri="http://schemas.microsoft.com/office/2006/documentManagement/types"/>
    <ds:schemaRef ds:uri="http://purl.org/dc/terms/"/>
    <ds:schemaRef ds:uri="http://purl.org/dc/elements/1.1/"/>
    <ds:schemaRef ds:uri="01f9cb89-d9d4-4aeb-89be-b015a7e5b5ef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DDFC82-958D-4F5C-8D23-D4C5F88D0FB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Questionnaire</vt:lpstr>
    </vt:vector>
  </TitlesOfParts>
  <Company>State of Oregon</Company>
  <LinksUpToDate>false</LinksUpToDate>
  <CharactersWithSpaces>4126</CharactersWithSpaces>
  <SharedDoc>false</SharedDoc>
  <HLinks>
    <vt:vector size="6" baseType="variant">
      <vt:variant>
        <vt:i4>4325484</vt:i4>
      </vt:variant>
      <vt:variant>
        <vt:i4>3</vt:i4>
      </vt:variant>
      <vt:variant>
        <vt:i4>0</vt:i4>
      </vt:variant>
      <vt:variant>
        <vt:i4>5</vt:i4>
      </vt:variant>
      <vt:variant>
        <vt:lpwstr>mailto:dd.licensing@odhsoha.oregon.gov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Questionnaire QRG</dc:title>
  <dc:subject/>
  <dc:creator>ODHS</dc:creator>
  <cp:keywords>24-Hour, Host Home, Foster</cp:keywords>
  <dc:description/>
  <cp:lastModifiedBy>Vanessa Vanderzee (she/they)</cp:lastModifiedBy>
  <cp:revision>2</cp:revision>
  <cp:lastPrinted>2018-04-18T22:14:00Z</cp:lastPrinted>
  <dcterms:created xsi:type="dcterms:W3CDTF">2026-01-21T23:06:00Z</dcterms:created>
  <dcterms:modified xsi:type="dcterms:W3CDTF">2026-01-21T23:06:00Z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2025-10-29T17:52:16Z</vt:lpwstr>
  </property>
  <property fmtid="{D5CDD505-2E9C-101B-9397-08002B2CF9AE}" pid="4" name="MSIP_Label_ebdd6eeb-0dd0-4927-947e-a759f08fcf55_Method">
    <vt:lpwstr>Standard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f014eb95-963d-4e5b-a343-70a61f42ea99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0x0101006CF68E153CD18E458CE915318A58F4E6</vt:lpwstr>
  </property>
  <property fmtid="{D5CDD505-2E9C-101B-9397-08002B2CF9AE}" pid="10" name="MediaServiceImageTags">
    <vt:lpwstr/>
  </property>
</Properties>
</file>