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3CD" w:rsidRPr="00A16341" w:rsidRDefault="003773CD" w:rsidP="003773CD">
      <w:pPr>
        <w:tabs>
          <w:tab w:val="left" w:pos="-1440"/>
          <w:tab w:val="left" w:pos="-720"/>
          <w:tab w:val="left" w:pos="288"/>
          <w:tab w:val="left" w:pos="864"/>
          <w:tab w:val="left" w:pos="1440"/>
          <w:tab w:val="left" w:pos="2016"/>
          <w:tab w:val="left" w:pos="2592"/>
          <w:tab w:val="left" w:pos="3168"/>
          <w:tab w:val="left" w:pos="3744"/>
          <w:tab w:val="left" w:pos="4320"/>
        </w:tabs>
        <w:spacing w:line="240" w:lineRule="auto"/>
        <w:ind w:left="864" w:hanging="864"/>
        <w:rPr>
          <w:rFonts w:asciiTheme="minorHAnsi" w:hAnsiTheme="minorHAnsi" w:cs="Arial"/>
          <w:szCs w:val="24"/>
        </w:rPr>
      </w:pPr>
      <w:r w:rsidRPr="00A16341">
        <w:rPr>
          <w:rFonts w:asciiTheme="minorHAnsi" w:hAnsiTheme="minorHAnsi" w:cs="Arial"/>
          <w:szCs w:val="24"/>
        </w:rPr>
        <w:t>II.</w:t>
      </w:r>
      <w:r w:rsidRPr="00A16341">
        <w:rPr>
          <w:rFonts w:asciiTheme="minorHAnsi" w:hAnsiTheme="minorHAnsi" w:cs="Arial"/>
          <w:szCs w:val="24"/>
        </w:rPr>
        <w:tab/>
        <w:t xml:space="preserve">GUIDELINES FOR INCLUSION OF CLACKAMAS COUNTY RESIDENTS </w:t>
      </w:r>
      <w:r>
        <w:rPr>
          <w:rFonts w:asciiTheme="minorHAnsi" w:hAnsiTheme="minorHAnsi" w:cs="Arial"/>
          <w:szCs w:val="24"/>
        </w:rPr>
        <w:t xml:space="preserve">AND </w:t>
      </w:r>
      <w:r w:rsidRPr="00A16341">
        <w:rPr>
          <w:rFonts w:asciiTheme="minorHAnsi" w:hAnsiTheme="minorHAnsi" w:cs="Arial"/>
          <w:szCs w:val="24"/>
        </w:rPr>
        <w:t>RESIDENTS</w:t>
      </w:r>
      <w:r w:rsidRPr="00A16341">
        <w:rPr>
          <w:rFonts w:asciiTheme="minorHAnsi" w:hAnsiTheme="minorHAnsi" w:cs="Arial"/>
          <w:szCs w:val="24"/>
        </w:rPr>
        <w:t xml:space="preserve"> </w:t>
      </w:r>
      <w:r w:rsidRPr="00A16341">
        <w:rPr>
          <w:rFonts w:asciiTheme="minorHAnsi" w:hAnsiTheme="minorHAnsi" w:cs="Arial"/>
          <w:szCs w:val="24"/>
        </w:rPr>
        <w:t>OF CONGREGATE LIVING FACILITIES IN CLACKAMAS COUNTY SENIOR CENTER ACTIVITIES</w:t>
      </w:r>
    </w:p>
    <w:p w:rsidR="003773CD" w:rsidRPr="00A16341" w:rsidRDefault="003773CD" w:rsidP="003773CD">
      <w:pPr>
        <w:tabs>
          <w:tab w:val="left" w:pos="-1440"/>
          <w:tab w:val="left" w:pos="-720"/>
          <w:tab w:val="left" w:pos="288"/>
          <w:tab w:val="left" w:pos="864"/>
          <w:tab w:val="left" w:pos="1440"/>
          <w:tab w:val="left" w:pos="2016"/>
          <w:tab w:val="left" w:pos="2592"/>
          <w:tab w:val="left" w:pos="3168"/>
          <w:tab w:val="left" w:pos="3744"/>
          <w:tab w:val="left" w:pos="4320"/>
        </w:tabs>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Clackamas County Senior Centers provide a variety of program and services for adults who are able to participate independently and without special assistance or supervision.</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Those who use the Center must be:</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Mobile or if of limited mobility, able to use walker, cane, wheelchair or other devise completely unassisted.</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Continent or wear appropriate protective undergarments and not need assistance with bathroom concerns.</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Physically able to care for personal needs and be able to take part in activities selected without special assistance.</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Mentally able to make responsible decisions regarding participation.</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Able to behave in an appropriate manner so not to disrupt or require supervision.</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Able to remove self from danger without assistance.</w:t>
      </w:r>
    </w:p>
    <w:p w:rsidR="003773CD" w:rsidRPr="00A16341" w:rsidRDefault="003773CD" w:rsidP="003773CD">
      <w:pPr>
        <w:widowControl/>
        <w:numPr>
          <w:ilvl w:val="0"/>
          <w:numId w:val="1"/>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Or, if unable to meet the above criteria, accompanied by a caregiver provided by the family or facility where the individual lives, to assist as necessary to comply with guidelines.</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If an individual lives in a care facility it is the responsibility of the facility to:</w:t>
      </w:r>
    </w:p>
    <w:p w:rsidR="003773CD" w:rsidRPr="00A16341" w:rsidRDefault="003773CD" w:rsidP="003773CD">
      <w:pPr>
        <w:widowControl/>
        <w:numPr>
          <w:ilvl w:val="0"/>
          <w:numId w:val="2"/>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Determine if it is appropriate for their resident to take part in Center activities.</w:t>
      </w:r>
    </w:p>
    <w:p w:rsidR="003773CD" w:rsidRPr="00A16341" w:rsidRDefault="003773CD" w:rsidP="003773CD">
      <w:pPr>
        <w:widowControl/>
        <w:numPr>
          <w:ilvl w:val="0"/>
          <w:numId w:val="2"/>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Make advance arrangements for such participation with the Center Director or appropriate designee.</w:t>
      </w:r>
    </w:p>
    <w:p w:rsidR="003773CD" w:rsidRPr="00A16341" w:rsidRDefault="003773CD" w:rsidP="003773CD">
      <w:pPr>
        <w:widowControl/>
        <w:numPr>
          <w:ilvl w:val="0"/>
          <w:numId w:val="2"/>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Communicate the information contained in these guidelines to their employees, residents and/or residents’ guardians and others involved in residents’ care who should be aware of these guidelines.</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b/>
          <w:szCs w:val="24"/>
        </w:rPr>
      </w:pPr>
      <w:r w:rsidRPr="00A16341">
        <w:rPr>
          <w:rFonts w:asciiTheme="minorHAnsi" w:hAnsiTheme="minorHAnsi" w:cs="Arial"/>
          <w:b/>
          <w:szCs w:val="24"/>
        </w:rPr>
        <w:t>Transportation</w:t>
      </w: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Some Centers provide transportation to and from the Centers and to grocery shopping.  Rides are subject to available space and priority is given to isolated individuals without access to transportation.  Individuals using Center transportation must be able to:</w:t>
      </w:r>
    </w:p>
    <w:p w:rsidR="003773CD" w:rsidRPr="00A16341" w:rsidRDefault="003773CD" w:rsidP="003773CD">
      <w:pPr>
        <w:widowControl/>
        <w:numPr>
          <w:ilvl w:val="0"/>
          <w:numId w:val="3"/>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Meet the Guidelines listed above.</w:t>
      </w:r>
    </w:p>
    <w:p w:rsidR="003773CD" w:rsidRPr="00A16341" w:rsidRDefault="003773CD" w:rsidP="003773CD">
      <w:pPr>
        <w:widowControl/>
        <w:numPr>
          <w:ilvl w:val="0"/>
          <w:numId w:val="3"/>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Be physically able to use the transportation available.</w:t>
      </w:r>
    </w:p>
    <w:p w:rsidR="003773CD" w:rsidRPr="00A16341" w:rsidRDefault="003773CD" w:rsidP="003773CD">
      <w:pPr>
        <w:widowControl/>
        <w:numPr>
          <w:ilvl w:val="0"/>
          <w:numId w:val="3"/>
        </w:numPr>
        <w:adjustRightInd/>
        <w:spacing w:line="240" w:lineRule="auto"/>
        <w:jc w:val="left"/>
        <w:textAlignment w:val="auto"/>
        <w:rPr>
          <w:rFonts w:asciiTheme="minorHAnsi" w:hAnsiTheme="minorHAnsi" w:cs="Arial"/>
          <w:szCs w:val="24"/>
        </w:rPr>
      </w:pPr>
      <w:r w:rsidRPr="00A16341">
        <w:rPr>
          <w:rFonts w:asciiTheme="minorHAnsi" w:hAnsiTheme="minorHAnsi" w:cs="Arial"/>
          <w:szCs w:val="24"/>
        </w:rPr>
        <w:t>Be mentally able to follow procedures, e.g., regarding arrival and departure, seat belt use, etc.</w:t>
      </w: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If an individual is being transported from a care facility by a Center bus, the facility must make arrangements in advance for that individual’s transportation and is responsible to reimburse the Center for the bus fare.</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widowControl/>
        <w:spacing w:line="240" w:lineRule="auto"/>
        <w:rPr>
          <w:rFonts w:asciiTheme="minorHAnsi" w:hAnsiTheme="minorHAnsi" w:cs="Arial"/>
          <w:szCs w:val="24"/>
        </w:rPr>
      </w:pPr>
      <w:r w:rsidRPr="00A16341">
        <w:rPr>
          <w:rFonts w:asciiTheme="minorHAnsi" w:hAnsiTheme="minorHAnsi" w:cs="Arial"/>
          <w:szCs w:val="24"/>
        </w:rPr>
        <w:t>Under no circumstances is the Center responsible for individuals who call and request a ride without the facility’s knowledge and for whom a ride is given.  The Center is not responsible for individuals who once arrive at the Center, leave the Center, make other arrangements to return home or request to be returned to a location other than the original pick up address.</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b/>
          <w:szCs w:val="24"/>
        </w:rPr>
      </w:pPr>
      <w:r w:rsidRPr="00A16341">
        <w:rPr>
          <w:rFonts w:asciiTheme="minorHAnsi" w:hAnsiTheme="minorHAnsi" w:cs="Arial"/>
          <w:b/>
          <w:szCs w:val="24"/>
        </w:rPr>
        <w:t>Nutrition</w:t>
      </w: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Individuals who wish to participate in the Center’s nutrition program must meet the guidelines listed above.  If an individual is from a care facility, the facility must make arrangements in advance for that individual’s participation in the nutrition program and is responsible to reimburse the Center for the meal cost.</w:t>
      </w:r>
    </w:p>
    <w:p w:rsidR="003773CD" w:rsidRPr="00A16341" w:rsidRDefault="003773CD" w:rsidP="003773CD">
      <w:pPr>
        <w:spacing w:line="240" w:lineRule="auto"/>
        <w:rPr>
          <w:rFonts w:asciiTheme="minorHAnsi" w:hAnsiTheme="minorHAnsi" w:cs="Arial"/>
          <w:szCs w:val="24"/>
        </w:rPr>
      </w:pPr>
    </w:p>
    <w:p w:rsidR="003773CD" w:rsidRPr="00A16341" w:rsidRDefault="003773CD" w:rsidP="003773CD">
      <w:pPr>
        <w:spacing w:line="240" w:lineRule="auto"/>
        <w:rPr>
          <w:rFonts w:asciiTheme="minorHAnsi" w:hAnsiTheme="minorHAnsi" w:cs="Arial"/>
          <w:b/>
          <w:szCs w:val="24"/>
        </w:rPr>
      </w:pPr>
    </w:p>
    <w:p w:rsidR="003773CD" w:rsidRPr="00A16341" w:rsidRDefault="003773CD" w:rsidP="003773CD">
      <w:pPr>
        <w:spacing w:line="240" w:lineRule="auto"/>
        <w:rPr>
          <w:rFonts w:asciiTheme="minorHAnsi" w:hAnsiTheme="minorHAnsi" w:cs="Arial"/>
          <w:b/>
          <w:szCs w:val="24"/>
        </w:rPr>
      </w:pPr>
      <w:r w:rsidRPr="00A16341">
        <w:rPr>
          <w:rFonts w:asciiTheme="minorHAnsi" w:hAnsiTheme="minorHAnsi" w:cs="Arial"/>
          <w:b/>
          <w:szCs w:val="24"/>
        </w:rPr>
        <w:t>Emergency Care</w:t>
      </w:r>
    </w:p>
    <w:p w:rsidR="003773CD" w:rsidRPr="00A16341" w:rsidRDefault="003773CD" w:rsidP="003773CD">
      <w:pPr>
        <w:spacing w:line="240" w:lineRule="auto"/>
        <w:rPr>
          <w:rFonts w:asciiTheme="minorHAnsi" w:hAnsiTheme="minorHAnsi" w:cs="Arial"/>
          <w:szCs w:val="24"/>
        </w:rPr>
      </w:pPr>
      <w:r w:rsidRPr="00A16341">
        <w:rPr>
          <w:rFonts w:asciiTheme="minorHAnsi" w:hAnsiTheme="minorHAnsi" w:cs="Arial"/>
          <w:szCs w:val="24"/>
        </w:rPr>
        <w:t>It is imperative that a care facility’s staff provide contact information prior to one of their residents coming to the Center.  It is imperative that a care facility’s staff be accessible by phone for the period of time when their resident is taking part in Center activities.  In the event that an individual who lives in a care facility becomes ill or incontinent while at the Center, the Center staff will call the facility.  It is the facility’s responsibility to provide transportation for the individual from the Center back to the facility.  In the event of a serious illness or injury, the Center’s staff will call “911” for emergency assistance.  The facility will be notified by the Center’s staff in order for the facility to provide follow-up instructions for care of their resident.</w:t>
      </w:r>
    </w:p>
    <w:p w:rsidR="00FD1712" w:rsidRDefault="00FD1712"/>
    <w:sectPr w:rsidR="00FD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1FD6"/>
    <w:multiLevelType w:val="hybridMultilevel"/>
    <w:tmpl w:val="619278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F828D5"/>
    <w:multiLevelType w:val="hybridMultilevel"/>
    <w:tmpl w:val="61BCD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BF7791"/>
    <w:multiLevelType w:val="hybridMultilevel"/>
    <w:tmpl w:val="69EAD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CD"/>
    <w:rsid w:val="003773CD"/>
    <w:rsid w:val="00FD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BF619-1AF4-4E40-BC95-AC090DA4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D"/>
    <w:pPr>
      <w:widowControl w:val="0"/>
      <w:adjustRightInd w:val="0"/>
      <w:spacing w:after="0" w:line="360" w:lineRule="atLeast"/>
      <w:jc w:val="both"/>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b5921b60-9b2e-4daa-8c80-faaf819f1b87">Nutrition</Category>
    <Subcategory xmlns="b5921b60-9b2e-4daa-8c80-faaf819f1b87" xsi:nil="true"/>
    <Date xmlns="b5921b60-9b2e-4daa-8c80-faaf819f1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872DF-8EBC-4B57-A9BA-BF67288F452C}"/>
</file>

<file path=customXml/itemProps2.xml><?xml version="1.0" encoding="utf-8"?>
<ds:datastoreItem xmlns:ds="http://schemas.openxmlformats.org/officeDocument/2006/customXml" ds:itemID="{A9BCC0CD-76D6-4492-81C0-A70CC89F6BCD}"/>
</file>

<file path=customXml/itemProps3.xml><?xml version="1.0" encoding="utf-8"?>
<ds:datastoreItem xmlns:ds="http://schemas.openxmlformats.org/officeDocument/2006/customXml" ds:itemID="{4A75FE74-7F4B-4CA4-B615-7A76C6C05BEA}"/>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3192</Characters>
  <Application>Microsoft Office Word</Application>
  <DocSecurity>0</DocSecurity>
  <Lines>26</Lines>
  <Paragraphs>7</Paragraphs>
  <ScaleCrop>false</ScaleCrop>
  <Company>Clackamas County</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Guidelines - Clackamas</dc:title>
  <dc:subject/>
  <dc:creator>Reid, Stefanie</dc:creator>
  <cp:keywords/>
  <dc:description/>
  <cp:lastModifiedBy>Reid, Stefanie</cp:lastModifiedBy>
  <cp:revision>2</cp:revision>
  <dcterms:created xsi:type="dcterms:W3CDTF">2018-04-17T17:25:00Z</dcterms:created>
  <dcterms:modified xsi:type="dcterms:W3CDTF">2018-04-17T17:26:00Z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y fmtid="{D5CDD505-2E9C-101B-9397-08002B2CF9AE}" pid="3" name="WorkflowChangePath">
    <vt:lpwstr>de476c30-da4b-442c-a1db-fb7c7c3c5d4b,7;de476c30-da4b-442c-a1db-fb7c7c3c5d4b,9;</vt:lpwstr>
  </property>
</Properties>
</file>