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8418"/>
      </w:tblGrid>
      <w:tr w:rsidR="00D90AD2" w:rsidTr="00B77FAA">
        <w:trPr>
          <w:trHeight w:val="909"/>
          <w:jc w:val="center"/>
        </w:trPr>
        <w:tc>
          <w:tcPr>
            <w:tcW w:w="2436" w:type="dxa"/>
            <w:vMerge w:val="restart"/>
            <w:shd w:val="clear" w:color="auto" w:fill="05518E"/>
          </w:tcPr>
          <w:p w:rsidR="00E81123" w:rsidRDefault="00E81123" w:rsidP="0027284E"/>
          <w:p w:rsidR="00E81123" w:rsidRPr="00E81123" w:rsidRDefault="00E63396" w:rsidP="00E81123">
            <w:r>
              <w:rPr>
                <w:noProof/>
              </w:rPr>
              <w:drawing>
                <wp:anchor distT="0" distB="0" distL="114300" distR="114300" simplePos="0" relativeHeight="251664384" behindDoc="0" locked="0" layoutInCell="1" allowOverlap="1" wp14:anchorId="0D175C97" wp14:editId="1550BA7E">
                  <wp:simplePos x="0" y="0"/>
                  <wp:positionH relativeFrom="column">
                    <wp:posOffset>27305</wp:posOffset>
                  </wp:positionH>
                  <wp:positionV relativeFrom="paragraph">
                    <wp:posOffset>12700</wp:posOffset>
                  </wp:positionV>
                  <wp:extent cx="1408430" cy="520065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5200650"/>
                          </a:xfrm>
                          <a:prstGeom prst="rect">
                            <a:avLst/>
                          </a:prstGeom>
                          <a:noFill/>
                        </pic:spPr>
                      </pic:pic>
                    </a:graphicData>
                  </a:graphic>
                  <wp14:sizeRelH relativeFrom="page">
                    <wp14:pctWidth>0</wp14:pctWidth>
                  </wp14:sizeRelH>
                  <wp14:sizeRelV relativeFrom="page">
                    <wp14:pctHeight>0</wp14:pctHeight>
                  </wp14:sizeRelV>
                </wp:anchor>
              </w:drawing>
            </w:r>
          </w:p>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Pr="00E81123" w:rsidRDefault="00E81123" w:rsidP="00E81123"/>
          <w:p w:rsidR="00E81123" w:rsidRDefault="00E81123" w:rsidP="00E81123">
            <w:pPr>
              <w:pStyle w:val="SideBarTitle"/>
              <w:ind w:left="0"/>
            </w:pPr>
          </w:p>
          <w:p w:rsidR="00E81123" w:rsidRDefault="00E81123"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51254" w:rsidRDefault="00E51254" w:rsidP="00E81123">
            <w:pPr>
              <w:pStyle w:val="SideBarTitle"/>
              <w:ind w:left="0"/>
            </w:pPr>
          </w:p>
          <w:p w:rsidR="00E81123" w:rsidRPr="0027284E" w:rsidRDefault="00E81123" w:rsidP="00E81123">
            <w:pPr>
              <w:pStyle w:val="SideBarTitle"/>
            </w:pPr>
            <w:r w:rsidRPr="0027284E">
              <w:t>A c r o n y m s</w:t>
            </w:r>
          </w:p>
          <w:p w:rsidR="00E81123" w:rsidRDefault="00E81123" w:rsidP="00E81123">
            <w:pPr>
              <w:pStyle w:val="SideBar"/>
              <w:rPr>
                <w:sz w:val="16"/>
                <w:szCs w:val="16"/>
              </w:rPr>
            </w:pPr>
          </w:p>
          <w:p w:rsidR="00E81123" w:rsidRPr="00E51254" w:rsidRDefault="00E81123" w:rsidP="00E81123">
            <w:pPr>
              <w:pStyle w:val="SideBar"/>
              <w:rPr>
                <w:szCs w:val="18"/>
              </w:rPr>
            </w:pPr>
            <w:r w:rsidRPr="00E51254">
              <w:rPr>
                <w:szCs w:val="18"/>
              </w:rPr>
              <w:t>ADRC = Aging and Disability Resource C</w:t>
            </w:r>
            <w:r w:rsidR="00E63396">
              <w:rPr>
                <w:szCs w:val="18"/>
              </w:rPr>
              <w:t>onnection</w:t>
            </w:r>
          </w:p>
          <w:p w:rsidR="00E81123" w:rsidRDefault="00E81123" w:rsidP="00E81123">
            <w:pPr>
              <w:pStyle w:val="SideBar"/>
              <w:rPr>
                <w:szCs w:val="18"/>
              </w:rPr>
            </w:pPr>
            <w:r w:rsidRPr="00225678">
              <w:rPr>
                <w:szCs w:val="18"/>
              </w:rPr>
              <w:t>LTSS = Long Term Services and Supports</w:t>
            </w:r>
          </w:p>
          <w:p w:rsidR="00E81123" w:rsidRDefault="00E81123" w:rsidP="00E81123">
            <w:pPr>
              <w:pStyle w:val="SideBar"/>
              <w:rPr>
                <w:szCs w:val="18"/>
              </w:rPr>
            </w:pPr>
            <w:r>
              <w:rPr>
                <w:szCs w:val="18"/>
              </w:rPr>
              <w:t>NWD = No Wrong Door</w:t>
            </w:r>
          </w:p>
          <w:p w:rsidR="003E354C" w:rsidRDefault="003E354C" w:rsidP="00E81123">
            <w:pPr>
              <w:pStyle w:val="SideBar"/>
              <w:rPr>
                <w:szCs w:val="18"/>
              </w:rPr>
            </w:pPr>
            <w:r>
              <w:rPr>
                <w:szCs w:val="18"/>
              </w:rPr>
              <w:t>OAA = Older Americans Act</w:t>
            </w:r>
          </w:p>
          <w:p w:rsidR="003E354C" w:rsidRDefault="003E354C" w:rsidP="00E81123">
            <w:pPr>
              <w:pStyle w:val="SideBar"/>
              <w:rPr>
                <w:szCs w:val="18"/>
              </w:rPr>
            </w:pPr>
            <w:r>
              <w:rPr>
                <w:szCs w:val="18"/>
              </w:rPr>
              <w:t>NWD  = No Wrong Door</w:t>
            </w:r>
          </w:p>
          <w:p w:rsidR="003E354C" w:rsidRDefault="003E354C" w:rsidP="00E81123">
            <w:pPr>
              <w:pStyle w:val="SideBar"/>
              <w:rPr>
                <w:szCs w:val="18"/>
              </w:rPr>
            </w:pPr>
            <w:r>
              <w:rPr>
                <w:szCs w:val="18"/>
              </w:rPr>
              <w:t>CQI = Continuous Quality Improvement</w:t>
            </w:r>
          </w:p>
          <w:p w:rsidR="00E51254" w:rsidRDefault="00E51254" w:rsidP="00E81123">
            <w:pPr>
              <w:pStyle w:val="SideBar"/>
              <w:rPr>
                <w:szCs w:val="18"/>
              </w:rPr>
            </w:pPr>
          </w:p>
          <w:p w:rsidR="00E51254" w:rsidRPr="00295699" w:rsidRDefault="00E51254" w:rsidP="00E51254">
            <w:pPr>
              <w:pStyle w:val="SideBar"/>
              <w:pBdr>
                <w:bottom w:val="single" w:sz="12" w:space="1" w:color="auto"/>
              </w:pBdr>
              <w:ind w:left="188" w:firstLine="0"/>
              <w:rPr>
                <w:color w:val="FFFFFF" w:themeColor="background1"/>
                <w:sz w:val="16"/>
                <w:szCs w:val="16"/>
              </w:rPr>
            </w:pPr>
          </w:p>
          <w:p w:rsidR="00E51254" w:rsidRDefault="00E51254" w:rsidP="00E81123">
            <w:pPr>
              <w:pStyle w:val="SideBar"/>
              <w:rPr>
                <w:szCs w:val="18"/>
              </w:rPr>
            </w:pPr>
          </w:p>
          <w:p w:rsidR="00D90AD2" w:rsidRPr="00E81123" w:rsidRDefault="00D90AD2" w:rsidP="00E81123"/>
        </w:tc>
        <w:tc>
          <w:tcPr>
            <w:tcW w:w="8418" w:type="dxa"/>
            <w:shd w:val="clear" w:color="auto" w:fill="05518E"/>
          </w:tcPr>
          <w:p w:rsidR="00D90AD2" w:rsidRPr="00D90AD2" w:rsidRDefault="00CB295F" w:rsidP="0027284E">
            <w:pPr>
              <w:pStyle w:val="Heading1"/>
              <w:outlineLvl w:val="0"/>
            </w:pPr>
            <w:r>
              <w:t>Oregon</w:t>
            </w:r>
          </w:p>
        </w:tc>
      </w:tr>
      <w:tr w:rsidR="00D90AD2" w:rsidTr="00B426A0">
        <w:trPr>
          <w:trHeight w:val="68"/>
          <w:jc w:val="center"/>
        </w:trPr>
        <w:tc>
          <w:tcPr>
            <w:tcW w:w="2436" w:type="dxa"/>
            <w:vMerge/>
            <w:shd w:val="clear" w:color="auto" w:fill="05518E"/>
          </w:tcPr>
          <w:p w:rsidR="00D90AD2" w:rsidRDefault="00D90AD2" w:rsidP="0027284E">
            <w:pPr>
              <w:rPr>
                <w:noProof/>
              </w:rPr>
            </w:pPr>
          </w:p>
        </w:tc>
        <w:tc>
          <w:tcPr>
            <w:tcW w:w="8418" w:type="dxa"/>
            <w:shd w:val="clear" w:color="auto" w:fill="FCB73F"/>
          </w:tcPr>
          <w:p w:rsidR="00D90AD2" w:rsidRPr="00D90AD2" w:rsidRDefault="00B426A0" w:rsidP="00B426A0">
            <w:pPr>
              <w:pStyle w:val="Heading2"/>
              <w:ind w:left="0"/>
              <w:outlineLvl w:val="1"/>
            </w:pPr>
            <w:r>
              <w:t>Identifying No Wrong Door Promising Practices</w:t>
            </w:r>
          </w:p>
        </w:tc>
      </w:tr>
      <w:tr w:rsidR="00B426A0" w:rsidTr="00B426A0">
        <w:trPr>
          <w:trHeight w:val="68"/>
          <w:jc w:val="center"/>
        </w:trPr>
        <w:tc>
          <w:tcPr>
            <w:tcW w:w="2436" w:type="dxa"/>
            <w:vMerge/>
            <w:shd w:val="clear" w:color="auto" w:fill="FFFFFF" w:themeFill="background1"/>
          </w:tcPr>
          <w:p w:rsidR="00B426A0" w:rsidRDefault="00B426A0" w:rsidP="0027284E">
            <w:pPr>
              <w:rPr>
                <w:noProof/>
              </w:rPr>
            </w:pPr>
          </w:p>
        </w:tc>
        <w:tc>
          <w:tcPr>
            <w:tcW w:w="8418" w:type="dxa"/>
            <w:shd w:val="clear" w:color="auto" w:fill="FFFFFF" w:themeFill="background1"/>
          </w:tcPr>
          <w:p w:rsidR="00B426A0" w:rsidRPr="00A75380" w:rsidRDefault="00B426A0" w:rsidP="00CB295F">
            <w:pPr>
              <w:pStyle w:val="Numbers"/>
              <w:ind w:left="3" w:firstLine="0"/>
              <w:rPr>
                <w:szCs w:val="18"/>
              </w:rPr>
            </w:pPr>
            <w:r w:rsidRPr="00A75380">
              <w:rPr>
                <w:szCs w:val="18"/>
              </w:rPr>
              <w:t xml:space="preserve">No Wrong Door </w:t>
            </w:r>
            <w:r w:rsidR="00E51254" w:rsidRPr="00A75380">
              <w:rPr>
                <w:szCs w:val="18"/>
              </w:rPr>
              <w:t xml:space="preserve">(NWD) </w:t>
            </w:r>
            <w:r w:rsidRPr="00A75380">
              <w:rPr>
                <w:szCs w:val="18"/>
              </w:rPr>
              <w:t xml:space="preserve">Promising Practices are intended to highlight successful state programs providing a model from which NWD Systems can gather strategies and innovations that can augment their own work. A promising practice may be a research or evaluation project, policy analysis, data assessment, outreach initiative, or awareness effort. While Promising Practices are unique to each program, they do offer replicable components for diverse settings and share many common characteristics including the capacity to reach the population of focus, address the aspirations of individuals, drive quality and impact methodology and measurement. This brief highlights </w:t>
            </w:r>
            <w:r w:rsidR="00CB295F" w:rsidRPr="00A75380">
              <w:rPr>
                <w:szCs w:val="18"/>
              </w:rPr>
              <w:t xml:space="preserve">Oregon’s </w:t>
            </w:r>
            <w:r w:rsidR="001103DC" w:rsidRPr="00A75380">
              <w:rPr>
                <w:szCs w:val="18"/>
              </w:rPr>
              <w:t>p</w:t>
            </w:r>
            <w:r w:rsidRPr="00A75380">
              <w:rPr>
                <w:szCs w:val="18"/>
              </w:rPr>
              <w:t xml:space="preserve">romising practice to </w:t>
            </w:r>
            <w:r w:rsidR="00CB295F" w:rsidRPr="00A75380">
              <w:rPr>
                <w:szCs w:val="18"/>
              </w:rPr>
              <w:t>design and implement a continuous quality improvement strategy for its NWD/ADRC system.</w:t>
            </w:r>
          </w:p>
        </w:tc>
      </w:tr>
      <w:tr w:rsidR="00D90AD2" w:rsidTr="0027284E">
        <w:trPr>
          <w:trHeight w:val="68"/>
          <w:jc w:val="center"/>
        </w:trPr>
        <w:tc>
          <w:tcPr>
            <w:tcW w:w="2436" w:type="dxa"/>
            <w:vMerge/>
            <w:shd w:val="clear" w:color="auto" w:fill="05518E"/>
          </w:tcPr>
          <w:p w:rsidR="00D90AD2" w:rsidRDefault="00D90AD2" w:rsidP="00D91550">
            <w:pPr>
              <w:rPr>
                <w:noProof/>
              </w:rPr>
            </w:pPr>
          </w:p>
        </w:tc>
        <w:tc>
          <w:tcPr>
            <w:tcW w:w="8418" w:type="dxa"/>
            <w:shd w:val="clear" w:color="auto" w:fill="FCB73F"/>
          </w:tcPr>
          <w:p w:rsidR="00D90AD2" w:rsidRDefault="00CB295F" w:rsidP="00D91550">
            <w:pPr>
              <w:pStyle w:val="Heading2"/>
              <w:spacing w:before="0"/>
              <w:outlineLvl w:val="1"/>
            </w:pPr>
            <w:r>
              <w:t>Oregon’s</w:t>
            </w:r>
            <w:r w:rsidR="00060FB8">
              <w:t xml:space="preserve"> </w:t>
            </w:r>
            <w:r w:rsidR="00D91550">
              <w:t>Successful NWD Promising Practice</w:t>
            </w:r>
          </w:p>
        </w:tc>
      </w:tr>
      <w:tr w:rsidR="00D90AD2" w:rsidTr="00E51254">
        <w:trPr>
          <w:trHeight w:val="1278"/>
          <w:jc w:val="center"/>
        </w:trPr>
        <w:tc>
          <w:tcPr>
            <w:tcW w:w="2436" w:type="dxa"/>
            <w:vMerge/>
            <w:shd w:val="clear" w:color="auto" w:fill="05518E"/>
          </w:tcPr>
          <w:p w:rsidR="00D90AD2" w:rsidRDefault="00D90AD2" w:rsidP="00D91550">
            <w:pPr>
              <w:rPr>
                <w:noProof/>
              </w:rPr>
            </w:pPr>
          </w:p>
        </w:tc>
        <w:tc>
          <w:tcPr>
            <w:tcW w:w="8418" w:type="dxa"/>
          </w:tcPr>
          <w:p w:rsidR="000E6EDD" w:rsidRDefault="00C55FF9" w:rsidP="00CB295F">
            <w:pPr>
              <w:rPr>
                <w:rFonts w:ascii="Calibri" w:hAnsi="Calibri" w:cs="Calibri"/>
                <w:b/>
                <w:sz w:val="18"/>
                <w:szCs w:val="18"/>
                <w:u w:val="single"/>
              </w:rPr>
            </w:pPr>
            <w:r>
              <w:rPr>
                <w:rFonts w:ascii="Calibri" w:hAnsi="Calibri" w:cs="Calibri"/>
                <w:b/>
                <w:sz w:val="18"/>
                <w:szCs w:val="18"/>
                <w:u w:val="single"/>
              </w:rPr>
              <w:t>C</w:t>
            </w:r>
            <w:r w:rsidR="000E6EDD">
              <w:rPr>
                <w:rFonts w:ascii="Calibri" w:hAnsi="Calibri" w:cs="Calibri"/>
                <w:b/>
                <w:sz w:val="18"/>
                <w:szCs w:val="18"/>
                <w:u w:val="single"/>
              </w:rPr>
              <w:t xml:space="preserve">QI Evaluation Framework </w:t>
            </w:r>
          </w:p>
          <w:p w:rsidR="007571F7" w:rsidRDefault="00204B4A" w:rsidP="00CB295F">
            <w:pPr>
              <w:rPr>
                <w:rFonts w:ascii="Calibri" w:hAnsi="Calibri" w:cs="Calibri"/>
                <w:sz w:val="18"/>
                <w:szCs w:val="18"/>
              </w:rPr>
            </w:pPr>
            <w:r>
              <w:rPr>
                <w:rStyle w:val="Hyperlink"/>
                <w:color w:val="auto"/>
                <w:sz w:val="18"/>
                <w:szCs w:val="18"/>
                <w:u w:val="none"/>
              </w:rPr>
              <w:t>O</w:t>
            </w:r>
            <w:r w:rsidR="00BD203E">
              <w:rPr>
                <w:rStyle w:val="Hyperlink"/>
                <w:color w:val="auto"/>
                <w:sz w:val="18"/>
                <w:szCs w:val="18"/>
                <w:u w:val="none"/>
              </w:rPr>
              <w:t>regon</w:t>
            </w:r>
            <w:r>
              <w:rPr>
                <w:rStyle w:val="Hyperlink"/>
                <w:color w:val="auto"/>
                <w:sz w:val="18"/>
                <w:szCs w:val="18"/>
                <w:u w:val="none"/>
              </w:rPr>
              <w:t xml:space="preserve"> embarked on the development of a robust and comprehensive CQI effort to better understand the impact of its NWD/ADRCs</w:t>
            </w:r>
            <w:r w:rsidR="00C55FF9">
              <w:rPr>
                <w:rStyle w:val="Hyperlink"/>
                <w:color w:val="auto"/>
                <w:sz w:val="18"/>
                <w:szCs w:val="18"/>
                <w:u w:val="none"/>
              </w:rPr>
              <w:t>-not only on system outcomes, but consumer level outcomes as well</w:t>
            </w:r>
            <w:r>
              <w:rPr>
                <w:rStyle w:val="Hyperlink"/>
                <w:color w:val="auto"/>
                <w:sz w:val="18"/>
                <w:szCs w:val="18"/>
                <w:u w:val="none"/>
              </w:rPr>
              <w:t xml:space="preserve">.  </w:t>
            </w:r>
            <w:r w:rsidR="00C55FF9">
              <w:rPr>
                <w:rFonts w:ascii="Calibri" w:hAnsi="Calibri" w:cs="Calibri"/>
                <w:sz w:val="18"/>
                <w:szCs w:val="18"/>
              </w:rPr>
              <w:t xml:space="preserve">The State Unit on Aging (SUA) began development of </w:t>
            </w:r>
            <w:r w:rsidR="00C55FF9" w:rsidRPr="000E6EDD">
              <w:rPr>
                <w:rFonts w:ascii="Calibri" w:hAnsi="Calibri" w:cs="Calibri"/>
                <w:sz w:val="18"/>
                <w:szCs w:val="18"/>
              </w:rPr>
              <w:t xml:space="preserve">consumer satisfaction surveys </w:t>
            </w:r>
            <w:r w:rsidR="00C55FF9">
              <w:rPr>
                <w:rFonts w:ascii="Calibri" w:hAnsi="Calibri" w:cs="Calibri"/>
                <w:sz w:val="18"/>
                <w:szCs w:val="18"/>
              </w:rPr>
              <w:t>in 2011.  In 2013 they launched the development of their NWD/ADRC e</w:t>
            </w:r>
            <w:r w:rsidR="00C55FF9" w:rsidRPr="000E6EDD">
              <w:rPr>
                <w:rFonts w:ascii="Calibri" w:hAnsi="Calibri" w:cs="Calibri"/>
                <w:sz w:val="18"/>
                <w:szCs w:val="18"/>
              </w:rPr>
              <w:t>valuation framework</w:t>
            </w:r>
            <w:r w:rsidR="00C55FF9">
              <w:rPr>
                <w:rFonts w:ascii="Calibri" w:hAnsi="Calibri" w:cs="Calibri"/>
                <w:sz w:val="18"/>
                <w:szCs w:val="18"/>
              </w:rPr>
              <w:t xml:space="preserve"> inclusive of 9 outcome areas and metrics. This evaluation framework took a year to fully develop, however OR sees this process as formative rather than summative:  meaning it is an iterative and continuous process of improvement and is always seeking to grow and change. Local CQI efforts began in late 2014, and it is expected that the state will have a robust monitoring plan in place for their local ADRCs by the early part of 2016. </w:t>
            </w:r>
          </w:p>
          <w:p w:rsidR="007571F7" w:rsidRDefault="007571F7" w:rsidP="00CB295F">
            <w:pPr>
              <w:rPr>
                <w:rFonts w:ascii="Calibri" w:hAnsi="Calibri" w:cs="Calibri"/>
                <w:sz w:val="18"/>
                <w:szCs w:val="18"/>
              </w:rPr>
            </w:pPr>
          </w:p>
          <w:p w:rsidR="007571F7" w:rsidRPr="007571F7" w:rsidRDefault="00D863CA" w:rsidP="00CB295F">
            <w:pPr>
              <w:rPr>
                <w:rFonts w:ascii="Calibri" w:hAnsi="Calibri" w:cs="Calibri"/>
                <w:b/>
                <w:sz w:val="18"/>
                <w:szCs w:val="18"/>
                <w:u w:val="single"/>
              </w:rPr>
            </w:pPr>
            <w:r>
              <w:rPr>
                <w:rFonts w:ascii="Calibri" w:hAnsi="Calibri" w:cs="Calibri"/>
                <w:b/>
                <w:sz w:val="18"/>
                <w:szCs w:val="18"/>
                <w:u w:val="single"/>
              </w:rPr>
              <w:t>Outcome Development</w:t>
            </w:r>
          </w:p>
          <w:p w:rsidR="00EB54F1" w:rsidRDefault="001C4E72" w:rsidP="00CB295F">
            <w:pPr>
              <w:rPr>
                <w:rStyle w:val="Hyperlink"/>
                <w:color w:val="auto"/>
                <w:sz w:val="18"/>
                <w:szCs w:val="18"/>
                <w:u w:val="none"/>
              </w:rPr>
            </w:pPr>
            <w:r>
              <w:rPr>
                <w:rStyle w:val="Hyperlink"/>
                <w:color w:val="auto"/>
                <w:sz w:val="18"/>
                <w:szCs w:val="18"/>
                <w:u w:val="none"/>
              </w:rPr>
              <w:t xml:space="preserve">The State </w:t>
            </w:r>
            <w:r w:rsidR="000A1F24">
              <w:rPr>
                <w:rStyle w:val="Hyperlink"/>
                <w:color w:val="auto"/>
                <w:sz w:val="18"/>
                <w:szCs w:val="18"/>
                <w:u w:val="none"/>
              </w:rPr>
              <w:t>is</w:t>
            </w:r>
            <w:r>
              <w:rPr>
                <w:rStyle w:val="Hyperlink"/>
                <w:color w:val="auto"/>
                <w:sz w:val="18"/>
                <w:szCs w:val="18"/>
                <w:u w:val="none"/>
              </w:rPr>
              <w:t xml:space="preserve"> evolving the work they are doing with the NWD/ADRC initiative into an</w:t>
            </w:r>
            <w:r w:rsidRPr="000E6EDD">
              <w:rPr>
                <w:rStyle w:val="Hyperlink"/>
                <w:color w:val="auto"/>
                <w:sz w:val="18"/>
                <w:szCs w:val="18"/>
                <w:u w:val="none"/>
              </w:rPr>
              <w:t xml:space="preserve"> umbrella </w:t>
            </w:r>
            <w:r>
              <w:rPr>
                <w:rStyle w:val="Hyperlink"/>
                <w:color w:val="auto"/>
                <w:sz w:val="18"/>
                <w:szCs w:val="18"/>
                <w:u w:val="none"/>
              </w:rPr>
              <w:t>of all the services they provide</w:t>
            </w:r>
            <w:r w:rsidRPr="000E6EDD">
              <w:rPr>
                <w:rStyle w:val="Hyperlink"/>
                <w:color w:val="auto"/>
                <w:sz w:val="18"/>
                <w:szCs w:val="18"/>
                <w:u w:val="none"/>
              </w:rPr>
              <w:t>.</w:t>
            </w:r>
            <w:r>
              <w:rPr>
                <w:rStyle w:val="Hyperlink"/>
                <w:color w:val="auto"/>
                <w:sz w:val="18"/>
                <w:szCs w:val="18"/>
                <w:u w:val="none"/>
              </w:rPr>
              <w:t xml:space="preserve"> </w:t>
            </w:r>
            <w:r w:rsidRPr="000E6EDD">
              <w:rPr>
                <w:rStyle w:val="Hyperlink"/>
                <w:color w:val="auto"/>
                <w:sz w:val="18"/>
                <w:szCs w:val="18"/>
                <w:u w:val="none"/>
              </w:rPr>
              <w:t>The SUA administers OAA and State Plan</w:t>
            </w:r>
            <w:r>
              <w:rPr>
                <w:rStyle w:val="Hyperlink"/>
                <w:color w:val="auto"/>
                <w:sz w:val="18"/>
                <w:szCs w:val="18"/>
                <w:u w:val="none"/>
              </w:rPr>
              <w:t xml:space="preserve"> on Aging funding, and oversees its implementation.</w:t>
            </w:r>
            <w:r w:rsidR="009676D0">
              <w:rPr>
                <w:rStyle w:val="Hyperlink"/>
                <w:color w:val="auto"/>
                <w:sz w:val="18"/>
                <w:szCs w:val="18"/>
                <w:u w:val="none"/>
              </w:rPr>
              <w:t xml:space="preserve"> The state created an </w:t>
            </w:r>
            <w:r w:rsidR="00B361D5">
              <w:rPr>
                <w:rStyle w:val="Hyperlink"/>
                <w:color w:val="auto"/>
                <w:sz w:val="18"/>
                <w:szCs w:val="18"/>
                <w:u w:val="none"/>
              </w:rPr>
              <w:t>Evaluation Workgroup</w:t>
            </w:r>
            <w:r w:rsidR="009676D0">
              <w:rPr>
                <w:rStyle w:val="Hyperlink"/>
                <w:color w:val="auto"/>
                <w:sz w:val="18"/>
                <w:szCs w:val="18"/>
                <w:u w:val="none"/>
              </w:rPr>
              <w:t xml:space="preserve"> </w:t>
            </w:r>
            <w:r w:rsidR="00B361D5">
              <w:rPr>
                <w:rStyle w:val="Hyperlink"/>
                <w:color w:val="auto"/>
                <w:sz w:val="18"/>
                <w:szCs w:val="18"/>
                <w:u w:val="none"/>
              </w:rPr>
              <w:t>comprised mostly of consumers</w:t>
            </w:r>
            <w:r w:rsidR="009676D0">
              <w:rPr>
                <w:rStyle w:val="Hyperlink"/>
                <w:color w:val="auto"/>
                <w:sz w:val="18"/>
                <w:szCs w:val="18"/>
                <w:u w:val="none"/>
              </w:rPr>
              <w:t xml:space="preserve"> who</w:t>
            </w:r>
            <w:r w:rsidR="00B361D5">
              <w:rPr>
                <w:rStyle w:val="Hyperlink"/>
                <w:color w:val="auto"/>
                <w:sz w:val="18"/>
                <w:szCs w:val="18"/>
                <w:u w:val="none"/>
              </w:rPr>
              <w:t xml:space="preserve"> identified n</w:t>
            </w:r>
            <w:r w:rsidR="00204B4A">
              <w:rPr>
                <w:rStyle w:val="Hyperlink"/>
                <w:color w:val="auto"/>
                <w:sz w:val="18"/>
                <w:szCs w:val="18"/>
                <w:u w:val="none"/>
              </w:rPr>
              <w:t>ine (</w:t>
            </w:r>
            <w:r w:rsidR="00CB295F" w:rsidRPr="000E6EDD">
              <w:rPr>
                <w:rStyle w:val="Hyperlink"/>
                <w:color w:val="auto"/>
                <w:sz w:val="18"/>
                <w:szCs w:val="18"/>
                <w:u w:val="none"/>
              </w:rPr>
              <w:t>9</w:t>
            </w:r>
            <w:r w:rsidR="00204B4A">
              <w:rPr>
                <w:rStyle w:val="Hyperlink"/>
                <w:color w:val="auto"/>
                <w:sz w:val="18"/>
                <w:szCs w:val="18"/>
                <w:u w:val="none"/>
              </w:rPr>
              <w:t>)</w:t>
            </w:r>
            <w:r w:rsidR="00CB295F" w:rsidRPr="000E6EDD">
              <w:rPr>
                <w:rStyle w:val="Hyperlink"/>
                <w:color w:val="auto"/>
                <w:sz w:val="18"/>
                <w:szCs w:val="18"/>
                <w:u w:val="none"/>
              </w:rPr>
              <w:t xml:space="preserve"> outcomes </w:t>
            </w:r>
            <w:r w:rsidR="00EB54F1">
              <w:rPr>
                <w:rStyle w:val="Hyperlink"/>
                <w:color w:val="auto"/>
                <w:sz w:val="18"/>
                <w:szCs w:val="18"/>
                <w:u w:val="none"/>
              </w:rPr>
              <w:t>for the NWD/ADRC evaluation framework</w:t>
            </w:r>
            <w:r>
              <w:rPr>
                <w:rStyle w:val="Hyperlink"/>
                <w:color w:val="auto"/>
                <w:sz w:val="18"/>
                <w:szCs w:val="18"/>
                <w:u w:val="none"/>
              </w:rPr>
              <w:t xml:space="preserve">. These </w:t>
            </w:r>
            <w:r w:rsidR="00B361D5">
              <w:rPr>
                <w:rStyle w:val="Hyperlink"/>
                <w:color w:val="auto"/>
                <w:sz w:val="18"/>
                <w:szCs w:val="18"/>
                <w:u w:val="none"/>
              </w:rPr>
              <w:t>9 outcomes</w:t>
            </w:r>
            <w:r>
              <w:rPr>
                <w:rStyle w:val="Hyperlink"/>
                <w:color w:val="auto"/>
                <w:sz w:val="18"/>
                <w:szCs w:val="18"/>
                <w:u w:val="none"/>
              </w:rPr>
              <w:t xml:space="preserve"> </w:t>
            </w:r>
            <w:r w:rsidR="00204B4A">
              <w:rPr>
                <w:rStyle w:val="Hyperlink"/>
                <w:color w:val="auto"/>
                <w:sz w:val="18"/>
                <w:szCs w:val="18"/>
                <w:u w:val="none"/>
              </w:rPr>
              <w:t>align</w:t>
            </w:r>
            <w:r w:rsidR="00CB295F" w:rsidRPr="000E6EDD">
              <w:rPr>
                <w:rStyle w:val="Hyperlink"/>
                <w:color w:val="auto"/>
                <w:sz w:val="18"/>
                <w:szCs w:val="18"/>
                <w:u w:val="none"/>
              </w:rPr>
              <w:t xml:space="preserve"> with </w:t>
            </w:r>
            <w:r w:rsidR="00204B4A">
              <w:rPr>
                <w:rStyle w:val="Hyperlink"/>
                <w:color w:val="auto"/>
                <w:sz w:val="18"/>
                <w:szCs w:val="18"/>
                <w:u w:val="none"/>
              </w:rPr>
              <w:t xml:space="preserve">the </w:t>
            </w:r>
            <w:r w:rsidR="00CB295F" w:rsidRPr="000E6EDD">
              <w:rPr>
                <w:rStyle w:val="Hyperlink"/>
                <w:color w:val="auto"/>
                <w:sz w:val="18"/>
                <w:szCs w:val="18"/>
                <w:u w:val="none"/>
              </w:rPr>
              <w:t>mission an</w:t>
            </w:r>
            <w:r>
              <w:rPr>
                <w:rStyle w:val="Hyperlink"/>
                <w:color w:val="auto"/>
                <w:sz w:val="18"/>
                <w:szCs w:val="18"/>
                <w:u w:val="none"/>
              </w:rPr>
              <w:t xml:space="preserve">d value statements of the </w:t>
            </w:r>
            <w:r w:rsidR="009676D0">
              <w:rPr>
                <w:rStyle w:val="Hyperlink"/>
                <w:color w:val="auto"/>
                <w:sz w:val="18"/>
                <w:szCs w:val="18"/>
                <w:u w:val="none"/>
              </w:rPr>
              <w:t>s</w:t>
            </w:r>
            <w:r>
              <w:rPr>
                <w:rStyle w:val="Hyperlink"/>
                <w:color w:val="auto"/>
                <w:sz w:val="18"/>
                <w:szCs w:val="18"/>
                <w:u w:val="none"/>
              </w:rPr>
              <w:t>tate</w:t>
            </w:r>
            <w:r w:rsidR="00B361D5">
              <w:rPr>
                <w:rStyle w:val="Hyperlink"/>
                <w:color w:val="auto"/>
                <w:sz w:val="18"/>
                <w:szCs w:val="18"/>
                <w:u w:val="none"/>
              </w:rPr>
              <w:t>,</w:t>
            </w:r>
            <w:r>
              <w:rPr>
                <w:rStyle w:val="Hyperlink"/>
                <w:color w:val="auto"/>
                <w:sz w:val="18"/>
                <w:szCs w:val="18"/>
                <w:u w:val="none"/>
              </w:rPr>
              <w:t xml:space="preserve"> and </w:t>
            </w:r>
            <w:r w:rsidR="00CB295F" w:rsidRPr="000E6EDD">
              <w:rPr>
                <w:rStyle w:val="Hyperlink"/>
                <w:color w:val="auto"/>
                <w:sz w:val="18"/>
                <w:szCs w:val="18"/>
                <w:u w:val="none"/>
              </w:rPr>
              <w:t xml:space="preserve">match </w:t>
            </w:r>
            <w:r w:rsidR="00CD17EB">
              <w:rPr>
                <w:rStyle w:val="Hyperlink"/>
                <w:color w:val="auto"/>
                <w:sz w:val="18"/>
                <w:szCs w:val="18"/>
                <w:u w:val="none"/>
              </w:rPr>
              <w:t xml:space="preserve">the </w:t>
            </w:r>
            <w:r w:rsidR="00CB295F" w:rsidRPr="000E6EDD">
              <w:rPr>
                <w:rStyle w:val="Hyperlink"/>
                <w:color w:val="auto"/>
                <w:sz w:val="18"/>
                <w:szCs w:val="18"/>
                <w:u w:val="none"/>
              </w:rPr>
              <w:t xml:space="preserve">logic models </w:t>
            </w:r>
            <w:r w:rsidR="00CD17EB">
              <w:rPr>
                <w:rStyle w:val="Hyperlink"/>
                <w:color w:val="auto"/>
                <w:sz w:val="18"/>
                <w:szCs w:val="18"/>
                <w:u w:val="none"/>
              </w:rPr>
              <w:t xml:space="preserve">that were developed as part of the State Plan on Aging.  </w:t>
            </w:r>
            <w:r w:rsidR="00EB54F1">
              <w:rPr>
                <w:rStyle w:val="Hyperlink"/>
                <w:color w:val="auto"/>
                <w:sz w:val="18"/>
                <w:szCs w:val="18"/>
                <w:u w:val="none"/>
              </w:rPr>
              <w:t xml:space="preserve">Furthermore, the state wanted </w:t>
            </w:r>
            <w:r w:rsidR="00CB295F" w:rsidRPr="000E6EDD">
              <w:rPr>
                <w:rStyle w:val="Hyperlink"/>
                <w:color w:val="auto"/>
                <w:sz w:val="18"/>
                <w:szCs w:val="18"/>
                <w:u w:val="none"/>
              </w:rPr>
              <w:t xml:space="preserve">to not only have a consumer led process </w:t>
            </w:r>
            <w:r w:rsidR="00EB54F1">
              <w:rPr>
                <w:rStyle w:val="Hyperlink"/>
                <w:color w:val="auto"/>
                <w:sz w:val="18"/>
                <w:szCs w:val="18"/>
                <w:u w:val="none"/>
              </w:rPr>
              <w:t>that defines</w:t>
            </w:r>
            <w:r w:rsidR="00CB295F" w:rsidRPr="000E6EDD">
              <w:rPr>
                <w:rStyle w:val="Hyperlink"/>
                <w:color w:val="auto"/>
                <w:sz w:val="18"/>
                <w:szCs w:val="18"/>
                <w:u w:val="none"/>
              </w:rPr>
              <w:t xml:space="preserve"> success, but </w:t>
            </w:r>
            <w:r w:rsidR="00EB54F1">
              <w:rPr>
                <w:rStyle w:val="Hyperlink"/>
                <w:color w:val="auto"/>
                <w:sz w:val="18"/>
                <w:szCs w:val="18"/>
                <w:u w:val="none"/>
              </w:rPr>
              <w:t xml:space="preserve">they also </w:t>
            </w:r>
            <w:r w:rsidR="00CB295F" w:rsidRPr="000E6EDD">
              <w:rPr>
                <w:rStyle w:val="Hyperlink"/>
                <w:color w:val="auto"/>
                <w:sz w:val="18"/>
                <w:szCs w:val="18"/>
                <w:u w:val="none"/>
              </w:rPr>
              <w:t xml:space="preserve">wanted to be sure it looks similar to the other ways they </w:t>
            </w:r>
            <w:r w:rsidR="00EB54F1" w:rsidRPr="000E6EDD">
              <w:rPr>
                <w:rStyle w:val="Hyperlink"/>
                <w:color w:val="auto"/>
                <w:sz w:val="18"/>
                <w:szCs w:val="18"/>
                <w:u w:val="none"/>
              </w:rPr>
              <w:t>evaluate</w:t>
            </w:r>
            <w:r w:rsidR="00CB295F" w:rsidRPr="000E6EDD">
              <w:rPr>
                <w:rStyle w:val="Hyperlink"/>
                <w:color w:val="auto"/>
                <w:sz w:val="18"/>
                <w:szCs w:val="18"/>
                <w:u w:val="none"/>
              </w:rPr>
              <w:t xml:space="preserve"> state funded programs.  </w:t>
            </w:r>
          </w:p>
          <w:p w:rsidR="00EB54F1" w:rsidRDefault="00EB54F1" w:rsidP="00CB295F">
            <w:pPr>
              <w:rPr>
                <w:rStyle w:val="Hyperlink"/>
                <w:color w:val="auto"/>
                <w:sz w:val="18"/>
                <w:szCs w:val="18"/>
                <w:u w:val="none"/>
              </w:rPr>
            </w:pPr>
          </w:p>
          <w:p w:rsidR="00CB295F" w:rsidRPr="000E6EDD" w:rsidRDefault="00B361D5" w:rsidP="00CB295F">
            <w:pPr>
              <w:rPr>
                <w:rStyle w:val="Hyperlink"/>
                <w:color w:val="auto"/>
                <w:sz w:val="18"/>
                <w:szCs w:val="18"/>
                <w:u w:val="none"/>
              </w:rPr>
            </w:pPr>
            <w:r>
              <w:rPr>
                <w:rStyle w:val="Hyperlink"/>
                <w:color w:val="auto"/>
                <w:sz w:val="18"/>
                <w:szCs w:val="18"/>
                <w:u w:val="none"/>
              </w:rPr>
              <w:t xml:space="preserve">The 9 outcomes are divided into three areas:  (1) Process Outcomes; (2) Consumer Outcomes; and (3) Capacity Outcomes. </w:t>
            </w:r>
            <w:r w:rsidR="005A1A9F">
              <w:rPr>
                <w:rStyle w:val="Hyperlink"/>
                <w:color w:val="auto"/>
                <w:sz w:val="18"/>
                <w:szCs w:val="18"/>
                <w:u w:val="none"/>
              </w:rPr>
              <w:t xml:space="preserve">Each outcome has a number of indicators to more discretely measure the impact of that outcome.  Target indicator benchmarks were identified, and an indicator timeframe is included. Five of the outcomes are </w:t>
            </w:r>
            <w:r w:rsidR="00CB295F" w:rsidRPr="000E6EDD">
              <w:rPr>
                <w:rStyle w:val="Hyperlink"/>
                <w:color w:val="auto"/>
                <w:sz w:val="18"/>
                <w:szCs w:val="18"/>
                <w:u w:val="none"/>
              </w:rPr>
              <w:t xml:space="preserve">specific to improving </w:t>
            </w:r>
            <w:r w:rsidR="005A1A9F">
              <w:rPr>
                <w:rStyle w:val="Hyperlink"/>
                <w:color w:val="auto"/>
                <w:sz w:val="18"/>
                <w:szCs w:val="18"/>
                <w:u w:val="none"/>
              </w:rPr>
              <w:t>quality of life</w:t>
            </w:r>
            <w:r w:rsidR="009676D0">
              <w:rPr>
                <w:rStyle w:val="Hyperlink"/>
                <w:color w:val="auto"/>
                <w:sz w:val="18"/>
                <w:szCs w:val="18"/>
                <w:u w:val="none"/>
              </w:rPr>
              <w:t xml:space="preserve"> and are </w:t>
            </w:r>
            <w:r w:rsidR="00CB295F" w:rsidRPr="000E6EDD">
              <w:rPr>
                <w:rStyle w:val="Hyperlink"/>
                <w:color w:val="auto"/>
                <w:sz w:val="18"/>
                <w:szCs w:val="18"/>
                <w:u w:val="none"/>
              </w:rPr>
              <w:t xml:space="preserve">the most important. The other </w:t>
            </w:r>
            <w:r w:rsidR="005A1A9F">
              <w:rPr>
                <w:rStyle w:val="Hyperlink"/>
                <w:color w:val="auto"/>
                <w:sz w:val="18"/>
                <w:szCs w:val="18"/>
                <w:u w:val="none"/>
              </w:rPr>
              <w:t>four outcomes</w:t>
            </w:r>
            <w:r w:rsidR="00CB295F" w:rsidRPr="000E6EDD">
              <w:rPr>
                <w:rStyle w:val="Hyperlink"/>
                <w:color w:val="auto"/>
                <w:sz w:val="18"/>
                <w:szCs w:val="18"/>
                <w:u w:val="none"/>
              </w:rPr>
              <w:t xml:space="preserve"> are more administrative </w:t>
            </w:r>
            <w:r w:rsidR="009676D0">
              <w:rPr>
                <w:rStyle w:val="Hyperlink"/>
                <w:color w:val="auto"/>
                <w:sz w:val="18"/>
                <w:szCs w:val="18"/>
                <w:u w:val="none"/>
              </w:rPr>
              <w:t xml:space="preserve">in nature </w:t>
            </w:r>
            <w:r w:rsidR="00CB295F" w:rsidRPr="000E6EDD">
              <w:rPr>
                <w:rStyle w:val="Hyperlink"/>
                <w:color w:val="auto"/>
                <w:sz w:val="18"/>
                <w:szCs w:val="18"/>
                <w:u w:val="none"/>
              </w:rPr>
              <w:t xml:space="preserve">and are necessary for the state </w:t>
            </w:r>
            <w:r w:rsidR="009676D0">
              <w:rPr>
                <w:rStyle w:val="Hyperlink"/>
                <w:color w:val="auto"/>
                <w:sz w:val="18"/>
                <w:szCs w:val="18"/>
                <w:u w:val="none"/>
              </w:rPr>
              <w:t>to review</w:t>
            </w:r>
            <w:r w:rsidR="00523F1B">
              <w:rPr>
                <w:rStyle w:val="Hyperlink"/>
                <w:color w:val="auto"/>
                <w:sz w:val="18"/>
                <w:szCs w:val="18"/>
                <w:u w:val="none"/>
              </w:rPr>
              <w:t>.</w:t>
            </w:r>
            <w:r w:rsidR="00CB295F" w:rsidRPr="000E6EDD">
              <w:rPr>
                <w:rStyle w:val="Hyperlink"/>
                <w:color w:val="auto"/>
                <w:sz w:val="18"/>
                <w:szCs w:val="18"/>
                <w:u w:val="none"/>
              </w:rPr>
              <w:t xml:space="preserve"> </w:t>
            </w:r>
          </w:p>
          <w:p w:rsidR="00CB295F" w:rsidRPr="000E6EDD" w:rsidRDefault="00CB295F" w:rsidP="00CB295F">
            <w:pPr>
              <w:rPr>
                <w:rStyle w:val="Hyperlink"/>
                <w:color w:val="auto"/>
                <w:sz w:val="18"/>
                <w:szCs w:val="18"/>
                <w:u w:val="none"/>
              </w:rPr>
            </w:pPr>
          </w:p>
          <w:p w:rsidR="009676D0" w:rsidRPr="009676D0" w:rsidRDefault="009676D0" w:rsidP="00CB295F">
            <w:pPr>
              <w:rPr>
                <w:b/>
                <w:sz w:val="18"/>
                <w:szCs w:val="18"/>
                <w:u w:val="single"/>
              </w:rPr>
            </w:pPr>
            <w:r w:rsidRPr="009676D0">
              <w:rPr>
                <w:b/>
                <w:sz w:val="18"/>
                <w:szCs w:val="18"/>
                <w:u w:val="single"/>
              </w:rPr>
              <w:t>Methodology</w:t>
            </w:r>
          </w:p>
          <w:p w:rsidR="00523F1B" w:rsidRDefault="009676D0" w:rsidP="00CB295F">
            <w:pPr>
              <w:rPr>
                <w:sz w:val="18"/>
                <w:szCs w:val="18"/>
              </w:rPr>
            </w:pPr>
            <w:r>
              <w:rPr>
                <w:sz w:val="18"/>
                <w:szCs w:val="18"/>
              </w:rPr>
              <w:t xml:space="preserve">The state administers a capacity survey annually or as necessary across all of their ADRCs to help quantify the metrics. This includes measurement of partnerships, whether the local ADRC has a business </w:t>
            </w:r>
            <w:r w:rsidR="00523F1B">
              <w:rPr>
                <w:sz w:val="18"/>
                <w:szCs w:val="18"/>
              </w:rPr>
              <w:t xml:space="preserve">or financial </w:t>
            </w:r>
            <w:r>
              <w:rPr>
                <w:sz w:val="18"/>
                <w:szCs w:val="18"/>
              </w:rPr>
              <w:t>plan in place, and what additional funding the local ADRC receives outside of grant funding.  They also capture data on the number of staff w</w:t>
            </w:r>
            <w:r w:rsidR="00523F1B">
              <w:rPr>
                <w:sz w:val="18"/>
                <w:szCs w:val="18"/>
              </w:rPr>
              <w:t xml:space="preserve">ho function in different roles and </w:t>
            </w:r>
            <w:r>
              <w:rPr>
                <w:sz w:val="18"/>
                <w:szCs w:val="18"/>
              </w:rPr>
              <w:t>how they conduct marketing and outreach.  The capacity survey is administered as an Excel tool a</w:t>
            </w:r>
            <w:r w:rsidR="00523F1B">
              <w:rPr>
                <w:sz w:val="18"/>
                <w:szCs w:val="18"/>
              </w:rPr>
              <w:t xml:space="preserve">nd is emailed to each ADRC lead who </w:t>
            </w:r>
            <w:r>
              <w:rPr>
                <w:sz w:val="18"/>
                <w:szCs w:val="18"/>
              </w:rPr>
              <w:t xml:space="preserve">works within their respective networks to complete the tool and </w:t>
            </w:r>
            <w:r w:rsidR="00523F1B">
              <w:rPr>
                <w:sz w:val="18"/>
                <w:szCs w:val="18"/>
              </w:rPr>
              <w:t xml:space="preserve">send </w:t>
            </w:r>
            <w:r>
              <w:rPr>
                <w:sz w:val="18"/>
                <w:szCs w:val="18"/>
              </w:rPr>
              <w:t xml:space="preserve">back to the state. </w:t>
            </w:r>
          </w:p>
          <w:p w:rsidR="00523F1B" w:rsidRDefault="00523F1B" w:rsidP="00CB295F">
            <w:pPr>
              <w:rPr>
                <w:sz w:val="18"/>
                <w:szCs w:val="18"/>
              </w:rPr>
            </w:pPr>
          </w:p>
          <w:p w:rsidR="00CB295F" w:rsidRPr="009676D0" w:rsidRDefault="009676D0" w:rsidP="00CB295F">
            <w:pPr>
              <w:rPr>
                <w:sz w:val="18"/>
                <w:szCs w:val="18"/>
              </w:rPr>
            </w:pPr>
            <w:r>
              <w:rPr>
                <w:sz w:val="18"/>
                <w:szCs w:val="18"/>
              </w:rPr>
              <w:t xml:space="preserve">The state </w:t>
            </w:r>
            <w:r w:rsidR="00523F1B">
              <w:rPr>
                <w:sz w:val="18"/>
                <w:szCs w:val="18"/>
              </w:rPr>
              <w:t>compiles and analyzes the survey data a</w:t>
            </w:r>
            <w:r>
              <w:rPr>
                <w:sz w:val="18"/>
                <w:szCs w:val="18"/>
              </w:rPr>
              <w:t>cross the ADRCs</w:t>
            </w:r>
            <w:r w:rsidR="00523F1B">
              <w:rPr>
                <w:sz w:val="18"/>
                <w:szCs w:val="18"/>
              </w:rPr>
              <w:t xml:space="preserve"> using both </w:t>
            </w:r>
            <w:r>
              <w:rPr>
                <w:sz w:val="18"/>
                <w:szCs w:val="18"/>
              </w:rPr>
              <w:t>q</w:t>
            </w:r>
            <w:r w:rsidR="00CB295F" w:rsidRPr="009676D0">
              <w:rPr>
                <w:sz w:val="18"/>
                <w:szCs w:val="18"/>
              </w:rPr>
              <w:t>uantitative and qualitative analysis</w:t>
            </w:r>
            <w:r>
              <w:rPr>
                <w:sz w:val="18"/>
                <w:szCs w:val="18"/>
              </w:rPr>
              <w:t xml:space="preserve">.  </w:t>
            </w:r>
            <w:r w:rsidR="00523F1B">
              <w:rPr>
                <w:sz w:val="18"/>
                <w:szCs w:val="18"/>
              </w:rPr>
              <w:t xml:space="preserve">The state has made a commitment to turn around the data analysis within 30 days, as it believes strongly in transparency and responsiveness.  If they are asking the local sites for data, they believe the data and results should be shared back with the local ADRCs.  Reports include comparative analysis of ADRCs by region, as well as compared to statewide data.   Oregon feels fortunate that they have  the staff expertise and internal capacity to implement this rapid process.  </w:t>
            </w:r>
            <w:r w:rsidR="00CB295F" w:rsidRPr="009676D0">
              <w:rPr>
                <w:sz w:val="18"/>
                <w:szCs w:val="18"/>
              </w:rPr>
              <w:t xml:space="preserve"> </w:t>
            </w:r>
            <w:r w:rsidR="00523F1B">
              <w:rPr>
                <w:sz w:val="18"/>
                <w:szCs w:val="18"/>
              </w:rPr>
              <w:t>The state uses the results to help the local ADRCs understand where they need to focus attention, or where they may need help and technical assistance.</w:t>
            </w:r>
          </w:p>
          <w:p w:rsidR="00CB295F" w:rsidRPr="00523F1B" w:rsidRDefault="00523F1B" w:rsidP="00CB295F">
            <w:pPr>
              <w:rPr>
                <w:b/>
                <w:sz w:val="18"/>
                <w:szCs w:val="18"/>
                <w:u w:val="single"/>
              </w:rPr>
            </w:pPr>
            <w:r w:rsidRPr="00523F1B">
              <w:rPr>
                <w:b/>
                <w:sz w:val="18"/>
                <w:szCs w:val="18"/>
                <w:u w:val="single"/>
              </w:rPr>
              <w:t>Consumer Satisfaction</w:t>
            </w:r>
          </w:p>
          <w:p w:rsidR="00CB295F" w:rsidRPr="009676D0" w:rsidRDefault="00523F1B" w:rsidP="00CB295F">
            <w:pPr>
              <w:rPr>
                <w:sz w:val="18"/>
                <w:szCs w:val="18"/>
              </w:rPr>
            </w:pPr>
            <w:r>
              <w:rPr>
                <w:sz w:val="18"/>
                <w:szCs w:val="18"/>
              </w:rPr>
              <w:t>Oregon has implemented consumer satisfaction surveys for the past four years covering the ar</w:t>
            </w:r>
            <w:r w:rsidR="00771821">
              <w:rPr>
                <w:sz w:val="18"/>
                <w:szCs w:val="18"/>
              </w:rPr>
              <w:t>eas of Information &amp; Assistance</w:t>
            </w:r>
            <w:r>
              <w:rPr>
                <w:sz w:val="18"/>
                <w:szCs w:val="18"/>
              </w:rPr>
              <w:t xml:space="preserve"> and Options Counseling. </w:t>
            </w:r>
            <w:r w:rsidR="00771821">
              <w:rPr>
                <w:sz w:val="18"/>
                <w:szCs w:val="18"/>
              </w:rPr>
              <w:t xml:space="preserve">The survey instrument is validated with minor modifications over the past three years.  </w:t>
            </w:r>
            <w:r>
              <w:rPr>
                <w:sz w:val="18"/>
                <w:szCs w:val="18"/>
              </w:rPr>
              <w:t>The state contracts with a local university p</w:t>
            </w:r>
            <w:r w:rsidR="00771821">
              <w:rPr>
                <w:sz w:val="18"/>
                <w:szCs w:val="18"/>
              </w:rPr>
              <w:t>artner to administer the survey</w:t>
            </w:r>
            <w:r>
              <w:rPr>
                <w:sz w:val="18"/>
                <w:szCs w:val="18"/>
              </w:rPr>
              <w:t xml:space="preserve"> using representative samples</w:t>
            </w:r>
            <w:r w:rsidR="00771821">
              <w:rPr>
                <w:sz w:val="18"/>
                <w:szCs w:val="18"/>
              </w:rPr>
              <w:t xml:space="preserve"> of consumers served by the ADRCs across the state</w:t>
            </w:r>
            <w:r>
              <w:rPr>
                <w:sz w:val="18"/>
                <w:szCs w:val="18"/>
              </w:rPr>
              <w:t xml:space="preserve">. </w:t>
            </w:r>
            <w:r w:rsidR="00771821">
              <w:rPr>
                <w:sz w:val="18"/>
                <w:szCs w:val="18"/>
              </w:rPr>
              <w:t xml:space="preserve"> </w:t>
            </w:r>
            <w:r>
              <w:rPr>
                <w:sz w:val="18"/>
                <w:szCs w:val="18"/>
              </w:rPr>
              <w:t>The surveys are administered using a structured telephone interview, with each interview averaging</w:t>
            </w:r>
            <w:r w:rsidR="00CB295F" w:rsidRPr="009676D0">
              <w:rPr>
                <w:sz w:val="18"/>
                <w:szCs w:val="18"/>
              </w:rPr>
              <w:t xml:space="preserve"> 20-30 minutes </w:t>
            </w:r>
            <w:r>
              <w:rPr>
                <w:sz w:val="18"/>
                <w:szCs w:val="18"/>
              </w:rPr>
              <w:t xml:space="preserve">in length. </w:t>
            </w:r>
            <w:r w:rsidR="00771821">
              <w:rPr>
                <w:sz w:val="18"/>
                <w:szCs w:val="18"/>
              </w:rPr>
              <w:t>The results are filtered by ADRC service area</w:t>
            </w:r>
            <w:r w:rsidR="00771821" w:rsidRPr="009676D0">
              <w:rPr>
                <w:sz w:val="18"/>
                <w:szCs w:val="18"/>
              </w:rPr>
              <w:t xml:space="preserve"> to compare to </w:t>
            </w:r>
            <w:r w:rsidR="00771821">
              <w:rPr>
                <w:sz w:val="18"/>
                <w:szCs w:val="18"/>
              </w:rPr>
              <w:t xml:space="preserve">the </w:t>
            </w:r>
            <w:r w:rsidR="00771821" w:rsidRPr="009676D0">
              <w:rPr>
                <w:sz w:val="18"/>
                <w:szCs w:val="18"/>
              </w:rPr>
              <w:t xml:space="preserve">state average. </w:t>
            </w:r>
            <w:r w:rsidR="00771821">
              <w:rPr>
                <w:sz w:val="18"/>
                <w:szCs w:val="18"/>
              </w:rPr>
              <w:t>The survey q</w:t>
            </w:r>
            <w:r w:rsidR="00CB295F" w:rsidRPr="009676D0">
              <w:rPr>
                <w:sz w:val="18"/>
                <w:szCs w:val="18"/>
              </w:rPr>
              <w:t xml:space="preserve">uestions were </w:t>
            </w:r>
            <w:r w:rsidR="00771821">
              <w:rPr>
                <w:sz w:val="18"/>
                <w:szCs w:val="18"/>
              </w:rPr>
              <w:t>developed by</w:t>
            </w:r>
            <w:r w:rsidR="00CB295F" w:rsidRPr="009676D0">
              <w:rPr>
                <w:sz w:val="18"/>
                <w:szCs w:val="18"/>
              </w:rPr>
              <w:t xml:space="preserve"> consumer focus groups and </w:t>
            </w:r>
            <w:r w:rsidR="00771821">
              <w:rPr>
                <w:sz w:val="18"/>
                <w:szCs w:val="18"/>
              </w:rPr>
              <w:t xml:space="preserve">qualitative work done by the state to </w:t>
            </w:r>
            <w:r w:rsidR="00CB295F" w:rsidRPr="009676D0">
              <w:rPr>
                <w:sz w:val="18"/>
                <w:szCs w:val="18"/>
              </w:rPr>
              <w:t xml:space="preserve">govern </w:t>
            </w:r>
            <w:r w:rsidR="00771821">
              <w:rPr>
                <w:sz w:val="18"/>
                <w:szCs w:val="18"/>
              </w:rPr>
              <w:t xml:space="preserve">the </w:t>
            </w:r>
            <w:r w:rsidR="00CB295F" w:rsidRPr="009676D0">
              <w:rPr>
                <w:sz w:val="18"/>
                <w:szCs w:val="18"/>
              </w:rPr>
              <w:t xml:space="preserve">standards for </w:t>
            </w:r>
            <w:r w:rsidR="00771821">
              <w:rPr>
                <w:sz w:val="18"/>
                <w:szCs w:val="18"/>
              </w:rPr>
              <w:t xml:space="preserve">the </w:t>
            </w:r>
            <w:r w:rsidR="00CB295F" w:rsidRPr="009676D0">
              <w:rPr>
                <w:sz w:val="18"/>
                <w:szCs w:val="18"/>
              </w:rPr>
              <w:t>ADRC</w:t>
            </w:r>
            <w:r w:rsidR="00771821">
              <w:rPr>
                <w:sz w:val="18"/>
                <w:szCs w:val="18"/>
              </w:rPr>
              <w:t>s</w:t>
            </w:r>
            <w:r w:rsidR="00CB295F" w:rsidRPr="009676D0">
              <w:rPr>
                <w:sz w:val="18"/>
                <w:szCs w:val="18"/>
              </w:rPr>
              <w:t xml:space="preserve"> of OR. </w:t>
            </w:r>
            <w:r w:rsidR="00771821">
              <w:rPr>
                <w:sz w:val="18"/>
                <w:szCs w:val="18"/>
              </w:rPr>
              <w:t xml:space="preserve">Oregon boasts an </w:t>
            </w:r>
            <w:r w:rsidR="00771821" w:rsidRPr="009676D0">
              <w:rPr>
                <w:sz w:val="18"/>
                <w:szCs w:val="18"/>
              </w:rPr>
              <w:t>extremely high response rate.</w:t>
            </w:r>
          </w:p>
          <w:p w:rsidR="00CB295F" w:rsidRPr="009676D0" w:rsidRDefault="00CB295F" w:rsidP="00CB295F">
            <w:pPr>
              <w:rPr>
                <w:sz w:val="18"/>
                <w:szCs w:val="18"/>
              </w:rPr>
            </w:pPr>
          </w:p>
          <w:p w:rsidR="00CB295F" w:rsidRPr="009676D0" w:rsidRDefault="00771821" w:rsidP="00CB295F">
            <w:pPr>
              <w:rPr>
                <w:sz w:val="18"/>
                <w:szCs w:val="18"/>
              </w:rPr>
            </w:pPr>
            <w:r w:rsidRPr="00771821">
              <w:rPr>
                <w:b/>
                <w:sz w:val="18"/>
                <w:szCs w:val="18"/>
                <w:u w:val="single"/>
              </w:rPr>
              <w:t>Impacts and Improvement</w:t>
            </w:r>
          </w:p>
          <w:p w:rsidR="00CB295F" w:rsidRPr="009676D0" w:rsidRDefault="00771821" w:rsidP="00CB295F">
            <w:pPr>
              <w:rPr>
                <w:sz w:val="18"/>
                <w:szCs w:val="18"/>
              </w:rPr>
            </w:pPr>
            <w:r>
              <w:rPr>
                <w:sz w:val="18"/>
                <w:szCs w:val="18"/>
              </w:rPr>
              <w:t>The state studies the data from both the ADRC outcome analysis as well as the satisfaction surveys and identifies trends or outliers. This information is shared with the statewide ADRC Advisory C</w:t>
            </w:r>
            <w:r w:rsidR="00CB295F" w:rsidRPr="009676D0">
              <w:rPr>
                <w:sz w:val="18"/>
                <w:szCs w:val="18"/>
              </w:rPr>
              <w:t xml:space="preserve">ouncil if </w:t>
            </w:r>
            <w:r>
              <w:rPr>
                <w:sz w:val="18"/>
                <w:szCs w:val="18"/>
              </w:rPr>
              <w:t xml:space="preserve">the issues are focused on big picture topics, or to a </w:t>
            </w:r>
            <w:r w:rsidR="00CB295F" w:rsidRPr="009676D0">
              <w:rPr>
                <w:sz w:val="18"/>
                <w:szCs w:val="18"/>
              </w:rPr>
              <w:t xml:space="preserve">steering committee specifically designed to manage </w:t>
            </w:r>
            <w:r>
              <w:rPr>
                <w:sz w:val="18"/>
                <w:szCs w:val="18"/>
              </w:rPr>
              <w:t xml:space="preserve">the Part A </w:t>
            </w:r>
            <w:r w:rsidR="00CB295F" w:rsidRPr="009676D0">
              <w:rPr>
                <w:sz w:val="18"/>
                <w:szCs w:val="18"/>
              </w:rPr>
              <w:t xml:space="preserve">grant. </w:t>
            </w:r>
            <w:r>
              <w:rPr>
                <w:sz w:val="18"/>
                <w:szCs w:val="18"/>
              </w:rPr>
              <w:t xml:space="preserve">Issues, trends, and concerns are discussed and with the assistance of a trainer on staff with the SUA, they develop a plan of action where needed. The state conducts monthly calls with all </w:t>
            </w:r>
            <w:r w:rsidR="00086480">
              <w:rPr>
                <w:sz w:val="18"/>
                <w:szCs w:val="18"/>
              </w:rPr>
              <w:t xml:space="preserve">of the </w:t>
            </w:r>
            <w:r>
              <w:rPr>
                <w:sz w:val="18"/>
                <w:szCs w:val="18"/>
              </w:rPr>
              <w:t>ADRCs</w:t>
            </w:r>
            <w:r w:rsidR="00086480">
              <w:rPr>
                <w:sz w:val="18"/>
                <w:szCs w:val="18"/>
              </w:rPr>
              <w:t xml:space="preserve"> together to </w:t>
            </w:r>
            <w:r>
              <w:rPr>
                <w:sz w:val="18"/>
                <w:szCs w:val="18"/>
              </w:rPr>
              <w:t xml:space="preserve">discuss the results of the surveys in a </w:t>
            </w:r>
            <w:r w:rsidR="00086480">
              <w:rPr>
                <w:sz w:val="18"/>
                <w:szCs w:val="18"/>
              </w:rPr>
              <w:t>peer-to-peer</w:t>
            </w:r>
            <w:r>
              <w:rPr>
                <w:sz w:val="18"/>
                <w:szCs w:val="18"/>
              </w:rPr>
              <w:t xml:space="preserve"> learning environment.  </w:t>
            </w:r>
            <w:r w:rsidR="00086480">
              <w:rPr>
                <w:sz w:val="18"/>
                <w:szCs w:val="18"/>
              </w:rPr>
              <w:t xml:space="preserve">Both front line staff and management </w:t>
            </w:r>
            <w:r w:rsidR="00D863CA">
              <w:rPr>
                <w:sz w:val="18"/>
                <w:szCs w:val="18"/>
              </w:rPr>
              <w:t xml:space="preserve">staff </w:t>
            </w:r>
            <w:r w:rsidR="00086480">
              <w:rPr>
                <w:sz w:val="18"/>
                <w:szCs w:val="18"/>
              </w:rPr>
              <w:t xml:space="preserve">are invited.  </w:t>
            </w:r>
            <w:r>
              <w:rPr>
                <w:sz w:val="18"/>
                <w:szCs w:val="18"/>
              </w:rPr>
              <w:t xml:space="preserve">The state identifies key findings </w:t>
            </w:r>
            <w:r w:rsidR="00086480">
              <w:rPr>
                <w:sz w:val="18"/>
                <w:szCs w:val="18"/>
              </w:rPr>
              <w:t xml:space="preserve">and matches needs across the ADRCs with training interventions.  Best practices are also identified and flagged for future webinar topics for the ADRCs.  The environment is positive and is not meant to be punitive.  The state wants to encourage openness and sharing to see both strengths and weaknesses, seeking the input of the local sites on what they feel they need to improve </w:t>
            </w:r>
            <w:r w:rsidR="00D863CA">
              <w:rPr>
                <w:sz w:val="18"/>
                <w:szCs w:val="18"/>
              </w:rPr>
              <w:t>on</w:t>
            </w:r>
            <w:r w:rsidR="00086480">
              <w:rPr>
                <w:sz w:val="18"/>
                <w:szCs w:val="18"/>
              </w:rPr>
              <w:t xml:space="preserve">. The state has </w:t>
            </w:r>
            <w:r w:rsidR="00CB295F" w:rsidRPr="009676D0">
              <w:rPr>
                <w:sz w:val="18"/>
                <w:szCs w:val="18"/>
              </w:rPr>
              <w:t xml:space="preserve">assigned liaisons to work with each of the </w:t>
            </w:r>
            <w:r w:rsidR="00086480">
              <w:rPr>
                <w:sz w:val="18"/>
                <w:szCs w:val="18"/>
              </w:rPr>
              <w:t xml:space="preserve">ADRCs who are responsible for ensuring that </w:t>
            </w:r>
            <w:r w:rsidR="00CB295F" w:rsidRPr="009676D0">
              <w:rPr>
                <w:sz w:val="18"/>
                <w:szCs w:val="18"/>
              </w:rPr>
              <w:t xml:space="preserve">plans of action </w:t>
            </w:r>
            <w:r w:rsidR="00086480">
              <w:rPr>
                <w:sz w:val="18"/>
                <w:szCs w:val="18"/>
              </w:rPr>
              <w:t>are implemented at the local level, best practice webinars</w:t>
            </w:r>
            <w:r w:rsidR="00D863CA">
              <w:rPr>
                <w:sz w:val="18"/>
                <w:szCs w:val="18"/>
              </w:rPr>
              <w:t xml:space="preserve"> are implemented, as well as</w:t>
            </w:r>
            <w:r w:rsidR="00086480">
              <w:rPr>
                <w:sz w:val="18"/>
                <w:szCs w:val="18"/>
              </w:rPr>
              <w:t xml:space="preserve"> setting up job shadow</w:t>
            </w:r>
            <w:r w:rsidR="00D863CA">
              <w:rPr>
                <w:sz w:val="18"/>
                <w:szCs w:val="18"/>
              </w:rPr>
              <w:t>ing for best practices across the ADRC</w:t>
            </w:r>
            <w:r w:rsidR="00456B75">
              <w:rPr>
                <w:sz w:val="18"/>
                <w:szCs w:val="18"/>
              </w:rPr>
              <w:t>s</w:t>
            </w:r>
            <w:r w:rsidR="00086480">
              <w:rPr>
                <w:sz w:val="18"/>
                <w:szCs w:val="18"/>
              </w:rPr>
              <w:t xml:space="preserve">.  </w:t>
            </w:r>
            <w:r w:rsidR="00CB295F" w:rsidRPr="009676D0">
              <w:rPr>
                <w:sz w:val="18"/>
                <w:szCs w:val="18"/>
              </w:rPr>
              <w:t xml:space="preserve">  </w:t>
            </w:r>
          </w:p>
          <w:p w:rsidR="00CB295F" w:rsidRPr="009676D0" w:rsidRDefault="00CB295F" w:rsidP="00CB295F">
            <w:pPr>
              <w:rPr>
                <w:sz w:val="18"/>
                <w:szCs w:val="18"/>
              </w:rPr>
            </w:pPr>
          </w:p>
          <w:p w:rsidR="00CB295F" w:rsidRPr="009676D0" w:rsidRDefault="00086480" w:rsidP="00CB295F">
            <w:pPr>
              <w:rPr>
                <w:sz w:val="18"/>
                <w:szCs w:val="18"/>
              </w:rPr>
            </w:pPr>
            <w:r>
              <w:rPr>
                <w:sz w:val="18"/>
                <w:szCs w:val="18"/>
              </w:rPr>
              <w:t>The overall state CQI process is designed to be reflective. The iterative process is very much a Plan, Do, Study, Act (PDSA) cycle.  If they find that they are meeting a benchmark consistently, they ask the local ADR</w:t>
            </w:r>
            <w:r w:rsidR="00D80D29">
              <w:rPr>
                <w:sz w:val="18"/>
                <w:szCs w:val="18"/>
              </w:rPr>
              <w:t>C</w:t>
            </w:r>
            <w:r>
              <w:rPr>
                <w:sz w:val="18"/>
                <w:szCs w:val="18"/>
              </w:rPr>
              <w:t xml:space="preserve">s whether it is time to reassess that target.  This decision goes before the consumer based advisory group for final approval. </w:t>
            </w:r>
            <w:r w:rsidR="0038600C">
              <w:rPr>
                <w:sz w:val="18"/>
                <w:szCs w:val="18"/>
              </w:rPr>
              <w:t xml:space="preserve">In the future, the state is going to be implementing a more consistent approach to monitoring </w:t>
            </w:r>
            <w:r w:rsidR="0038600C" w:rsidRPr="009676D0">
              <w:rPr>
                <w:sz w:val="18"/>
                <w:szCs w:val="18"/>
              </w:rPr>
              <w:t>each of the ADR</w:t>
            </w:r>
            <w:r w:rsidR="0038600C">
              <w:rPr>
                <w:sz w:val="18"/>
                <w:szCs w:val="18"/>
              </w:rPr>
              <w:t>C</w:t>
            </w:r>
            <w:r w:rsidR="0038600C" w:rsidRPr="009676D0">
              <w:rPr>
                <w:sz w:val="18"/>
                <w:szCs w:val="18"/>
              </w:rPr>
              <w:t xml:space="preserve">s </w:t>
            </w:r>
            <w:r w:rsidR="0038600C">
              <w:rPr>
                <w:sz w:val="18"/>
                <w:szCs w:val="18"/>
              </w:rPr>
              <w:t xml:space="preserve">based upon the new NWD Standards. </w:t>
            </w:r>
            <w:r w:rsidR="00D80D29">
              <w:rPr>
                <w:sz w:val="18"/>
                <w:szCs w:val="18"/>
              </w:rPr>
              <w:t xml:space="preserve">The state </w:t>
            </w:r>
            <w:r w:rsidR="0038600C">
              <w:rPr>
                <w:sz w:val="18"/>
                <w:szCs w:val="18"/>
              </w:rPr>
              <w:t>also creates v</w:t>
            </w:r>
            <w:r w:rsidR="00D80D29" w:rsidRPr="009676D0">
              <w:rPr>
                <w:sz w:val="18"/>
                <w:szCs w:val="18"/>
              </w:rPr>
              <w:t xml:space="preserve">ery simple visual summaries for top managers </w:t>
            </w:r>
            <w:r w:rsidR="00D80D29">
              <w:rPr>
                <w:sz w:val="18"/>
                <w:szCs w:val="18"/>
              </w:rPr>
              <w:t xml:space="preserve">in state government as well as their legislative body.  </w:t>
            </w:r>
          </w:p>
          <w:p w:rsidR="00CB295F" w:rsidRPr="009676D0" w:rsidRDefault="00CB295F" w:rsidP="00CB295F">
            <w:pPr>
              <w:rPr>
                <w:sz w:val="18"/>
                <w:szCs w:val="18"/>
              </w:rPr>
            </w:pPr>
          </w:p>
          <w:p w:rsidR="00CB295F" w:rsidRPr="009676D0" w:rsidRDefault="00D80D29" w:rsidP="00CB295F">
            <w:pPr>
              <w:rPr>
                <w:sz w:val="18"/>
                <w:szCs w:val="18"/>
              </w:rPr>
            </w:pPr>
            <w:r w:rsidRPr="00D80D29">
              <w:rPr>
                <w:b/>
                <w:sz w:val="18"/>
                <w:szCs w:val="18"/>
                <w:u w:val="single"/>
              </w:rPr>
              <w:t>Funding</w:t>
            </w:r>
          </w:p>
          <w:p w:rsidR="00CB295F" w:rsidRPr="009676D0" w:rsidRDefault="00D80D29" w:rsidP="00CB295F">
            <w:pPr>
              <w:rPr>
                <w:sz w:val="18"/>
                <w:szCs w:val="18"/>
              </w:rPr>
            </w:pPr>
            <w:r>
              <w:rPr>
                <w:sz w:val="18"/>
                <w:szCs w:val="18"/>
              </w:rPr>
              <w:t xml:space="preserve">The NWD/ADRC CQI process is funded mostly using </w:t>
            </w:r>
            <w:r w:rsidR="00CB295F" w:rsidRPr="009676D0">
              <w:rPr>
                <w:sz w:val="18"/>
                <w:szCs w:val="18"/>
              </w:rPr>
              <w:t>ACL grant</w:t>
            </w:r>
            <w:r>
              <w:rPr>
                <w:sz w:val="18"/>
                <w:szCs w:val="18"/>
              </w:rPr>
              <w:t xml:space="preserve"> money combined with </w:t>
            </w:r>
            <w:r w:rsidR="00CB295F" w:rsidRPr="009676D0">
              <w:rPr>
                <w:sz w:val="18"/>
                <w:szCs w:val="18"/>
              </w:rPr>
              <w:t>OAA funding</w:t>
            </w:r>
            <w:r>
              <w:rPr>
                <w:sz w:val="18"/>
                <w:szCs w:val="18"/>
              </w:rPr>
              <w:t xml:space="preserve"> and a very small amount of general funds.  The OAA funding has been merged with the ACL NWD funding, as the state believes this activity is mutually supportive.  They have a </w:t>
            </w:r>
            <w:r w:rsidR="00CB295F" w:rsidRPr="009676D0">
              <w:rPr>
                <w:sz w:val="18"/>
                <w:szCs w:val="18"/>
              </w:rPr>
              <w:t xml:space="preserve">strong evaluation capacity and </w:t>
            </w:r>
            <w:r>
              <w:rPr>
                <w:sz w:val="18"/>
                <w:szCs w:val="18"/>
              </w:rPr>
              <w:t>are using the</w:t>
            </w:r>
            <w:r w:rsidR="00CB295F" w:rsidRPr="009676D0">
              <w:rPr>
                <w:sz w:val="18"/>
                <w:szCs w:val="18"/>
              </w:rPr>
              <w:t xml:space="preserve"> language </w:t>
            </w:r>
            <w:r>
              <w:rPr>
                <w:sz w:val="18"/>
                <w:szCs w:val="18"/>
              </w:rPr>
              <w:t xml:space="preserve">of the NWD/ADRC </w:t>
            </w:r>
            <w:r w:rsidR="00CB295F" w:rsidRPr="009676D0">
              <w:rPr>
                <w:sz w:val="18"/>
                <w:szCs w:val="18"/>
              </w:rPr>
              <w:t xml:space="preserve">for all of their work. </w:t>
            </w:r>
          </w:p>
          <w:p w:rsidR="00D91550" w:rsidRPr="00E51254" w:rsidRDefault="00D91550" w:rsidP="00D91550">
            <w:pPr>
              <w:pStyle w:val="TopoftheLine"/>
              <w:spacing w:before="0"/>
              <w:rPr>
                <w:sz w:val="18"/>
                <w:szCs w:val="18"/>
              </w:rPr>
            </w:pPr>
          </w:p>
        </w:tc>
      </w:tr>
      <w:tr w:rsidR="00D90AD2" w:rsidTr="0027284E">
        <w:trPr>
          <w:trHeight w:val="68"/>
          <w:jc w:val="center"/>
        </w:trPr>
        <w:tc>
          <w:tcPr>
            <w:tcW w:w="2436" w:type="dxa"/>
            <w:vMerge/>
            <w:shd w:val="clear" w:color="auto" w:fill="05518E"/>
          </w:tcPr>
          <w:p w:rsidR="00D90AD2" w:rsidRDefault="00D90AD2" w:rsidP="00D91550">
            <w:pPr>
              <w:rPr>
                <w:noProof/>
              </w:rPr>
            </w:pPr>
          </w:p>
        </w:tc>
        <w:tc>
          <w:tcPr>
            <w:tcW w:w="8418" w:type="dxa"/>
            <w:shd w:val="clear" w:color="auto" w:fill="FCB73F"/>
          </w:tcPr>
          <w:p w:rsidR="00D90AD2" w:rsidRDefault="00E51254" w:rsidP="00CB295F">
            <w:pPr>
              <w:pStyle w:val="Heading2"/>
              <w:spacing w:before="0"/>
              <w:outlineLvl w:val="1"/>
            </w:pPr>
            <w:r>
              <w:t xml:space="preserve">Federal Vision for </w:t>
            </w:r>
            <w:r w:rsidR="00CB295F">
              <w:t>Continuous Quality Improvement</w:t>
            </w:r>
          </w:p>
        </w:tc>
      </w:tr>
      <w:tr w:rsidR="0027284E" w:rsidTr="00047527">
        <w:trPr>
          <w:trHeight w:val="244"/>
          <w:jc w:val="center"/>
        </w:trPr>
        <w:tc>
          <w:tcPr>
            <w:tcW w:w="2436" w:type="dxa"/>
            <w:vMerge/>
            <w:shd w:val="clear" w:color="auto" w:fill="05518E"/>
          </w:tcPr>
          <w:p w:rsidR="0027284E" w:rsidRDefault="0027284E" w:rsidP="00D91550">
            <w:pPr>
              <w:rPr>
                <w:noProof/>
              </w:rPr>
            </w:pPr>
          </w:p>
        </w:tc>
        <w:tc>
          <w:tcPr>
            <w:tcW w:w="8418" w:type="dxa"/>
            <w:vMerge w:val="restart"/>
          </w:tcPr>
          <w:p w:rsidR="00C53466" w:rsidRPr="00C53466" w:rsidRDefault="00C53466" w:rsidP="00C53466">
            <w:pPr>
              <w:rPr>
                <w:sz w:val="18"/>
                <w:szCs w:val="18"/>
              </w:rPr>
            </w:pPr>
            <w:r w:rsidRPr="00C53466">
              <w:rPr>
                <w:sz w:val="18"/>
                <w:szCs w:val="18"/>
              </w:rPr>
              <w:t xml:space="preserve">The NWD System's Continuous Quality Improvement (CQI) process actively seeks input and feedback from the many different customers who use or interact with the NWD System by utilizing evaluations, survey information and existing data systems. </w:t>
            </w:r>
          </w:p>
          <w:p w:rsidR="00C53466" w:rsidRPr="00C53466" w:rsidRDefault="00C53466" w:rsidP="00C53466">
            <w:pPr>
              <w:rPr>
                <w:sz w:val="18"/>
                <w:szCs w:val="18"/>
              </w:rPr>
            </w:pPr>
          </w:p>
          <w:p w:rsidR="00C53466" w:rsidRPr="00C53466" w:rsidRDefault="00C53466" w:rsidP="00C53466">
            <w:pPr>
              <w:rPr>
                <w:sz w:val="18"/>
                <w:szCs w:val="18"/>
              </w:rPr>
            </w:pPr>
            <w:r w:rsidRPr="00C53466">
              <w:rPr>
                <w:sz w:val="18"/>
                <w:szCs w:val="18"/>
              </w:rPr>
              <w:t>Customers include individuals and their families, system partners, advocates, providers and professionals in the health and LTSS systems. The CQI process involves rapid cycle improvement to optimize the performance of the NWD System. To be effective, the CQI process includes performance goals and indicators related to the NWD System's key aims that the NWD governing body can use to measure quality over time:</w:t>
            </w:r>
          </w:p>
          <w:p w:rsidR="00C53466" w:rsidRPr="00C53466" w:rsidRDefault="00C53466" w:rsidP="00C53466">
            <w:pPr>
              <w:pStyle w:val="ListParagraph"/>
              <w:numPr>
                <w:ilvl w:val="0"/>
                <w:numId w:val="9"/>
              </w:numPr>
              <w:rPr>
                <w:sz w:val="18"/>
                <w:szCs w:val="18"/>
              </w:rPr>
            </w:pPr>
            <w:r w:rsidRPr="00C53466">
              <w:rPr>
                <w:sz w:val="18"/>
                <w:szCs w:val="18"/>
              </w:rPr>
              <w:t>Visibility on the extent to which the public is aware of the existence and functions of the NWD System;</w:t>
            </w:r>
          </w:p>
          <w:p w:rsidR="00C53466" w:rsidRPr="00C53466" w:rsidRDefault="00C53466" w:rsidP="00C53466">
            <w:pPr>
              <w:pStyle w:val="ListParagraph"/>
              <w:numPr>
                <w:ilvl w:val="0"/>
                <w:numId w:val="9"/>
              </w:numPr>
              <w:rPr>
                <w:sz w:val="18"/>
                <w:szCs w:val="18"/>
              </w:rPr>
            </w:pPr>
            <w:r w:rsidRPr="00C53466">
              <w:rPr>
                <w:sz w:val="18"/>
                <w:szCs w:val="18"/>
              </w:rPr>
              <w:t xml:space="preserve">Trust on the part of the public in the objectivity, reliability, and comprehensiveness of the assistance available from the NWD System; </w:t>
            </w:r>
          </w:p>
          <w:p w:rsidR="00C53466" w:rsidRPr="00C53466" w:rsidRDefault="00C53466" w:rsidP="00C53466">
            <w:pPr>
              <w:pStyle w:val="ListParagraph"/>
              <w:numPr>
                <w:ilvl w:val="0"/>
                <w:numId w:val="9"/>
              </w:numPr>
              <w:rPr>
                <w:sz w:val="18"/>
                <w:szCs w:val="18"/>
              </w:rPr>
            </w:pPr>
            <w:r w:rsidRPr="00C53466">
              <w:rPr>
                <w:sz w:val="18"/>
                <w:szCs w:val="18"/>
              </w:rPr>
              <w:t>Ease of access including reductions in the amount of time and level of frustration and confusion individuals and their families experience in trying to access LTSS;</w:t>
            </w:r>
          </w:p>
          <w:p w:rsidR="00C53466" w:rsidRPr="00C53466" w:rsidRDefault="00C53466" w:rsidP="00C53466">
            <w:pPr>
              <w:pStyle w:val="ListParagraph"/>
              <w:numPr>
                <w:ilvl w:val="0"/>
                <w:numId w:val="9"/>
              </w:numPr>
              <w:rPr>
                <w:sz w:val="18"/>
                <w:szCs w:val="18"/>
              </w:rPr>
            </w:pPr>
            <w:r w:rsidRPr="00C53466">
              <w:rPr>
                <w:sz w:val="18"/>
                <w:szCs w:val="18"/>
              </w:rPr>
              <w:t>Accessibility of physical locations and accessibility and ADA 508 compliance of all written materials;</w:t>
            </w:r>
          </w:p>
          <w:p w:rsidR="00C53466" w:rsidRPr="00C53466" w:rsidRDefault="00C53466" w:rsidP="00C53466">
            <w:pPr>
              <w:pStyle w:val="ListParagraph"/>
              <w:numPr>
                <w:ilvl w:val="0"/>
                <w:numId w:val="9"/>
              </w:numPr>
              <w:rPr>
                <w:sz w:val="18"/>
                <w:szCs w:val="18"/>
              </w:rPr>
            </w:pPr>
            <w:r w:rsidRPr="00C53466">
              <w:rPr>
                <w:sz w:val="18"/>
                <w:szCs w:val="18"/>
              </w:rPr>
              <w:t xml:space="preserve">Responsiveness to the needs, preferences, and unique circumstances of individuals, including feedback from individuals as it relates to the outcomes of their interaction with the NWD System, especially in relation to the NWD System's ability to enable the individual to realize his/her personal goals that were established during the PCC process, including the administration of complaint and grievance processes and tracking and addressing complaints and grievances; </w:t>
            </w:r>
          </w:p>
          <w:p w:rsidR="00C53466" w:rsidRPr="00C53466" w:rsidRDefault="00C53466" w:rsidP="00C53466">
            <w:pPr>
              <w:pStyle w:val="ListParagraph"/>
              <w:numPr>
                <w:ilvl w:val="0"/>
                <w:numId w:val="9"/>
              </w:numPr>
              <w:rPr>
                <w:sz w:val="18"/>
                <w:szCs w:val="18"/>
              </w:rPr>
            </w:pPr>
            <w:r w:rsidRPr="00C53466">
              <w:rPr>
                <w:sz w:val="18"/>
                <w:szCs w:val="18"/>
              </w:rPr>
              <w:t>Efficiency and effectiveness including reductions in duplicative intake, screening, and eligibility determination processes for state administered programs, increases in the number of people who are diverted to more appropriate and less costly forms of support, and the ability of the NWD System to help the state in the rebalancing of its LTSS system, and;</w:t>
            </w:r>
          </w:p>
          <w:p w:rsidR="00C53466" w:rsidRPr="00C53466" w:rsidRDefault="00C53466" w:rsidP="00C53466">
            <w:pPr>
              <w:pStyle w:val="ListParagraph"/>
              <w:numPr>
                <w:ilvl w:val="0"/>
                <w:numId w:val="9"/>
              </w:numPr>
              <w:rPr>
                <w:sz w:val="18"/>
                <w:szCs w:val="18"/>
              </w:rPr>
            </w:pPr>
            <w:r w:rsidRPr="00C53466">
              <w:rPr>
                <w:sz w:val="18"/>
                <w:szCs w:val="18"/>
              </w:rPr>
              <w:t>Other indicators to document the value of the NWD System in improving government performance and lowering public costs, such as success stories.</w:t>
            </w:r>
          </w:p>
          <w:p w:rsidR="00047527" w:rsidRDefault="00E51254" w:rsidP="00D91550">
            <w:pPr>
              <w:pStyle w:val="BodyText"/>
              <w:rPr>
                <w:sz w:val="18"/>
                <w:szCs w:val="18"/>
              </w:rPr>
            </w:pPr>
            <w:r>
              <w:rPr>
                <w:sz w:val="18"/>
                <w:szCs w:val="18"/>
              </w:rPr>
              <w:t xml:space="preserve">For more information about the NWD model, visit  </w:t>
            </w:r>
            <w:hyperlink r:id="rId10" w:history="1">
              <w:r w:rsidRPr="004C6067">
                <w:rPr>
                  <w:rStyle w:val="Hyperlink"/>
                  <w:sz w:val="18"/>
                  <w:szCs w:val="18"/>
                </w:rPr>
                <w:t>http://www.acl.gov/Programs/CDAP/OIP/ADRC/Index.aspx</w:t>
              </w:r>
            </w:hyperlink>
            <w:r>
              <w:rPr>
                <w:sz w:val="18"/>
                <w:szCs w:val="18"/>
              </w:rPr>
              <w:t xml:space="preserve">. </w:t>
            </w:r>
          </w:p>
          <w:p w:rsidR="00047527" w:rsidRPr="001C4CBF" w:rsidRDefault="00047527" w:rsidP="00D91550">
            <w:pPr>
              <w:pStyle w:val="BodyText"/>
              <w:rPr>
                <w:sz w:val="18"/>
                <w:szCs w:val="18"/>
              </w:rPr>
            </w:pPr>
          </w:p>
        </w:tc>
      </w:tr>
      <w:tr w:rsidR="0027284E" w:rsidTr="00501C27">
        <w:trPr>
          <w:trHeight w:val="1539"/>
          <w:jc w:val="center"/>
        </w:trPr>
        <w:tc>
          <w:tcPr>
            <w:tcW w:w="2436" w:type="dxa"/>
            <w:shd w:val="clear" w:color="auto" w:fill="05518E"/>
          </w:tcPr>
          <w:p w:rsidR="00F912C1" w:rsidRPr="00225678" w:rsidRDefault="00F912C1" w:rsidP="00D91550">
            <w:pPr>
              <w:pStyle w:val="SideBar"/>
              <w:rPr>
                <w:szCs w:val="18"/>
              </w:rPr>
            </w:pPr>
          </w:p>
          <w:p w:rsidR="00CA143B" w:rsidRDefault="00CA143B" w:rsidP="00D91550">
            <w:pPr>
              <w:pStyle w:val="SideBar"/>
            </w:pPr>
          </w:p>
        </w:tc>
        <w:tc>
          <w:tcPr>
            <w:tcW w:w="8418" w:type="dxa"/>
            <w:vMerge/>
          </w:tcPr>
          <w:p w:rsidR="0027284E" w:rsidRDefault="0027284E" w:rsidP="00D91550">
            <w:pPr>
              <w:pStyle w:val="BodyText"/>
              <w:rPr>
                <w:i/>
                <w:iCs/>
                <w:color w:val="05518E"/>
              </w:rPr>
            </w:pPr>
          </w:p>
        </w:tc>
      </w:tr>
      <w:tr w:rsidR="00B77FAA" w:rsidTr="00B77FAA">
        <w:trPr>
          <w:trHeight w:val="648"/>
          <w:jc w:val="center"/>
        </w:trPr>
        <w:tc>
          <w:tcPr>
            <w:tcW w:w="2436" w:type="dxa"/>
            <w:shd w:val="clear" w:color="auto" w:fill="05518E"/>
          </w:tcPr>
          <w:p w:rsidR="00B77FAA" w:rsidRDefault="00B77FAA" w:rsidP="00D91550">
            <w:pPr>
              <w:pStyle w:val="SideBar"/>
            </w:pPr>
          </w:p>
        </w:tc>
        <w:tc>
          <w:tcPr>
            <w:tcW w:w="8418" w:type="dxa"/>
            <w:vMerge/>
          </w:tcPr>
          <w:p w:rsidR="00B77FAA" w:rsidRDefault="00B77FAA" w:rsidP="00D91550">
            <w:pPr>
              <w:pStyle w:val="BodyText"/>
              <w:rPr>
                <w:i/>
                <w:iCs/>
                <w:color w:val="05518E"/>
              </w:rPr>
            </w:pPr>
          </w:p>
        </w:tc>
      </w:tr>
    </w:tbl>
    <w:p w:rsidR="002C663E" w:rsidRPr="00D90AD2" w:rsidRDefault="00D90AD2" w:rsidP="00D91550">
      <w:r>
        <w:rPr>
          <w:noProof/>
        </w:rPr>
        <mc:AlternateContent>
          <mc:Choice Requires="wps">
            <w:drawing>
              <wp:anchor distT="0" distB="0" distL="114300" distR="114300" simplePos="0" relativeHeight="251658240" behindDoc="1" locked="0" layoutInCell="1" allowOverlap="1" wp14:anchorId="68DE62D8" wp14:editId="3682E4D1">
                <wp:simplePos x="0" y="0"/>
                <wp:positionH relativeFrom="column">
                  <wp:posOffset>6720840</wp:posOffset>
                </wp:positionH>
                <wp:positionV relativeFrom="paragraph">
                  <wp:posOffset>8109585</wp:posOffset>
                </wp:positionV>
                <wp:extent cx="1270" cy="244475"/>
                <wp:effectExtent l="0" t="0" r="17780" b="2222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44475"/>
                        </a:xfrm>
                        <a:custGeom>
                          <a:avLst/>
                          <a:gdLst>
                            <a:gd name="T0" fmla="+- 0 12337 12337"/>
                            <a:gd name="T1" fmla="*/ 12337 h 385"/>
                            <a:gd name="T2" fmla="+- 0 12722 12337"/>
                            <a:gd name="T3" fmla="*/ 12722 h 385"/>
                          </a:gdLst>
                          <a:ahLst/>
                          <a:cxnLst>
                            <a:cxn ang="0">
                              <a:pos x="0" y="T1"/>
                            </a:cxn>
                            <a:cxn ang="0">
                              <a:pos x="0" y="T3"/>
                            </a:cxn>
                          </a:cxnLst>
                          <a:rect l="0" t="0" r="r" b="b"/>
                          <a:pathLst>
                            <a:path h="385">
                              <a:moveTo>
                                <a:pt x="0" y="0"/>
                              </a:moveTo>
                              <a:lnTo>
                                <a:pt x="0" y="385"/>
                              </a:lnTo>
                            </a:path>
                          </a:pathLst>
                        </a:custGeom>
                        <a:noFill/>
                        <a:ln w="12700">
                          <a:solidFill>
                            <a:srgbClr val="0551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3" o:spid="_x0000_s1026" style="position:absolute;margin-left:529.2pt;margin-top:638.55pt;width:.1pt;height:19.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7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" path="m,l,385e" filled="f" strokecolor="#05518e" strokeweight="1pt">
                <v:path arrowok="t" o:connecttype="custom" o:connectlocs="0,7833995;0,8078470" o:connectangles="0,0"/>
              </v:shape>
            </w:pict>
          </mc:Fallback>
        </mc:AlternateContent>
      </w:r>
    </w:p>
    <w:sectPr w:rsidR="002C663E" w:rsidRPr="00D90AD2" w:rsidSect="00B23503">
      <w:headerReference w:type="default"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77" w:rsidRDefault="00CD0677" w:rsidP="0027284E">
      <w:r>
        <w:separator/>
      </w:r>
    </w:p>
  </w:endnote>
  <w:endnote w:type="continuationSeparator" w:id="0">
    <w:p w:rsidR="00CD0677" w:rsidRDefault="00CD0677" w:rsidP="0027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Garamond Pro">
    <w:altName w:val="Georgia"/>
    <w:panose1 w:val="00000000000000000000"/>
    <w:charset w:val="00"/>
    <w:family w:val="roman"/>
    <w:notTrueType/>
    <w:pitch w:val="variable"/>
    <w:sig w:usb0="00000001" w:usb1="00000001" w:usb2="00000000" w:usb3="00000000" w:csb0="0000009B"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75" w:rsidRPr="0027284E" w:rsidRDefault="00456B75" w:rsidP="00B23503">
    <w:pPr>
      <w:kinsoku w:val="0"/>
      <w:overflowPunct w:val="0"/>
      <w:jc w:val="right"/>
      <w:rPr>
        <w:rFonts w:ascii="Calibri" w:hAnsi="Calibri" w:cs="Calibri"/>
        <w:color w:val="000000"/>
        <w:sz w:val="18"/>
        <w:szCs w:val="18"/>
      </w:rPr>
    </w:pPr>
    <w:r>
      <w:rPr>
        <w:rFonts w:ascii="Calibri" w:hAnsi="Calibri" w:cs="Calibri"/>
        <w:i/>
        <w:iCs/>
        <w:color w:val="BF1E2D"/>
        <w:spacing w:val="3"/>
        <w:sz w:val="18"/>
        <w:szCs w:val="18"/>
      </w:rPr>
      <w:t>continued</w:t>
    </w:r>
    <w:r>
      <w:rPr>
        <w:rFonts w:ascii="Calibri" w:hAnsi="Calibri" w:cs="Calibri"/>
        <w:i/>
        <w:iCs/>
        <w:color w:val="BF1E2D"/>
        <w:spacing w:val="7"/>
        <w:sz w:val="18"/>
        <w:szCs w:val="18"/>
      </w:rPr>
      <w:t xml:space="preserve"> </w:t>
    </w:r>
    <w:r>
      <w:rPr>
        <w:rFonts w:ascii="Calibri" w:hAnsi="Calibri" w:cs="Calibri"/>
        <w:i/>
        <w:iCs/>
        <w:color w:val="BF1E2D"/>
        <w:spacing w:val="2"/>
        <w:sz w:val="18"/>
        <w:szCs w:val="18"/>
      </w:rPr>
      <w:t>on</w:t>
    </w:r>
    <w:r>
      <w:rPr>
        <w:rFonts w:ascii="Calibri" w:hAnsi="Calibri" w:cs="Calibri"/>
        <w:i/>
        <w:iCs/>
        <w:color w:val="BF1E2D"/>
        <w:spacing w:val="7"/>
        <w:sz w:val="18"/>
        <w:szCs w:val="18"/>
      </w:rPr>
      <w:t xml:space="preserve"> </w:t>
    </w:r>
    <w:r>
      <w:rPr>
        <w:rFonts w:ascii="Calibri" w:hAnsi="Calibri" w:cs="Calibri"/>
        <w:i/>
        <w:iCs/>
        <w:color w:val="BF1E2D"/>
        <w:spacing w:val="3"/>
        <w:sz w:val="18"/>
        <w:szCs w:val="18"/>
      </w:rPr>
      <w:t>page</w:t>
    </w:r>
    <w:r>
      <w:rPr>
        <w:rFonts w:ascii="Calibri" w:hAnsi="Calibri" w:cs="Calibri"/>
        <w:i/>
        <w:iCs/>
        <w:color w:val="BF1E2D"/>
        <w:spacing w:val="7"/>
        <w:sz w:val="18"/>
        <w:szCs w:val="18"/>
      </w:rPr>
      <w:t xml:space="preserve"> </w:t>
    </w:r>
    <w:r>
      <w:rPr>
        <w:rFonts w:ascii="Calibri" w:hAnsi="Calibri" w:cs="Calibri"/>
        <w:i/>
        <w:iCs/>
        <w:color w:val="BF1E2D"/>
        <w:sz w:val="18"/>
        <w:szCs w:val="18"/>
      </w:rPr>
      <w:t>2</w:t>
    </w:r>
    <w:r>
      <w:rPr>
        <w:rFonts w:ascii="Calibri" w:hAnsi="Calibri" w:cs="Calibri"/>
        <w:color w:val="000000"/>
        <w:sz w:val="18"/>
        <w:szCs w:val="18"/>
      </w:rPr>
      <w:tab/>
    </w:r>
    <w:r w:rsidRPr="00B23503">
      <w:rPr>
        <w:rFonts w:ascii="Calibri" w:hAnsi="Calibri" w:cs="Calibri"/>
        <w:b/>
        <w:color w:val="000000"/>
        <w:sz w:val="18"/>
        <w:szCs w:val="18"/>
      </w:rPr>
      <w:t>|</w:t>
    </w:r>
    <w:r>
      <w:rPr>
        <w:rFonts w:ascii="Calibri" w:hAnsi="Calibri" w:cs="Calibri"/>
        <w:color w:val="000000"/>
        <w:sz w:val="18"/>
        <w:szCs w:val="18"/>
      </w:rPr>
      <w:t xml:space="preserve">  </w:t>
    </w:r>
    <w:r>
      <w:rPr>
        <w:rFonts w:ascii="Calibri" w:hAnsi="Calibri" w:cs="Calibri"/>
        <w:b/>
        <w:bCs/>
        <w:color w:val="05518E"/>
        <w:spacing w:val="2"/>
        <w:sz w:val="22"/>
      </w:rPr>
      <w:t>Page</w:t>
    </w:r>
    <w:r>
      <w:rPr>
        <w:rFonts w:ascii="Calibri" w:hAnsi="Calibri" w:cs="Calibri"/>
        <w:b/>
        <w:bCs/>
        <w:color w:val="05518E"/>
        <w:sz w:val="22"/>
      </w:rPr>
      <w:t xml:space="preserve"> </w:t>
    </w:r>
    <w:r>
      <w:rPr>
        <w:rFonts w:ascii="Calibri" w:hAnsi="Calibri" w:cs="Calibri"/>
        <w:b/>
        <w:bCs/>
        <w:color w:val="05518E"/>
        <w:spacing w:val="13"/>
        <w:sz w:val="22"/>
      </w:rPr>
      <w:t xml:space="preserve"> </w:t>
    </w:r>
    <w:r w:rsidRPr="00B77FAA">
      <w:rPr>
        <w:rFonts w:ascii="Calibri" w:hAnsi="Calibri" w:cs="Calibri"/>
        <w:b/>
        <w:bCs/>
        <w:color w:val="05518E"/>
        <w:spacing w:val="13"/>
        <w:sz w:val="22"/>
      </w:rPr>
      <w:fldChar w:fldCharType="begin"/>
    </w:r>
    <w:r w:rsidRPr="00B77FAA">
      <w:rPr>
        <w:rFonts w:ascii="Calibri" w:hAnsi="Calibri" w:cs="Calibri"/>
        <w:b/>
        <w:bCs/>
        <w:color w:val="05518E"/>
        <w:spacing w:val="13"/>
        <w:sz w:val="22"/>
      </w:rPr>
      <w:instrText xml:space="preserve"> PAGE   \* MERGEFORMAT </w:instrText>
    </w:r>
    <w:r w:rsidRPr="00B77FAA">
      <w:rPr>
        <w:rFonts w:ascii="Calibri" w:hAnsi="Calibri" w:cs="Calibri"/>
        <w:b/>
        <w:bCs/>
        <w:color w:val="05518E"/>
        <w:spacing w:val="13"/>
        <w:sz w:val="22"/>
      </w:rPr>
      <w:fldChar w:fldCharType="separate"/>
    </w:r>
    <w:r w:rsidR="0051536C">
      <w:rPr>
        <w:rFonts w:ascii="Calibri" w:hAnsi="Calibri" w:cs="Calibri"/>
        <w:b/>
        <w:bCs/>
        <w:noProof/>
        <w:color w:val="05518E"/>
        <w:spacing w:val="13"/>
        <w:sz w:val="22"/>
      </w:rPr>
      <w:t>1</w:t>
    </w:r>
    <w:r w:rsidRPr="00B77FAA">
      <w:rPr>
        <w:rFonts w:ascii="Calibri" w:hAnsi="Calibri" w:cs="Calibri"/>
        <w:b/>
        <w:bCs/>
        <w:noProof/>
        <w:color w:val="05518E"/>
        <w:spacing w:val="13"/>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77" w:rsidRDefault="00CD0677" w:rsidP="0027284E">
      <w:r>
        <w:separator/>
      </w:r>
    </w:p>
  </w:footnote>
  <w:footnote w:type="continuationSeparator" w:id="0">
    <w:p w:rsidR="00CD0677" w:rsidRDefault="00CD0677" w:rsidP="0027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1" w:type="dxa"/>
      <w:tblLayout w:type="fixed"/>
      <w:tblCellMar>
        <w:left w:w="0" w:type="dxa"/>
        <w:right w:w="0" w:type="dxa"/>
      </w:tblCellMar>
      <w:tblLook w:val="01E0" w:firstRow="1" w:lastRow="1" w:firstColumn="1" w:lastColumn="1" w:noHBand="0" w:noVBand="0"/>
    </w:tblPr>
    <w:tblGrid>
      <w:gridCol w:w="6480"/>
      <w:gridCol w:w="270"/>
      <w:gridCol w:w="4051"/>
    </w:tblGrid>
    <w:tr w:rsidR="00456B75" w:rsidTr="00501C27">
      <w:trPr>
        <w:cantSplit/>
        <w:trHeight w:hRule="exact" w:val="1530"/>
      </w:trPr>
      <w:tc>
        <w:tcPr>
          <w:tcW w:w="6480" w:type="dxa"/>
          <w:tcBorders>
            <w:top w:val="nil"/>
            <w:left w:val="nil"/>
          </w:tcBorders>
        </w:tcPr>
        <w:p w:rsidR="00456B75" w:rsidRPr="00B23503" w:rsidRDefault="00456B75" w:rsidP="00501C27">
          <w:pPr>
            <w:spacing w:before="120"/>
            <w:ind w:left="180"/>
            <w:rPr>
              <w:rFonts w:eastAsia="Calibri"/>
              <w:szCs w:val="16"/>
            </w:rPr>
          </w:pPr>
          <w:r>
            <w:rPr>
              <w:noProof/>
            </w:rPr>
            <w:drawing>
              <wp:inline distT="0" distB="0" distL="0" distR="0" wp14:anchorId="76A56F06" wp14:editId="43A13AE1">
                <wp:extent cx="1859280" cy="774065"/>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774065"/>
                        </a:xfrm>
                        <a:prstGeom prst="rect">
                          <a:avLst/>
                        </a:prstGeom>
                        <a:noFill/>
                      </pic:spPr>
                    </pic:pic>
                  </a:graphicData>
                </a:graphic>
              </wp:inline>
            </w:drawing>
          </w:r>
        </w:p>
      </w:tc>
      <w:tc>
        <w:tcPr>
          <w:tcW w:w="270" w:type="dxa"/>
          <w:tcBorders>
            <w:top w:val="nil"/>
            <w:left w:val="nil"/>
            <w:right w:val="single" w:sz="18" w:space="0" w:color="C00000"/>
          </w:tcBorders>
          <w:shd w:val="clear" w:color="auto" w:fill="D9D9D9" w:themeFill="background1" w:themeFillShade="D9"/>
          <w:textDirection w:val="btLr"/>
          <w:vAlign w:val="center"/>
        </w:tcPr>
        <w:p w:rsidR="00456B75" w:rsidRPr="00501C27" w:rsidRDefault="00456B75" w:rsidP="00501C27">
          <w:pPr>
            <w:pStyle w:val="ContactAddress"/>
          </w:pPr>
          <w:r w:rsidRPr="00501C27">
            <w:t>Contact Information</w:t>
          </w:r>
        </w:p>
      </w:tc>
      <w:tc>
        <w:tcPr>
          <w:tcW w:w="4051" w:type="dxa"/>
          <w:tcBorders>
            <w:top w:val="nil"/>
            <w:left w:val="single" w:sz="18" w:space="0" w:color="C00000"/>
            <w:right w:val="nil"/>
          </w:tcBorders>
          <w:shd w:val="clear" w:color="auto" w:fill="D9D9D9" w:themeFill="background1" w:themeFillShade="D9"/>
        </w:tcPr>
        <w:p w:rsidR="00456B75" w:rsidRPr="002316D9" w:rsidRDefault="00456B75" w:rsidP="002316D9">
          <w:pPr>
            <w:widowControl w:val="0"/>
            <w:autoSpaceDE w:val="0"/>
            <w:autoSpaceDN w:val="0"/>
            <w:adjustRightInd w:val="0"/>
            <w:rPr>
              <w:rFonts w:ascii="Times New Roman" w:hAnsi="Times New Roman" w:cs="Times New Roman"/>
              <w:sz w:val="18"/>
              <w:szCs w:val="18"/>
            </w:rPr>
          </w:pPr>
          <w:r w:rsidRPr="002316D9">
            <w:rPr>
              <w:rFonts w:ascii="Calibri" w:hAnsi="Calibri" w:cs="Calibri"/>
              <w:b/>
              <w:bCs/>
              <w:color w:val="287189"/>
              <w:sz w:val="18"/>
              <w:szCs w:val="18"/>
            </w:rPr>
            <w:t>Elizabeth O’Neill, MPP</w:t>
          </w:r>
        </w:p>
        <w:p w:rsidR="00456B75" w:rsidRPr="002316D9" w:rsidRDefault="00456B75" w:rsidP="002316D9">
          <w:pPr>
            <w:widowControl w:val="0"/>
            <w:autoSpaceDE w:val="0"/>
            <w:autoSpaceDN w:val="0"/>
            <w:adjustRightInd w:val="0"/>
            <w:rPr>
              <w:rFonts w:ascii="Times New Roman" w:hAnsi="Times New Roman" w:cs="Times New Roman"/>
              <w:sz w:val="18"/>
              <w:szCs w:val="18"/>
            </w:rPr>
          </w:pPr>
          <w:r w:rsidRPr="002316D9">
            <w:rPr>
              <w:rFonts w:ascii="Calibri" w:hAnsi="Calibri" w:cs="Calibri"/>
              <w:color w:val="18376A"/>
              <w:sz w:val="18"/>
              <w:szCs w:val="18"/>
            </w:rPr>
            <w:t>Evaluation &amp; Research</w:t>
          </w:r>
        </w:p>
        <w:p w:rsidR="00456B75" w:rsidRPr="002316D9" w:rsidRDefault="00456B75" w:rsidP="002316D9">
          <w:pPr>
            <w:widowControl w:val="0"/>
            <w:autoSpaceDE w:val="0"/>
            <w:autoSpaceDN w:val="0"/>
            <w:adjustRightInd w:val="0"/>
            <w:rPr>
              <w:rFonts w:ascii="Times New Roman" w:hAnsi="Times New Roman" w:cs="Times New Roman"/>
              <w:sz w:val="18"/>
              <w:szCs w:val="18"/>
            </w:rPr>
          </w:pPr>
          <w:r w:rsidRPr="002316D9">
            <w:rPr>
              <w:rFonts w:ascii="Calibri" w:hAnsi="Calibri" w:cs="Calibri"/>
              <w:color w:val="18376A"/>
              <w:sz w:val="18"/>
              <w:szCs w:val="18"/>
            </w:rPr>
            <w:t>Oregon State Unit on Aging</w:t>
          </w:r>
        </w:p>
        <w:p w:rsidR="00456B75" w:rsidRPr="002316D9" w:rsidRDefault="00456B75" w:rsidP="002316D9">
          <w:pPr>
            <w:widowControl w:val="0"/>
            <w:autoSpaceDE w:val="0"/>
            <w:autoSpaceDN w:val="0"/>
            <w:adjustRightInd w:val="0"/>
            <w:rPr>
              <w:rFonts w:ascii="Times New Roman" w:hAnsi="Times New Roman" w:cs="Times New Roman"/>
              <w:sz w:val="18"/>
              <w:szCs w:val="18"/>
            </w:rPr>
          </w:pPr>
          <w:r w:rsidRPr="002316D9">
            <w:rPr>
              <w:rFonts w:ascii="Calibri" w:hAnsi="Calibri" w:cs="Calibri"/>
              <w:color w:val="18376A"/>
              <w:sz w:val="18"/>
              <w:szCs w:val="18"/>
            </w:rPr>
            <w:t>State of Oregon, Department of</w:t>
          </w:r>
          <w:r>
            <w:rPr>
              <w:rFonts w:ascii="Calibri" w:hAnsi="Calibri" w:cs="Calibri"/>
              <w:color w:val="18376A"/>
              <w:sz w:val="30"/>
              <w:szCs w:val="30"/>
            </w:rPr>
            <w:t xml:space="preserve"> </w:t>
          </w:r>
          <w:r w:rsidRPr="002316D9">
            <w:rPr>
              <w:rFonts w:ascii="Calibri" w:hAnsi="Calibri" w:cs="Calibri"/>
              <w:color w:val="18376A"/>
              <w:sz w:val="18"/>
              <w:szCs w:val="18"/>
            </w:rPr>
            <w:t>Human Services, Aging &amp; People with</w:t>
          </w:r>
          <w:r>
            <w:rPr>
              <w:rFonts w:ascii="Calibri" w:hAnsi="Calibri" w:cs="Calibri"/>
              <w:color w:val="18376A"/>
              <w:sz w:val="30"/>
              <w:szCs w:val="30"/>
            </w:rPr>
            <w:t xml:space="preserve"> </w:t>
          </w:r>
          <w:r w:rsidRPr="002316D9">
            <w:rPr>
              <w:rFonts w:ascii="Calibri" w:hAnsi="Calibri" w:cs="Calibri"/>
              <w:color w:val="18376A"/>
              <w:sz w:val="18"/>
              <w:szCs w:val="18"/>
            </w:rPr>
            <w:t>Disabilities</w:t>
          </w:r>
        </w:p>
        <w:p w:rsidR="00456B75" w:rsidRPr="002316D9" w:rsidRDefault="00456B75" w:rsidP="002316D9">
          <w:pPr>
            <w:widowControl w:val="0"/>
            <w:autoSpaceDE w:val="0"/>
            <w:autoSpaceDN w:val="0"/>
            <w:adjustRightInd w:val="0"/>
            <w:rPr>
              <w:rFonts w:ascii="Times New Roman" w:hAnsi="Times New Roman" w:cs="Times New Roman"/>
              <w:sz w:val="18"/>
              <w:szCs w:val="18"/>
            </w:rPr>
          </w:pPr>
          <w:r w:rsidRPr="002316D9">
            <w:rPr>
              <w:rFonts w:ascii="Calibri" w:hAnsi="Calibri" w:cs="Calibri"/>
              <w:color w:val="18376A"/>
              <w:sz w:val="18"/>
              <w:szCs w:val="18"/>
            </w:rPr>
            <w:t>Office: 971-673-1373</w:t>
          </w:r>
        </w:p>
        <w:p w:rsidR="00456B75" w:rsidRPr="002316D9" w:rsidRDefault="00CD0677" w:rsidP="002316D9">
          <w:pPr>
            <w:widowControl w:val="0"/>
            <w:autoSpaceDE w:val="0"/>
            <w:autoSpaceDN w:val="0"/>
            <w:adjustRightInd w:val="0"/>
            <w:rPr>
              <w:rFonts w:ascii="Times New Roman" w:hAnsi="Times New Roman" w:cs="Times New Roman"/>
              <w:sz w:val="18"/>
              <w:szCs w:val="18"/>
            </w:rPr>
          </w:pPr>
          <w:hyperlink r:id="rId2" w:history="1">
            <w:r w:rsidR="00456B75" w:rsidRPr="002316D9">
              <w:rPr>
                <w:rFonts w:ascii="Calibri" w:hAnsi="Calibri" w:cs="Calibri"/>
                <w:color w:val="0000FF"/>
                <w:sz w:val="18"/>
                <w:szCs w:val="18"/>
                <w:u w:val="single" w:color="0000FF"/>
              </w:rPr>
              <w:t>elizabeth.a.oneill@state.or.us</w:t>
            </w:r>
          </w:hyperlink>
        </w:p>
        <w:p w:rsidR="00456B75" w:rsidRPr="00CB4B08" w:rsidRDefault="00456B75" w:rsidP="002316D9">
          <w:pPr>
            <w:pStyle w:val="Address"/>
            <w:rPr>
              <w:rFonts w:ascii="Calibri" w:eastAsia="Calibri" w:hAnsi="Calibri" w:cs="Calibri"/>
              <w:sz w:val="18"/>
              <w:szCs w:val="18"/>
            </w:rPr>
          </w:pPr>
          <w:r>
            <w:rPr>
              <w:rFonts w:ascii="Calibri" w:hAnsi="Calibri" w:cs="Calibri"/>
              <w:color w:val="18376A"/>
              <w:sz w:val="30"/>
              <w:szCs w:val="30"/>
            </w:rPr>
            <w:t>800 NE Oregon St. Suite 640 Portland, OR</w:t>
          </w:r>
        </w:p>
      </w:tc>
    </w:tr>
    <w:tr w:rsidR="00456B75" w:rsidTr="00501C27">
      <w:trPr>
        <w:cantSplit/>
        <w:trHeight w:hRule="exact" w:val="351"/>
      </w:trPr>
      <w:tc>
        <w:tcPr>
          <w:tcW w:w="10801" w:type="dxa"/>
          <w:gridSpan w:val="3"/>
          <w:tcBorders>
            <w:top w:val="nil"/>
            <w:left w:val="nil"/>
            <w:bottom w:val="single" w:sz="8" w:space="0" w:color="FFFFFF" w:themeColor="background1"/>
            <w:right w:val="nil"/>
          </w:tcBorders>
          <w:shd w:val="clear" w:color="auto" w:fill="05518E"/>
          <w:vAlign w:val="center"/>
        </w:tcPr>
        <w:p w:rsidR="00456B75" w:rsidRDefault="00456B75" w:rsidP="00501C27">
          <w:pPr>
            <w:pStyle w:val="SideBar"/>
          </w:pPr>
        </w:p>
      </w:tc>
    </w:tr>
  </w:tbl>
  <w:p w:rsidR="00456B75" w:rsidRDefault="00456B75" w:rsidP="00CB7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479B"/>
    <w:multiLevelType w:val="hybridMultilevel"/>
    <w:tmpl w:val="E83E50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959658C"/>
    <w:multiLevelType w:val="hybridMultilevel"/>
    <w:tmpl w:val="EB70AFB8"/>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40245E44"/>
    <w:multiLevelType w:val="hybridMultilevel"/>
    <w:tmpl w:val="5DD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25627"/>
    <w:multiLevelType w:val="hybridMultilevel"/>
    <w:tmpl w:val="DFF2C5CA"/>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
    <w:nsid w:val="599C733C"/>
    <w:multiLevelType w:val="hybridMultilevel"/>
    <w:tmpl w:val="229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14159"/>
    <w:multiLevelType w:val="hybridMultilevel"/>
    <w:tmpl w:val="8ABA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E26890"/>
    <w:multiLevelType w:val="hybridMultilevel"/>
    <w:tmpl w:val="812016C4"/>
    <w:lvl w:ilvl="0" w:tplc="A0EAB33A">
      <w:start w:val="1"/>
      <w:numFmt w:val="bullet"/>
      <w:lvlText w:val=""/>
      <w:lvlJc w:val="left"/>
      <w:pPr>
        <w:ind w:left="723" w:hanging="360"/>
      </w:pPr>
      <w:rPr>
        <w:rFonts w:ascii="Symbol" w:hAnsi="Symbol" w:hint="default"/>
        <w:color w:val="auto"/>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7">
    <w:nsid w:val="6AF0579B"/>
    <w:multiLevelType w:val="hybridMultilevel"/>
    <w:tmpl w:val="3750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0E0F44"/>
    <w:multiLevelType w:val="hybridMultilevel"/>
    <w:tmpl w:val="BA1E9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7"/>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D2"/>
    <w:rsid w:val="00006AB4"/>
    <w:rsid w:val="00012261"/>
    <w:rsid w:val="0002274B"/>
    <w:rsid w:val="00022D99"/>
    <w:rsid w:val="00024CA7"/>
    <w:rsid w:val="0004425E"/>
    <w:rsid w:val="00047527"/>
    <w:rsid w:val="0005357E"/>
    <w:rsid w:val="0005648B"/>
    <w:rsid w:val="00060FB8"/>
    <w:rsid w:val="00064781"/>
    <w:rsid w:val="00070D7B"/>
    <w:rsid w:val="00080BD4"/>
    <w:rsid w:val="00080E7F"/>
    <w:rsid w:val="00083CC1"/>
    <w:rsid w:val="000842CE"/>
    <w:rsid w:val="00086480"/>
    <w:rsid w:val="000914C4"/>
    <w:rsid w:val="000A0255"/>
    <w:rsid w:val="000A1F24"/>
    <w:rsid w:val="000A6AFA"/>
    <w:rsid w:val="000B32A1"/>
    <w:rsid w:val="000B6677"/>
    <w:rsid w:val="000C17E4"/>
    <w:rsid w:val="000C7CD5"/>
    <w:rsid w:val="000E0975"/>
    <w:rsid w:val="000E1325"/>
    <w:rsid w:val="000E6EDD"/>
    <w:rsid w:val="00106464"/>
    <w:rsid w:val="0010733D"/>
    <w:rsid w:val="0011033D"/>
    <w:rsid w:val="001103DC"/>
    <w:rsid w:val="00117FF2"/>
    <w:rsid w:val="0013167A"/>
    <w:rsid w:val="00145FB6"/>
    <w:rsid w:val="00150AEA"/>
    <w:rsid w:val="00166F68"/>
    <w:rsid w:val="00167A41"/>
    <w:rsid w:val="001719EA"/>
    <w:rsid w:val="00177C8E"/>
    <w:rsid w:val="0018375B"/>
    <w:rsid w:val="001909E2"/>
    <w:rsid w:val="001A0ED0"/>
    <w:rsid w:val="001A1EB5"/>
    <w:rsid w:val="001A2816"/>
    <w:rsid w:val="001B59CD"/>
    <w:rsid w:val="001C28C8"/>
    <w:rsid w:val="001C4CBF"/>
    <w:rsid w:val="001C4E72"/>
    <w:rsid w:val="001C7812"/>
    <w:rsid w:val="001D30E1"/>
    <w:rsid w:val="001D32CD"/>
    <w:rsid w:val="001D518C"/>
    <w:rsid w:val="001E58BA"/>
    <w:rsid w:val="001E6269"/>
    <w:rsid w:val="001E6C1B"/>
    <w:rsid w:val="001E7AFB"/>
    <w:rsid w:val="00204328"/>
    <w:rsid w:val="00204B4A"/>
    <w:rsid w:val="00204BCD"/>
    <w:rsid w:val="00213B1D"/>
    <w:rsid w:val="00216707"/>
    <w:rsid w:val="00225678"/>
    <w:rsid w:val="0023124E"/>
    <w:rsid w:val="002316D9"/>
    <w:rsid w:val="00234200"/>
    <w:rsid w:val="002349A7"/>
    <w:rsid w:val="002377DE"/>
    <w:rsid w:val="00244A5F"/>
    <w:rsid w:val="00260F1D"/>
    <w:rsid w:val="00261617"/>
    <w:rsid w:val="00261824"/>
    <w:rsid w:val="0026321E"/>
    <w:rsid w:val="00266C69"/>
    <w:rsid w:val="0027284E"/>
    <w:rsid w:val="00274F1D"/>
    <w:rsid w:val="00287EA4"/>
    <w:rsid w:val="0029301B"/>
    <w:rsid w:val="00295699"/>
    <w:rsid w:val="00296BED"/>
    <w:rsid w:val="00296E3E"/>
    <w:rsid w:val="002B3779"/>
    <w:rsid w:val="002C663E"/>
    <w:rsid w:val="002D4D9D"/>
    <w:rsid w:val="002E3F0E"/>
    <w:rsid w:val="002E756A"/>
    <w:rsid w:val="00316E8A"/>
    <w:rsid w:val="00321EC7"/>
    <w:rsid w:val="00330118"/>
    <w:rsid w:val="00335FFE"/>
    <w:rsid w:val="00337D35"/>
    <w:rsid w:val="00340AFC"/>
    <w:rsid w:val="003441B6"/>
    <w:rsid w:val="0035274C"/>
    <w:rsid w:val="0035435B"/>
    <w:rsid w:val="00375082"/>
    <w:rsid w:val="00376564"/>
    <w:rsid w:val="00376E89"/>
    <w:rsid w:val="00385083"/>
    <w:rsid w:val="0038600C"/>
    <w:rsid w:val="003B73EF"/>
    <w:rsid w:val="003C0652"/>
    <w:rsid w:val="003E0023"/>
    <w:rsid w:val="003E354C"/>
    <w:rsid w:val="0040166B"/>
    <w:rsid w:val="00415400"/>
    <w:rsid w:val="00433071"/>
    <w:rsid w:val="0043314A"/>
    <w:rsid w:val="00434F77"/>
    <w:rsid w:val="00436D8B"/>
    <w:rsid w:val="00445543"/>
    <w:rsid w:val="00446F73"/>
    <w:rsid w:val="00453395"/>
    <w:rsid w:val="00456B75"/>
    <w:rsid w:val="0046777B"/>
    <w:rsid w:val="00475270"/>
    <w:rsid w:val="00476446"/>
    <w:rsid w:val="00485E3E"/>
    <w:rsid w:val="0048744A"/>
    <w:rsid w:val="00496E18"/>
    <w:rsid w:val="004B2468"/>
    <w:rsid w:val="004B2B3F"/>
    <w:rsid w:val="004B3796"/>
    <w:rsid w:val="004C1390"/>
    <w:rsid w:val="004C44B4"/>
    <w:rsid w:val="004D2843"/>
    <w:rsid w:val="004D64A4"/>
    <w:rsid w:val="004D7F7A"/>
    <w:rsid w:val="004E5EED"/>
    <w:rsid w:val="004E76FD"/>
    <w:rsid w:val="004F2F7A"/>
    <w:rsid w:val="004F4DDA"/>
    <w:rsid w:val="004F669E"/>
    <w:rsid w:val="00501C27"/>
    <w:rsid w:val="0050385B"/>
    <w:rsid w:val="005041E0"/>
    <w:rsid w:val="005053FD"/>
    <w:rsid w:val="00511435"/>
    <w:rsid w:val="00514582"/>
    <w:rsid w:val="0051536C"/>
    <w:rsid w:val="00523F1B"/>
    <w:rsid w:val="005368FC"/>
    <w:rsid w:val="005427F6"/>
    <w:rsid w:val="00542CA5"/>
    <w:rsid w:val="0055279D"/>
    <w:rsid w:val="005565FA"/>
    <w:rsid w:val="005664BC"/>
    <w:rsid w:val="00570A7E"/>
    <w:rsid w:val="00575891"/>
    <w:rsid w:val="0058511D"/>
    <w:rsid w:val="00595850"/>
    <w:rsid w:val="005A1A9F"/>
    <w:rsid w:val="005A236C"/>
    <w:rsid w:val="005A7E64"/>
    <w:rsid w:val="005B5204"/>
    <w:rsid w:val="005C3378"/>
    <w:rsid w:val="005D109D"/>
    <w:rsid w:val="005D1955"/>
    <w:rsid w:val="005E4FD8"/>
    <w:rsid w:val="00603023"/>
    <w:rsid w:val="006061A4"/>
    <w:rsid w:val="00610C26"/>
    <w:rsid w:val="00616579"/>
    <w:rsid w:val="00623FE8"/>
    <w:rsid w:val="0063016C"/>
    <w:rsid w:val="006308B8"/>
    <w:rsid w:val="00643134"/>
    <w:rsid w:val="006463E9"/>
    <w:rsid w:val="006518E8"/>
    <w:rsid w:val="00651DED"/>
    <w:rsid w:val="00660DA2"/>
    <w:rsid w:val="00667572"/>
    <w:rsid w:val="00691A2C"/>
    <w:rsid w:val="00691C11"/>
    <w:rsid w:val="00697CEB"/>
    <w:rsid w:val="006A3493"/>
    <w:rsid w:val="006A554E"/>
    <w:rsid w:val="006A57AC"/>
    <w:rsid w:val="006C17EA"/>
    <w:rsid w:val="006C5D69"/>
    <w:rsid w:val="006D1AA4"/>
    <w:rsid w:val="006E6952"/>
    <w:rsid w:val="006F4536"/>
    <w:rsid w:val="006F54F6"/>
    <w:rsid w:val="00701731"/>
    <w:rsid w:val="00706CC1"/>
    <w:rsid w:val="00707E07"/>
    <w:rsid w:val="00710C89"/>
    <w:rsid w:val="00713B75"/>
    <w:rsid w:val="00717A5D"/>
    <w:rsid w:val="007275C3"/>
    <w:rsid w:val="007350BD"/>
    <w:rsid w:val="0073783B"/>
    <w:rsid w:val="00737A01"/>
    <w:rsid w:val="00737F30"/>
    <w:rsid w:val="00753C1D"/>
    <w:rsid w:val="007571F7"/>
    <w:rsid w:val="007701BC"/>
    <w:rsid w:val="00771821"/>
    <w:rsid w:val="00774035"/>
    <w:rsid w:val="0077701F"/>
    <w:rsid w:val="007B2411"/>
    <w:rsid w:val="007C1E3B"/>
    <w:rsid w:val="007C2E04"/>
    <w:rsid w:val="007D0DF5"/>
    <w:rsid w:val="007D264D"/>
    <w:rsid w:val="007D5BAB"/>
    <w:rsid w:val="007E6FF8"/>
    <w:rsid w:val="007F6405"/>
    <w:rsid w:val="0082280A"/>
    <w:rsid w:val="00822D25"/>
    <w:rsid w:val="0082600A"/>
    <w:rsid w:val="00830844"/>
    <w:rsid w:val="00833821"/>
    <w:rsid w:val="00840447"/>
    <w:rsid w:val="00840518"/>
    <w:rsid w:val="0085474A"/>
    <w:rsid w:val="008563EF"/>
    <w:rsid w:val="00856980"/>
    <w:rsid w:val="00857247"/>
    <w:rsid w:val="00870001"/>
    <w:rsid w:val="00871F67"/>
    <w:rsid w:val="00890AB1"/>
    <w:rsid w:val="008933E3"/>
    <w:rsid w:val="00895358"/>
    <w:rsid w:val="008A5585"/>
    <w:rsid w:val="008B2790"/>
    <w:rsid w:val="008C59B0"/>
    <w:rsid w:val="008D6991"/>
    <w:rsid w:val="008E021A"/>
    <w:rsid w:val="008E14D1"/>
    <w:rsid w:val="008E1A3B"/>
    <w:rsid w:val="008F36FC"/>
    <w:rsid w:val="00901721"/>
    <w:rsid w:val="009049E2"/>
    <w:rsid w:val="00912423"/>
    <w:rsid w:val="0092322D"/>
    <w:rsid w:val="0093727C"/>
    <w:rsid w:val="00937416"/>
    <w:rsid w:val="00942B77"/>
    <w:rsid w:val="0095307D"/>
    <w:rsid w:val="0095672D"/>
    <w:rsid w:val="00966A27"/>
    <w:rsid w:val="009676D0"/>
    <w:rsid w:val="00982D3A"/>
    <w:rsid w:val="009A52CD"/>
    <w:rsid w:val="009B1FF4"/>
    <w:rsid w:val="009B68EB"/>
    <w:rsid w:val="009C78AC"/>
    <w:rsid w:val="009D0A4E"/>
    <w:rsid w:val="009D533D"/>
    <w:rsid w:val="009D6478"/>
    <w:rsid w:val="009E11FB"/>
    <w:rsid w:val="009E2C3A"/>
    <w:rsid w:val="009E2C64"/>
    <w:rsid w:val="009E3433"/>
    <w:rsid w:val="009E49D8"/>
    <w:rsid w:val="009F0D49"/>
    <w:rsid w:val="009F5FDF"/>
    <w:rsid w:val="00A0249D"/>
    <w:rsid w:val="00A10F88"/>
    <w:rsid w:val="00A111D6"/>
    <w:rsid w:val="00A2019F"/>
    <w:rsid w:val="00A42E49"/>
    <w:rsid w:val="00A50F16"/>
    <w:rsid w:val="00A51677"/>
    <w:rsid w:val="00A577E2"/>
    <w:rsid w:val="00A668B7"/>
    <w:rsid w:val="00A66A89"/>
    <w:rsid w:val="00A724F5"/>
    <w:rsid w:val="00A72BF7"/>
    <w:rsid w:val="00A75380"/>
    <w:rsid w:val="00A835AD"/>
    <w:rsid w:val="00A851A0"/>
    <w:rsid w:val="00A94960"/>
    <w:rsid w:val="00AA6B45"/>
    <w:rsid w:val="00AC205B"/>
    <w:rsid w:val="00AC4C8F"/>
    <w:rsid w:val="00AD75A3"/>
    <w:rsid w:val="00AE0B90"/>
    <w:rsid w:val="00AE4175"/>
    <w:rsid w:val="00AE4972"/>
    <w:rsid w:val="00AE7FAF"/>
    <w:rsid w:val="00B017B8"/>
    <w:rsid w:val="00B06D57"/>
    <w:rsid w:val="00B1298F"/>
    <w:rsid w:val="00B14F6D"/>
    <w:rsid w:val="00B21835"/>
    <w:rsid w:val="00B23503"/>
    <w:rsid w:val="00B26138"/>
    <w:rsid w:val="00B274D3"/>
    <w:rsid w:val="00B32E69"/>
    <w:rsid w:val="00B361D5"/>
    <w:rsid w:val="00B40D11"/>
    <w:rsid w:val="00B426A0"/>
    <w:rsid w:val="00B461AE"/>
    <w:rsid w:val="00B51C18"/>
    <w:rsid w:val="00B60A26"/>
    <w:rsid w:val="00B61551"/>
    <w:rsid w:val="00B62F85"/>
    <w:rsid w:val="00B6783B"/>
    <w:rsid w:val="00B77FAA"/>
    <w:rsid w:val="00B80CE3"/>
    <w:rsid w:val="00B833D5"/>
    <w:rsid w:val="00B83F16"/>
    <w:rsid w:val="00B90B09"/>
    <w:rsid w:val="00B946B4"/>
    <w:rsid w:val="00BA4018"/>
    <w:rsid w:val="00BA567D"/>
    <w:rsid w:val="00BA5B36"/>
    <w:rsid w:val="00BB71C6"/>
    <w:rsid w:val="00BD10FC"/>
    <w:rsid w:val="00BD203E"/>
    <w:rsid w:val="00BE56C0"/>
    <w:rsid w:val="00BF0B7D"/>
    <w:rsid w:val="00BF4074"/>
    <w:rsid w:val="00BF648A"/>
    <w:rsid w:val="00C15B20"/>
    <w:rsid w:val="00C418A1"/>
    <w:rsid w:val="00C460E3"/>
    <w:rsid w:val="00C469B1"/>
    <w:rsid w:val="00C53466"/>
    <w:rsid w:val="00C53F53"/>
    <w:rsid w:val="00C55FF9"/>
    <w:rsid w:val="00C56D77"/>
    <w:rsid w:val="00C6005B"/>
    <w:rsid w:val="00C617F2"/>
    <w:rsid w:val="00C81398"/>
    <w:rsid w:val="00C83601"/>
    <w:rsid w:val="00C84AB6"/>
    <w:rsid w:val="00C87FCD"/>
    <w:rsid w:val="00CA143B"/>
    <w:rsid w:val="00CA58B2"/>
    <w:rsid w:val="00CA6E88"/>
    <w:rsid w:val="00CB08DA"/>
    <w:rsid w:val="00CB0F9F"/>
    <w:rsid w:val="00CB1178"/>
    <w:rsid w:val="00CB143C"/>
    <w:rsid w:val="00CB295F"/>
    <w:rsid w:val="00CB4B08"/>
    <w:rsid w:val="00CB7148"/>
    <w:rsid w:val="00CC134B"/>
    <w:rsid w:val="00CD0677"/>
    <w:rsid w:val="00CD17EB"/>
    <w:rsid w:val="00CD4B5A"/>
    <w:rsid w:val="00CD5FE7"/>
    <w:rsid w:val="00CE5FF2"/>
    <w:rsid w:val="00CE727A"/>
    <w:rsid w:val="00CF7941"/>
    <w:rsid w:val="00D04D36"/>
    <w:rsid w:val="00D06320"/>
    <w:rsid w:val="00D10FD5"/>
    <w:rsid w:val="00D12750"/>
    <w:rsid w:val="00D41C7A"/>
    <w:rsid w:val="00D478C5"/>
    <w:rsid w:val="00D47E9F"/>
    <w:rsid w:val="00D53A06"/>
    <w:rsid w:val="00D53C16"/>
    <w:rsid w:val="00D55E1F"/>
    <w:rsid w:val="00D56517"/>
    <w:rsid w:val="00D732D7"/>
    <w:rsid w:val="00D800F0"/>
    <w:rsid w:val="00D80D29"/>
    <w:rsid w:val="00D82E24"/>
    <w:rsid w:val="00D84DD1"/>
    <w:rsid w:val="00D863CA"/>
    <w:rsid w:val="00D87FEB"/>
    <w:rsid w:val="00D90AD2"/>
    <w:rsid w:val="00D91550"/>
    <w:rsid w:val="00DA3FBC"/>
    <w:rsid w:val="00DB3E0B"/>
    <w:rsid w:val="00DC5AEF"/>
    <w:rsid w:val="00DE1AE9"/>
    <w:rsid w:val="00E04399"/>
    <w:rsid w:val="00E055BE"/>
    <w:rsid w:val="00E05922"/>
    <w:rsid w:val="00E136E8"/>
    <w:rsid w:val="00E206C4"/>
    <w:rsid w:val="00E2115D"/>
    <w:rsid w:val="00E30E90"/>
    <w:rsid w:val="00E349F0"/>
    <w:rsid w:val="00E36930"/>
    <w:rsid w:val="00E50D2D"/>
    <w:rsid w:val="00E51254"/>
    <w:rsid w:val="00E5362A"/>
    <w:rsid w:val="00E5467B"/>
    <w:rsid w:val="00E54B53"/>
    <w:rsid w:val="00E6241A"/>
    <w:rsid w:val="00E63396"/>
    <w:rsid w:val="00E63FE2"/>
    <w:rsid w:val="00E64702"/>
    <w:rsid w:val="00E650A8"/>
    <w:rsid w:val="00E81123"/>
    <w:rsid w:val="00E81124"/>
    <w:rsid w:val="00E82B28"/>
    <w:rsid w:val="00E870D3"/>
    <w:rsid w:val="00E9035D"/>
    <w:rsid w:val="00EB1CEB"/>
    <w:rsid w:val="00EB4C2E"/>
    <w:rsid w:val="00EB54F1"/>
    <w:rsid w:val="00EC27F3"/>
    <w:rsid w:val="00ED04F6"/>
    <w:rsid w:val="00ED4B0B"/>
    <w:rsid w:val="00EE2D40"/>
    <w:rsid w:val="00EE5AAF"/>
    <w:rsid w:val="00EE70A2"/>
    <w:rsid w:val="00EF5F2A"/>
    <w:rsid w:val="00EF7FC8"/>
    <w:rsid w:val="00F00ADA"/>
    <w:rsid w:val="00F06D45"/>
    <w:rsid w:val="00F14161"/>
    <w:rsid w:val="00F14346"/>
    <w:rsid w:val="00F17244"/>
    <w:rsid w:val="00F215FC"/>
    <w:rsid w:val="00F2197F"/>
    <w:rsid w:val="00F26594"/>
    <w:rsid w:val="00F33081"/>
    <w:rsid w:val="00F378A1"/>
    <w:rsid w:val="00F4113D"/>
    <w:rsid w:val="00F43229"/>
    <w:rsid w:val="00F4480B"/>
    <w:rsid w:val="00F46748"/>
    <w:rsid w:val="00F509F5"/>
    <w:rsid w:val="00F55C93"/>
    <w:rsid w:val="00F6320A"/>
    <w:rsid w:val="00F74F96"/>
    <w:rsid w:val="00F8267B"/>
    <w:rsid w:val="00F9005B"/>
    <w:rsid w:val="00F912C1"/>
    <w:rsid w:val="00F96C56"/>
    <w:rsid w:val="00FA0EC5"/>
    <w:rsid w:val="00FA2570"/>
    <w:rsid w:val="00FB1320"/>
    <w:rsid w:val="00FC0DBB"/>
    <w:rsid w:val="00FC53E7"/>
    <w:rsid w:val="00FE000B"/>
    <w:rsid w:val="00FE3447"/>
    <w:rsid w:val="00FF1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69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E"/>
    <w:pPr>
      <w:spacing w:after="0" w:line="240" w:lineRule="auto"/>
    </w:pPr>
    <w:rPr>
      <w:sz w:val="20"/>
    </w:rPr>
  </w:style>
  <w:style w:type="paragraph" w:styleId="Heading1">
    <w:name w:val="heading 1"/>
    <w:basedOn w:val="Normal"/>
    <w:next w:val="Normal"/>
    <w:link w:val="Heading1Char"/>
    <w:uiPriority w:val="9"/>
    <w:qFormat/>
    <w:rsid w:val="00D90AD2"/>
    <w:pPr>
      <w:spacing w:before="280"/>
      <w:ind w:left="183"/>
      <w:outlineLvl w:val="0"/>
    </w:pPr>
    <w:rPr>
      <w:rFonts w:ascii="Trebuchet MS" w:hAnsi="Trebuchet MS" w:cs="Trebuchet MS"/>
      <w:b/>
      <w:bCs/>
      <w:color w:val="FFFFFF"/>
      <w:spacing w:val="-2"/>
      <w:sz w:val="48"/>
      <w:szCs w:val="48"/>
    </w:rPr>
  </w:style>
  <w:style w:type="paragraph" w:styleId="Heading2">
    <w:name w:val="heading 2"/>
    <w:basedOn w:val="Normal"/>
    <w:next w:val="Normal"/>
    <w:link w:val="Heading2Char"/>
    <w:uiPriority w:val="9"/>
    <w:unhideWhenUsed/>
    <w:qFormat/>
    <w:rsid w:val="0027284E"/>
    <w:pPr>
      <w:spacing w:before="20"/>
      <w:ind w:left="93"/>
      <w:outlineLvl w:val="1"/>
    </w:pPr>
    <w:rPr>
      <w:b/>
      <w:bCs/>
      <w:i/>
      <w:iCs/>
      <w:color w:val="05518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AD2"/>
    <w:pPr>
      <w:tabs>
        <w:tab w:val="center" w:pos="4680"/>
        <w:tab w:val="right" w:pos="9360"/>
      </w:tabs>
    </w:pPr>
  </w:style>
  <w:style w:type="character" w:customStyle="1" w:styleId="HeaderChar">
    <w:name w:val="Header Char"/>
    <w:basedOn w:val="DefaultParagraphFont"/>
    <w:link w:val="Header"/>
    <w:uiPriority w:val="99"/>
    <w:rsid w:val="00D90AD2"/>
  </w:style>
  <w:style w:type="paragraph" w:styleId="Footer">
    <w:name w:val="footer"/>
    <w:basedOn w:val="Normal"/>
    <w:link w:val="FooterChar"/>
    <w:uiPriority w:val="99"/>
    <w:unhideWhenUsed/>
    <w:rsid w:val="00D90AD2"/>
    <w:pPr>
      <w:tabs>
        <w:tab w:val="center" w:pos="4680"/>
        <w:tab w:val="right" w:pos="9360"/>
      </w:tabs>
    </w:pPr>
  </w:style>
  <w:style w:type="character" w:customStyle="1" w:styleId="FooterChar">
    <w:name w:val="Footer Char"/>
    <w:basedOn w:val="DefaultParagraphFont"/>
    <w:link w:val="Footer"/>
    <w:uiPriority w:val="99"/>
    <w:rsid w:val="00D90AD2"/>
  </w:style>
  <w:style w:type="paragraph" w:customStyle="1" w:styleId="TableParagraph">
    <w:name w:val="Table Paragraph"/>
    <w:basedOn w:val="Normal"/>
    <w:uiPriority w:val="1"/>
    <w:qFormat/>
    <w:rsid w:val="00D90AD2"/>
    <w:pPr>
      <w:widowControl w:val="0"/>
    </w:pPr>
  </w:style>
  <w:style w:type="paragraph" w:styleId="BalloonText">
    <w:name w:val="Balloon Text"/>
    <w:basedOn w:val="Normal"/>
    <w:link w:val="BalloonTextChar"/>
    <w:uiPriority w:val="99"/>
    <w:semiHidden/>
    <w:unhideWhenUsed/>
    <w:rsid w:val="00D90AD2"/>
    <w:rPr>
      <w:rFonts w:ascii="Tahoma" w:hAnsi="Tahoma" w:cs="Tahoma"/>
      <w:sz w:val="16"/>
      <w:szCs w:val="16"/>
    </w:rPr>
  </w:style>
  <w:style w:type="character" w:customStyle="1" w:styleId="BalloonTextChar">
    <w:name w:val="Balloon Text Char"/>
    <w:basedOn w:val="DefaultParagraphFont"/>
    <w:link w:val="BalloonText"/>
    <w:uiPriority w:val="99"/>
    <w:semiHidden/>
    <w:rsid w:val="00D90AD2"/>
    <w:rPr>
      <w:rFonts w:ascii="Tahoma" w:hAnsi="Tahoma" w:cs="Tahoma"/>
      <w:sz w:val="16"/>
      <w:szCs w:val="16"/>
    </w:rPr>
  </w:style>
  <w:style w:type="table" w:styleId="TableGrid">
    <w:name w:val="Table Grid"/>
    <w:basedOn w:val="TableNormal"/>
    <w:uiPriority w:val="59"/>
    <w:rsid w:val="00D90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90AD2"/>
    <w:rPr>
      <w:rFonts w:ascii="Trebuchet MS" w:hAnsi="Trebuchet MS" w:cs="Trebuchet MS"/>
      <w:b/>
      <w:bCs/>
      <w:color w:val="FFFFFF"/>
      <w:spacing w:val="-2"/>
      <w:sz w:val="48"/>
      <w:szCs w:val="48"/>
    </w:rPr>
  </w:style>
  <w:style w:type="character" w:customStyle="1" w:styleId="Heading2Char">
    <w:name w:val="Heading 2 Char"/>
    <w:basedOn w:val="DefaultParagraphFont"/>
    <w:link w:val="Heading2"/>
    <w:uiPriority w:val="9"/>
    <w:rsid w:val="0027284E"/>
    <w:rPr>
      <w:b/>
      <w:bCs/>
      <w:i/>
      <w:iCs/>
      <w:color w:val="05518E"/>
      <w:sz w:val="28"/>
    </w:rPr>
  </w:style>
  <w:style w:type="paragraph" w:customStyle="1" w:styleId="Numbers">
    <w:name w:val="Numbers"/>
    <w:basedOn w:val="Normal"/>
    <w:qFormat/>
    <w:rsid w:val="0027284E"/>
    <w:pPr>
      <w:ind w:left="723" w:hanging="450"/>
    </w:pPr>
    <w:rPr>
      <w:sz w:val="18"/>
    </w:rPr>
  </w:style>
  <w:style w:type="paragraph" w:customStyle="1" w:styleId="DropCap">
    <w:name w:val="Drop Cap"/>
    <w:basedOn w:val="Normal"/>
    <w:qFormat/>
    <w:rsid w:val="0027284E"/>
    <w:pPr>
      <w:jc w:val="center"/>
    </w:pPr>
    <w:rPr>
      <w:rFonts w:ascii="Adobe Garamond Pro" w:hAnsi="Adobe Garamond Pro"/>
      <w:sz w:val="96"/>
    </w:rPr>
  </w:style>
  <w:style w:type="paragraph" w:customStyle="1" w:styleId="TopoftheLine">
    <w:name w:val="Top of the Line"/>
    <w:basedOn w:val="Normal"/>
    <w:qFormat/>
    <w:rsid w:val="0027284E"/>
    <w:pPr>
      <w:spacing w:before="240"/>
    </w:pPr>
  </w:style>
  <w:style w:type="paragraph" w:styleId="BodyText">
    <w:name w:val="Body Text"/>
    <w:basedOn w:val="Normal"/>
    <w:link w:val="BodyTextChar"/>
    <w:uiPriority w:val="1"/>
    <w:qFormat/>
    <w:rsid w:val="0027284E"/>
    <w:pPr>
      <w:widowControl w:val="0"/>
      <w:autoSpaceDE w:val="0"/>
      <w:autoSpaceDN w:val="0"/>
      <w:adjustRightInd w:val="0"/>
      <w:ind w:left="3"/>
    </w:pPr>
    <w:rPr>
      <w:rFonts w:ascii="Calibri" w:eastAsiaTheme="minorEastAsia" w:hAnsi="Calibri" w:cs="Calibri"/>
      <w:szCs w:val="20"/>
    </w:rPr>
  </w:style>
  <w:style w:type="character" w:customStyle="1" w:styleId="BodyTextChar">
    <w:name w:val="Body Text Char"/>
    <w:basedOn w:val="DefaultParagraphFont"/>
    <w:link w:val="BodyText"/>
    <w:uiPriority w:val="1"/>
    <w:rsid w:val="0027284E"/>
    <w:rPr>
      <w:rFonts w:ascii="Calibri" w:eastAsiaTheme="minorEastAsia" w:hAnsi="Calibri" w:cs="Calibri"/>
      <w:sz w:val="20"/>
      <w:szCs w:val="20"/>
    </w:rPr>
  </w:style>
  <w:style w:type="paragraph" w:customStyle="1" w:styleId="SideBar">
    <w:name w:val="Side Bar"/>
    <w:basedOn w:val="Normal"/>
    <w:qFormat/>
    <w:rsid w:val="0027284E"/>
    <w:pPr>
      <w:kinsoku w:val="0"/>
      <w:overflowPunct w:val="0"/>
      <w:spacing w:line="228" w:lineRule="exact"/>
      <w:ind w:left="279" w:hanging="91"/>
    </w:pPr>
    <w:rPr>
      <w:rFonts w:ascii="Calibri" w:hAnsi="Calibri" w:cs="Calibri"/>
      <w:bCs/>
      <w:color w:val="FFFFFF"/>
      <w:spacing w:val="-1"/>
      <w:sz w:val="18"/>
      <w:szCs w:val="19"/>
    </w:rPr>
  </w:style>
  <w:style w:type="paragraph" w:customStyle="1" w:styleId="SideBarTitle">
    <w:name w:val="Side Bar Title"/>
    <w:basedOn w:val="Normal"/>
    <w:qFormat/>
    <w:rsid w:val="0027284E"/>
    <w:pPr>
      <w:pBdr>
        <w:bottom w:val="single" w:sz="8" w:space="1" w:color="FFFFFF" w:themeColor="background1"/>
      </w:pBdr>
      <w:kinsoku w:val="0"/>
      <w:overflowPunct w:val="0"/>
      <w:ind w:left="162"/>
    </w:pPr>
    <w:rPr>
      <w:rFonts w:ascii="Calibri" w:hAnsi="Calibri" w:cs="Calibri"/>
      <w:b/>
      <w:bCs/>
      <w:color w:val="FFFFFF"/>
      <w:spacing w:val="-13"/>
      <w:sz w:val="28"/>
      <w:szCs w:val="28"/>
    </w:rPr>
  </w:style>
  <w:style w:type="paragraph" w:customStyle="1" w:styleId="Address">
    <w:name w:val="Address"/>
    <w:basedOn w:val="TableParagraph"/>
    <w:qFormat/>
    <w:rsid w:val="00B23503"/>
    <w:pPr>
      <w:spacing w:before="240"/>
      <w:ind w:left="180"/>
    </w:pPr>
  </w:style>
  <w:style w:type="paragraph" w:customStyle="1" w:styleId="ContactAddress">
    <w:name w:val="Contact Address"/>
    <w:basedOn w:val="Address"/>
    <w:qFormat/>
    <w:rsid w:val="00501C27"/>
    <w:pPr>
      <w:spacing w:before="0"/>
      <w:ind w:left="0" w:right="113"/>
      <w:jc w:val="center"/>
    </w:pPr>
    <w:rPr>
      <w:rFonts w:ascii="Arial Black" w:hAnsi="Arial Black"/>
      <w:b/>
      <w:color w:val="05518E"/>
      <w:sz w:val="12"/>
      <w:szCs w:val="12"/>
    </w:rPr>
  </w:style>
  <w:style w:type="character" w:styleId="Hyperlink">
    <w:name w:val="Hyperlink"/>
    <w:basedOn w:val="DefaultParagraphFont"/>
    <w:uiPriority w:val="99"/>
    <w:unhideWhenUsed/>
    <w:rsid w:val="00667572"/>
    <w:rPr>
      <w:color w:val="0000FF" w:themeColor="hyperlink"/>
      <w:u w:val="single"/>
    </w:rPr>
  </w:style>
  <w:style w:type="character" w:customStyle="1" w:styleId="CharChar11">
    <w:name w:val="Char Char11"/>
    <w:basedOn w:val="DefaultParagraphFont"/>
    <w:rsid w:val="00E2115D"/>
    <w:rPr>
      <w:rFonts w:ascii="Cambria" w:eastAsia="Times New Roman" w:hAnsi="Cambria" w:cs="Times New Roman"/>
      <w:b/>
      <w:bCs/>
      <w:color w:val="7F7F7F"/>
    </w:rPr>
  </w:style>
  <w:style w:type="paragraph" w:styleId="ListParagraph">
    <w:name w:val="List Paragraph"/>
    <w:basedOn w:val="Normal"/>
    <w:uiPriority w:val="1"/>
    <w:qFormat/>
    <w:rsid w:val="00C53466"/>
    <w:pPr>
      <w:spacing w:after="200" w:line="276" w:lineRule="auto"/>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E"/>
    <w:pPr>
      <w:spacing w:after="0" w:line="240" w:lineRule="auto"/>
    </w:pPr>
    <w:rPr>
      <w:sz w:val="20"/>
    </w:rPr>
  </w:style>
  <w:style w:type="paragraph" w:styleId="Heading1">
    <w:name w:val="heading 1"/>
    <w:basedOn w:val="Normal"/>
    <w:next w:val="Normal"/>
    <w:link w:val="Heading1Char"/>
    <w:uiPriority w:val="9"/>
    <w:qFormat/>
    <w:rsid w:val="00D90AD2"/>
    <w:pPr>
      <w:spacing w:before="280"/>
      <w:ind w:left="183"/>
      <w:outlineLvl w:val="0"/>
    </w:pPr>
    <w:rPr>
      <w:rFonts w:ascii="Trebuchet MS" w:hAnsi="Trebuchet MS" w:cs="Trebuchet MS"/>
      <w:b/>
      <w:bCs/>
      <w:color w:val="FFFFFF"/>
      <w:spacing w:val="-2"/>
      <w:sz w:val="48"/>
      <w:szCs w:val="48"/>
    </w:rPr>
  </w:style>
  <w:style w:type="paragraph" w:styleId="Heading2">
    <w:name w:val="heading 2"/>
    <w:basedOn w:val="Normal"/>
    <w:next w:val="Normal"/>
    <w:link w:val="Heading2Char"/>
    <w:uiPriority w:val="9"/>
    <w:unhideWhenUsed/>
    <w:qFormat/>
    <w:rsid w:val="0027284E"/>
    <w:pPr>
      <w:spacing w:before="20"/>
      <w:ind w:left="93"/>
      <w:outlineLvl w:val="1"/>
    </w:pPr>
    <w:rPr>
      <w:b/>
      <w:bCs/>
      <w:i/>
      <w:iCs/>
      <w:color w:val="05518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AD2"/>
    <w:pPr>
      <w:tabs>
        <w:tab w:val="center" w:pos="4680"/>
        <w:tab w:val="right" w:pos="9360"/>
      </w:tabs>
    </w:pPr>
  </w:style>
  <w:style w:type="character" w:customStyle="1" w:styleId="HeaderChar">
    <w:name w:val="Header Char"/>
    <w:basedOn w:val="DefaultParagraphFont"/>
    <w:link w:val="Header"/>
    <w:uiPriority w:val="99"/>
    <w:rsid w:val="00D90AD2"/>
  </w:style>
  <w:style w:type="paragraph" w:styleId="Footer">
    <w:name w:val="footer"/>
    <w:basedOn w:val="Normal"/>
    <w:link w:val="FooterChar"/>
    <w:uiPriority w:val="99"/>
    <w:unhideWhenUsed/>
    <w:rsid w:val="00D90AD2"/>
    <w:pPr>
      <w:tabs>
        <w:tab w:val="center" w:pos="4680"/>
        <w:tab w:val="right" w:pos="9360"/>
      </w:tabs>
    </w:pPr>
  </w:style>
  <w:style w:type="character" w:customStyle="1" w:styleId="FooterChar">
    <w:name w:val="Footer Char"/>
    <w:basedOn w:val="DefaultParagraphFont"/>
    <w:link w:val="Footer"/>
    <w:uiPriority w:val="99"/>
    <w:rsid w:val="00D90AD2"/>
  </w:style>
  <w:style w:type="paragraph" w:customStyle="1" w:styleId="TableParagraph">
    <w:name w:val="Table Paragraph"/>
    <w:basedOn w:val="Normal"/>
    <w:uiPriority w:val="1"/>
    <w:qFormat/>
    <w:rsid w:val="00D90AD2"/>
    <w:pPr>
      <w:widowControl w:val="0"/>
    </w:pPr>
  </w:style>
  <w:style w:type="paragraph" w:styleId="BalloonText">
    <w:name w:val="Balloon Text"/>
    <w:basedOn w:val="Normal"/>
    <w:link w:val="BalloonTextChar"/>
    <w:uiPriority w:val="99"/>
    <w:semiHidden/>
    <w:unhideWhenUsed/>
    <w:rsid w:val="00D90AD2"/>
    <w:rPr>
      <w:rFonts w:ascii="Tahoma" w:hAnsi="Tahoma" w:cs="Tahoma"/>
      <w:sz w:val="16"/>
      <w:szCs w:val="16"/>
    </w:rPr>
  </w:style>
  <w:style w:type="character" w:customStyle="1" w:styleId="BalloonTextChar">
    <w:name w:val="Balloon Text Char"/>
    <w:basedOn w:val="DefaultParagraphFont"/>
    <w:link w:val="BalloonText"/>
    <w:uiPriority w:val="99"/>
    <w:semiHidden/>
    <w:rsid w:val="00D90AD2"/>
    <w:rPr>
      <w:rFonts w:ascii="Tahoma" w:hAnsi="Tahoma" w:cs="Tahoma"/>
      <w:sz w:val="16"/>
      <w:szCs w:val="16"/>
    </w:rPr>
  </w:style>
  <w:style w:type="table" w:styleId="TableGrid">
    <w:name w:val="Table Grid"/>
    <w:basedOn w:val="TableNormal"/>
    <w:uiPriority w:val="59"/>
    <w:rsid w:val="00D90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90AD2"/>
    <w:rPr>
      <w:rFonts w:ascii="Trebuchet MS" w:hAnsi="Trebuchet MS" w:cs="Trebuchet MS"/>
      <w:b/>
      <w:bCs/>
      <w:color w:val="FFFFFF"/>
      <w:spacing w:val="-2"/>
      <w:sz w:val="48"/>
      <w:szCs w:val="48"/>
    </w:rPr>
  </w:style>
  <w:style w:type="character" w:customStyle="1" w:styleId="Heading2Char">
    <w:name w:val="Heading 2 Char"/>
    <w:basedOn w:val="DefaultParagraphFont"/>
    <w:link w:val="Heading2"/>
    <w:uiPriority w:val="9"/>
    <w:rsid w:val="0027284E"/>
    <w:rPr>
      <w:b/>
      <w:bCs/>
      <w:i/>
      <w:iCs/>
      <w:color w:val="05518E"/>
      <w:sz w:val="28"/>
    </w:rPr>
  </w:style>
  <w:style w:type="paragraph" w:customStyle="1" w:styleId="Numbers">
    <w:name w:val="Numbers"/>
    <w:basedOn w:val="Normal"/>
    <w:qFormat/>
    <w:rsid w:val="0027284E"/>
    <w:pPr>
      <w:ind w:left="723" w:hanging="450"/>
    </w:pPr>
    <w:rPr>
      <w:sz w:val="18"/>
    </w:rPr>
  </w:style>
  <w:style w:type="paragraph" w:customStyle="1" w:styleId="DropCap">
    <w:name w:val="Drop Cap"/>
    <w:basedOn w:val="Normal"/>
    <w:qFormat/>
    <w:rsid w:val="0027284E"/>
    <w:pPr>
      <w:jc w:val="center"/>
    </w:pPr>
    <w:rPr>
      <w:rFonts w:ascii="Adobe Garamond Pro" w:hAnsi="Adobe Garamond Pro"/>
      <w:sz w:val="96"/>
    </w:rPr>
  </w:style>
  <w:style w:type="paragraph" w:customStyle="1" w:styleId="TopoftheLine">
    <w:name w:val="Top of the Line"/>
    <w:basedOn w:val="Normal"/>
    <w:qFormat/>
    <w:rsid w:val="0027284E"/>
    <w:pPr>
      <w:spacing w:before="240"/>
    </w:pPr>
  </w:style>
  <w:style w:type="paragraph" w:styleId="BodyText">
    <w:name w:val="Body Text"/>
    <w:basedOn w:val="Normal"/>
    <w:link w:val="BodyTextChar"/>
    <w:uiPriority w:val="1"/>
    <w:qFormat/>
    <w:rsid w:val="0027284E"/>
    <w:pPr>
      <w:widowControl w:val="0"/>
      <w:autoSpaceDE w:val="0"/>
      <w:autoSpaceDN w:val="0"/>
      <w:adjustRightInd w:val="0"/>
      <w:ind w:left="3"/>
    </w:pPr>
    <w:rPr>
      <w:rFonts w:ascii="Calibri" w:eastAsiaTheme="minorEastAsia" w:hAnsi="Calibri" w:cs="Calibri"/>
      <w:szCs w:val="20"/>
    </w:rPr>
  </w:style>
  <w:style w:type="character" w:customStyle="1" w:styleId="BodyTextChar">
    <w:name w:val="Body Text Char"/>
    <w:basedOn w:val="DefaultParagraphFont"/>
    <w:link w:val="BodyText"/>
    <w:uiPriority w:val="1"/>
    <w:rsid w:val="0027284E"/>
    <w:rPr>
      <w:rFonts w:ascii="Calibri" w:eastAsiaTheme="minorEastAsia" w:hAnsi="Calibri" w:cs="Calibri"/>
      <w:sz w:val="20"/>
      <w:szCs w:val="20"/>
    </w:rPr>
  </w:style>
  <w:style w:type="paragraph" w:customStyle="1" w:styleId="SideBar">
    <w:name w:val="Side Bar"/>
    <w:basedOn w:val="Normal"/>
    <w:qFormat/>
    <w:rsid w:val="0027284E"/>
    <w:pPr>
      <w:kinsoku w:val="0"/>
      <w:overflowPunct w:val="0"/>
      <w:spacing w:line="228" w:lineRule="exact"/>
      <w:ind w:left="279" w:hanging="91"/>
    </w:pPr>
    <w:rPr>
      <w:rFonts w:ascii="Calibri" w:hAnsi="Calibri" w:cs="Calibri"/>
      <w:bCs/>
      <w:color w:val="FFFFFF"/>
      <w:spacing w:val="-1"/>
      <w:sz w:val="18"/>
      <w:szCs w:val="19"/>
    </w:rPr>
  </w:style>
  <w:style w:type="paragraph" w:customStyle="1" w:styleId="SideBarTitle">
    <w:name w:val="Side Bar Title"/>
    <w:basedOn w:val="Normal"/>
    <w:qFormat/>
    <w:rsid w:val="0027284E"/>
    <w:pPr>
      <w:pBdr>
        <w:bottom w:val="single" w:sz="8" w:space="1" w:color="FFFFFF" w:themeColor="background1"/>
      </w:pBdr>
      <w:kinsoku w:val="0"/>
      <w:overflowPunct w:val="0"/>
      <w:ind w:left="162"/>
    </w:pPr>
    <w:rPr>
      <w:rFonts w:ascii="Calibri" w:hAnsi="Calibri" w:cs="Calibri"/>
      <w:b/>
      <w:bCs/>
      <w:color w:val="FFFFFF"/>
      <w:spacing w:val="-13"/>
      <w:sz w:val="28"/>
      <w:szCs w:val="28"/>
    </w:rPr>
  </w:style>
  <w:style w:type="paragraph" w:customStyle="1" w:styleId="Address">
    <w:name w:val="Address"/>
    <w:basedOn w:val="TableParagraph"/>
    <w:qFormat/>
    <w:rsid w:val="00B23503"/>
    <w:pPr>
      <w:spacing w:before="240"/>
      <w:ind w:left="180"/>
    </w:pPr>
  </w:style>
  <w:style w:type="paragraph" w:customStyle="1" w:styleId="ContactAddress">
    <w:name w:val="Contact Address"/>
    <w:basedOn w:val="Address"/>
    <w:qFormat/>
    <w:rsid w:val="00501C27"/>
    <w:pPr>
      <w:spacing w:before="0"/>
      <w:ind w:left="0" w:right="113"/>
      <w:jc w:val="center"/>
    </w:pPr>
    <w:rPr>
      <w:rFonts w:ascii="Arial Black" w:hAnsi="Arial Black"/>
      <w:b/>
      <w:color w:val="05518E"/>
      <w:sz w:val="12"/>
      <w:szCs w:val="12"/>
    </w:rPr>
  </w:style>
  <w:style w:type="character" w:styleId="Hyperlink">
    <w:name w:val="Hyperlink"/>
    <w:basedOn w:val="DefaultParagraphFont"/>
    <w:uiPriority w:val="99"/>
    <w:unhideWhenUsed/>
    <w:rsid w:val="00667572"/>
    <w:rPr>
      <w:color w:val="0000FF" w:themeColor="hyperlink"/>
      <w:u w:val="single"/>
    </w:rPr>
  </w:style>
  <w:style w:type="character" w:customStyle="1" w:styleId="CharChar11">
    <w:name w:val="Char Char11"/>
    <w:basedOn w:val="DefaultParagraphFont"/>
    <w:rsid w:val="00E2115D"/>
    <w:rPr>
      <w:rFonts w:ascii="Cambria" w:eastAsia="Times New Roman" w:hAnsi="Cambria" w:cs="Times New Roman"/>
      <w:b/>
      <w:bCs/>
      <w:color w:val="7F7F7F"/>
    </w:rPr>
  </w:style>
  <w:style w:type="paragraph" w:styleId="ListParagraph">
    <w:name w:val="List Paragraph"/>
    <w:basedOn w:val="Normal"/>
    <w:uiPriority w:val="1"/>
    <w:qFormat/>
    <w:rsid w:val="00C53466"/>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acl.gov/Programs/CDAP/OIP/ADRC/Index.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izabeth.a.oneill@state.or.u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545E68F05C648A9FA71DA30C5CE9C" ma:contentTypeVersion="1" ma:contentTypeDescription="Create a new document." ma:contentTypeScope="" ma:versionID="c645ea0912fcb061dee821641d3f4f75">
  <xsd:schema xmlns:xsd="http://www.w3.org/2001/XMLSchema" xmlns:xs="http://www.w3.org/2001/XMLSchema" xmlns:p="http://schemas.microsoft.com/office/2006/metadata/properties" xmlns:ns2="49e1b1f5-4598-4f10-9cb7-32cc96214367" targetNamespace="http://schemas.microsoft.com/office/2006/metadata/properties" ma:root="true" ma:fieldsID="3026eadc5575603c28c4b90f40dd22ea" ns2:_="">
    <xsd:import namespace="49e1b1f5-4598-4f10-9cb7-32cc962143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B008F-DD13-42BD-8B49-28196D1C0976}"/>
</file>

<file path=customXml/itemProps2.xml><?xml version="1.0" encoding="utf-8"?>
<ds:datastoreItem xmlns:ds="http://schemas.openxmlformats.org/officeDocument/2006/customXml" ds:itemID="{B5BB3A8A-F890-4060-A5A0-156828F79CB5}"/>
</file>

<file path=customXml/itemProps3.xml><?xml version="1.0" encoding="utf-8"?>
<ds:datastoreItem xmlns:ds="http://schemas.openxmlformats.org/officeDocument/2006/customXml" ds:itemID="{3BF4DDC8-238E-43DA-9F98-DB88371E3F17}"/>
</file>

<file path=customXml/itemProps4.xml><?xml version="1.0" encoding="utf-8"?>
<ds:datastoreItem xmlns:ds="http://schemas.openxmlformats.org/officeDocument/2006/customXml" ds:itemID="{34E6587C-06C1-4E30-92AC-6A8546A7300F}"/>
</file>

<file path=docProps/app.xml><?xml version="1.0" encoding="utf-8"?>
<Properties xmlns="http://schemas.openxmlformats.org/officeDocument/2006/extended-properties" xmlns:vt="http://schemas.openxmlformats.org/officeDocument/2006/docPropsVTypes">
  <Template>Normal.dotm</Template>
  <TotalTime>132</TotalTime>
  <Pages>1</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ADRC Survey: Promising Practice Example - Oregon CQI</dc:title>
  <dc:creator>Duke Taylor</dc:creator>
  <cp:keywords/>
  <cp:lastModifiedBy>Heather Johnson</cp:lastModifiedBy>
  <cp:revision>20</cp:revision>
  <dcterms:created xsi:type="dcterms:W3CDTF">2015-02-04T20:23:00Z</dcterms:created>
  <dcterms:modified xsi:type="dcterms:W3CDTF">2015-02-05T22:56:00Z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0x010100F22545E68F05C648A9FA71DA30C5CE9C</vt:lpwstr>
  </property>
  <property fmtid="{D5CDD505-2E9C-101B-9397-08002B2CF9AE}" pid="3" name="WorkflowChangePath">
    <vt:lpwstr>ae889852-ed02-4c0e-86af-756d3491e6bf,2;26c3d57d-d49e-4164-adc6-2aa28d0ba130,7;26c3d57d-d49e-4164-adc6-2aa28d0ba130,9;</vt:lpwstr>
  </property>
  <property fmtid="{D5CDD505-2E9C-101B-9397-08002B2CF9AE}" pid="4" name="WF">
    <vt:r8>1</vt:r8>
  </property>
  <property fmtid="{D5CDD505-2E9C-101B-9397-08002B2CF9AE}" pid="5" name="Data Category">
    <vt:lpwstr>2014 Consumer Satisfaction Survey</vt:lpwstr>
  </property>
</Properties>
</file>