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660"/>
        <w:gridCol w:w="630"/>
        <w:gridCol w:w="3979"/>
        <w:gridCol w:w="720"/>
        <w:gridCol w:w="720"/>
        <w:gridCol w:w="3851"/>
      </w:tblGrid>
      <w:tr w:rsidR="00007663" w:rsidTr="000A027A">
        <w:trPr>
          <w:trHeight w:hRule="exact" w:val="10800"/>
          <w:jc w:val="center"/>
        </w:trPr>
        <w:tc>
          <w:tcPr>
            <w:tcW w:w="3840" w:type="dxa"/>
          </w:tcPr>
          <w:p w:rsidR="00007663" w:rsidRDefault="00E408FB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D8813B8" wp14:editId="5179D61F">
                  <wp:extent cx="2440940" cy="17335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mallBusinessBrochure_Bac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49" cy="173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36B" w:rsidRPr="000A027A" w:rsidRDefault="00A7336B" w:rsidP="000A027A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auto"/>
                <w:sz w:val="28"/>
                <w:szCs w:val="28"/>
              </w:rPr>
            </w:pPr>
            <w:r w:rsidRPr="000A027A">
              <w:rPr>
                <w:b/>
                <w:bCs/>
                <w:color w:val="auto"/>
                <w:sz w:val="28"/>
                <w:szCs w:val="28"/>
              </w:rPr>
              <w:t>Question 6:</w:t>
            </w:r>
            <w:r w:rsidRPr="000A027A">
              <w:rPr>
                <w:color w:val="auto"/>
                <w:sz w:val="28"/>
                <w:szCs w:val="28"/>
              </w:rPr>
              <w:t xml:space="preserve"> What kind of information </w:t>
            </w:r>
            <w:r w:rsidR="000A027A" w:rsidRPr="000A027A">
              <w:rPr>
                <w:color w:val="auto"/>
                <w:sz w:val="28"/>
                <w:szCs w:val="28"/>
              </w:rPr>
              <w:t>do I need to let my case manager &amp; Acumen know about?</w:t>
            </w:r>
          </w:p>
          <w:p w:rsidR="000A027A" w:rsidRPr="000A027A" w:rsidRDefault="000A027A" w:rsidP="000A027A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auto"/>
                <w:sz w:val="28"/>
                <w:szCs w:val="28"/>
              </w:rPr>
            </w:pPr>
            <w:r w:rsidRPr="000A027A">
              <w:rPr>
                <w:b/>
                <w:bCs/>
                <w:color w:val="auto"/>
                <w:sz w:val="28"/>
                <w:szCs w:val="28"/>
              </w:rPr>
              <w:t>Answer:</w:t>
            </w:r>
            <w:r w:rsidRPr="000A027A">
              <w:rPr>
                <w:color w:val="auto"/>
                <w:sz w:val="28"/>
                <w:szCs w:val="28"/>
              </w:rPr>
              <w:t xml:space="preserve"> When any of the following changes happen:</w:t>
            </w:r>
          </w:p>
          <w:p w:rsidR="000A027A" w:rsidRPr="000A027A" w:rsidRDefault="000A027A" w:rsidP="000A027A">
            <w:pPr>
              <w:pStyle w:val="ListBullet"/>
              <w:numPr>
                <w:ilvl w:val="0"/>
                <w:numId w:val="8"/>
              </w:numPr>
              <w:spacing w:after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If you ICP services are ending</w:t>
            </w:r>
          </w:p>
          <w:p w:rsidR="000A027A" w:rsidRPr="000A027A" w:rsidRDefault="000A027A" w:rsidP="000A027A">
            <w:pPr>
              <w:pStyle w:val="ListBullet"/>
              <w:numPr>
                <w:ilvl w:val="0"/>
                <w:numId w:val="8"/>
              </w:numPr>
              <w:spacing w:after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If you temporarily leave your home due to illness or medical treatment</w:t>
            </w:r>
          </w:p>
          <w:p w:rsidR="000A027A" w:rsidRPr="003E26C1" w:rsidRDefault="003E26C1" w:rsidP="000A027A">
            <w:pPr>
              <w:pStyle w:val="ListBullet"/>
              <w:numPr>
                <w:ilvl w:val="0"/>
                <w:numId w:val="8"/>
              </w:numPr>
              <w:spacing w:after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If you have a provider who starts or stops working for you</w:t>
            </w:r>
          </w:p>
          <w:p w:rsidR="003E26C1" w:rsidRPr="003E26C1" w:rsidRDefault="003E26C1" w:rsidP="000A027A">
            <w:pPr>
              <w:pStyle w:val="ListBullet"/>
              <w:numPr>
                <w:ilvl w:val="0"/>
                <w:numId w:val="8"/>
              </w:numPr>
              <w:spacing w:after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If you change your provider(s) hourly rate</w:t>
            </w:r>
          </w:p>
          <w:p w:rsidR="003E26C1" w:rsidRPr="003E26C1" w:rsidRDefault="003E26C1" w:rsidP="000A027A">
            <w:pPr>
              <w:pStyle w:val="ListBullet"/>
              <w:numPr>
                <w:ilvl w:val="0"/>
                <w:numId w:val="8"/>
              </w:numPr>
              <w:pBdr>
                <w:bottom w:val="single" w:sz="12" w:space="1" w:color="auto"/>
              </w:pBdr>
              <w:spacing w:after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If you have to close your ICP checking account</w:t>
            </w:r>
          </w:p>
          <w:p w:rsidR="003E26C1" w:rsidRPr="00A7336B" w:rsidRDefault="003E26C1" w:rsidP="003E26C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007663" w:rsidRDefault="00007663"/>
        </w:tc>
        <w:tc>
          <w:tcPr>
            <w:tcW w:w="630" w:type="dxa"/>
          </w:tcPr>
          <w:p w:rsidR="00007663" w:rsidRDefault="00007663"/>
        </w:tc>
        <w:tc>
          <w:tcPr>
            <w:tcW w:w="3979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79"/>
            </w:tblGrid>
            <w:tr w:rsidR="00007663">
              <w:trPr>
                <w:trHeight w:hRule="exact" w:val="7920"/>
              </w:trPr>
              <w:tc>
                <w:tcPr>
                  <w:tcW w:w="5000" w:type="pct"/>
                </w:tcPr>
                <w:p w:rsidR="00007663" w:rsidRPr="003E26C1" w:rsidRDefault="000A027A" w:rsidP="003E26C1">
                  <w:pPr>
                    <w:spacing w:after="0"/>
                    <w:rPr>
                      <w:color w:val="auto"/>
                      <w:sz w:val="28"/>
                      <w:szCs w:val="28"/>
                    </w:rPr>
                  </w:pPr>
                  <w:r w:rsidRPr="003E26C1">
                    <w:rPr>
                      <w:b/>
                      <w:bCs/>
                      <w:color w:val="auto"/>
                      <w:sz w:val="28"/>
                      <w:szCs w:val="28"/>
                    </w:rPr>
                    <w:t>Question 7:</w:t>
                  </w:r>
                  <w:r w:rsidRPr="003E26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 w:rsidR="003E26C1" w:rsidRPr="003E26C1">
                    <w:rPr>
                      <w:color w:val="auto"/>
                      <w:sz w:val="28"/>
                      <w:szCs w:val="28"/>
                    </w:rPr>
                    <w:t>How does Acumen satisfy the EVV requirements?</w:t>
                  </w:r>
                </w:p>
                <w:p w:rsidR="003E26C1" w:rsidRDefault="003E26C1" w:rsidP="003E26C1">
                  <w:pPr>
                    <w:spacing w:after="0"/>
                    <w:rPr>
                      <w:color w:val="auto"/>
                      <w:sz w:val="28"/>
                      <w:szCs w:val="28"/>
                    </w:rPr>
                  </w:pPr>
                  <w:r w:rsidRPr="003E26C1">
                    <w:rPr>
                      <w:b/>
                      <w:bCs/>
                      <w:color w:val="auto"/>
                      <w:sz w:val="28"/>
                      <w:szCs w:val="28"/>
                    </w:rPr>
                    <w:t>Answer 7:</w:t>
                  </w:r>
                  <w:r w:rsidRPr="003E26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Acumen offers the following EVV time entry options – </w:t>
                  </w:r>
                </w:p>
                <w:p w:rsidR="003E26C1" w:rsidRPr="0082027E" w:rsidRDefault="0082027E" w:rsidP="003E26C1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82027E">
                    <w:rPr>
                      <w:color w:val="auto"/>
                      <w:sz w:val="28"/>
                      <w:szCs w:val="28"/>
                      <w:u w:val="single"/>
                    </w:rPr>
                    <w:t>Mobile app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using a smartphone for a provider to enter their time at the beginning &amp; end of their shift</w:t>
                  </w:r>
                </w:p>
                <w:p w:rsidR="0082027E" w:rsidRPr="0082027E" w:rsidRDefault="0082027E" w:rsidP="003E26C1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82027E">
                    <w:rPr>
                      <w:color w:val="auto"/>
                      <w:sz w:val="28"/>
                      <w:szCs w:val="28"/>
                      <w:u w:val="single"/>
                    </w:rPr>
                    <w:t>Telephone landline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where the provider must call in to enter their time at the beginning &amp; end of their shift</w:t>
                  </w:r>
                </w:p>
                <w:p w:rsidR="000E18C1" w:rsidRPr="0082027E" w:rsidRDefault="0082027E" w:rsidP="00D3126C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bottom w:val="single" w:sz="12" w:space="1" w:color="auto"/>
                    </w:pBdr>
                    <w:spacing w:after="0"/>
                    <w:rPr>
                      <w:sz w:val="28"/>
                      <w:szCs w:val="28"/>
                    </w:rPr>
                  </w:pPr>
                  <w:r w:rsidRPr="00D3126C">
                    <w:rPr>
                      <w:color w:val="auto"/>
                      <w:sz w:val="28"/>
                      <w:szCs w:val="28"/>
                      <w:u w:val="single"/>
                    </w:rPr>
                    <w:t>FOB device</w:t>
                  </w:r>
                  <w:r w:rsidRPr="00D3126C">
                    <w:rPr>
                      <w:color w:val="auto"/>
                      <w:sz w:val="28"/>
                      <w:szCs w:val="28"/>
                    </w:rPr>
                    <w:t xml:space="preserve"> with a button that must be pushed </w:t>
                  </w:r>
                  <w:r w:rsidR="000E18C1" w:rsidRPr="00D3126C">
                    <w:rPr>
                      <w:color w:val="auto"/>
                      <w:sz w:val="28"/>
                      <w:szCs w:val="28"/>
                    </w:rPr>
                    <w:t>at the beginning &amp; end of their shift</w:t>
                  </w:r>
                </w:p>
              </w:tc>
            </w:tr>
            <w:tr w:rsidR="00007663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PlainTable4"/>
                    <w:tblW w:w="5000" w:type="pct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1264"/>
                    <w:gridCol w:w="279"/>
                    <w:gridCol w:w="2436"/>
                  </w:tblGrid>
                  <w:tr w:rsidR="00007663" w:rsidTr="00E408F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1582" w:type="pct"/>
                        <w:vAlign w:val="center"/>
                      </w:tcPr>
                      <w:p w:rsidR="00007663" w:rsidRDefault="00CA635D">
                        <w:pPr>
                          <w:pStyle w:val="NoSpacing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1951C382" wp14:editId="70C620D3">
                              <wp:simplePos x="0" y="0"/>
                              <wp:positionH relativeFrom="column">
                                <wp:posOffset>-30480</wp:posOffset>
                              </wp:positionH>
                              <wp:positionV relativeFrom="paragraph">
                                <wp:posOffset>14605</wp:posOffset>
                              </wp:positionV>
                              <wp:extent cx="952500" cy="553720"/>
                              <wp:effectExtent l="0" t="0" r="0" b="0"/>
                              <wp:wrapNone/>
                              <wp:docPr id="8" name="Picture 22" descr="Description: dhslogo (Logo-DHS-Dept o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Description: dhslogo (Logo-DHS-Dept o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553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350" w:type="pct"/>
                        <w:vAlign w:val="center"/>
                      </w:tcPr>
                      <w:p w:rsidR="00007663" w:rsidRDefault="00007663"/>
                    </w:tc>
                    <w:tc>
                      <w:tcPr>
                        <w:tcW w:w="3050" w:type="pct"/>
                        <w:vAlign w:val="center"/>
                      </w:tcPr>
                      <w:sdt>
                        <w:sdtPr>
                          <w:alias w:val="Company"/>
                          <w:tag w:val=""/>
                          <w:id w:val="-108818510"/>
                          <w:placeholder>
                            <w:docPart w:val="984C1C97C9AC475196AF66239BD9312F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007663" w:rsidRDefault="00016381">
                            <w:pPr>
                              <w:pStyle w:val="Company"/>
                            </w:pPr>
                            <w:r>
                              <w:t>Aging &amp; People with Disabilities</w:t>
                            </w:r>
                          </w:p>
                        </w:sdtContent>
                      </w:sdt>
                      <w:p w:rsidR="00007663" w:rsidRDefault="00016381">
                        <w:pPr>
                          <w:pStyle w:val="Footer"/>
                          <w:rPr>
                            <w:b w:val="0"/>
                            <w:bCs w:val="0"/>
                          </w:rPr>
                        </w:pPr>
                        <w:r>
                          <w:t>500 Summer St., NE</w:t>
                        </w:r>
                      </w:p>
                      <w:p w:rsidR="00016381" w:rsidRDefault="00016381">
                        <w:pPr>
                          <w:pStyle w:val="Footer"/>
                        </w:pPr>
                        <w:r>
                          <w:t>Salem, OR 97301</w:t>
                        </w:r>
                      </w:p>
                    </w:tc>
                  </w:tr>
                </w:tbl>
                <w:p w:rsidR="00007663" w:rsidRDefault="00007663"/>
              </w:tc>
            </w:tr>
          </w:tbl>
          <w:p w:rsidR="00007663" w:rsidRDefault="00007663"/>
        </w:tc>
        <w:tc>
          <w:tcPr>
            <w:tcW w:w="720" w:type="dxa"/>
          </w:tcPr>
          <w:p w:rsidR="00007663" w:rsidRDefault="00007663"/>
        </w:tc>
        <w:tc>
          <w:tcPr>
            <w:tcW w:w="720" w:type="dxa"/>
          </w:tcPr>
          <w:p w:rsidR="00007663" w:rsidRDefault="00007663"/>
        </w:tc>
        <w:tc>
          <w:tcPr>
            <w:tcW w:w="3851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007663">
              <w:trPr>
                <w:trHeight w:hRule="exact" w:val="5760"/>
              </w:trPr>
              <w:tc>
                <w:tcPr>
                  <w:tcW w:w="5000" w:type="pct"/>
                </w:tcPr>
                <w:p w:rsidR="00007663" w:rsidRDefault="00E408FB">
                  <w:r>
                    <w:rPr>
                      <w:noProof/>
                    </w:rPr>
                    <w:drawing>
                      <wp:inline distT="0" distB="0" distL="0" distR="0" wp14:anchorId="6FF72F07" wp14:editId="40192574">
                        <wp:extent cx="2440940" cy="3419475"/>
                        <wp:effectExtent l="0" t="0" r="0" b="952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SmallBusinessBrochure_Front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1448" cy="34201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7663" w:rsidRDefault="00007663"/>
              </w:tc>
            </w:tr>
            <w:tr w:rsidR="00007663">
              <w:trPr>
                <w:trHeight w:hRule="exact" w:val="360"/>
              </w:trPr>
              <w:tc>
                <w:tcPr>
                  <w:tcW w:w="5000" w:type="pct"/>
                </w:tcPr>
                <w:p w:rsidR="00007663" w:rsidRDefault="00007663"/>
              </w:tc>
            </w:tr>
            <w:tr w:rsidR="00007663" w:rsidTr="00016381">
              <w:trPr>
                <w:trHeight w:hRule="exact" w:val="2700"/>
              </w:trPr>
              <w:sdt>
                <w:sdtPr>
                  <w:alias w:val="Company"/>
                  <w:tag w:val=""/>
                  <w:id w:val="1274751255"/>
                  <w:placeholder>
                    <w:docPart w:val="984C1C97C9AC475196AF66239BD9312F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:rsidR="00007663" w:rsidRDefault="00016381">
                      <w:pPr>
                        <w:pStyle w:val="Title"/>
                      </w:pPr>
                      <w:r>
                        <w:t>Aging &amp; People with Disabilities</w:t>
                      </w:r>
                    </w:p>
                  </w:tc>
                </w:sdtContent>
              </w:sdt>
            </w:tr>
            <w:tr w:rsidR="00007663" w:rsidTr="00016381">
              <w:trPr>
                <w:trHeight w:hRule="exact" w:val="207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:rsidR="00007663" w:rsidRPr="00016381" w:rsidRDefault="00CA635D">
                  <w:pPr>
                    <w:pStyle w:val="Subtitle"/>
                    <w:rPr>
                      <w:sz w:val="28"/>
                      <w:szCs w:val="28"/>
                    </w:rPr>
                  </w:pPr>
                  <w:r w:rsidRPr="00016381">
                    <w:rPr>
                      <w:sz w:val="28"/>
                      <w:szCs w:val="28"/>
                    </w:rPr>
                    <w:t>Independent Choices Program</w:t>
                  </w:r>
                  <w:r w:rsidR="00016381" w:rsidRPr="00016381">
                    <w:rPr>
                      <w:sz w:val="28"/>
                      <w:szCs w:val="28"/>
                    </w:rPr>
                    <w:t>:</w:t>
                  </w:r>
                </w:p>
                <w:p w:rsidR="00016381" w:rsidRPr="00016381" w:rsidRDefault="00016381" w:rsidP="00016381">
                  <w:r w:rsidRPr="00016381">
                    <w:rPr>
                      <w:b/>
                      <w:bCs/>
                      <w:sz w:val="28"/>
                      <w:szCs w:val="28"/>
                    </w:rPr>
                    <w:t>Acumen Enrollment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FAQs</w:t>
                  </w:r>
                </w:p>
              </w:tc>
            </w:tr>
          </w:tbl>
          <w:p w:rsidR="00007663" w:rsidRDefault="00007663"/>
        </w:tc>
      </w:tr>
    </w:tbl>
    <w:p w:rsidR="00007663" w:rsidRDefault="00007663">
      <w:pPr>
        <w:pStyle w:val="NoSpacing"/>
      </w:pP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4532"/>
        <w:gridCol w:w="24"/>
        <w:gridCol w:w="720"/>
        <w:gridCol w:w="720"/>
        <w:gridCol w:w="3851"/>
      </w:tblGrid>
      <w:tr w:rsidR="00007663" w:rsidTr="00EA3213">
        <w:trPr>
          <w:trHeight w:hRule="exact" w:val="10800"/>
          <w:jc w:val="center"/>
        </w:trPr>
        <w:tc>
          <w:tcPr>
            <w:tcW w:w="3840" w:type="dxa"/>
          </w:tcPr>
          <w:p w:rsidR="00EA3213" w:rsidRDefault="00B273E1" w:rsidP="00EA3213">
            <w:pPr>
              <w:pStyle w:val="Heading1"/>
            </w:pPr>
            <w:r>
              <w:lastRenderedPageBreak/>
              <w:t xml:space="preserve">Acumen Enrollment </w:t>
            </w:r>
            <w:r w:rsidR="00EA3213">
              <w:t>FAQs</w:t>
            </w:r>
            <w:r>
              <w:t>….</w:t>
            </w:r>
          </w:p>
          <w:p w:rsidR="00007663" w:rsidRPr="00B4670D" w:rsidRDefault="00B273E1" w:rsidP="00B4670D">
            <w:pPr>
              <w:pStyle w:val="Heading1"/>
              <w:spacing w:after="12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B4670D">
              <w:rPr>
                <w:color w:val="auto"/>
                <w:sz w:val="28"/>
                <w:szCs w:val="28"/>
              </w:rPr>
              <w:t xml:space="preserve">Question 1: </w:t>
            </w:r>
            <w:r w:rsidRPr="00B4670D">
              <w:rPr>
                <w:b w:val="0"/>
                <w:bCs w:val="0"/>
                <w:color w:val="auto"/>
                <w:sz w:val="28"/>
                <w:szCs w:val="28"/>
              </w:rPr>
              <w:t>What is Electronic Visit Verification (EVV)?</w:t>
            </w:r>
          </w:p>
          <w:p w:rsidR="00EA3213" w:rsidRDefault="00B273E1" w:rsidP="00B4670D">
            <w:pPr>
              <w:pBdr>
                <w:bottom w:val="single" w:sz="12" w:space="1" w:color="auto"/>
              </w:pBdr>
              <w:spacing w:after="0"/>
              <w:rPr>
                <w:color w:val="auto"/>
                <w:sz w:val="28"/>
                <w:szCs w:val="28"/>
              </w:rPr>
            </w:pPr>
            <w:r w:rsidRPr="00B4670D">
              <w:rPr>
                <w:b/>
                <w:bCs/>
                <w:color w:val="auto"/>
                <w:sz w:val="28"/>
                <w:szCs w:val="28"/>
              </w:rPr>
              <w:t xml:space="preserve">Answer 1: </w:t>
            </w:r>
            <w:r w:rsidRPr="00B4670D">
              <w:rPr>
                <w:color w:val="auto"/>
                <w:sz w:val="28"/>
                <w:szCs w:val="28"/>
              </w:rPr>
              <w:t xml:space="preserve">EVV means a </w:t>
            </w:r>
            <w:r w:rsidR="00EA3213" w:rsidRPr="00B4670D">
              <w:rPr>
                <w:color w:val="auto"/>
                <w:sz w:val="28"/>
                <w:szCs w:val="28"/>
              </w:rPr>
              <w:t xml:space="preserve">service which requires hourly providers to clock-in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EA3213" w:rsidRPr="00B4670D">
              <w:rPr>
                <w:color w:val="auto"/>
                <w:sz w:val="28"/>
                <w:szCs w:val="28"/>
              </w:rPr>
              <w:t xml:space="preserve"> clock-out at the beginning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EA3213" w:rsidRPr="00B4670D">
              <w:rPr>
                <w:color w:val="auto"/>
                <w:sz w:val="28"/>
                <w:szCs w:val="28"/>
              </w:rPr>
              <w:t xml:space="preserve"> the end of each shift, so all hours worked are captured electronically. It also requires that the provider documents what services were provided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EA3213" w:rsidRPr="00B4670D">
              <w:rPr>
                <w:color w:val="auto"/>
                <w:sz w:val="28"/>
                <w:szCs w:val="28"/>
              </w:rPr>
              <w:t xml:space="preserve"> where they were provided. </w:t>
            </w:r>
          </w:p>
          <w:p w:rsidR="00007663" w:rsidRPr="00B4670D" w:rsidRDefault="00EA3213" w:rsidP="003F2604">
            <w:pPr>
              <w:spacing w:after="0"/>
              <w:rPr>
                <w:color w:val="auto"/>
                <w:sz w:val="28"/>
                <w:szCs w:val="28"/>
              </w:rPr>
            </w:pPr>
            <w:r w:rsidRPr="00B4670D">
              <w:rPr>
                <w:b/>
                <w:bCs/>
                <w:color w:val="auto"/>
                <w:sz w:val="28"/>
                <w:szCs w:val="28"/>
              </w:rPr>
              <w:t>Question 2:</w:t>
            </w:r>
            <w:r w:rsidRPr="00B4670D">
              <w:rPr>
                <w:color w:val="auto"/>
                <w:sz w:val="28"/>
                <w:szCs w:val="28"/>
              </w:rPr>
              <w:t xml:space="preserve"> Who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Pr="00B4670D">
              <w:rPr>
                <w:color w:val="auto"/>
                <w:sz w:val="28"/>
                <w:szCs w:val="28"/>
              </w:rPr>
              <w:t xml:space="preserve"> </w:t>
            </w:r>
            <w:r w:rsidR="003F2604" w:rsidRPr="00B4670D">
              <w:rPr>
                <w:color w:val="auto"/>
                <w:sz w:val="28"/>
                <w:szCs w:val="28"/>
              </w:rPr>
              <w:t>what is Acumen?</w:t>
            </w:r>
          </w:p>
          <w:p w:rsidR="003F2604" w:rsidRPr="00B273E1" w:rsidRDefault="003F2604" w:rsidP="005A5FB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B4670D">
              <w:rPr>
                <w:b/>
                <w:bCs/>
                <w:color w:val="auto"/>
                <w:sz w:val="28"/>
                <w:szCs w:val="28"/>
              </w:rPr>
              <w:t>Answer 2:</w:t>
            </w:r>
            <w:r w:rsidRPr="00B4670D">
              <w:rPr>
                <w:color w:val="auto"/>
                <w:sz w:val="28"/>
                <w:szCs w:val="28"/>
              </w:rPr>
              <w:t xml:space="preserve"> </w:t>
            </w:r>
            <w:r w:rsidR="00B4670D" w:rsidRPr="00B4670D">
              <w:rPr>
                <w:color w:val="auto"/>
                <w:sz w:val="28"/>
                <w:szCs w:val="28"/>
              </w:rPr>
              <w:t xml:space="preserve">Acumen is a Fiscal Intermediary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B4670D" w:rsidRPr="00B4670D">
              <w:rPr>
                <w:color w:val="auto"/>
                <w:sz w:val="28"/>
                <w:szCs w:val="28"/>
              </w:rPr>
              <w:t xml:space="preserve"> has a contract with Aging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B4670D" w:rsidRPr="00B4670D">
              <w:rPr>
                <w:color w:val="auto"/>
                <w:sz w:val="28"/>
                <w:szCs w:val="28"/>
              </w:rPr>
              <w:t xml:space="preserve"> People Disabilities to help ICP participants with their consumer-employer bookkeeping, payroll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B4670D" w:rsidRPr="00B4670D">
              <w:rPr>
                <w:color w:val="auto"/>
                <w:sz w:val="28"/>
                <w:szCs w:val="28"/>
              </w:rPr>
              <w:t xml:space="preserve"> EVV responsibilities.</w:t>
            </w:r>
          </w:p>
        </w:tc>
        <w:tc>
          <w:tcPr>
            <w:tcW w:w="713" w:type="dxa"/>
          </w:tcPr>
          <w:p w:rsidR="00007663" w:rsidRDefault="00007663"/>
        </w:tc>
        <w:tc>
          <w:tcPr>
            <w:tcW w:w="4532" w:type="dxa"/>
          </w:tcPr>
          <w:p w:rsidR="00007663" w:rsidRPr="005A5FBE" w:rsidRDefault="00EA3213" w:rsidP="005A5FBE">
            <w:pPr>
              <w:spacing w:after="0"/>
              <w:rPr>
                <w:color w:val="auto"/>
                <w:sz w:val="28"/>
                <w:szCs w:val="28"/>
              </w:rPr>
            </w:pPr>
            <w:r w:rsidRPr="005A5FBE">
              <w:rPr>
                <w:b/>
                <w:bCs/>
                <w:color w:val="auto"/>
                <w:sz w:val="28"/>
                <w:szCs w:val="28"/>
              </w:rPr>
              <w:t xml:space="preserve">Question </w:t>
            </w:r>
            <w:r w:rsidR="003F2604" w:rsidRPr="005A5FBE">
              <w:rPr>
                <w:b/>
                <w:bCs/>
                <w:color w:val="auto"/>
                <w:sz w:val="28"/>
                <w:szCs w:val="28"/>
              </w:rPr>
              <w:t>3</w:t>
            </w:r>
            <w:r w:rsidRPr="005A5FBE">
              <w:rPr>
                <w:b/>
                <w:bCs/>
                <w:color w:val="auto"/>
                <w:sz w:val="28"/>
                <w:szCs w:val="28"/>
              </w:rPr>
              <w:t>:</w:t>
            </w:r>
            <w:r w:rsidRPr="005A5FBE">
              <w:rPr>
                <w:color w:val="auto"/>
                <w:sz w:val="28"/>
                <w:szCs w:val="28"/>
              </w:rPr>
              <w:t xml:space="preserve"> W</w:t>
            </w:r>
            <w:r w:rsidR="00B4670D" w:rsidRPr="005A5FBE">
              <w:rPr>
                <w:color w:val="auto"/>
                <w:sz w:val="28"/>
                <w:szCs w:val="28"/>
              </w:rPr>
              <w:t>hat does it mean to ‘meet Federal EVV requirements?’</w:t>
            </w:r>
          </w:p>
          <w:p w:rsidR="00EA3213" w:rsidRDefault="00EA3213" w:rsidP="005A5FBE">
            <w:pPr>
              <w:pBdr>
                <w:bottom w:val="single" w:sz="12" w:space="1" w:color="auto"/>
              </w:pBdr>
              <w:spacing w:after="0"/>
              <w:rPr>
                <w:color w:val="auto"/>
                <w:sz w:val="28"/>
                <w:szCs w:val="28"/>
              </w:rPr>
            </w:pPr>
            <w:r w:rsidRPr="005A5FBE">
              <w:rPr>
                <w:b/>
                <w:bCs/>
                <w:color w:val="auto"/>
                <w:sz w:val="28"/>
                <w:szCs w:val="28"/>
              </w:rPr>
              <w:t xml:space="preserve">Answer </w:t>
            </w:r>
            <w:r w:rsidR="003F2604" w:rsidRPr="005A5FBE">
              <w:rPr>
                <w:b/>
                <w:bCs/>
                <w:color w:val="auto"/>
                <w:sz w:val="28"/>
                <w:szCs w:val="28"/>
              </w:rPr>
              <w:t>3</w:t>
            </w:r>
            <w:r w:rsidRPr="005A5FBE">
              <w:rPr>
                <w:b/>
                <w:bCs/>
                <w:color w:val="auto"/>
                <w:sz w:val="28"/>
                <w:szCs w:val="28"/>
              </w:rPr>
              <w:t>:</w:t>
            </w:r>
            <w:r w:rsidRPr="005A5FBE">
              <w:rPr>
                <w:color w:val="auto"/>
                <w:sz w:val="28"/>
                <w:szCs w:val="28"/>
              </w:rPr>
              <w:t xml:space="preserve"> </w:t>
            </w:r>
            <w:r w:rsidR="00B4670D" w:rsidRPr="005A5FBE">
              <w:rPr>
                <w:color w:val="auto"/>
                <w:sz w:val="28"/>
                <w:szCs w:val="28"/>
              </w:rPr>
              <w:t xml:space="preserve">EVV is required for capturing the specific location where the service is provided, when the </w:t>
            </w:r>
            <w:r w:rsidR="005A5FBE">
              <w:rPr>
                <w:color w:val="auto"/>
                <w:sz w:val="28"/>
                <w:szCs w:val="28"/>
              </w:rPr>
              <w:t>provider</w:t>
            </w:r>
            <w:r w:rsidR="00B4670D" w:rsidRPr="005A5FBE">
              <w:rPr>
                <w:color w:val="auto"/>
                <w:sz w:val="28"/>
                <w:szCs w:val="28"/>
              </w:rPr>
              <w:t xml:space="preserve"> starts </w:t>
            </w:r>
            <w:r w:rsidR="006E6F98">
              <w:rPr>
                <w:color w:val="auto"/>
                <w:sz w:val="28"/>
                <w:szCs w:val="28"/>
              </w:rPr>
              <w:t>&amp;</w:t>
            </w:r>
            <w:r w:rsidR="00B4670D" w:rsidRPr="005A5FBE">
              <w:rPr>
                <w:color w:val="auto"/>
                <w:sz w:val="28"/>
                <w:szCs w:val="28"/>
              </w:rPr>
              <w:t xml:space="preserve"> stops</w:t>
            </w:r>
            <w:r w:rsidR="005A5FBE">
              <w:rPr>
                <w:color w:val="auto"/>
                <w:sz w:val="28"/>
                <w:szCs w:val="28"/>
              </w:rPr>
              <w:t xml:space="preserve"> working. If a time capture system does not meet these requirements, then it does not ‘meet Federal EVV requirements.’</w:t>
            </w:r>
          </w:p>
          <w:p w:rsidR="005A5FBE" w:rsidRDefault="005A5FBE" w:rsidP="005A5FBE">
            <w:pPr>
              <w:spacing w:after="0"/>
              <w:rPr>
                <w:color w:val="auto"/>
                <w:sz w:val="28"/>
                <w:szCs w:val="28"/>
              </w:rPr>
            </w:pPr>
            <w:r w:rsidRPr="00FD01EB">
              <w:rPr>
                <w:b/>
                <w:bCs/>
                <w:color w:val="auto"/>
                <w:sz w:val="28"/>
                <w:szCs w:val="28"/>
              </w:rPr>
              <w:t xml:space="preserve">Question </w:t>
            </w:r>
            <w:r w:rsidR="00471ADA">
              <w:rPr>
                <w:b/>
                <w:bCs/>
                <w:color w:val="auto"/>
                <w:sz w:val="28"/>
                <w:szCs w:val="28"/>
              </w:rPr>
              <w:t>4</w:t>
            </w:r>
            <w:r w:rsidRPr="00FD01EB">
              <w:rPr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471ADA">
              <w:rPr>
                <w:color w:val="auto"/>
                <w:sz w:val="28"/>
                <w:szCs w:val="28"/>
              </w:rPr>
              <w:t>Will it cost me anything to use Acumen’s services?</w:t>
            </w:r>
          </w:p>
          <w:p w:rsidR="00FD01EB" w:rsidRDefault="00FD01EB" w:rsidP="00471ADA">
            <w:pPr>
              <w:pBdr>
                <w:bottom w:val="single" w:sz="12" w:space="1" w:color="auto"/>
              </w:pBdr>
              <w:spacing w:after="0"/>
              <w:rPr>
                <w:color w:val="auto"/>
                <w:sz w:val="28"/>
                <w:szCs w:val="28"/>
              </w:rPr>
            </w:pPr>
            <w:r w:rsidRPr="00FD01EB">
              <w:rPr>
                <w:b/>
                <w:bCs/>
                <w:color w:val="auto"/>
                <w:sz w:val="28"/>
                <w:szCs w:val="28"/>
              </w:rPr>
              <w:t>Answer 4: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471ADA">
              <w:rPr>
                <w:color w:val="auto"/>
                <w:sz w:val="28"/>
                <w:szCs w:val="28"/>
              </w:rPr>
              <w:t xml:space="preserve">No, the State of Oregon has contracted with Acumen to provide these services at no cost to you. </w:t>
            </w:r>
            <w:r w:rsidR="008119EC">
              <w:rPr>
                <w:color w:val="auto"/>
                <w:sz w:val="28"/>
                <w:szCs w:val="28"/>
              </w:rPr>
              <w:t>However, i</w:t>
            </w:r>
            <w:r w:rsidR="00471ADA">
              <w:rPr>
                <w:color w:val="auto"/>
                <w:sz w:val="28"/>
                <w:szCs w:val="28"/>
              </w:rPr>
              <w:t>f you use the FOB time entry method, you will receive the</w:t>
            </w:r>
            <w:r w:rsidR="008119EC">
              <w:rPr>
                <w:color w:val="auto"/>
                <w:sz w:val="28"/>
                <w:szCs w:val="28"/>
              </w:rPr>
              <w:t xml:space="preserve"> first two FOB devices for free. If you lose or break both of those two FOBs &amp; need a third FOB device, you will be charged $20.00 for each additional FOB device after the second. </w:t>
            </w:r>
          </w:p>
          <w:p w:rsidR="008119EC" w:rsidRPr="00471ADA" w:rsidRDefault="008119EC" w:rsidP="00471AD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" w:type="dxa"/>
          </w:tcPr>
          <w:p w:rsidR="00007663" w:rsidRDefault="00007663"/>
        </w:tc>
        <w:tc>
          <w:tcPr>
            <w:tcW w:w="720" w:type="dxa"/>
          </w:tcPr>
          <w:p w:rsidR="00007663" w:rsidRDefault="00007663"/>
        </w:tc>
        <w:tc>
          <w:tcPr>
            <w:tcW w:w="720" w:type="dxa"/>
          </w:tcPr>
          <w:p w:rsidR="00007663" w:rsidRDefault="00007663"/>
        </w:tc>
        <w:tc>
          <w:tcPr>
            <w:tcW w:w="3851" w:type="dxa"/>
          </w:tcPr>
          <w:p w:rsidR="00007663" w:rsidRDefault="00E408FB">
            <w:r>
              <w:rPr>
                <w:noProof/>
              </w:rPr>
              <w:drawing>
                <wp:inline distT="0" distB="0" distL="0" distR="0" wp14:anchorId="7D31F779" wp14:editId="1CDB27B7">
                  <wp:extent cx="2444708" cy="162980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ceholder short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08" cy="162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663" w:rsidRDefault="00471ADA" w:rsidP="00764B7D">
            <w:pPr>
              <w:spacing w:after="0"/>
              <w:rPr>
                <w:color w:val="auto"/>
                <w:sz w:val="28"/>
                <w:szCs w:val="28"/>
              </w:rPr>
            </w:pPr>
            <w:r w:rsidRPr="008119EC">
              <w:rPr>
                <w:b/>
                <w:bCs/>
                <w:color w:val="auto"/>
                <w:sz w:val="28"/>
                <w:szCs w:val="28"/>
              </w:rPr>
              <w:t xml:space="preserve">Question </w:t>
            </w:r>
            <w:r w:rsidR="008119EC" w:rsidRPr="008119EC">
              <w:rPr>
                <w:b/>
                <w:bCs/>
                <w:color w:val="auto"/>
                <w:sz w:val="28"/>
                <w:szCs w:val="28"/>
              </w:rPr>
              <w:t>5</w:t>
            </w:r>
            <w:r w:rsidRPr="008119EC">
              <w:rPr>
                <w:b/>
                <w:bCs/>
                <w:color w:val="auto"/>
                <w:sz w:val="28"/>
                <w:szCs w:val="28"/>
              </w:rPr>
              <w:t>:</w:t>
            </w:r>
            <w:r w:rsidR="008119EC">
              <w:rPr>
                <w:color w:val="auto"/>
                <w:sz w:val="28"/>
                <w:szCs w:val="28"/>
              </w:rPr>
              <w:t xml:space="preserve"> Do I need to keep my ICP checking account when using Acumen?</w:t>
            </w:r>
          </w:p>
          <w:p w:rsidR="008119EC" w:rsidRDefault="008119EC" w:rsidP="00FD01EB">
            <w:pPr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  <w:r w:rsidRPr="00764B7D">
              <w:rPr>
                <w:b/>
                <w:bCs/>
                <w:color w:val="auto"/>
                <w:sz w:val="28"/>
                <w:szCs w:val="28"/>
              </w:rPr>
              <w:t>Answer 5:</w:t>
            </w:r>
            <w:r>
              <w:rPr>
                <w:color w:val="auto"/>
                <w:sz w:val="28"/>
                <w:szCs w:val="28"/>
              </w:rPr>
              <w:t xml:space="preserve"> Yes, Acumen will pull the </w:t>
            </w:r>
            <w:r w:rsidR="00764B7D">
              <w:rPr>
                <w:color w:val="auto"/>
                <w:sz w:val="28"/>
                <w:szCs w:val="28"/>
              </w:rPr>
              <w:t>money</w:t>
            </w:r>
            <w:r>
              <w:rPr>
                <w:color w:val="auto"/>
                <w:sz w:val="28"/>
                <w:szCs w:val="28"/>
              </w:rPr>
              <w:t xml:space="preserve"> from your ICP checking account every month to pay your provider(s)</w:t>
            </w:r>
            <w:r w:rsidR="00A7336B">
              <w:rPr>
                <w:color w:val="auto"/>
                <w:sz w:val="28"/>
                <w:szCs w:val="28"/>
              </w:rPr>
              <w:t xml:space="preserve"> wages</w:t>
            </w:r>
            <w:r>
              <w:rPr>
                <w:color w:val="auto"/>
                <w:sz w:val="28"/>
                <w:szCs w:val="28"/>
              </w:rPr>
              <w:t xml:space="preserve">. It is important to remember that you </w:t>
            </w:r>
            <w:r w:rsidR="00764B7D">
              <w:rPr>
                <w:color w:val="auto"/>
                <w:sz w:val="28"/>
                <w:szCs w:val="28"/>
              </w:rPr>
              <w:t xml:space="preserve">should </w:t>
            </w:r>
            <w:r w:rsidR="00A7336B" w:rsidRPr="00A7336B">
              <w:rPr>
                <w:color w:val="auto"/>
                <w:sz w:val="28"/>
                <w:szCs w:val="28"/>
                <w:u w:val="single"/>
              </w:rPr>
              <w:t>not</w:t>
            </w:r>
            <w:r w:rsidR="00764B7D">
              <w:rPr>
                <w:color w:val="auto"/>
                <w:sz w:val="28"/>
                <w:szCs w:val="28"/>
              </w:rPr>
              <w:t xml:space="preserve"> pull money from your ICP checking account when using Acumen</w:t>
            </w:r>
            <w:r w:rsidR="00A7336B">
              <w:rPr>
                <w:color w:val="auto"/>
                <w:sz w:val="28"/>
                <w:szCs w:val="28"/>
              </w:rPr>
              <w:t>, because</w:t>
            </w:r>
            <w:r w:rsidR="00764B7D">
              <w:rPr>
                <w:color w:val="auto"/>
                <w:sz w:val="28"/>
                <w:szCs w:val="28"/>
              </w:rPr>
              <w:t xml:space="preserve"> if you do </w:t>
            </w:r>
            <w:r w:rsidR="000E18C1">
              <w:rPr>
                <w:color w:val="auto"/>
                <w:sz w:val="28"/>
                <w:szCs w:val="28"/>
              </w:rPr>
              <w:t>&amp;</w:t>
            </w:r>
            <w:r w:rsidR="00764B7D">
              <w:rPr>
                <w:color w:val="auto"/>
                <w:sz w:val="28"/>
                <w:szCs w:val="28"/>
              </w:rPr>
              <w:t xml:space="preserve"> there is not enough money for Acumen to pay your provider(s) there will be </w:t>
            </w:r>
            <w:r w:rsidR="00A7336B">
              <w:rPr>
                <w:color w:val="auto"/>
                <w:sz w:val="28"/>
                <w:szCs w:val="28"/>
              </w:rPr>
              <w:t>an</w:t>
            </w:r>
            <w:r w:rsidR="00764B7D">
              <w:rPr>
                <w:color w:val="auto"/>
                <w:sz w:val="28"/>
                <w:szCs w:val="28"/>
              </w:rPr>
              <w:t xml:space="preserve"> NSF fee each time that happens. 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A7336B" w:rsidRPr="00FD01EB" w:rsidRDefault="00A7336B" w:rsidP="00FD01EB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007663" w:rsidRDefault="00007663">
      <w:pPr>
        <w:pStyle w:val="NoSpacing"/>
      </w:pPr>
    </w:p>
    <w:sectPr w:rsidR="0000766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13E313B8"/>
    <w:multiLevelType w:val="hybridMultilevel"/>
    <w:tmpl w:val="69BA8C04"/>
    <w:lvl w:ilvl="0" w:tplc="64B85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A3BC3"/>
    <w:multiLevelType w:val="hybridMultilevel"/>
    <w:tmpl w:val="C6B6C63C"/>
    <w:lvl w:ilvl="0" w:tplc="64B85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2F6901"/>
    <w:multiLevelType w:val="hybridMultilevel"/>
    <w:tmpl w:val="2070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5D"/>
    <w:rsid w:val="00007663"/>
    <w:rsid w:val="00016381"/>
    <w:rsid w:val="000A027A"/>
    <w:rsid w:val="000E18C1"/>
    <w:rsid w:val="003E26C1"/>
    <w:rsid w:val="003F2604"/>
    <w:rsid w:val="00471ADA"/>
    <w:rsid w:val="005A5FBE"/>
    <w:rsid w:val="006E6F98"/>
    <w:rsid w:val="00764B7D"/>
    <w:rsid w:val="008119EC"/>
    <w:rsid w:val="0082027E"/>
    <w:rsid w:val="00A7336B"/>
    <w:rsid w:val="00AF16E5"/>
    <w:rsid w:val="00B1693C"/>
    <w:rsid w:val="00B273E1"/>
    <w:rsid w:val="00B4670D"/>
    <w:rsid w:val="00CA635D"/>
    <w:rsid w:val="00D3126C"/>
    <w:rsid w:val="00E408FB"/>
    <w:rsid w:val="00E903B3"/>
    <w:rsid w:val="00EA3213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910B-C213-4DD2-A02B-B08429B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unhideWhenUsed/>
    <w:qFormat/>
    <w:rsid w:val="00FD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Busines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4C1C97C9AC475196AF66239BD9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3683-E0BC-4266-AB23-2399E72AF149}"/>
      </w:docPartPr>
      <w:docPartBody>
        <w:p w:rsidR="005C70AD" w:rsidRDefault="005C70AD">
          <w:pPr>
            <w:pStyle w:val="984C1C97C9AC475196AF66239BD9312F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AD"/>
    <w:rsid w:val="005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C1C97C9AC475196AF66239BD9312F">
    <w:name w:val="984C1C97C9AC475196AF66239BD93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ICP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EC26-3231-41DA-A06A-87652661CB1A}">
  <ds:schemaRefs>
    <ds:schemaRef ds:uri="http://purl.org/dc/terms/"/>
    <ds:schemaRef ds:uri="4873beb7-5857-4685-be1f-d57550cc96c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B7272A-65F7-4294-8EAF-BAFD4CC009C1}"/>
</file>

<file path=customXml/itemProps3.xml><?xml version="1.0" encoding="utf-8"?>
<ds:datastoreItem xmlns:ds="http://schemas.openxmlformats.org/officeDocument/2006/customXml" ds:itemID="{C4476795-712D-496F-A2BD-0AB77CC2B221}"/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Aging &amp; People with Disabilities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Acumen/EVV FAQs Brochure</dc:title>
  <dc:creator>Maciel Christine C</dc:creator>
  <cp:lastModifiedBy>Maciel Christine C</cp:lastModifiedBy>
  <cp:revision>2</cp:revision>
  <dcterms:created xsi:type="dcterms:W3CDTF">2020-07-02T19:52:00Z</dcterms:created>
  <dcterms:modified xsi:type="dcterms:W3CDTF">2020-07-02T19:52:00Z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