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2B068" w14:textId="7B8B8E7F" w:rsidR="002B2061" w:rsidRDefault="00F24F1E" w:rsidP="002B2061">
      <w:pPr>
        <w:pStyle w:val="SPTitle"/>
      </w:pPr>
      <w:r>
        <w:t>SP0</w:t>
      </w:r>
      <w:r w:rsidR="0099023F">
        <w:t>2</w:t>
      </w:r>
      <w:r w:rsidR="00611ACF">
        <w:t>490</w:t>
      </w:r>
      <w:r w:rsidR="00D33CE2" w:rsidRPr="0082128E">
        <w:t xml:space="preserve">  </w:t>
      </w:r>
      <w:r w:rsidR="002B2061" w:rsidRPr="00CA6613">
        <w:t>(</w:t>
      </w:r>
      <w:r w:rsidR="002B2061">
        <w:t>Special Provisions for the 202</w:t>
      </w:r>
      <w:r w:rsidR="00FC4C25">
        <w:t>4</w:t>
      </w:r>
      <w:r w:rsidR="002B2061">
        <w:t xml:space="preserve"> Book</w:t>
      </w:r>
      <w:r w:rsidR="002B2061" w:rsidRPr="00CA6613">
        <w:t>)</w:t>
      </w:r>
      <w:r w:rsidR="002B2061" w:rsidRPr="00B212DB">
        <w:t xml:space="preserve"> </w:t>
      </w:r>
      <w:r>
        <w:tab/>
        <w:t xml:space="preserve">(Bidding on or after: </w:t>
      </w:r>
      <w:r w:rsidR="00823AFA">
        <w:t>0</w:t>
      </w:r>
      <w:r w:rsidR="009B67BE">
        <w:t>7</w:t>
      </w:r>
      <w:r w:rsidR="002B2061" w:rsidRPr="006A72DF">
        <w:t>-01-</w:t>
      </w:r>
      <w:r w:rsidR="002B2061">
        <w:t>2</w:t>
      </w:r>
      <w:r w:rsidR="000C4DC0">
        <w:t>6</w:t>
      </w:r>
    </w:p>
    <w:p w14:paraId="2062688C" w14:textId="3D3A8CE4" w:rsidR="00D67EFA" w:rsidRPr="0082128E" w:rsidRDefault="002B2061" w:rsidP="002B2061">
      <w:pPr>
        <w:pStyle w:val="SPTitle"/>
        <w:rPr>
          <w:i/>
        </w:rPr>
      </w:pPr>
      <w:r>
        <w:tab/>
        <w:t xml:space="preserve">Last updated: </w:t>
      </w:r>
      <w:r w:rsidR="00314FF7">
        <w:t>0</w:t>
      </w:r>
      <w:r w:rsidR="00A525E1">
        <w:t>5</w:t>
      </w:r>
      <w:r w:rsidR="00314FF7">
        <w:t>-0</w:t>
      </w:r>
      <w:r w:rsidR="00A525E1">
        <w:t>1</w:t>
      </w:r>
      <w:r w:rsidR="0099023F">
        <w:t>-</w:t>
      </w:r>
      <w:r w:rsidR="00AD41EF">
        <w:t>2</w:t>
      </w:r>
      <w:r w:rsidR="009B67BE">
        <w:t>6</w:t>
      </w:r>
      <w:r w:rsidRPr="003F26C2">
        <w:t>)</w:t>
      </w:r>
    </w:p>
    <w:p w14:paraId="54B593DA" w14:textId="77777777" w:rsidR="009B67BE" w:rsidRPr="0082128E" w:rsidRDefault="009B67BE"/>
    <w:p w14:paraId="250FB211" w14:textId="29556B2A" w:rsidR="00D67EFA" w:rsidRPr="0082128E" w:rsidRDefault="00D67EFA" w:rsidP="00D67EFA">
      <w:pPr>
        <w:pStyle w:val="Heading1"/>
      </w:pPr>
      <w:r w:rsidRPr="0082128E">
        <w:t xml:space="preserve">SECTION </w:t>
      </w:r>
      <w:r w:rsidR="00CC4260" w:rsidRPr="0082128E">
        <w:t>0</w:t>
      </w:r>
      <w:r w:rsidR="00DC1FF1">
        <w:t>2</w:t>
      </w:r>
      <w:r w:rsidR="00611ACF">
        <w:t>490</w:t>
      </w:r>
      <w:r w:rsidR="00C25041" w:rsidRPr="0082128E">
        <w:t> </w:t>
      </w:r>
      <w:r w:rsidR="00FF1ACC">
        <w:t>-</w:t>
      </w:r>
      <w:r w:rsidR="00C25041" w:rsidRPr="0082128E">
        <w:t> </w:t>
      </w:r>
      <w:r w:rsidR="00A525E1" w:rsidRPr="00310104">
        <w:t>PORTABLE WATER SERVICE CONNECTION MATERIALS, 2 INCH AND SMALLER</w:t>
      </w:r>
    </w:p>
    <w:p w14:paraId="662F04A0" w14:textId="77777777" w:rsidR="00D67EFA" w:rsidRPr="0082128E" w:rsidRDefault="00D67EFA"/>
    <w:p w14:paraId="34D14EC9" w14:textId="412629C9" w:rsidR="002672FB" w:rsidRPr="0082128E" w:rsidRDefault="002B2061" w:rsidP="002672FB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823AFA">
        <w:t xml:space="preserve">purple </w:t>
      </w:r>
      <w:r>
        <w:t>text]</w:t>
      </w:r>
      <w:r w:rsidRPr="00BA032A">
        <w:t xml:space="preserve"> above a subsection, paragraph, sentence, or bullet, then include it in the </w:t>
      </w:r>
      <w:r w:rsidR="004326BD">
        <w:t>P</w:t>
      </w:r>
      <w:r w:rsidRPr="00BA032A">
        <w:t xml:space="preserve">roject. </w:t>
      </w:r>
      <w:r>
        <w:t>Delete</w:t>
      </w:r>
      <w:r w:rsidRPr="00CA6613">
        <w:t xml:space="preserve"> all </w:t>
      </w:r>
      <w:r w:rsidR="00823AFA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CC834A2" w14:textId="365A856D" w:rsidR="002672FB" w:rsidRDefault="002672FB"/>
    <w:p w14:paraId="1B9FE3C3" w14:textId="452AB67F" w:rsidR="00DB2385" w:rsidRDefault="00DB2385" w:rsidP="00DB2385">
      <w:r w:rsidRPr="00864B48">
        <w:t xml:space="preserve">Replace Section </w:t>
      </w:r>
      <w:r>
        <w:t>02490</w:t>
      </w:r>
      <w:r w:rsidRPr="00864B48">
        <w:t xml:space="preserve"> of the Standard Specifications </w:t>
      </w:r>
      <w:r w:rsidRPr="00B33135">
        <w:t>except for the Section number and title</w:t>
      </w:r>
      <w:r w:rsidRPr="00864B48">
        <w:t xml:space="preserve"> with the following:</w:t>
      </w:r>
    </w:p>
    <w:p w14:paraId="780657EE" w14:textId="77777777" w:rsidR="00DB2385" w:rsidRDefault="00DB2385"/>
    <w:p w14:paraId="5448DA16" w14:textId="0E2387FE" w:rsidR="009B67BE" w:rsidRDefault="009B67BE" w:rsidP="009B67BE">
      <w:pPr>
        <w:pStyle w:val="Heading2"/>
      </w:pPr>
      <w:bookmarkStart w:id="0" w:name="_Toc26880082"/>
      <w:bookmarkStart w:id="1" w:name="_Toc40170814"/>
      <w:bookmarkStart w:id="2" w:name="_Toc222479839"/>
      <w:r>
        <w:t>Description</w:t>
      </w:r>
    </w:p>
    <w:p w14:paraId="33534D24" w14:textId="77777777" w:rsidR="009B67BE" w:rsidRDefault="009B67BE" w:rsidP="009B67BE"/>
    <w:p w14:paraId="32DA1C19" w14:textId="1AFF7DA0" w:rsidR="00611ACF" w:rsidRPr="00611ACF" w:rsidRDefault="00611ACF" w:rsidP="00611ACF">
      <w:pPr>
        <w:rPr>
          <w:vanish/>
        </w:rPr>
      </w:pPr>
      <w:bookmarkStart w:id="3" w:name="_Toc26880070"/>
      <w:bookmarkStart w:id="4" w:name="_Toc40170802"/>
      <w:bookmarkStart w:id="5" w:name="_Toc222479827"/>
      <w:bookmarkEnd w:id="0"/>
      <w:bookmarkEnd w:id="1"/>
      <w:bookmarkEnd w:id="2"/>
      <w:r w:rsidRPr="00611ACF">
        <w:rPr>
          <w:b/>
          <w:bCs/>
        </w:rPr>
        <w:t>02490.00  Scope</w:t>
      </w:r>
      <w:bookmarkEnd w:id="3"/>
      <w:bookmarkEnd w:id="4"/>
      <w:bookmarkEnd w:id="5"/>
      <w:r w:rsidRPr="00891577">
        <w:t> - This Section includes the requirements for potable water service connections 2 inches in diameter and smaller, and sampling stations.</w:t>
      </w:r>
    </w:p>
    <w:p w14:paraId="7474AEBD" w14:textId="77777777" w:rsidR="00611ACF" w:rsidRPr="00891577" w:rsidRDefault="00611ACF" w:rsidP="00611ACF"/>
    <w:p w14:paraId="3B6089B0" w14:textId="77777777" w:rsidR="00611ACF" w:rsidRPr="00891577" w:rsidRDefault="00611ACF" w:rsidP="00611ACF">
      <w:pPr>
        <w:pStyle w:val="Heading2"/>
      </w:pPr>
      <w:r w:rsidRPr="00891577">
        <w:t>Materials</w:t>
      </w:r>
    </w:p>
    <w:p w14:paraId="018EF6B0" w14:textId="77777777" w:rsidR="00611ACF" w:rsidRPr="00891577" w:rsidRDefault="00611ACF" w:rsidP="00611ACF"/>
    <w:p w14:paraId="14F7D5EF" w14:textId="3D929631" w:rsidR="00611ACF" w:rsidRPr="00611ACF" w:rsidRDefault="00611ACF" w:rsidP="00611ACF">
      <w:pPr>
        <w:rPr>
          <w:vanish/>
        </w:rPr>
      </w:pPr>
      <w:bookmarkStart w:id="6" w:name="_Toc26880071"/>
      <w:bookmarkStart w:id="7" w:name="_Toc40170803"/>
      <w:bookmarkStart w:id="8" w:name="_Toc222479828"/>
      <w:r w:rsidRPr="00611ACF">
        <w:rPr>
          <w:b/>
          <w:bCs/>
        </w:rPr>
        <w:t>02490.10  General</w:t>
      </w:r>
      <w:bookmarkEnd w:id="6"/>
      <w:bookmarkEnd w:id="7"/>
      <w:bookmarkEnd w:id="8"/>
      <w:r w:rsidRPr="00891577">
        <w:t> - </w:t>
      </w:r>
      <w:r>
        <w:t>Furnish</w:t>
      </w:r>
      <w:r w:rsidRPr="00891577">
        <w:t xml:space="preserve"> </w:t>
      </w:r>
      <w:r>
        <w:t>s</w:t>
      </w:r>
      <w:r w:rsidRPr="00891577">
        <w:t xml:space="preserve">ervice line materials </w:t>
      </w:r>
      <w:r>
        <w:t>meeting the requirements of</w:t>
      </w:r>
      <w:r w:rsidRPr="00891577">
        <w:t xml:space="preserve"> AWWA C800 and these Specifications. </w:t>
      </w:r>
      <w:r>
        <w:t>Furnish</w:t>
      </w:r>
      <w:r w:rsidRPr="00891577" w:rsidDel="00FF27C0">
        <w:t xml:space="preserve"> </w:t>
      </w:r>
      <w:r w:rsidRPr="00891577">
        <w:t xml:space="preserve">service line materials that are designed for a working pressure of 100 psi. Where high pressure service materials are specified or shown, </w:t>
      </w:r>
      <w:r>
        <w:t>furnish</w:t>
      </w:r>
      <w:r w:rsidRPr="00891577" w:rsidDel="00FF27C0">
        <w:t xml:space="preserve"> </w:t>
      </w:r>
      <w:r w:rsidRPr="00891577">
        <w:t xml:space="preserve">materials that are designed for a working pressure of 150 psi. Use high pressure service materials when service line is hydrostatically tested concurrent with the water main. </w:t>
      </w:r>
      <w:r>
        <w:t>Furnish a</w:t>
      </w:r>
      <w:r w:rsidRPr="00891577">
        <w:t xml:space="preserve">ll Materials in contact with potable water </w:t>
      </w:r>
      <w:r>
        <w:t>according</w:t>
      </w:r>
      <w:r w:rsidRPr="00891577">
        <w:t xml:space="preserve"> to ANSI/NSF Standard 61, Drinking Water System Components - Health Effects, or equivalent.</w:t>
      </w:r>
    </w:p>
    <w:p w14:paraId="02D6E30E" w14:textId="77777777" w:rsidR="00611ACF" w:rsidRPr="00891577" w:rsidRDefault="00611ACF" w:rsidP="00611ACF"/>
    <w:p w14:paraId="610B069D" w14:textId="2D86FA75" w:rsidR="00611ACF" w:rsidRPr="00611ACF" w:rsidRDefault="00611ACF" w:rsidP="00611ACF">
      <w:pPr>
        <w:rPr>
          <w:vanish/>
        </w:rPr>
      </w:pPr>
      <w:bookmarkStart w:id="9" w:name="_Toc26880072"/>
      <w:bookmarkStart w:id="10" w:name="_Toc40170804"/>
      <w:bookmarkStart w:id="11" w:name="_Toc222479829"/>
      <w:r w:rsidRPr="00611ACF">
        <w:rPr>
          <w:b/>
          <w:bCs/>
        </w:rPr>
        <w:t>02490.20  Saddles</w:t>
      </w:r>
      <w:bookmarkEnd w:id="9"/>
      <w:bookmarkEnd w:id="10"/>
      <w:bookmarkEnd w:id="11"/>
      <w:r w:rsidRPr="00891577">
        <w:t> - </w:t>
      </w:r>
      <w:r>
        <w:t>Furnish</w:t>
      </w:r>
      <w:r w:rsidRPr="00891577">
        <w:t xml:space="preserve"> ductile iron, bronze or stainless steel</w:t>
      </w:r>
      <w:r>
        <w:t xml:space="preserve"> saddles</w:t>
      </w:r>
      <w:r w:rsidRPr="00891577">
        <w:t xml:space="preserve">. </w:t>
      </w:r>
      <w:r>
        <w:t>F</w:t>
      </w:r>
      <w:r w:rsidRPr="00891577">
        <w:t>or 3/4</w:t>
      </w:r>
      <w:r>
        <w:noBreakHyphen/>
      </w:r>
      <w:r w:rsidRPr="00891577">
        <w:t>inch and 1</w:t>
      </w:r>
      <w:r>
        <w:noBreakHyphen/>
      </w:r>
      <w:r w:rsidRPr="00891577">
        <w:t>inch services</w:t>
      </w:r>
      <w:r>
        <w:t>,</w:t>
      </w:r>
      <w:r w:rsidRPr="00891577">
        <w:t xml:space="preserve"> </w:t>
      </w:r>
      <w:r>
        <w:t>use</w:t>
      </w:r>
      <w:r w:rsidRPr="00891577">
        <w:t xml:space="preserve"> single strap saddles </w:t>
      </w:r>
      <w:r>
        <w:t>that</w:t>
      </w:r>
      <w:r w:rsidRPr="00891577">
        <w:t xml:space="preserve"> have either AWWA tapered thread or female iron pipe thread outlet. </w:t>
      </w:r>
      <w:r>
        <w:t>F</w:t>
      </w:r>
      <w:r w:rsidRPr="00891577">
        <w:t>or 1</w:t>
      </w:r>
      <w:r>
        <w:noBreakHyphen/>
      </w:r>
      <w:r w:rsidRPr="00891577">
        <w:t>1/2 inch and 2</w:t>
      </w:r>
      <w:r>
        <w:noBreakHyphen/>
      </w:r>
      <w:r w:rsidRPr="00891577">
        <w:t>inch services</w:t>
      </w:r>
      <w:r>
        <w:t>,</w:t>
      </w:r>
      <w:r w:rsidRPr="00891577">
        <w:t xml:space="preserve"> </w:t>
      </w:r>
      <w:r>
        <w:t>use</w:t>
      </w:r>
      <w:r w:rsidRPr="00891577">
        <w:t xml:space="preserve"> double strap saddles with female iron pipe thread outlet. </w:t>
      </w:r>
      <w:r>
        <w:t>Ensure s</w:t>
      </w:r>
      <w:r w:rsidRPr="00891577">
        <w:t xml:space="preserve">addles used on asbestos cement or on PVC pipe </w:t>
      </w:r>
      <w:r>
        <w:t>are</w:t>
      </w:r>
      <w:r w:rsidRPr="00891577">
        <w:t xml:space="preserve"> formed for the pipe and have flat, stainless steel straps.</w:t>
      </w:r>
    </w:p>
    <w:p w14:paraId="7F098F03" w14:textId="77777777" w:rsidR="00611ACF" w:rsidRPr="00891577" w:rsidRDefault="00611ACF" w:rsidP="00611ACF"/>
    <w:p w14:paraId="6AB40D57" w14:textId="1503F678" w:rsidR="00611ACF" w:rsidRPr="00611ACF" w:rsidRDefault="00611ACF" w:rsidP="00611ACF">
      <w:pPr>
        <w:rPr>
          <w:vanish/>
        </w:rPr>
      </w:pPr>
      <w:bookmarkStart w:id="12" w:name="_Toc26880073"/>
      <w:bookmarkStart w:id="13" w:name="_Toc40170805"/>
      <w:bookmarkStart w:id="14" w:name="_Toc222479830"/>
      <w:r w:rsidRPr="00611ACF">
        <w:rPr>
          <w:b/>
          <w:bCs/>
        </w:rPr>
        <w:t>02490.30  Service Connection Valves</w:t>
      </w:r>
      <w:bookmarkEnd w:id="12"/>
      <w:bookmarkEnd w:id="13"/>
      <w:bookmarkEnd w:id="14"/>
      <w:r w:rsidRPr="00891577">
        <w:rPr>
          <w:b/>
        </w:rPr>
        <w:t>:</w:t>
      </w:r>
    </w:p>
    <w:p w14:paraId="1870B4A6" w14:textId="77777777" w:rsidR="00611ACF" w:rsidRPr="00891577" w:rsidRDefault="00611ACF" w:rsidP="00611ACF"/>
    <w:p w14:paraId="36CF0951" w14:textId="77777777" w:rsidR="00611ACF" w:rsidRPr="00891577" w:rsidRDefault="00611ACF" w:rsidP="00611ACF">
      <w:pPr>
        <w:pStyle w:val="Indent1"/>
      </w:pPr>
      <w:r w:rsidRPr="00891577">
        <w:rPr>
          <w:b/>
        </w:rPr>
        <w:t>(a)  Corporation Stops</w:t>
      </w:r>
      <w:r w:rsidRPr="00891577">
        <w:t> - </w:t>
      </w:r>
      <w:r>
        <w:t>Furnish</w:t>
      </w:r>
      <w:r w:rsidRPr="00891577">
        <w:t xml:space="preserve"> </w:t>
      </w:r>
      <w:r>
        <w:t>c</w:t>
      </w:r>
      <w:r w:rsidRPr="00891577">
        <w:t xml:space="preserve">orporation stops constructed of bronze alloy. </w:t>
      </w:r>
      <w:r>
        <w:t>Furnish c</w:t>
      </w:r>
      <w:r w:rsidRPr="00891577">
        <w:t>orporation stops for direct tapping hav</w:t>
      </w:r>
      <w:r>
        <w:t>ing</w:t>
      </w:r>
      <w:r w:rsidRPr="00891577">
        <w:t xml:space="preserve"> AWWA tapered thread inlet and outlet connections compatible with either copper or polyethylene tubing.</w:t>
      </w:r>
    </w:p>
    <w:p w14:paraId="3FA52711" w14:textId="77777777" w:rsidR="00611ACF" w:rsidRPr="00891577" w:rsidRDefault="00611ACF" w:rsidP="00611ACF"/>
    <w:p w14:paraId="3DD88B52" w14:textId="77777777" w:rsidR="00611ACF" w:rsidRPr="00891577" w:rsidRDefault="00611ACF" w:rsidP="00611ACF">
      <w:pPr>
        <w:pStyle w:val="Indent2"/>
      </w:pPr>
      <w:r w:rsidRPr="00891577">
        <w:rPr>
          <w:b/>
        </w:rPr>
        <w:t>(1)  Less Than or Equal to 1 Inch</w:t>
      </w:r>
      <w:r w:rsidRPr="00891577">
        <w:t> - </w:t>
      </w:r>
      <w:r>
        <w:t>Furnish</w:t>
      </w:r>
      <w:r w:rsidRPr="00891577">
        <w:t xml:space="preserve"> </w:t>
      </w:r>
      <w:r>
        <w:t>c</w:t>
      </w:r>
      <w:r w:rsidRPr="00891577">
        <w:t>orporation stops used with 3/4</w:t>
      </w:r>
      <w:r>
        <w:noBreakHyphen/>
      </w:r>
      <w:r w:rsidRPr="00891577">
        <w:t>inch and 1</w:t>
      </w:r>
      <w:r>
        <w:noBreakHyphen/>
      </w:r>
      <w:r w:rsidRPr="00891577">
        <w:t>inch outlet saddles hav</w:t>
      </w:r>
      <w:r>
        <w:t>ing</w:t>
      </w:r>
      <w:r w:rsidRPr="00891577">
        <w:t xml:space="preserve"> either AWWA tapered thread or male iron pipe thread inlets and outlet connections compatible with either copper or polyethylene tubing. </w:t>
      </w:r>
      <w:r>
        <w:t>Ensure the t</w:t>
      </w:r>
      <w:r w:rsidRPr="00891577">
        <w:t xml:space="preserve">hread patterns for the saddle outlet and corporation stop inlet </w:t>
      </w:r>
      <w:r>
        <w:t>are</w:t>
      </w:r>
      <w:r w:rsidRPr="00891577">
        <w:t xml:space="preserve"> the same.</w:t>
      </w:r>
    </w:p>
    <w:p w14:paraId="3765A1F4" w14:textId="77777777" w:rsidR="00611ACF" w:rsidRPr="00891577" w:rsidRDefault="00611ACF" w:rsidP="00611ACF">
      <w:pPr>
        <w:pStyle w:val="Indent2"/>
      </w:pPr>
    </w:p>
    <w:p w14:paraId="5102ED53" w14:textId="77777777" w:rsidR="00611ACF" w:rsidRPr="00891577" w:rsidRDefault="00611ACF" w:rsidP="00611ACF">
      <w:pPr>
        <w:pStyle w:val="Indent2"/>
      </w:pPr>
      <w:r w:rsidRPr="00891577">
        <w:rPr>
          <w:b/>
        </w:rPr>
        <w:lastRenderedPageBreak/>
        <w:t>(2)  Greater Than 1 Inch</w:t>
      </w:r>
      <w:r w:rsidRPr="00891577">
        <w:t> - </w:t>
      </w:r>
      <w:r>
        <w:t>Furnish</w:t>
      </w:r>
      <w:r w:rsidRPr="00891577">
        <w:t xml:space="preserve"> </w:t>
      </w:r>
      <w:r>
        <w:t>c</w:t>
      </w:r>
      <w:r w:rsidRPr="00891577">
        <w:t>orporation stops used with 1</w:t>
      </w:r>
      <w:r>
        <w:noBreakHyphen/>
      </w:r>
      <w:r w:rsidRPr="00891577">
        <w:t>1/2 inch and 2</w:t>
      </w:r>
      <w:r>
        <w:noBreakHyphen/>
      </w:r>
      <w:r w:rsidRPr="00891577">
        <w:t>inch outlet saddles hav</w:t>
      </w:r>
      <w:r>
        <w:t>ing</w:t>
      </w:r>
      <w:r w:rsidRPr="00891577">
        <w:t xml:space="preserve"> male iron pipe thread inlets and outlet connections compatible with connecting service pipes, or have male iron pipe thread outlets.</w:t>
      </w:r>
    </w:p>
    <w:p w14:paraId="78576144" w14:textId="77777777" w:rsidR="00611ACF" w:rsidRPr="00891577" w:rsidRDefault="00611ACF" w:rsidP="00611ACF"/>
    <w:p w14:paraId="4B3B5EEB" w14:textId="77777777" w:rsidR="00611ACF" w:rsidRPr="00891577" w:rsidRDefault="00611ACF" w:rsidP="00611ACF">
      <w:pPr>
        <w:pStyle w:val="Indent1"/>
      </w:pPr>
      <w:r w:rsidRPr="00891577">
        <w:rPr>
          <w:b/>
        </w:rPr>
        <w:t>(b)  Angle Meter Valves</w:t>
      </w:r>
      <w:r w:rsidRPr="00891577">
        <w:t> - </w:t>
      </w:r>
      <w:r>
        <w:t>Furnish</w:t>
      </w:r>
      <w:r w:rsidRPr="00891577">
        <w:t xml:space="preserve"> </w:t>
      </w:r>
      <w:r>
        <w:t>a</w:t>
      </w:r>
      <w:r w:rsidRPr="00891577">
        <w:t>ngle meter valves meet</w:t>
      </w:r>
      <w:r>
        <w:t>ing</w:t>
      </w:r>
      <w:r w:rsidRPr="00891577">
        <w:t xml:space="preserve"> the requirements of ASTM B62</w:t>
      </w:r>
      <w:r>
        <w:t xml:space="preserve"> and</w:t>
      </w:r>
      <w:r w:rsidRPr="00891577">
        <w:t xml:space="preserve"> hav</w:t>
      </w:r>
      <w:r>
        <w:t>ing</w:t>
      </w:r>
      <w:r w:rsidRPr="00891577">
        <w:t xml:space="preserve"> a lock wing.</w:t>
      </w:r>
    </w:p>
    <w:p w14:paraId="3FB548E5" w14:textId="77777777" w:rsidR="00611ACF" w:rsidRPr="00891577" w:rsidRDefault="00611ACF" w:rsidP="00611ACF">
      <w:pPr>
        <w:pStyle w:val="Indent1"/>
      </w:pPr>
    </w:p>
    <w:p w14:paraId="28BA45C5" w14:textId="77777777" w:rsidR="00611ACF" w:rsidRPr="00891577" w:rsidRDefault="00611ACF" w:rsidP="00611ACF">
      <w:pPr>
        <w:pStyle w:val="Indent1"/>
      </w:pPr>
      <w:r w:rsidRPr="00891577">
        <w:rPr>
          <w:b/>
        </w:rPr>
        <w:t>(c)  Customer Service Valves</w:t>
      </w:r>
      <w:r w:rsidRPr="00891577">
        <w:t> - </w:t>
      </w:r>
      <w:r>
        <w:t>Furnish</w:t>
      </w:r>
      <w:r w:rsidRPr="00891577">
        <w:t xml:space="preserve"> </w:t>
      </w:r>
      <w:r>
        <w:t>c</w:t>
      </w:r>
      <w:r w:rsidRPr="00891577">
        <w:t xml:space="preserve">ustomer service valves </w:t>
      </w:r>
      <w:r>
        <w:t>that are</w:t>
      </w:r>
      <w:r w:rsidRPr="00891577">
        <w:t xml:space="preserve"> bronze straight gate valves or angled gate valves on all services smaller than 2</w:t>
      </w:r>
      <w:r>
        <w:noBreakHyphen/>
      </w:r>
      <w:r w:rsidRPr="00891577">
        <w:t xml:space="preserve">inch and </w:t>
      </w:r>
      <w:r>
        <w:t>have</w:t>
      </w:r>
      <w:r w:rsidRPr="00891577">
        <w:t xml:space="preserve"> non</w:t>
      </w:r>
      <w:r w:rsidRPr="00891577">
        <w:noBreakHyphen/>
        <w:t xml:space="preserve">rising stem, solid disc type with screwed or union bonnet, threaded ends, and a have brass handle. </w:t>
      </w:r>
      <w:r>
        <w:t xml:space="preserve">Furnish </w:t>
      </w:r>
      <w:r w:rsidRPr="00891577">
        <w:t>ASTM B62 bronze</w:t>
      </w:r>
      <w:r>
        <w:t xml:space="preserve"> b</w:t>
      </w:r>
      <w:r w:rsidRPr="00891577">
        <w:t xml:space="preserve">ody, bonnet, operating handle, and disc. </w:t>
      </w:r>
      <w:r>
        <w:t>Furnish s</w:t>
      </w:r>
      <w:r w:rsidRPr="00891577">
        <w:t xml:space="preserve">tems </w:t>
      </w:r>
      <w:r>
        <w:t>that are</w:t>
      </w:r>
      <w:r w:rsidRPr="00891577">
        <w:t xml:space="preserve"> copper silicon alloy, nickel plated steel, or other approved corrosion resistant materials with equal characteristics of strength and durability. </w:t>
      </w:r>
      <w:r>
        <w:t>Ensure t</w:t>
      </w:r>
      <w:r w:rsidRPr="00891577">
        <w:t>he disc clear</w:t>
      </w:r>
      <w:r>
        <w:t>s</w:t>
      </w:r>
      <w:r w:rsidRPr="00891577">
        <w:t xml:space="preserve"> the port area completely in the fully opened position. </w:t>
      </w:r>
      <w:r>
        <w:t>Furnish t</w:t>
      </w:r>
      <w:r w:rsidRPr="00891577">
        <w:t>hreaded ends meet</w:t>
      </w:r>
      <w:r>
        <w:t>ing</w:t>
      </w:r>
      <w:r w:rsidRPr="00891577">
        <w:t xml:space="preserve"> the requirements of ANSI B2.1.</w:t>
      </w:r>
    </w:p>
    <w:p w14:paraId="0D136279" w14:textId="77777777" w:rsidR="00611ACF" w:rsidRPr="00891577" w:rsidRDefault="00611ACF" w:rsidP="00611ACF"/>
    <w:p w14:paraId="3A83A6DE" w14:textId="1C64DAD5" w:rsidR="00611ACF" w:rsidRPr="00611ACF" w:rsidRDefault="00611ACF" w:rsidP="00611ACF">
      <w:pPr>
        <w:rPr>
          <w:vanish/>
        </w:rPr>
      </w:pPr>
      <w:bookmarkStart w:id="15" w:name="_Toc26880074"/>
      <w:bookmarkStart w:id="16" w:name="_Toc40170806"/>
      <w:bookmarkStart w:id="17" w:name="_Toc222479831"/>
      <w:r w:rsidRPr="00611ACF">
        <w:rPr>
          <w:b/>
          <w:bCs/>
        </w:rPr>
        <w:t>02490.40  Service Pipe and Fittings</w:t>
      </w:r>
      <w:bookmarkEnd w:id="15"/>
      <w:bookmarkEnd w:id="16"/>
      <w:bookmarkEnd w:id="17"/>
      <w:r w:rsidRPr="00891577">
        <w:rPr>
          <w:b/>
        </w:rPr>
        <w:t>:</w:t>
      </w:r>
    </w:p>
    <w:p w14:paraId="67A567EA" w14:textId="77777777" w:rsidR="00611ACF" w:rsidRPr="00891577" w:rsidRDefault="00611ACF" w:rsidP="00611ACF"/>
    <w:p w14:paraId="4F9070F8" w14:textId="77777777" w:rsidR="00611ACF" w:rsidRPr="00891577" w:rsidRDefault="00611ACF" w:rsidP="00611ACF">
      <w:pPr>
        <w:pStyle w:val="Indent1"/>
      </w:pPr>
      <w:r w:rsidRPr="00891577">
        <w:rPr>
          <w:b/>
        </w:rPr>
        <w:t>(a)  Copper Tubing Service Pipe</w:t>
      </w:r>
      <w:r w:rsidRPr="00891577">
        <w:t> - </w:t>
      </w:r>
      <w:r>
        <w:t>Furnish</w:t>
      </w:r>
      <w:r w:rsidRPr="00891577">
        <w:t xml:space="preserve"> </w:t>
      </w:r>
      <w:r>
        <w:t>c</w:t>
      </w:r>
      <w:r w:rsidRPr="00891577">
        <w:t xml:space="preserve">opper tubing service pipe </w:t>
      </w:r>
      <w:r>
        <w:t>that is</w:t>
      </w:r>
      <w:r w:rsidRPr="00891577">
        <w:t xml:space="preserve"> annealed, seamless tubing </w:t>
      </w:r>
      <w:r>
        <w:t>according</w:t>
      </w:r>
      <w:r w:rsidRPr="00891577">
        <w:t xml:space="preserve"> to the requirements of ASTM B88, Type K.</w:t>
      </w:r>
    </w:p>
    <w:p w14:paraId="734AC8AF" w14:textId="77777777" w:rsidR="00611ACF" w:rsidRPr="00891577" w:rsidRDefault="00611ACF" w:rsidP="00611ACF">
      <w:pPr>
        <w:pStyle w:val="Indent1"/>
      </w:pPr>
    </w:p>
    <w:p w14:paraId="1701E5AD" w14:textId="65D453DC" w:rsidR="00611ACF" w:rsidRPr="00891577" w:rsidRDefault="00611ACF" w:rsidP="00611ACF">
      <w:pPr>
        <w:pStyle w:val="Indent1"/>
      </w:pPr>
      <w:r w:rsidRPr="00891577">
        <w:rPr>
          <w:b/>
        </w:rPr>
        <w:t>(b)  Polyethylene Tubing Service Pipe</w:t>
      </w:r>
      <w:r w:rsidRPr="00891577">
        <w:t> - </w:t>
      </w:r>
      <w:r>
        <w:t>Furnish</w:t>
      </w:r>
      <w:r w:rsidRPr="00891577">
        <w:t xml:space="preserve"> </w:t>
      </w:r>
      <w:r>
        <w:t>p</w:t>
      </w:r>
      <w:r w:rsidRPr="00891577">
        <w:t>olyethylene tubing service pipe meet</w:t>
      </w:r>
      <w:r>
        <w:t>ing</w:t>
      </w:r>
      <w:r w:rsidRPr="00891577">
        <w:t xml:space="preserve"> the requirements of AWWA C901. </w:t>
      </w:r>
      <w:r>
        <w:t>Furnish</w:t>
      </w:r>
      <w:r w:rsidRPr="00891577">
        <w:t xml:space="preserve"> high molecular mass </w:t>
      </w:r>
      <w:r>
        <w:t xml:space="preserve">tubing </w:t>
      </w:r>
      <w:r w:rsidRPr="00891577">
        <w:t>with a 200</w:t>
      </w:r>
      <w:r>
        <w:noBreakHyphen/>
      </w:r>
      <w:r w:rsidRPr="00891577">
        <w:t xml:space="preserve">psi rating. </w:t>
      </w:r>
      <w:r>
        <w:t>F</w:t>
      </w:r>
      <w:r w:rsidRPr="00891577">
        <w:t>or 3/4</w:t>
      </w:r>
      <w:r>
        <w:noBreakHyphen/>
      </w:r>
      <w:r w:rsidRPr="00891577">
        <w:t>inch and 1</w:t>
      </w:r>
      <w:r>
        <w:noBreakHyphen/>
      </w:r>
      <w:r w:rsidRPr="00891577">
        <w:t xml:space="preserve">inch </w:t>
      </w:r>
      <w:r>
        <w:t>tubing, use</w:t>
      </w:r>
      <w:r w:rsidRPr="00891577">
        <w:t xml:space="preserve"> either SDR 7 (iron pipe size) or SDR 9 (copper tube size). </w:t>
      </w:r>
      <w:r>
        <w:t>F</w:t>
      </w:r>
      <w:r w:rsidRPr="00891577">
        <w:t>or 1</w:t>
      </w:r>
      <w:r>
        <w:t> </w:t>
      </w:r>
      <w:r w:rsidRPr="00891577">
        <w:t>1/2</w:t>
      </w:r>
      <w:r>
        <w:t> </w:t>
      </w:r>
      <w:r w:rsidRPr="00891577">
        <w:t xml:space="preserve">inch and 2-inch </w:t>
      </w:r>
      <w:r>
        <w:t>tubing, use</w:t>
      </w:r>
      <w:r w:rsidRPr="00891577">
        <w:t xml:space="preserve"> SDR 9 (copper tube size).</w:t>
      </w:r>
    </w:p>
    <w:p w14:paraId="3ED4DA51" w14:textId="77777777" w:rsidR="00611ACF" w:rsidRPr="00891577" w:rsidRDefault="00611ACF" w:rsidP="00611ACF">
      <w:pPr>
        <w:pStyle w:val="Indent1"/>
      </w:pPr>
    </w:p>
    <w:p w14:paraId="06C81F4F" w14:textId="77777777" w:rsidR="00611ACF" w:rsidRPr="00891577" w:rsidRDefault="00611ACF" w:rsidP="00611ACF">
      <w:pPr>
        <w:pStyle w:val="Indent1"/>
      </w:pPr>
      <w:r w:rsidRPr="00891577">
        <w:rPr>
          <w:b/>
        </w:rPr>
        <w:t>(c)  Service Fittings</w:t>
      </w:r>
      <w:r w:rsidRPr="00891577">
        <w:t xml:space="preserve"> - Make fittings used for service connections of bronze alloy. </w:t>
      </w:r>
      <w:r>
        <w:t>Use f</w:t>
      </w:r>
      <w:r w:rsidRPr="00891577">
        <w:t xml:space="preserve">ittings for copper tubing </w:t>
      </w:r>
      <w:r>
        <w:t>that are</w:t>
      </w:r>
      <w:r w:rsidRPr="00891577">
        <w:t xml:space="preserve"> either compression or flare type, insulated or noninsulated.</w:t>
      </w:r>
    </w:p>
    <w:p w14:paraId="4665D0EC" w14:textId="77777777" w:rsidR="00611ACF" w:rsidRPr="00891577" w:rsidRDefault="00611ACF" w:rsidP="00611ACF">
      <w:pPr>
        <w:pStyle w:val="Indent1"/>
      </w:pPr>
    </w:p>
    <w:p w14:paraId="4B0CC28E" w14:textId="77777777" w:rsidR="00611ACF" w:rsidRPr="00891577" w:rsidRDefault="00611ACF" w:rsidP="00611ACF">
      <w:pPr>
        <w:pStyle w:val="Indent1"/>
      </w:pPr>
      <w:r>
        <w:t>Use f</w:t>
      </w:r>
      <w:r w:rsidRPr="00891577">
        <w:t xml:space="preserve">ittings for polyethylene tubing </w:t>
      </w:r>
      <w:r>
        <w:t>that are</w:t>
      </w:r>
      <w:r w:rsidRPr="00891577">
        <w:t xml:space="preserve"> either compression or stab type. </w:t>
      </w:r>
      <w:r>
        <w:t>Use s</w:t>
      </w:r>
      <w:r w:rsidRPr="00891577">
        <w:t xml:space="preserve">tab type fittings </w:t>
      </w:r>
      <w:r>
        <w:t>with</w:t>
      </w:r>
      <w:r w:rsidRPr="00891577">
        <w:t xml:space="preserve"> an internal grip ring and O-ring seal. Use stainless steel liners when utilizing compression fittings on polyethylene tubing.</w:t>
      </w:r>
    </w:p>
    <w:p w14:paraId="43908CBD" w14:textId="77777777" w:rsidR="00611ACF" w:rsidRPr="00891577" w:rsidRDefault="00611ACF" w:rsidP="00611ACF"/>
    <w:p w14:paraId="4E87FBE3" w14:textId="0BA2FB44" w:rsidR="00611ACF" w:rsidRPr="00611ACF" w:rsidRDefault="00611ACF" w:rsidP="00611ACF">
      <w:pPr>
        <w:rPr>
          <w:vanish/>
        </w:rPr>
      </w:pPr>
      <w:bookmarkStart w:id="18" w:name="_Toc26880075"/>
      <w:bookmarkStart w:id="19" w:name="_Toc40170807"/>
      <w:bookmarkStart w:id="20" w:name="_Toc222479832"/>
      <w:r w:rsidRPr="00611ACF">
        <w:rPr>
          <w:b/>
          <w:bCs/>
        </w:rPr>
        <w:t>02490.50  Meter Setters</w:t>
      </w:r>
      <w:bookmarkEnd w:id="18"/>
      <w:bookmarkEnd w:id="19"/>
      <w:bookmarkEnd w:id="20"/>
      <w:r w:rsidRPr="00891577">
        <w:t> - </w:t>
      </w:r>
      <w:r>
        <w:t>Furnish</w:t>
      </w:r>
      <w:r w:rsidRPr="00891577">
        <w:t xml:space="preserve"> </w:t>
      </w:r>
      <w:r>
        <w:t>m</w:t>
      </w:r>
      <w:r w:rsidRPr="00891577">
        <w:t xml:space="preserve">eter setters manufactured and tested according to all applicable parts of AWWA C800. </w:t>
      </w:r>
      <w:r>
        <w:t>Furnish m</w:t>
      </w:r>
      <w:r w:rsidRPr="00891577">
        <w:t>eter setters 12 inches in height and hav</w:t>
      </w:r>
      <w:r>
        <w:t>ing</w:t>
      </w:r>
      <w:r w:rsidRPr="00891577">
        <w:t xml:space="preserve"> an angle meter stop with drilled padlock wing, an angle check valve, and inlet and outlet threads compatible with fittings connecting to service pipes.</w:t>
      </w:r>
    </w:p>
    <w:p w14:paraId="51D704FC" w14:textId="77777777" w:rsidR="00611ACF" w:rsidRPr="00891577" w:rsidRDefault="00611ACF" w:rsidP="00611ACF"/>
    <w:p w14:paraId="40E7295D" w14:textId="77777777" w:rsidR="00611ACF" w:rsidRPr="00891577" w:rsidRDefault="00611ACF" w:rsidP="00611ACF">
      <w:r>
        <w:t>F</w:t>
      </w:r>
      <w:r w:rsidRPr="00891577">
        <w:t>or 5/8</w:t>
      </w:r>
      <w:r>
        <w:noBreakHyphen/>
      </w:r>
      <w:r w:rsidRPr="00891577">
        <w:t>inch by 3/4</w:t>
      </w:r>
      <w:r>
        <w:noBreakHyphen/>
      </w:r>
      <w:r w:rsidRPr="00891577">
        <w:t>inch, 3/4</w:t>
      </w:r>
      <w:r>
        <w:noBreakHyphen/>
      </w:r>
      <w:r w:rsidRPr="00891577">
        <w:t>inch, and 1</w:t>
      </w:r>
      <w:r>
        <w:noBreakHyphen/>
      </w:r>
      <w:r w:rsidRPr="00891577">
        <w:t>inch services</w:t>
      </w:r>
      <w:r>
        <w:t>, furnish meter setters</w:t>
      </w:r>
      <w:r w:rsidRPr="00891577">
        <w:t xml:space="preserve"> hav</w:t>
      </w:r>
      <w:r>
        <w:t>ing</w:t>
      </w:r>
      <w:r w:rsidRPr="00891577">
        <w:t xml:space="preserve"> meter saddle nuts for installation and removal of the meter. </w:t>
      </w:r>
      <w:r>
        <w:t>Furnish m</w:t>
      </w:r>
      <w:r w:rsidRPr="00891577">
        <w:t>eter setters for 1</w:t>
      </w:r>
      <w:r>
        <w:noBreakHyphen/>
      </w:r>
      <w:r w:rsidRPr="00891577">
        <w:t>1/2 inch and 2</w:t>
      </w:r>
      <w:r>
        <w:noBreakHyphen/>
      </w:r>
      <w:r w:rsidRPr="00891577">
        <w:t>inch services equipped with a locking bypass.</w:t>
      </w:r>
    </w:p>
    <w:p w14:paraId="7F2AAB40" w14:textId="77777777" w:rsidR="00611ACF" w:rsidRPr="00891577" w:rsidRDefault="00611ACF" w:rsidP="00611ACF"/>
    <w:p w14:paraId="38432B7F" w14:textId="24298DBD" w:rsidR="00611ACF" w:rsidRPr="00611ACF" w:rsidRDefault="00611ACF" w:rsidP="00611ACF">
      <w:pPr>
        <w:rPr>
          <w:vanish/>
        </w:rPr>
      </w:pPr>
      <w:bookmarkStart w:id="21" w:name="_Toc26880076"/>
      <w:bookmarkStart w:id="22" w:name="_Toc40170808"/>
      <w:bookmarkStart w:id="23" w:name="_Toc222479833"/>
      <w:r w:rsidRPr="00611ACF">
        <w:rPr>
          <w:b/>
          <w:bCs/>
        </w:rPr>
        <w:t>02490.60  Bronze Nipples and Fittings</w:t>
      </w:r>
      <w:bookmarkEnd w:id="21"/>
      <w:bookmarkEnd w:id="22"/>
      <w:bookmarkEnd w:id="23"/>
      <w:r w:rsidRPr="00891577">
        <w:t> - </w:t>
      </w:r>
      <w:r>
        <w:t>Furnish</w:t>
      </w:r>
      <w:r w:rsidRPr="00891577">
        <w:t xml:space="preserve"> </w:t>
      </w:r>
      <w:r>
        <w:t>b</w:t>
      </w:r>
      <w:r w:rsidRPr="00891577">
        <w:t>ronze threaded nipples and fittings meet</w:t>
      </w:r>
      <w:r>
        <w:t>ing</w:t>
      </w:r>
      <w:r w:rsidRPr="00891577">
        <w:t xml:space="preserve"> the requirements of ANSI B16.15, ASA 125</w:t>
      </w:r>
      <w:r>
        <w:noBreakHyphen/>
      </w:r>
      <w:r w:rsidRPr="00891577">
        <w:t>pound class.</w:t>
      </w:r>
    </w:p>
    <w:p w14:paraId="03E86B7A" w14:textId="77777777" w:rsidR="00611ACF" w:rsidRPr="00891577" w:rsidRDefault="00611ACF" w:rsidP="00611ACF"/>
    <w:p w14:paraId="0A2FAC8C" w14:textId="641903B4" w:rsidR="00611ACF" w:rsidRPr="00611ACF" w:rsidRDefault="00611ACF" w:rsidP="00611ACF">
      <w:pPr>
        <w:rPr>
          <w:b/>
          <w:bCs/>
          <w:vanish/>
        </w:rPr>
      </w:pPr>
      <w:bookmarkStart w:id="24" w:name="_Toc26880077"/>
      <w:bookmarkStart w:id="25" w:name="_Toc40170809"/>
      <w:bookmarkStart w:id="26" w:name="_Toc222479834"/>
      <w:r w:rsidRPr="00611ACF">
        <w:rPr>
          <w:b/>
          <w:bCs/>
        </w:rPr>
        <w:t>02490.70  Meter Boxes</w:t>
      </w:r>
      <w:bookmarkEnd w:id="24"/>
      <w:bookmarkEnd w:id="25"/>
      <w:bookmarkEnd w:id="26"/>
      <w:r w:rsidRPr="00611ACF">
        <w:rPr>
          <w:b/>
          <w:bCs/>
        </w:rPr>
        <w:t>:</w:t>
      </w:r>
    </w:p>
    <w:p w14:paraId="61FB264A" w14:textId="77777777" w:rsidR="00611ACF" w:rsidRPr="00891577" w:rsidRDefault="00611ACF" w:rsidP="00611ACF"/>
    <w:p w14:paraId="7AF8BDE5" w14:textId="77777777" w:rsidR="00611ACF" w:rsidRPr="00891577" w:rsidRDefault="00611ACF" w:rsidP="00611ACF">
      <w:pPr>
        <w:pStyle w:val="Indent1"/>
      </w:pPr>
      <w:r w:rsidRPr="00891577">
        <w:rPr>
          <w:b/>
        </w:rPr>
        <w:t>(a)  Nontraffic Areas</w:t>
      </w:r>
      <w:r w:rsidRPr="00891577">
        <w:t xml:space="preserve"> - Construct meter boxes and covers located in the nontraffic areas of either reinforced concrete or high density polyethylene. </w:t>
      </w:r>
      <w:r>
        <w:t>Furnish h</w:t>
      </w:r>
      <w:r w:rsidRPr="00891577">
        <w:t xml:space="preserve">igh density </w:t>
      </w:r>
      <w:r w:rsidRPr="00891577">
        <w:lastRenderedPageBreak/>
        <w:t>polyethylene meter boxes and covers hav</w:t>
      </w:r>
      <w:r>
        <w:t>ing</w:t>
      </w:r>
      <w:r w:rsidRPr="00891577">
        <w:t xml:space="preserve"> a tensile strength </w:t>
      </w:r>
      <w:r>
        <w:t>according</w:t>
      </w:r>
      <w:r w:rsidRPr="00891577">
        <w:t xml:space="preserve"> to ASTM D638. </w:t>
      </w:r>
      <w:r>
        <w:t>I</w:t>
      </w:r>
      <w:r w:rsidRPr="00891577">
        <w:t>nclude a reading lid</w:t>
      </w:r>
      <w:r>
        <w:t xml:space="preserve"> on m</w:t>
      </w:r>
      <w:r w:rsidRPr="00891577">
        <w:t>eter box covers.</w:t>
      </w:r>
    </w:p>
    <w:p w14:paraId="3399F24D" w14:textId="77777777" w:rsidR="00611ACF" w:rsidRPr="00891577" w:rsidRDefault="00611ACF" w:rsidP="00611ACF">
      <w:pPr>
        <w:pStyle w:val="Indent1"/>
      </w:pPr>
    </w:p>
    <w:p w14:paraId="33F15468" w14:textId="77777777" w:rsidR="00611ACF" w:rsidRPr="00891577" w:rsidRDefault="00611ACF" w:rsidP="00611ACF">
      <w:pPr>
        <w:pStyle w:val="Indent1"/>
      </w:pPr>
      <w:r w:rsidRPr="00891577">
        <w:rPr>
          <w:b/>
        </w:rPr>
        <w:t>(b)  Traffic Areas</w:t>
      </w:r>
      <w:r w:rsidRPr="00891577">
        <w:t xml:space="preserve"> - Construct meter boxes located in traffic areas of either reinforced concrete, cast iron or ductile iron. Construct traffic covers of aluminum, steel, cast iron or ductile iron. </w:t>
      </w:r>
      <w:r>
        <w:t>Furnish m</w:t>
      </w:r>
      <w:r w:rsidRPr="00891577">
        <w:t>eter boxes and covers designed for continuous H-20 traffic loading.</w:t>
      </w:r>
    </w:p>
    <w:p w14:paraId="4C3FEADA" w14:textId="77777777" w:rsidR="00611ACF" w:rsidRPr="00891577" w:rsidRDefault="00611ACF" w:rsidP="00611ACF"/>
    <w:p w14:paraId="6359D281" w14:textId="52E01765" w:rsidR="00611ACF" w:rsidRPr="00611ACF" w:rsidRDefault="00611ACF" w:rsidP="00611ACF">
      <w:pPr>
        <w:rPr>
          <w:vanish/>
        </w:rPr>
      </w:pPr>
      <w:bookmarkStart w:id="27" w:name="_Toc26880078"/>
      <w:bookmarkStart w:id="28" w:name="_Toc40170810"/>
      <w:bookmarkStart w:id="29" w:name="_Toc222479835"/>
      <w:r w:rsidRPr="00611ACF">
        <w:rPr>
          <w:b/>
          <w:bCs/>
        </w:rPr>
        <w:t>02490.80  Sampling Stations</w:t>
      </w:r>
      <w:bookmarkEnd w:id="27"/>
      <w:bookmarkEnd w:id="28"/>
      <w:bookmarkEnd w:id="29"/>
      <w:r w:rsidRPr="00891577">
        <w:t> - </w:t>
      </w:r>
      <w:r>
        <w:t>Furnish</w:t>
      </w:r>
      <w:r w:rsidRPr="00891577">
        <w:t xml:space="preserve"> </w:t>
      </w:r>
      <w:r>
        <w:t>s</w:t>
      </w:r>
      <w:r w:rsidRPr="00891577">
        <w:t>ampling stations hav</w:t>
      </w:r>
      <w:r>
        <w:t>ing</w:t>
      </w:r>
      <w:r w:rsidRPr="00891577">
        <w:t xml:space="preserve"> a 3/4</w:t>
      </w:r>
      <w:r>
        <w:noBreakHyphen/>
      </w:r>
      <w:r w:rsidRPr="00891577">
        <w:t>inch inlet with the depth of bury indicated, and a 3/4</w:t>
      </w:r>
      <w:r>
        <w:noBreakHyphen/>
      </w:r>
      <w:r w:rsidRPr="00891577">
        <w:t>inch unthreaded nozzle. Enclose the sampling station in a lockable, non</w:t>
      </w:r>
      <w:r w:rsidRPr="00891577">
        <w:noBreakHyphen/>
        <w:t xml:space="preserve">removable, cast aluminum housing. When opened, </w:t>
      </w:r>
      <w:r>
        <w:t xml:space="preserve">ensure </w:t>
      </w:r>
      <w:r w:rsidRPr="00891577">
        <w:t xml:space="preserve">the station </w:t>
      </w:r>
      <w:r>
        <w:t>does not</w:t>
      </w:r>
      <w:r w:rsidRPr="00891577">
        <w:t xml:space="preserve"> require </w:t>
      </w:r>
      <w:r>
        <w:t>a</w:t>
      </w:r>
      <w:r w:rsidRPr="00891577">
        <w:t xml:space="preserve"> key for operation, and the water flow</w:t>
      </w:r>
      <w:r>
        <w:t>s</w:t>
      </w:r>
      <w:r w:rsidRPr="00891577">
        <w:t xml:space="preserve"> in an all-brass waterway. </w:t>
      </w:r>
      <w:r>
        <w:t>Furnish a</w:t>
      </w:r>
      <w:r w:rsidRPr="00891577">
        <w:t xml:space="preserve">ll working parts of brass and be removable from above ground with no digging. </w:t>
      </w:r>
      <w:r>
        <w:t>Furnish brass e</w:t>
      </w:r>
      <w:r w:rsidRPr="00891577">
        <w:t>xterior piping. Include at each station a copper vent tube with a ball valve to enable the station to be pumped free of standing water to prevent freezing.</w:t>
      </w:r>
    </w:p>
    <w:p w14:paraId="07ED8DFC" w14:textId="77777777" w:rsidR="00611ACF" w:rsidRPr="00891577" w:rsidRDefault="00611ACF" w:rsidP="00611ACF"/>
    <w:p w14:paraId="17AC8422" w14:textId="1C4A59AB" w:rsidR="00EA1FCE" w:rsidRDefault="00611ACF" w:rsidP="00611ACF">
      <w:bookmarkStart w:id="30" w:name="_Toc26880079"/>
      <w:bookmarkStart w:id="31" w:name="_Toc40170811"/>
      <w:bookmarkStart w:id="32" w:name="_Toc222479836"/>
      <w:r w:rsidRPr="00611ACF">
        <w:rPr>
          <w:b/>
          <w:bCs/>
        </w:rPr>
        <w:t>02490.90  Acceptance</w:t>
      </w:r>
      <w:bookmarkEnd w:id="30"/>
      <w:bookmarkEnd w:id="31"/>
      <w:bookmarkEnd w:id="32"/>
      <w:r w:rsidRPr="00891577">
        <w:t xml:space="preserve"> - Materials for potable water service connections </w:t>
      </w:r>
      <w:r>
        <w:t>are</w:t>
      </w:r>
      <w:r w:rsidRPr="00891577">
        <w:t xml:space="preserve"> accepted according to 00165.35 and this Section.</w:t>
      </w:r>
    </w:p>
    <w:p w14:paraId="7E4D0B68" w14:textId="77777777" w:rsidR="00611ACF" w:rsidRDefault="00611ACF" w:rsidP="00611ACF"/>
    <w:p w14:paraId="74D92780" w14:textId="77777777" w:rsidR="00611ACF" w:rsidRPr="0082128E" w:rsidRDefault="00611ACF" w:rsidP="00611ACF"/>
    <w:sectPr w:rsidR="00611ACF" w:rsidRPr="0082128E">
      <w:headerReference w:type="default" r:id="rId8"/>
      <w:footerReference w:type="default" r:id="rId9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EBE10" w14:textId="77777777" w:rsidR="001516B3" w:rsidRDefault="001516B3">
      <w:r>
        <w:separator/>
      </w:r>
    </w:p>
  </w:endnote>
  <w:endnote w:type="continuationSeparator" w:id="0">
    <w:p w14:paraId="7CB8E0E4" w14:textId="77777777" w:rsidR="001516B3" w:rsidRDefault="001516B3">
      <w:r>
        <w:continuationSeparator/>
      </w:r>
    </w:p>
  </w:endnote>
  <w:endnote w:type="continuationNotice" w:id="1">
    <w:p w14:paraId="04740222" w14:textId="77777777" w:rsidR="001516B3" w:rsidRDefault="001516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4D074" w14:textId="1BC0F50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F7E8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59A2E8" w14:textId="77777777" w:rsidR="001516B3" w:rsidRDefault="001516B3">
      <w:r>
        <w:separator/>
      </w:r>
    </w:p>
  </w:footnote>
  <w:footnote w:type="continuationSeparator" w:id="0">
    <w:p w14:paraId="6BCF9CD8" w14:textId="77777777" w:rsidR="001516B3" w:rsidRDefault="001516B3">
      <w:r>
        <w:continuationSeparator/>
      </w:r>
    </w:p>
  </w:footnote>
  <w:footnote w:type="continuationNotice" w:id="1">
    <w:p w14:paraId="052B0C99" w14:textId="77777777" w:rsidR="001516B3" w:rsidRDefault="001516B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6FF62" w14:textId="77777777" w:rsidR="007635E1" w:rsidRDefault="007635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05694785">
    <w:abstractNumId w:val="9"/>
  </w:num>
  <w:num w:numId="2" w16cid:durableId="1133524545">
    <w:abstractNumId w:val="2"/>
  </w:num>
  <w:num w:numId="3" w16cid:durableId="1042941604">
    <w:abstractNumId w:val="1"/>
  </w:num>
  <w:num w:numId="4" w16cid:durableId="1019235672">
    <w:abstractNumId w:val="8"/>
  </w:num>
  <w:num w:numId="5" w16cid:durableId="1265504795">
    <w:abstractNumId w:val="13"/>
  </w:num>
  <w:num w:numId="6" w16cid:durableId="422729871">
    <w:abstractNumId w:val="18"/>
  </w:num>
  <w:num w:numId="7" w16cid:durableId="1190215220">
    <w:abstractNumId w:val="17"/>
  </w:num>
  <w:num w:numId="8" w16cid:durableId="1756047231">
    <w:abstractNumId w:val="6"/>
  </w:num>
  <w:num w:numId="9" w16cid:durableId="1008092638">
    <w:abstractNumId w:val="16"/>
  </w:num>
  <w:num w:numId="10" w16cid:durableId="162555593">
    <w:abstractNumId w:val="19"/>
  </w:num>
  <w:num w:numId="11" w16cid:durableId="52891871">
    <w:abstractNumId w:val="5"/>
  </w:num>
  <w:num w:numId="12" w16cid:durableId="66462201">
    <w:abstractNumId w:val="15"/>
  </w:num>
  <w:num w:numId="13" w16cid:durableId="1447655269">
    <w:abstractNumId w:val="3"/>
  </w:num>
  <w:num w:numId="14" w16cid:durableId="652685186">
    <w:abstractNumId w:val="7"/>
  </w:num>
  <w:num w:numId="15" w16cid:durableId="1028602964">
    <w:abstractNumId w:val="14"/>
  </w:num>
  <w:num w:numId="16" w16cid:durableId="479152126">
    <w:abstractNumId w:val="12"/>
  </w:num>
  <w:num w:numId="17" w16cid:durableId="1359433174">
    <w:abstractNumId w:val="4"/>
  </w:num>
  <w:num w:numId="18" w16cid:durableId="267785716">
    <w:abstractNumId w:val="21"/>
  </w:num>
  <w:num w:numId="19" w16cid:durableId="130246898">
    <w:abstractNumId w:val="0"/>
  </w:num>
  <w:num w:numId="20" w16cid:durableId="1351683258">
    <w:abstractNumId w:val="10"/>
  </w:num>
  <w:num w:numId="21" w16cid:durableId="1914660158">
    <w:abstractNumId w:val="11"/>
  </w:num>
  <w:num w:numId="22" w16cid:durableId="82413081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4D8D"/>
    <w:rsid w:val="00020B06"/>
    <w:rsid w:val="00062898"/>
    <w:rsid w:val="000659F1"/>
    <w:rsid w:val="00083B48"/>
    <w:rsid w:val="00085AEB"/>
    <w:rsid w:val="000972C6"/>
    <w:rsid w:val="000A5935"/>
    <w:rsid w:val="000B0527"/>
    <w:rsid w:val="000B4355"/>
    <w:rsid w:val="000C0EF3"/>
    <w:rsid w:val="000C4DC0"/>
    <w:rsid w:val="000C588A"/>
    <w:rsid w:val="000C74BB"/>
    <w:rsid w:val="000C7CEA"/>
    <w:rsid w:val="000D1AD2"/>
    <w:rsid w:val="000D4CCD"/>
    <w:rsid w:val="001015E9"/>
    <w:rsid w:val="00117349"/>
    <w:rsid w:val="00123FC3"/>
    <w:rsid w:val="001253E4"/>
    <w:rsid w:val="00136722"/>
    <w:rsid w:val="0013776B"/>
    <w:rsid w:val="00145F14"/>
    <w:rsid w:val="00147A29"/>
    <w:rsid w:val="001516B3"/>
    <w:rsid w:val="00167F21"/>
    <w:rsid w:val="00183E42"/>
    <w:rsid w:val="001D11AF"/>
    <w:rsid w:val="00207091"/>
    <w:rsid w:val="0021021D"/>
    <w:rsid w:val="00217FCC"/>
    <w:rsid w:val="002243CC"/>
    <w:rsid w:val="00233ED1"/>
    <w:rsid w:val="0023758F"/>
    <w:rsid w:val="002378CD"/>
    <w:rsid w:val="00237D8A"/>
    <w:rsid w:val="002402F6"/>
    <w:rsid w:val="002460EB"/>
    <w:rsid w:val="00246DBB"/>
    <w:rsid w:val="00253314"/>
    <w:rsid w:val="0025592F"/>
    <w:rsid w:val="002672FB"/>
    <w:rsid w:val="002713F7"/>
    <w:rsid w:val="00271D62"/>
    <w:rsid w:val="00280524"/>
    <w:rsid w:val="00283C36"/>
    <w:rsid w:val="00286DE7"/>
    <w:rsid w:val="00287A86"/>
    <w:rsid w:val="0029563E"/>
    <w:rsid w:val="0029783A"/>
    <w:rsid w:val="002A2780"/>
    <w:rsid w:val="002A4E23"/>
    <w:rsid w:val="002B2061"/>
    <w:rsid w:val="002C0F1A"/>
    <w:rsid w:val="002D77E9"/>
    <w:rsid w:val="002E1023"/>
    <w:rsid w:val="002E15C4"/>
    <w:rsid w:val="002F1C0C"/>
    <w:rsid w:val="002F6A04"/>
    <w:rsid w:val="00306E2C"/>
    <w:rsid w:val="00313841"/>
    <w:rsid w:val="00314FF7"/>
    <w:rsid w:val="00322281"/>
    <w:rsid w:val="0034366A"/>
    <w:rsid w:val="003540D2"/>
    <w:rsid w:val="00364A6B"/>
    <w:rsid w:val="0037366F"/>
    <w:rsid w:val="003A04BC"/>
    <w:rsid w:val="003A250E"/>
    <w:rsid w:val="003A2FF1"/>
    <w:rsid w:val="003B154D"/>
    <w:rsid w:val="003B596B"/>
    <w:rsid w:val="0041239C"/>
    <w:rsid w:val="00421AFA"/>
    <w:rsid w:val="00431A92"/>
    <w:rsid w:val="004326BD"/>
    <w:rsid w:val="00432B24"/>
    <w:rsid w:val="0043569C"/>
    <w:rsid w:val="004576F2"/>
    <w:rsid w:val="00457E61"/>
    <w:rsid w:val="004818EC"/>
    <w:rsid w:val="00495505"/>
    <w:rsid w:val="004A1E3D"/>
    <w:rsid w:val="004A4F6B"/>
    <w:rsid w:val="004B1B06"/>
    <w:rsid w:val="004D4531"/>
    <w:rsid w:val="004E6032"/>
    <w:rsid w:val="004F7E8F"/>
    <w:rsid w:val="005021B2"/>
    <w:rsid w:val="005040AC"/>
    <w:rsid w:val="00511A7F"/>
    <w:rsid w:val="00520BAD"/>
    <w:rsid w:val="00523D58"/>
    <w:rsid w:val="005256B4"/>
    <w:rsid w:val="00525CD9"/>
    <w:rsid w:val="00532447"/>
    <w:rsid w:val="005569A6"/>
    <w:rsid w:val="00557586"/>
    <w:rsid w:val="005659AA"/>
    <w:rsid w:val="00565B06"/>
    <w:rsid w:val="005675F0"/>
    <w:rsid w:val="00572902"/>
    <w:rsid w:val="005729A1"/>
    <w:rsid w:val="00583653"/>
    <w:rsid w:val="0058690E"/>
    <w:rsid w:val="005A3C1B"/>
    <w:rsid w:val="005B2B1D"/>
    <w:rsid w:val="005C05D4"/>
    <w:rsid w:val="005C602C"/>
    <w:rsid w:val="005C6599"/>
    <w:rsid w:val="005D7581"/>
    <w:rsid w:val="005F5875"/>
    <w:rsid w:val="005F77D9"/>
    <w:rsid w:val="0060260F"/>
    <w:rsid w:val="00611ACF"/>
    <w:rsid w:val="00613E90"/>
    <w:rsid w:val="006163DB"/>
    <w:rsid w:val="00630380"/>
    <w:rsid w:val="00630A9C"/>
    <w:rsid w:val="00631205"/>
    <w:rsid w:val="00634E70"/>
    <w:rsid w:val="00636879"/>
    <w:rsid w:val="00640BD0"/>
    <w:rsid w:val="006502A2"/>
    <w:rsid w:val="0065162E"/>
    <w:rsid w:val="0065644A"/>
    <w:rsid w:val="00657A7D"/>
    <w:rsid w:val="00667BF2"/>
    <w:rsid w:val="00680457"/>
    <w:rsid w:val="0068427A"/>
    <w:rsid w:val="00693EF7"/>
    <w:rsid w:val="006A0F1E"/>
    <w:rsid w:val="006A277B"/>
    <w:rsid w:val="006D59A2"/>
    <w:rsid w:val="006E211B"/>
    <w:rsid w:val="006F1DDF"/>
    <w:rsid w:val="006F36C1"/>
    <w:rsid w:val="007072C4"/>
    <w:rsid w:val="00712CAE"/>
    <w:rsid w:val="00727A75"/>
    <w:rsid w:val="00730669"/>
    <w:rsid w:val="00744376"/>
    <w:rsid w:val="007478F7"/>
    <w:rsid w:val="007539E1"/>
    <w:rsid w:val="00757944"/>
    <w:rsid w:val="00761028"/>
    <w:rsid w:val="007635E1"/>
    <w:rsid w:val="00765C50"/>
    <w:rsid w:val="00766A4B"/>
    <w:rsid w:val="00772551"/>
    <w:rsid w:val="007914EF"/>
    <w:rsid w:val="00794F00"/>
    <w:rsid w:val="007A6EA6"/>
    <w:rsid w:val="007B24B0"/>
    <w:rsid w:val="007B49E8"/>
    <w:rsid w:val="007C6C65"/>
    <w:rsid w:val="007E0A0D"/>
    <w:rsid w:val="007E1983"/>
    <w:rsid w:val="007E1B8D"/>
    <w:rsid w:val="00804A97"/>
    <w:rsid w:val="00811529"/>
    <w:rsid w:val="0082128E"/>
    <w:rsid w:val="00823AFA"/>
    <w:rsid w:val="00823E74"/>
    <w:rsid w:val="00826E2C"/>
    <w:rsid w:val="00836CC1"/>
    <w:rsid w:val="00836EFE"/>
    <w:rsid w:val="008500EF"/>
    <w:rsid w:val="00857F18"/>
    <w:rsid w:val="0086049E"/>
    <w:rsid w:val="008919DF"/>
    <w:rsid w:val="0089445C"/>
    <w:rsid w:val="008A153F"/>
    <w:rsid w:val="008A6FEB"/>
    <w:rsid w:val="008B40ED"/>
    <w:rsid w:val="008B4453"/>
    <w:rsid w:val="008B554C"/>
    <w:rsid w:val="008B6C37"/>
    <w:rsid w:val="008B7E59"/>
    <w:rsid w:val="008E284E"/>
    <w:rsid w:val="008E78B1"/>
    <w:rsid w:val="00900A5C"/>
    <w:rsid w:val="00926E9C"/>
    <w:rsid w:val="00935B4A"/>
    <w:rsid w:val="009469A6"/>
    <w:rsid w:val="00953DC8"/>
    <w:rsid w:val="00966FD0"/>
    <w:rsid w:val="00983DFA"/>
    <w:rsid w:val="0099023F"/>
    <w:rsid w:val="00994701"/>
    <w:rsid w:val="009A299D"/>
    <w:rsid w:val="009A584F"/>
    <w:rsid w:val="009B67BE"/>
    <w:rsid w:val="009C4392"/>
    <w:rsid w:val="009C65E6"/>
    <w:rsid w:val="009D1968"/>
    <w:rsid w:val="009D68D1"/>
    <w:rsid w:val="009E033F"/>
    <w:rsid w:val="009E741C"/>
    <w:rsid w:val="009F1138"/>
    <w:rsid w:val="00A0685B"/>
    <w:rsid w:val="00A06F1C"/>
    <w:rsid w:val="00A12F87"/>
    <w:rsid w:val="00A15BBB"/>
    <w:rsid w:val="00A22080"/>
    <w:rsid w:val="00A24712"/>
    <w:rsid w:val="00A31D67"/>
    <w:rsid w:val="00A442A9"/>
    <w:rsid w:val="00A50FD4"/>
    <w:rsid w:val="00A525E1"/>
    <w:rsid w:val="00A73EBF"/>
    <w:rsid w:val="00A74257"/>
    <w:rsid w:val="00A76B2A"/>
    <w:rsid w:val="00AD01CE"/>
    <w:rsid w:val="00AD41EF"/>
    <w:rsid w:val="00AD4574"/>
    <w:rsid w:val="00AD65E8"/>
    <w:rsid w:val="00AE2C9E"/>
    <w:rsid w:val="00AF2241"/>
    <w:rsid w:val="00AF3CA4"/>
    <w:rsid w:val="00B02E74"/>
    <w:rsid w:val="00B16525"/>
    <w:rsid w:val="00B167E3"/>
    <w:rsid w:val="00B31BBF"/>
    <w:rsid w:val="00B507EE"/>
    <w:rsid w:val="00B51ECA"/>
    <w:rsid w:val="00B57A05"/>
    <w:rsid w:val="00B646C1"/>
    <w:rsid w:val="00B74D4E"/>
    <w:rsid w:val="00BA33F1"/>
    <w:rsid w:val="00BB0B69"/>
    <w:rsid w:val="00BC75B1"/>
    <w:rsid w:val="00BD0440"/>
    <w:rsid w:val="00BD45DB"/>
    <w:rsid w:val="00BD495B"/>
    <w:rsid w:val="00BF1D57"/>
    <w:rsid w:val="00BF720F"/>
    <w:rsid w:val="00BF7BE8"/>
    <w:rsid w:val="00C03776"/>
    <w:rsid w:val="00C203BD"/>
    <w:rsid w:val="00C25041"/>
    <w:rsid w:val="00C43AD2"/>
    <w:rsid w:val="00C44B5B"/>
    <w:rsid w:val="00C54953"/>
    <w:rsid w:val="00C54D61"/>
    <w:rsid w:val="00C71EC6"/>
    <w:rsid w:val="00C77BEC"/>
    <w:rsid w:val="00C82A79"/>
    <w:rsid w:val="00CB1B14"/>
    <w:rsid w:val="00CB3BB5"/>
    <w:rsid w:val="00CB5C52"/>
    <w:rsid w:val="00CC36B9"/>
    <w:rsid w:val="00CC4260"/>
    <w:rsid w:val="00CD0AF0"/>
    <w:rsid w:val="00CD31BD"/>
    <w:rsid w:val="00CE044B"/>
    <w:rsid w:val="00CE4BD7"/>
    <w:rsid w:val="00CF25D8"/>
    <w:rsid w:val="00D020A8"/>
    <w:rsid w:val="00D156FB"/>
    <w:rsid w:val="00D253CE"/>
    <w:rsid w:val="00D27B16"/>
    <w:rsid w:val="00D33CE2"/>
    <w:rsid w:val="00D43F36"/>
    <w:rsid w:val="00D479AB"/>
    <w:rsid w:val="00D55F9B"/>
    <w:rsid w:val="00D562BB"/>
    <w:rsid w:val="00D57928"/>
    <w:rsid w:val="00D67EFA"/>
    <w:rsid w:val="00D73ED0"/>
    <w:rsid w:val="00D764BD"/>
    <w:rsid w:val="00D806D4"/>
    <w:rsid w:val="00DB2385"/>
    <w:rsid w:val="00DC1FF1"/>
    <w:rsid w:val="00DD1ABB"/>
    <w:rsid w:val="00DD5D41"/>
    <w:rsid w:val="00DE00E0"/>
    <w:rsid w:val="00DE0636"/>
    <w:rsid w:val="00E06D8C"/>
    <w:rsid w:val="00E16C0F"/>
    <w:rsid w:val="00E2313A"/>
    <w:rsid w:val="00E25C05"/>
    <w:rsid w:val="00E320A2"/>
    <w:rsid w:val="00E47ACF"/>
    <w:rsid w:val="00E531AE"/>
    <w:rsid w:val="00E55493"/>
    <w:rsid w:val="00E71EFF"/>
    <w:rsid w:val="00E73E5A"/>
    <w:rsid w:val="00E869C8"/>
    <w:rsid w:val="00E86E25"/>
    <w:rsid w:val="00E91E88"/>
    <w:rsid w:val="00EA1FCE"/>
    <w:rsid w:val="00EB0DCF"/>
    <w:rsid w:val="00EC2A90"/>
    <w:rsid w:val="00EC45FF"/>
    <w:rsid w:val="00EE027E"/>
    <w:rsid w:val="00EF1E4F"/>
    <w:rsid w:val="00EF232C"/>
    <w:rsid w:val="00EF2C5B"/>
    <w:rsid w:val="00F01449"/>
    <w:rsid w:val="00F04353"/>
    <w:rsid w:val="00F24F1E"/>
    <w:rsid w:val="00F3015A"/>
    <w:rsid w:val="00F33EE2"/>
    <w:rsid w:val="00F36663"/>
    <w:rsid w:val="00F401F5"/>
    <w:rsid w:val="00F463BC"/>
    <w:rsid w:val="00F65E09"/>
    <w:rsid w:val="00F663CD"/>
    <w:rsid w:val="00F84AC3"/>
    <w:rsid w:val="00F930E4"/>
    <w:rsid w:val="00F976BA"/>
    <w:rsid w:val="00FB3FD8"/>
    <w:rsid w:val="00FB6B36"/>
    <w:rsid w:val="00FC4C25"/>
    <w:rsid w:val="00FC73F9"/>
    <w:rsid w:val="00FD3C06"/>
    <w:rsid w:val="00FE3402"/>
    <w:rsid w:val="00FF1ACC"/>
    <w:rsid w:val="00FF2EA6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744DD"/>
  <w15:docId w15:val="{2AAA339D-1071-4ED0-9857-E16ABBD9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link w:val="Indent2Char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823AFA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823AFA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823AFA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930E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930E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930E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930E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930E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930E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C4C25"/>
    <w:rPr>
      <w:rFonts w:ascii="Arial" w:hAnsi="Arial"/>
      <w:sz w:val="22"/>
    </w:rPr>
  </w:style>
  <w:style w:type="table" w:styleId="TableGrid">
    <w:name w:val="Table Grid"/>
    <w:basedOn w:val="TableNormal"/>
    <w:rsid w:val="00AD41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B154D"/>
    <w:pPr>
      <w:ind w:left="720"/>
      <w:contextualSpacing/>
    </w:pPr>
  </w:style>
  <w:style w:type="character" w:customStyle="1" w:styleId="Indent2Char">
    <w:name w:val="Indent 2 Char"/>
    <w:link w:val="Indent2"/>
    <w:rsid w:val="00611ACF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27DEDE-F48F-4863-93C0-1081251F417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995</Words>
  <Characters>5500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SP02510</vt:lpstr>
    </vt:vector>
  </TitlesOfParts>
  <Company>Oregon Dept of Transportation</Company>
  <LinksUpToDate>false</LinksUpToDate>
  <CharactersWithSpaces>6483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SP02490</dc:title>
  <dc:subject>ODOT Specifications (2015)</dc:subject>
  <dc:creator>ODOT_Specs</dc:creator>
  <cp:lastModifiedBy>ODOT_Specs</cp:lastModifiedBy>
  <cp:revision>7</cp:revision>
  <cp:lastPrinted>2014-02-06T16:00:00Z</cp:lastPrinted>
  <dcterms:created xsi:type="dcterms:W3CDTF">2026-03-30T23:31:00Z</dcterms:created>
  <dcterms:modified xsi:type="dcterms:W3CDTF">2026-05-01T14:10:00Z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2023-09-13T16:49:25Z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8c8943aa-0e67-4fb6-943d-db743d3dc844</vt:lpwstr>
  </property>
  <property fmtid="{D5CDD505-2E9C-101B-9397-08002B2CF9AE}" pid="12" name="MSIP_Label_c9cf6fe3-5bce-446b-ad70-bd306593eea0_ContentBits">
    <vt:lpwstr>0</vt:lpwstr>
  </property>
</Properties>
</file>