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472D" w14:textId="77777777" w:rsidR="00BD7E3B" w:rsidRDefault="00BD7E3B" w:rsidP="00BD7E3B">
      <w:pPr>
        <w:jc w:val="center"/>
        <w:rPr>
          <w:b/>
          <w:bCs/>
          <w:sz w:val="36"/>
          <w:szCs w:val="36"/>
        </w:rPr>
      </w:pPr>
      <w:r w:rsidRPr="38040D56">
        <w:rPr>
          <w:b/>
          <w:bCs/>
          <w:sz w:val="36"/>
          <w:szCs w:val="36"/>
        </w:rPr>
        <w:t xml:space="preserve">A&amp;E and Related Services Invoice Requirements </w:t>
      </w:r>
      <w:r>
        <w:rPr>
          <w:b/>
          <w:bCs/>
          <w:sz w:val="36"/>
          <w:szCs w:val="36"/>
        </w:rPr>
        <w:t>Consultant Checklist for</w:t>
      </w:r>
    </w:p>
    <w:p w14:paraId="7CA2EB1F" w14:textId="77777777" w:rsidR="00BD7E3B" w:rsidRPr="002620B7" w:rsidRDefault="00BD7E3B" w:rsidP="00BD7E3B">
      <w:pPr>
        <w:jc w:val="center"/>
        <w:rPr>
          <w:sz w:val="44"/>
          <w:szCs w:val="44"/>
          <w:u w:val="single"/>
        </w:rPr>
      </w:pPr>
      <w:r>
        <w:rPr>
          <w:sz w:val="28"/>
          <w:szCs w:val="28"/>
          <w:u w:val="single"/>
        </w:rPr>
        <w:t>Fixed Price</w:t>
      </w:r>
      <w:r w:rsidRPr="38040D56">
        <w:rPr>
          <w:sz w:val="28"/>
          <w:szCs w:val="28"/>
          <w:u w:val="single"/>
        </w:rPr>
        <w:t xml:space="preserve"> Invoices</w:t>
      </w:r>
    </w:p>
    <w:p w14:paraId="60B31FA7" w14:textId="6C01854D" w:rsidR="00BD7E3B" w:rsidRDefault="00BD7E3B" w:rsidP="00BD7E3B">
      <w:pPr>
        <w:rPr>
          <w:i/>
          <w:iCs/>
          <w:sz w:val="24"/>
          <w:szCs w:val="24"/>
          <w:u w:val="single"/>
        </w:rPr>
      </w:pPr>
      <w:r w:rsidRPr="38040D56">
        <w:rPr>
          <w:i/>
          <w:iCs/>
          <w:sz w:val="24"/>
          <w:szCs w:val="24"/>
          <w:u w:val="single"/>
        </w:rPr>
        <w:t xml:space="preserve">*See </w:t>
      </w:r>
      <w:hyperlink r:id="rId10" w:history="1">
        <w:r w:rsidRPr="006F6F9B">
          <w:rPr>
            <w:rStyle w:val="Hyperlink"/>
            <w:i/>
            <w:iCs/>
            <w:sz w:val="24"/>
            <w:szCs w:val="24"/>
          </w:rPr>
          <w:t>OPO-STD-003-Cons</w:t>
        </w:r>
        <w:r w:rsidRPr="006F6F9B">
          <w:rPr>
            <w:rStyle w:val="Hyperlink"/>
            <w:i/>
            <w:iCs/>
            <w:sz w:val="24"/>
            <w:szCs w:val="24"/>
          </w:rPr>
          <w:t>ultant</w:t>
        </w:r>
      </w:hyperlink>
      <w:r w:rsidRPr="38040D56">
        <w:rPr>
          <w:i/>
          <w:iCs/>
          <w:sz w:val="24"/>
          <w:szCs w:val="24"/>
          <w:u w:val="single"/>
        </w:rPr>
        <w:t xml:space="preserve"> for additional information on Invoice Requirements</w:t>
      </w:r>
    </w:p>
    <w:tbl>
      <w:tblPr>
        <w:tblW w:w="9465" w:type="dxa"/>
        <w:tblInd w:w="-20" w:type="dxa"/>
        <w:tblLayout w:type="fixed"/>
        <w:tblCellMar>
          <w:left w:w="0" w:type="dxa"/>
          <w:right w:w="0" w:type="dxa"/>
        </w:tblCellMar>
        <w:tblLook w:val="0000" w:firstRow="0" w:lastRow="0" w:firstColumn="0" w:lastColumn="0" w:noHBand="0" w:noVBand="0"/>
      </w:tblPr>
      <w:tblGrid>
        <w:gridCol w:w="8295"/>
        <w:gridCol w:w="1170"/>
      </w:tblGrid>
      <w:tr w:rsidR="00BD7E3B" w:rsidRPr="003154BE" w14:paraId="12DAC863" w14:textId="77777777" w:rsidTr="004C35CE">
        <w:trPr>
          <w:trHeight w:val="107"/>
        </w:trPr>
        <w:tc>
          <w:tcPr>
            <w:tcW w:w="8295" w:type="dxa"/>
            <w:tcBorders>
              <w:top w:val="nil"/>
              <w:left w:val="single" w:sz="4" w:space="0" w:color="auto"/>
              <w:bottom w:val="single" w:sz="4" w:space="0" w:color="auto"/>
              <w:right w:val="single" w:sz="4" w:space="0" w:color="auto"/>
            </w:tcBorders>
            <w:shd w:val="clear" w:color="auto" w:fill="E7E6E6" w:themeFill="background2"/>
            <w:vAlign w:val="bottom"/>
          </w:tcPr>
          <w:p w14:paraId="67D1B7B4" w14:textId="77777777" w:rsidR="00BD7E3B" w:rsidRPr="003154BE" w:rsidRDefault="00BD7E3B" w:rsidP="004C35CE">
            <w:pPr>
              <w:widowControl w:val="0"/>
              <w:autoSpaceDE w:val="0"/>
              <w:autoSpaceDN w:val="0"/>
              <w:spacing w:after="0" w:line="240" w:lineRule="auto"/>
              <w:jc w:val="center"/>
              <w:rPr>
                <w:rFonts w:ascii="Arial" w:eastAsia="Arial" w:hAnsi="Arial" w:cs="Arial"/>
                <w:sz w:val="24"/>
                <w:lang w:bidi="en-US"/>
              </w:rPr>
            </w:pPr>
            <w:r>
              <w:rPr>
                <w:rFonts w:ascii="Arial" w:hAnsi="Arial" w:cs="Arial"/>
                <w:b/>
                <w:color w:val="0000FF"/>
                <w:sz w:val="24"/>
              </w:rPr>
              <w:t xml:space="preserve">Fixed Price </w:t>
            </w:r>
            <w:r w:rsidRPr="003154BE">
              <w:rPr>
                <w:rFonts w:ascii="Arial" w:hAnsi="Arial" w:cs="Arial"/>
                <w:b/>
                <w:color w:val="0000FF"/>
                <w:sz w:val="24"/>
              </w:rPr>
              <w:t>Invoice Data Requirements</w:t>
            </w:r>
          </w:p>
        </w:tc>
        <w:tc>
          <w:tcPr>
            <w:tcW w:w="1170" w:type="dxa"/>
            <w:tcBorders>
              <w:top w:val="nil"/>
              <w:left w:val="nil"/>
              <w:bottom w:val="single" w:sz="4" w:space="0" w:color="auto"/>
              <w:right w:val="single" w:sz="4" w:space="0" w:color="auto"/>
            </w:tcBorders>
            <w:shd w:val="clear" w:color="auto" w:fill="E7E6E6" w:themeFill="background2"/>
            <w:vAlign w:val="bottom"/>
          </w:tcPr>
          <w:p w14:paraId="672A6659" w14:textId="77777777" w:rsidR="00BD7E3B" w:rsidRPr="002620B7" w:rsidRDefault="00BD7E3B" w:rsidP="00BD7E3B">
            <w:pPr>
              <w:pStyle w:val="ListParagraph"/>
              <w:widowControl w:val="0"/>
              <w:numPr>
                <w:ilvl w:val="0"/>
                <w:numId w:val="2"/>
              </w:numPr>
              <w:autoSpaceDE w:val="0"/>
              <w:autoSpaceDN w:val="0"/>
              <w:spacing w:after="0" w:line="240" w:lineRule="auto"/>
              <w:jc w:val="center"/>
              <w:rPr>
                <w:rFonts w:ascii="Arial" w:eastAsia="Arial" w:hAnsi="Arial" w:cs="Arial"/>
                <w:sz w:val="24"/>
                <w:lang w:bidi="en-US"/>
              </w:rPr>
            </w:pPr>
          </w:p>
        </w:tc>
      </w:tr>
      <w:tr w:rsidR="00BD7E3B" w:rsidRPr="003154BE" w14:paraId="6310879E"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05EB187B" w14:textId="7777777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Price Agreement/Contract Number</w:t>
            </w:r>
          </w:p>
        </w:tc>
        <w:tc>
          <w:tcPr>
            <w:tcW w:w="1170" w:type="dxa"/>
            <w:tcBorders>
              <w:top w:val="nil"/>
              <w:left w:val="nil"/>
              <w:bottom w:val="single" w:sz="4" w:space="0" w:color="auto"/>
              <w:right w:val="single" w:sz="4" w:space="0" w:color="auto"/>
            </w:tcBorders>
          </w:tcPr>
          <w:p w14:paraId="0A37501D" w14:textId="77777777" w:rsidR="00BD7E3B" w:rsidRPr="003154BE" w:rsidRDefault="00BD7E3B" w:rsidP="004C35CE">
            <w:pPr>
              <w:widowControl w:val="0"/>
              <w:autoSpaceDE w:val="0"/>
              <w:autoSpaceDN w:val="0"/>
              <w:spacing w:after="0" w:line="240" w:lineRule="auto"/>
              <w:jc w:val="center"/>
              <w:rPr>
                <w:rFonts w:ascii="Arial" w:eastAsia="Arial" w:hAnsi="Arial" w:cs="Arial"/>
                <w:sz w:val="24"/>
                <w:szCs w:val="24"/>
                <w:lang w:bidi="en-US"/>
              </w:rPr>
            </w:pPr>
          </w:p>
        </w:tc>
      </w:tr>
      <w:tr w:rsidR="00BD7E3B" w:rsidRPr="003154BE" w14:paraId="3830BE76"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1CA8A217" w14:textId="77777777" w:rsidR="00BD7E3B" w:rsidRPr="003154BE"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Work Order Contract (WOC) Number</w:t>
            </w:r>
          </w:p>
        </w:tc>
        <w:tc>
          <w:tcPr>
            <w:tcW w:w="1170" w:type="dxa"/>
            <w:tcBorders>
              <w:top w:val="nil"/>
              <w:left w:val="nil"/>
              <w:bottom w:val="single" w:sz="4" w:space="0" w:color="auto"/>
              <w:right w:val="single" w:sz="4" w:space="0" w:color="auto"/>
            </w:tcBorders>
          </w:tcPr>
          <w:p w14:paraId="5DAB6C7B" w14:textId="77777777" w:rsidR="00BD7E3B" w:rsidRPr="003154BE" w:rsidRDefault="00BD7E3B" w:rsidP="004C35CE">
            <w:pPr>
              <w:widowControl w:val="0"/>
              <w:autoSpaceDE w:val="0"/>
              <w:autoSpaceDN w:val="0"/>
              <w:spacing w:after="0" w:line="240" w:lineRule="auto"/>
              <w:jc w:val="center"/>
              <w:rPr>
                <w:rFonts w:ascii="Arial" w:eastAsia="Arial" w:hAnsi="Arial" w:cs="Arial"/>
                <w:sz w:val="24"/>
                <w:szCs w:val="24"/>
                <w:lang w:bidi="en-US"/>
              </w:rPr>
            </w:pPr>
          </w:p>
        </w:tc>
      </w:tr>
      <w:tr w:rsidR="00BD7E3B" w:rsidRPr="003154BE" w14:paraId="117E855B"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0382E883" w14:textId="77777777" w:rsidR="00BD7E3B" w:rsidRPr="003154BE"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Total amount due for the billing period</w:t>
            </w:r>
          </w:p>
        </w:tc>
        <w:tc>
          <w:tcPr>
            <w:tcW w:w="1170" w:type="dxa"/>
            <w:tcBorders>
              <w:top w:val="nil"/>
              <w:left w:val="nil"/>
              <w:bottom w:val="single" w:sz="4" w:space="0" w:color="auto"/>
              <w:right w:val="single" w:sz="4" w:space="0" w:color="auto"/>
            </w:tcBorders>
          </w:tcPr>
          <w:p w14:paraId="02EB378F" w14:textId="77777777" w:rsidR="00BD7E3B" w:rsidRPr="003154BE" w:rsidRDefault="00BD7E3B" w:rsidP="004C35CE">
            <w:pPr>
              <w:widowControl w:val="0"/>
              <w:autoSpaceDE w:val="0"/>
              <w:autoSpaceDN w:val="0"/>
              <w:spacing w:after="0" w:line="240" w:lineRule="auto"/>
              <w:jc w:val="center"/>
              <w:rPr>
                <w:rFonts w:ascii="Arial" w:eastAsia="Arial" w:hAnsi="Arial" w:cs="Arial"/>
                <w:sz w:val="24"/>
                <w:szCs w:val="24"/>
                <w:lang w:bidi="en-US"/>
              </w:rPr>
            </w:pPr>
          </w:p>
        </w:tc>
      </w:tr>
      <w:tr w:rsidR="00BD7E3B" w:rsidRPr="003154BE" w14:paraId="200F9D4B"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7CD7B7A3" w14:textId="77777777" w:rsidR="00BD7E3B" w:rsidRPr="003154BE"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Invoice Number</w:t>
            </w:r>
          </w:p>
        </w:tc>
        <w:tc>
          <w:tcPr>
            <w:tcW w:w="1170" w:type="dxa"/>
            <w:tcBorders>
              <w:top w:val="nil"/>
              <w:left w:val="nil"/>
              <w:bottom w:val="single" w:sz="4" w:space="0" w:color="auto"/>
              <w:right w:val="single" w:sz="4" w:space="0" w:color="auto"/>
            </w:tcBorders>
          </w:tcPr>
          <w:p w14:paraId="6A05A809" w14:textId="77777777" w:rsidR="00BD7E3B" w:rsidRPr="003154BE"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06FFD614"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1C45F7C1" w14:textId="7777777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Invoice Date</w:t>
            </w:r>
          </w:p>
        </w:tc>
        <w:tc>
          <w:tcPr>
            <w:tcW w:w="1170" w:type="dxa"/>
            <w:tcBorders>
              <w:top w:val="single" w:sz="4" w:space="0" w:color="auto"/>
              <w:left w:val="nil"/>
              <w:bottom w:val="single" w:sz="4" w:space="0" w:color="auto"/>
              <w:right w:val="single" w:sz="4" w:space="0" w:color="auto"/>
            </w:tcBorders>
          </w:tcPr>
          <w:p w14:paraId="5A39BBE3"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621669F7"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461C73D6" w14:textId="7777777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Billing Period</w:t>
            </w:r>
          </w:p>
        </w:tc>
        <w:tc>
          <w:tcPr>
            <w:tcW w:w="1170" w:type="dxa"/>
            <w:tcBorders>
              <w:top w:val="single" w:sz="4" w:space="0" w:color="auto"/>
              <w:left w:val="nil"/>
              <w:bottom w:val="single" w:sz="4" w:space="0" w:color="auto"/>
              <w:right w:val="single" w:sz="4" w:space="0" w:color="auto"/>
            </w:tcBorders>
          </w:tcPr>
          <w:p w14:paraId="41C8F396"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692051C7"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2EC23108" w14:textId="69EBB630"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Consultant Name, Address, Phone</w:t>
            </w:r>
            <w:r w:rsidR="002E44DD">
              <w:rPr>
                <w:rFonts w:ascii="Arial" w:eastAsia="Arial" w:hAnsi="Arial" w:cs="Arial"/>
                <w:sz w:val="24"/>
                <w:szCs w:val="24"/>
                <w:lang w:bidi="en-US"/>
              </w:rPr>
              <w:t xml:space="preserve"> </w:t>
            </w:r>
            <w:r w:rsidR="002E44DD" w:rsidRPr="002E44DD">
              <w:rPr>
                <w:rFonts w:ascii="Arial" w:eastAsia="Arial" w:hAnsi="Arial" w:cs="Arial"/>
                <w:sz w:val="24"/>
                <w:szCs w:val="24"/>
                <w:lang w:bidi="en-US"/>
              </w:rPr>
              <w:t>(if remit address is the same, state remit address is the same)</w:t>
            </w:r>
          </w:p>
        </w:tc>
        <w:tc>
          <w:tcPr>
            <w:tcW w:w="1170" w:type="dxa"/>
            <w:tcBorders>
              <w:top w:val="single" w:sz="4" w:space="0" w:color="auto"/>
              <w:left w:val="nil"/>
              <w:bottom w:val="single" w:sz="4" w:space="0" w:color="auto"/>
              <w:right w:val="single" w:sz="4" w:space="0" w:color="auto"/>
            </w:tcBorders>
          </w:tcPr>
          <w:p w14:paraId="72A3D3EC"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D600DE" w:rsidRPr="003154BE" w14:paraId="4FD206C4"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5761B34B" w14:textId="475A7CC5" w:rsidR="00D600DE" w:rsidRPr="002620B7" w:rsidRDefault="00D600DE"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Remit address (must match consultant address of record).</w:t>
            </w:r>
          </w:p>
        </w:tc>
        <w:tc>
          <w:tcPr>
            <w:tcW w:w="1170" w:type="dxa"/>
            <w:tcBorders>
              <w:top w:val="single" w:sz="4" w:space="0" w:color="auto"/>
              <w:left w:val="nil"/>
              <w:bottom w:val="single" w:sz="4" w:space="0" w:color="auto"/>
              <w:right w:val="single" w:sz="4" w:space="0" w:color="auto"/>
            </w:tcBorders>
          </w:tcPr>
          <w:p w14:paraId="5A281C49" w14:textId="77777777" w:rsidR="00D600DE" w:rsidRPr="002620B7" w:rsidRDefault="00D600DE"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329EDBF1"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310F7551" w14:textId="7777777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Agency Project Manager Name</w:t>
            </w:r>
          </w:p>
        </w:tc>
        <w:tc>
          <w:tcPr>
            <w:tcW w:w="1170" w:type="dxa"/>
            <w:tcBorders>
              <w:top w:val="single" w:sz="4" w:space="0" w:color="auto"/>
              <w:left w:val="nil"/>
              <w:bottom w:val="single" w:sz="4" w:space="0" w:color="auto"/>
              <w:right w:val="single" w:sz="4" w:space="0" w:color="auto"/>
            </w:tcBorders>
          </w:tcPr>
          <w:p w14:paraId="0D0B940D"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50202016"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74978E81" w14:textId="7777777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Consultant’s Project Manager Name</w:t>
            </w:r>
          </w:p>
        </w:tc>
        <w:tc>
          <w:tcPr>
            <w:tcW w:w="1170" w:type="dxa"/>
            <w:tcBorders>
              <w:top w:val="single" w:sz="4" w:space="0" w:color="auto"/>
              <w:left w:val="nil"/>
              <w:bottom w:val="single" w:sz="4" w:space="0" w:color="auto"/>
              <w:right w:val="single" w:sz="4" w:space="0" w:color="auto"/>
            </w:tcBorders>
          </w:tcPr>
          <w:p w14:paraId="44EAFD9C"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41C5F7A4"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2B007068" w14:textId="7777777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Task Numbers from Contract</w:t>
            </w:r>
          </w:p>
        </w:tc>
        <w:tc>
          <w:tcPr>
            <w:tcW w:w="1170" w:type="dxa"/>
            <w:tcBorders>
              <w:top w:val="single" w:sz="4" w:space="0" w:color="auto"/>
              <w:left w:val="nil"/>
              <w:bottom w:val="single" w:sz="4" w:space="0" w:color="auto"/>
              <w:right w:val="single" w:sz="4" w:space="0" w:color="auto"/>
            </w:tcBorders>
          </w:tcPr>
          <w:p w14:paraId="3DEEC669"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78864B59"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02051A90" w14:textId="6D799C0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Percent Complete of Each Task/Deliverable</w:t>
            </w:r>
            <w:r w:rsidR="00F441E2">
              <w:rPr>
                <w:rFonts w:ascii="Arial" w:eastAsia="Arial" w:hAnsi="Arial" w:cs="Arial"/>
                <w:sz w:val="24"/>
                <w:szCs w:val="24"/>
                <w:lang w:bidi="en-US"/>
              </w:rPr>
              <w:t xml:space="preserve"> (if applicable)</w:t>
            </w:r>
          </w:p>
        </w:tc>
        <w:tc>
          <w:tcPr>
            <w:tcW w:w="1170" w:type="dxa"/>
            <w:tcBorders>
              <w:top w:val="single" w:sz="4" w:space="0" w:color="auto"/>
              <w:left w:val="nil"/>
              <w:bottom w:val="single" w:sz="4" w:space="0" w:color="auto"/>
              <w:right w:val="single" w:sz="4" w:space="0" w:color="auto"/>
            </w:tcBorders>
          </w:tcPr>
          <w:p w14:paraId="3656B9AB"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55126BAF"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657B601C" w14:textId="7777777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Milestone Name and Numbers from Contract (if applicable)</w:t>
            </w:r>
          </w:p>
        </w:tc>
        <w:tc>
          <w:tcPr>
            <w:tcW w:w="1170" w:type="dxa"/>
            <w:tcBorders>
              <w:top w:val="single" w:sz="4" w:space="0" w:color="auto"/>
              <w:left w:val="nil"/>
              <w:bottom w:val="single" w:sz="4" w:space="0" w:color="auto"/>
              <w:right w:val="single" w:sz="4" w:space="0" w:color="auto"/>
            </w:tcBorders>
          </w:tcPr>
          <w:p w14:paraId="45FB0818"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3154BE" w14:paraId="22D89092" w14:textId="77777777" w:rsidTr="004C35CE">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001EDF41" w14:textId="77777777" w:rsidR="00BD7E3B" w:rsidRPr="002620B7" w:rsidRDefault="00BD7E3B" w:rsidP="004C35CE">
            <w:pPr>
              <w:widowControl w:val="0"/>
              <w:autoSpaceDE w:val="0"/>
              <w:autoSpaceDN w:val="0"/>
              <w:spacing w:after="0" w:line="240" w:lineRule="auto"/>
              <w:rPr>
                <w:rFonts w:ascii="Arial" w:eastAsia="Arial" w:hAnsi="Arial" w:cs="Arial"/>
                <w:sz w:val="24"/>
                <w:szCs w:val="24"/>
                <w:lang w:bidi="en-US"/>
              </w:rPr>
            </w:pPr>
            <w:r w:rsidRPr="002620B7">
              <w:rPr>
                <w:rFonts w:ascii="Arial" w:eastAsia="Arial" w:hAnsi="Arial" w:cs="Arial"/>
                <w:sz w:val="24"/>
                <w:szCs w:val="24"/>
                <w:lang w:bidi="en-US"/>
              </w:rPr>
              <w:t>Milestone Percent Complete (if applicable)</w:t>
            </w:r>
          </w:p>
        </w:tc>
        <w:tc>
          <w:tcPr>
            <w:tcW w:w="1170" w:type="dxa"/>
            <w:tcBorders>
              <w:top w:val="single" w:sz="4" w:space="0" w:color="auto"/>
              <w:left w:val="nil"/>
              <w:bottom w:val="single" w:sz="4" w:space="0" w:color="auto"/>
              <w:right w:val="single" w:sz="4" w:space="0" w:color="auto"/>
            </w:tcBorders>
          </w:tcPr>
          <w:p w14:paraId="049F31CB" w14:textId="77777777" w:rsidR="00BD7E3B" w:rsidRPr="002620B7" w:rsidRDefault="00BD7E3B" w:rsidP="004C35CE">
            <w:pPr>
              <w:widowControl w:val="0"/>
              <w:autoSpaceDE w:val="0"/>
              <w:autoSpaceDN w:val="0"/>
              <w:spacing w:after="0" w:line="240" w:lineRule="auto"/>
              <w:jc w:val="center"/>
              <w:rPr>
                <w:rFonts w:ascii="Arial" w:eastAsia="Arial" w:hAnsi="Arial" w:cs="Arial"/>
                <w:b/>
                <w:sz w:val="24"/>
                <w:szCs w:val="24"/>
                <w:lang w:bidi="en-US"/>
              </w:rPr>
            </w:pPr>
          </w:p>
        </w:tc>
      </w:tr>
      <w:tr w:rsidR="00BD7E3B" w:rsidRPr="002620B7" w14:paraId="684479A1" w14:textId="77777777" w:rsidTr="004C35CE">
        <w:trPr>
          <w:trHeight w:val="152"/>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FF991A" w14:textId="4822FB5A" w:rsidR="00BD7E3B" w:rsidRPr="003154BE" w:rsidRDefault="00F441E2" w:rsidP="004C35CE">
            <w:pPr>
              <w:widowControl w:val="0"/>
              <w:autoSpaceDE w:val="0"/>
              <w:autoSpaceDN w:val="0"/>
              <w:spacing w:after="0" w:line="240" w:lineRule="auto"/>
              <w:jc w:val="center"/>
              <w:rPr>
                <w:rFonts w:ascii="Arial" w:eastAsia="Arial" w:hAnsi="Arial" w:cs="Arial"/>
                <w:b/>
                <w:color w:val="0000FF"/>
                <w:sz w:val="24"/>
                <w:lang w:bidi="en-US"/>
              </w:rPr>
            </w:pPr>
            <w:r>
              <w:rPr>
                <w:rFonts w:ascii="Arial" w:eastAsia="Arial" w:hAnsi="Arial" w:cs="Arial"/>
                <w:b/>
                <w:color w:val="0000FF"/>
                <w:sz w:val="24"/>
                <w:lang w:bidi="en-US"/>
              </w:rPr>
              <w:t>Fixed Price Additional Requirements</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62486C05" w14:textId="77777777" w:rsidR="00BD7E3B" w:rsidRPr="002620B7" w:rsidRDefault="00BD7E3B" w:rsidP="00BD7E3B">
            <w:pPr>
              <w:pStyle w:val="ListParagraph"/>
              <w:widowControl w:val="0"/>
              <w:numPr>
                <w:ilvl w:val="0"/>
                <w:numId w:val="1"/>
              </w:numPr>
              <w:autoSpaceDE w:val="0"/>
              <w:autoSpaceDN w:val="0"/>
              <w:spacing w:after="0" w:line="240" w:lineRule="auto"/>
              <w:jc w:val="center"/>
              <w:rPr>
                <w:rFonts w:ascii="Arial" w:eastAsia="Arial" w:hAnsi="Arial" w:cs="Arial"/>
                <w:b/>
                <w:color w:val="0000FF"/>
                <w:sz w:val="24"/>
                <w:lang w:bidi="en-US"/>
              </w:rPr>
            </w:pPr>
          </w:p>
        </w:tc>
      </w:tr>
      <w:tr w:rsidR="00F441E2" w:rsidRPr="002620B7" w14:paraId="4DB65E2C" w14:textId="77777777" w:rsidTr="00F441E2">
        <w:trPr>
          <w:trHeight w:val="152"/>
        </w:trPr>
        <w:tc>
          <w:tcPr>
            <w:tcW w:w="8295" w:type="dxa"/>
            <w:tcBorders>
              <w:top w:val="single" w:sz="4" w:space="0" w:color="auto"/>
              <w:left w:val="single" w:sz="4" w:space="0" w:color="auto"/>
              <w:bottom w:val="single" w:sz="4" w:space="0" w:color="auto"/>
              <w:right w:val="single" w:sz="4" w:space="0" w:color="auto"/>
            </w:tcBorders>
            <w:shd w:val="clear" w:color="auto" w:fill="auto"/>
            <w:vAlign w:val="bottom"/>
          </w:tcPr>
          <w:p w14:paraId="30EC8B8F" w14:textId="4D3EABBF" w:rsidR="00F441E2" w:rsidRPr="00F441E2" w:rsidRDefault="00F441E2" w:rsidP="00F441E2">
            <w:pPr>
              <w:widowControl w:val="0"/>
              <w:autoSpaceDE w:val="0"/>
              <w:autoSpaceDN w:val="0"/>
              <w:spacing w:after="0" w:line="240" w:lineRule="auto"/>
              <w:rPr>
                <w:rFonts w:ascii="Arial" w:eastAsia="Arial" w:hAnsi="Arial" w:cs="Arial"/>
                <w:sz w:val="24"/>
                <w:lang w:bidi="en-US"/>
              </w:rPr>
            </w:pPr>
            <w:r w:rsidRPr="00F441E2">
              <w:rPr>
                <w:rFonts w:ascii="Arial" w:eastAsia="Arial" w:hAnsi="Arial" w:cs="Arial"/>
                <w:sz w:val="24"/>
                <w:lang w:bidi="en-US"/>
              </w:rPr>
              <w:t>For Fixed-Price compensation using “Monthly Progress Payments for Percentage of Services Completed” payment option, Consultant invoices shall be limited to an amount commensurate with the percentage of the total Services (including deliverables) that were completed in the month invoiced.</w:t>
            </w:r>
          </w:p>
        </w:tc>
        <w:tc>
          <w:tcPr>
            <w:tcW w:w="1170" w:type="dxa"/>
            <w:tcBorders>
              <w:top w:val="single" w:sz="4" w:space="0" w:color="auto"/>
              <w:left w:val="nil"/>
              <w:bottom w:val="single" w:sz="4" w:space="0" w:color="auto"/>
              <w:right w:val="single" w:sz="4" w:space="0" w:color="auto"/>
            </w:tcBorders>
            <w:shd w:val="clear" w:color="auto" w:fill="auto"/>
            <w:vAlign w:val="bottom"/>
          </w:tcPr>
          <w:p w14:paraId="7DB2C181" w14:textId="77777777" w:rsidR="00F441E2" w:rsidRPr="00F441E2" w:rsidRDefault="00F441E2" w:rsidP="00F441E2">
            <w:pPr>
              <w:widowControl w:val="0"/>
              <w:autoSpaceDE w:val="0"/>
              <w:autoSpaceDN w:val="0"/>
              <w:spacing w:after="0" w:line="240" w:lineRule="auto"/>
              <w:ind w:left="360"/>
              <w:jc w:val="center"/>
              <w:rPr>
                <w:rFonts w:ascii="Arial" w:eastAsia="Arial" w:hAnsi="Arial" w:cs="Arial"/>
                <w:b/>
                <w:color w:val="0000FF"/>
                <w:sz w:val="24"/>
                <w:lang w:bidi="en-US"/>
              </w:rPr>
            </w:pPr>
          </w:p>
        </w:tc>
      </w:tr>
      <w:tr w:rsidR="00F441E2" w:rsidRPr="002620B7" w14:paraId="6A4CE2A0" w14:textId="77777777" w:rsidTr="00F441E2">
        <w:trPr>
          <w:trHeight w:val="152"/>
        </w:trPr>
        <w:tc>
          <w:tcPr>
            <w:tcW w:w="8295" w:type="dxa"/>
            <w:tcBorders>
              <w:top w:val="single" w:sz="4" w:space="0" w:color="auto"/>
              <w:left w:val="single" w:sz="4" w:space="0" w:color="auto"/>
              <w:bottom w:val="single" w:sz="4" w:space="0" w:color="auto"/>
              <w:right w:val="single" w:sz="4" w:space="0" w:color="auto"/>
            </w:tcBorders>
            <w:shd w:val="clear" w:color="auto" w:fill="auto"/>
            <w:vAlign w:val="bottom"/>
          </w:tcPr>
          <w:p w14:paraId="7197ACCB" w14:textId="2E4A748F" w:rsidR="00F441E2" w:rsidRDefault="00F441E2" w:rsidP="00F441E2">
            <w:pPr>
              <w:widowControl w:val="0"/>
              <w:autoSpaceDE w:val="0"/>
              <w:autoSpaceDN w:val="0"/>
              <w:spacing w:after="0" w:line="240" w:lineRule="auto"/>
              <w:rPr>
                <w:rFonts w:ascii="Arial" w:eastAsia="Arial" w:hAnsi="Arial" w:cs="Arial"/>
                <w:b/>
                <w:color w:val="0000FF"/>
                <w:sz w:val="24"/>
                <w:lang w:bidi="en-US"/>
              </w:rPr>
            </w:pPr>
            <w:r w:rsidRPr="00F441E2">
              <w:rPr>
                <w:rFonts w:ascii="Arial" w:eastAsia="Arial" w:hAnsi="Arial" w:cs="Arial"/>
                <w:sz w:val="24"/>
                <w:lang w:bidi="en-US"/>
              </w:rPr>
              <w:t xml:space="preserve">Consultant shall prepare invoices based on the Fixed-Price amount (or Fixed-Price per Unit amounts) indicated in the Contract.  </w:t>
            </w:r>
          </w:p>
        </w:tc>
        <w:tc>
          <w:tcPr>
            <w:tcW w:w="1170" w:type="dxa"/>
            <w:tcBorders>
              <w:top w:val="single" w:sz="4" w:space="0" w:color="auto"/>
              <w:left w:val="nil"/>
              <w:bottom w:val="single" w:sz="4" w:space="0" w:color="auto"/>
              <w:right w:val="single" w:sz="4" w:space="0" w:color="auto"/>
            </w:tcBorders>
            <w:shd w:val="clear" w:color="auto" w:fill="auto"/>
            <w:vAlign w:val="bottom"/>
          </w:tcPr>
          <w:p w14:paraId="62CCEA7F" w14:textId="77777777" w:rsidR="00F441E2" w:rsidRDefault="00F441E2" w:rsidP="00F441E2">
            <w:pPr>
              <w:widowControl w:val="0"/>
              <w:autoSpaceDE w:val="0"/>
              <w:autoSpaceDN w:val="0"/>
              <w:spacing w:after="0" w:line="240" w:lineRule="auto"/>
              <w:ind w:left="360"/>
              <w:jc w:val="center"/>
              <w:rPr>
                <w:lang w:bidi="en-US"/>
              </w:rPr>
            </w:pPr>
          </w:p>
        </w:tc>
      </w:tr>
      <w:tr w:rsidR="00F441E2" w:rsidRPr="002620B7" w14:paraId="19005A3A" w14:textId="77777777" w:rsidTr="00F441E2">
        <w:trPr>
          <w:trHeight w:val="152"/>
        </w:trPr>
        <w:tc>
          <w:tcPr>
            <w:tcW w:w="8295" w:type="dxa"/>
            <w:tcBorders>
              <w:top w:val="single" w:sz="4" w:space="0" w:color="auto"/>
              <w:left w:val="single" w:sz="4" w:space="0" w:color="auto"/>
              <w:bottom w:val="single" w:sz="4" w:space="0" w:color="auto"/>
              <w:right w:val="single" w:sz="4" w:space="0" w:color="auto"/>
            </w:tcBorders>
            <w:shd w:val="clear" w:color="auto" w:fill="auto"/>
            <w:vAlign w:val="bottom"/>
          </w:tcPr>
          <w:p w14:paraId="3206B7B2" w14:textId="3EA89471" w:rsidR="00F441E2" w:rsidRPr="00F441E2" w:rsidRDefault="00F441E2" w:rsidP="00F441E2">
            <w:pPr>
              <w:widowControl w:val="0"/>
              <w:autoSpaceDE w:val="0"/>
              <w:autoSpaceDN w:val="0"/>
              <w:spacing w:after="0" w:line="240" w:lineRule="auto"/>
              <w:rPr>
                <w:rFonts w:ascii="Arial" w:eastAsia="Arial" w:hAnsi="Arial" w:cs="Arial"/>
                <w:color w:val="0000FF"/>
                <w:sz w:val="24"/>
                <w:lang w:bidi="en-US"/>
              </w:rPr>
            </w:pPr>
            <w:r w:rsidRPr="00F441E2">
              <w:rPr>
                <w:rFonts w:ascii="Arial" w:eastAsia="Arial" w:hAnsi="Arial" w:cs="Arial"/>
                <w:sz w:val="24"/>
                <w:lang w:bidi="en-US"/>
              </w:rPr>
              <w:t>Invoices for any tasks, contingency tasks or ODCs that are specified as T&amp;M in an otherwise Fixed-Price Contract must include the detailed breakdown and documentation applicable to T&amp;M compensation as required elsewhere in this document.</w:t>
            </w:r>
          </w:p>
        </w:tc>
        <w:tc>
          <w:tcPr>
            <w:tcW w:w="1170" w:type="dxa"/>
            <w:tcBorders>
              <w:top w:val="single" w:sz="4" w:space="0" w:color="auto"/>
              <w:left w:val="nil"/>
              <w:bottom w:val="single" w:sz="4" w:space="0" w:color="auto"/>
              <w:right w:val="single" w:sz="4" w:space="0" w:color="auto"/>
            </w:tcBorders>
            <w:shd w:val="clear" w:color="auto" w:fill="auto"/>
            <w:vAlign w:val="bottom"/>
          </w:tcPr>
          <w:p w14:paraId="46C1EF26" w14:textId="77777777" w:rsidR="00F441E2" w:rsidRDefault="00F441E2" w:rsidP="00F441E2">
            <w:pPr>
              <w:widowControl w:val="0"/>
              <w:autoSpaceDE w:val="0"/>
              <w:autoSpaceDN w:val="0"/>
              <w:spacing w:after="0" w:line="240" w:lineRule="auto"/>
              <w:ind w:left="360"/>
              <w:jc w:val="center"/>
              <w:rPr>
                <w:lang w:bidi="en-US"/>
              </w:rPr>
            </w:pPr>
          </w:p>
        </w:tc>
      </w:tr>
      <w:tr w:rsidR="00F441E2" w:rsidRPr="002620B7" w14:paraId="134549AC" w14:textId="77777777" w:rsidTr="004C35CE">
        <w:trPr>
          <w:trHeight w:val="152"/>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F192A7" w14:textId="68BC3184" w:rsidR="00F441E2" w:rsidRDefault="00F441E2" w:rsidP="004C35CE">
            <w:pPr>
              <w:widowControl w:val="0"/>
              <w:autoSpaceDE w:val="0"/>
              <w:autoSpaceDN w:val="0"/>
              <w:spacing w:after="0" w:line="240" w:lineRule="auto"/>
              <w:jc w:val="center"/>
              <w:rPr>
                <w:rFonts w:ascii="Arial" w:eastAsia="Arial" w:hAnsi="Arial" w:cs="Arial"/>
                <w:b/>
                <w:color w:val="0000FF"/>
                <w:sz w:val="24"/>
                <w:lang w:bidi="en-US"/>
              </w:rPr>
            </w:pPr>
            <w:r>
              <w:rPr>
                <w:rFonts w:ascii="Arial" w:eastAsia="Arial" w:hAnsi="Arial" w:cs="Arial"/>
                <w:b/>
                <w:color w:val="0000FF"/>
                <w:sz w:val="24"/>
                <w:lang w:bidi="en-US"/>
              </w:rPr>
              <w:t xml:space="preserve">Fixed Price </w:t>
            </w:r>
            <w:r w:rsidRPr="003154BE">
              <w:rPr>
                <w:rFonts w:ascii="Arial" w:eastAsia="Arial" w:hAnsi="Arial" w:cs="Arial"/>
                <w:b/>
                <w:color w:val="0000FF"/>
                <w:sz w:val="24"/>
                <w:lang w:bidi="en-US"/>
              </w:rPr>
              <w:t>Invoice Submittal Requirements</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1093DB00" w14:textId="77777777" w:rsidR="00F441E2" w:rsidRPr="002620B7" w:rsidRDefault="00F441E2" w:rsidP="00BD7E3B">
            <w:pPr>
              <w:pStyle w:val="ListParagraph"/>
              <w:widowControl w:val="0"/>
              <w:numPr>
                <w:ilvl w:val="0"/>
                <w:numId w:val="1"/>
              </w:numPr>
              <w:autoSpaceDE w:val="0"/>
              <w:autoSpaceDN w:val="0"/>
              <w:spacing w:after="0" w:line="240" w:lineRule="auto"/>
              <w:jc w:val="center"/>
              <w:rPr>
                <w:rFonts w:ascii="Arial" w:eastAsia="Arial" w:hAnsi="Arial" w:cs="Arial"/>
                <w:b/>
                <w:color w:val="0000FF"/>
                <w:sz w:val="24"/>
                <w:lang w:bidi="en-US"/>
              </w:rPr>
            </w:pPr>
          </w:p>
        </w:tc>
      </w:tr>
      <w:tr w:rsidR="00BD7E3B" w:rsidRPr="003154BE" w14:paraId="7687F2EA"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79B5C806" w14:textId="77777777" w:rsidR="00BD7E3B" w:rsidRPr="003154BE" w:rsidRDefault="00BD7E3B" w:rsidP="004C35CE">
            <w:pPr>
              <w:widowControl w:val="0"/>
              <w:autoSpaceDE w:val="0"/>
              <w:autoSpaceDN w:val="0"/>
              <w:spacing w:after="0" w:line="240" w:lineRule="auto"/>
              <w:rPr>
                <w:rFonts w:ascii="Arial" w:eastAsia="Arial" w:hAnsi="Arial" w:cs="Arial"/>
                <w:sz w:val="24"/>
                <w:lang w:bidi="en-US"/>
              </w:rPr>
            </w:pPr>
            <w:r w:rsidRPr="003154BE">
              <w:rPr>
                <w:rFonts w:ascii="Arial" w:eastAsia="Arial" w:hAnsi="Arial" w:cs="Arial"/>
                <w:sz w:val="24"/>
                <w:lang w:bidi="en-US"/>
              </w:rPr>
              <w:t>“</w:t>
            </w:r>
            <w:r w:rsidRPr="003154BE">
              <w:rPr>
                <w:rFonts w:ascii="Arial" w:eastAsia="Arial" w:hAnsi="Arial" w:cs="Arial"/>
                <w:b/>
                <w:sz w:val="24"/>
                <w:lang w:bidi="en-US"/>
              </w:rPr>
              <w:t>Printed”</w:t>
            </w:r>
            <w:r w:rsidRPr="003154BE">
              <w:rPr>
                <w:rFonts w:ascii="Arial" w:eastAsia="Arial" w:hAnsi="Arial" w:cs="Arial"/>
                <w:sz w:val="24"/>
                <w:lang w:bidi="en-US"/>
              </w:rPr>
              <w:t xml:space="preserve"> Font Size is to be legible or at least 12 pt.  </w:t>
            </w:r>
          </w:p>
        </w:tc>
        <w:tc>
          <w:tcPr>
            <w:tcW w:w="1170" w:type="dxa"/>
            <w:tcBorders>
              <w:top w:val="nil"/>
              <w:left w:val="nil"/>
              <w:bottom w:val="single" w:sz="4" w:space="0" w:color="auto"/>
              <w:right w:val="single" w:sz="4" w:space="0" w:color="auto"/>
            </w:tcBorders>
            <w:vAlign w:val="bottom"/>
          </w:tcPr>
          <w:p w14:paraId="4101652C" w14:textId="77777777" w:rsidR="00BD7E3B" w:rsidRPr="003154BE" w:rsidRDefault="00BD7E3B" w:rsidP="004C35CE">
            <w:pPr>
              <w:widowControl w:val="0"/>
              <w:autoSpaceDE w:val="0"/>
              <w:autoSpaceDN w:val="0"/>
              <w:spacing w:after="0" w:line="240" w:lineRule="auto"/>
              <w:jc w:val="center"/>
              <w:rPr>
                <w:rFonts w:ascii="Arial" w:eastAsia="Arial" w:hAnsi="Arial" w:cs="Arial"/>
                <w:b/>
                <w:sz w:val="24"/>
                <w:lang w:bidi="en-US"/>
              </w:rPr>
            </w:pPr>
          </w:p>
        </w:tc>
      </w:tr>
      <w:tr w:rsidR="00BD7E3B" w:rsidRPr="003154BE" w14:paraId="22794E58"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1694DD59" w14:textId="77777777" w:rsidR="00BD7E3B" w:rsidRPr="003154BE" w:rsidRDefault="00BD7E3B" w:rsidP="004C35CE">
            <w:pPr>
              <w:widowControl w:val="0"/>
              <w:autoSpaceDE w:val="0"/>
              <w:autoSpaceDN w:val="0"/>
              <w:spacing w:after="0" w:line="240" w:lineRule="auto"/>
              <w:rPr>
                <w:rFonts w:ascii="Arial" w:eastAsia="Arial" w:hAnsi="Arial" w:cs="Arial"/>
                <w:sz w:val="24"/>
                <w:lang w:bidi="en-US"/>
              </w:rPr>
            </w:pPr>
            <w:r w:rsidRPr="003154BE">
              <w:rPr>
                <w:rFonts w:ascii="Arial" w:eastAsia="Arial" w:hAnsi="Arial" w:cs="Arial"/>
                <w:sz w:val="24"/>
                <w:lang w:bidi="en-US"/>
              </w:rPr>
              <w:t>Submitted Monthly (or as indicated in the Contract)</w:t>
            </w:r>
          </w:p>
        </w:tc>
        <w:tc>
          <w:tcPr>
            <w:tcW w:w="1170" w:type="dxa"/>
            <w:tcBorders>
              <w:top w:val="nil"/>
              <w:left w:val="nil"/>
              <w:bottom w:val="single" w:sz="4" w:space="0" w:color="auto"/>
              <w:right w:val="single" w:sz="4" w:space="0" w:color="auto"/>
            </w:tcBorders>
            <w:vAlign w:val="bottom"/>
          </w:tcPr>
          <w:p w14:paraId="4B99056E" w14:textId="77777777" w:rsidR="00BD7E3B" w:rsidRPr="003154BE" w:rsidRDefault="00BD7E3B" w:rsidP="004C35CE">
            <w:pPr>
              <w:widowControl w:val="0"/>
              <w:autoSpaceDE w:val="0"/>
              <w:autoSpaceDN w:val="0"/>
              <w:spacing w:after="0" w:line="240" w:lineRule="auto"/>
              <w:jc w:val="center"/>
              <w:rPr>
                <w:rFonts w:ascii="Arial" w:eastAsia="Arial" w:hAnsi="Arial" w:cs="Arial"/>
                <w:b/>
                <w:sz w:val="24"/>
                <w:lang w:bidi="en-US"/>
              </w:rPr>
            </w:pPr>
          </w:p>
        </w:tc>
      </w:tr>
      <w:tr w:rsidR="00BD7E3B" w:rsidRPr="003154BE" w14:paraId="5CE80DE3"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504082BC" w14:textId="77777777" w:rsidR="00BD7E3B" w:rsidRPr="003154BE" w:rsidRDefault="00BD7E3B" w:rsidP="004C35CE">
            <w:pPr>
              <w:widowControl w:val="0"/>
              <w:autoSpaceDE w:val="0"/>
              <w:autoSpaceDN w:val="0"/>
              <w:spacing w:after="0" w:line="240" w:lineRule="auto"/>
              <w:rPr>
                <w:rFonts w:ascii="Arial" w:eastAsia="Arial" w:hAnsi="Arial" w:cs="Arial"/>
                <w:sz w:val="24"/>
                <w:lang w:bidi="en-US"/>
              </w:rPr>
            </w:pPr>
            <w:r w:rsidRPr="003154BE">
              <w:rPr>
                <w:rFonts w:ascii="Arial" w:eastAsia="Arial" w:hAnsi="Arial" w:cs="Arial"/>
                <w:sz w:val="24"/>
                <w:lang w:bidi="en-US"/>
              </w:rPr>
              <w:t>Progress Reports</w:t>
            </w:r>
          </w:p>
        </w:tc>
        <w:tc>
          <w:tcPr>
            <w:tcW w:w="1170" w:type="dxa"/>
            <w:tcBorders>
              <w:top w:val="nil"/>
              <w:left w:val="nil"/>
              <w:bottom w:val="single" w:sz="4" w:space="0" w:color="auto"/>
              <w:right w:val="single" w:sz="4" w:space="0" w:color="auto"/>
            </w:tcBorders>
            <w:vAlign w:val="bottom"/>
          </w:tcPr>
          <w:p w14:paraId="1299C43A" w14:textId="77777777" w:rsidR="00BD7E3B" w:rsidRPr="003154BE" w:rsidRDefault="00BD7E3B" w:rsidP="004C35CE">
            <w:pPr>
              <w:widowControl w:val="0"/>
              <w:autoSpaceDE w:val="0"/>
              <w:autoSpaceDN w:val="0"/>
              <w:spacing w:after="0" w:line="240" w:lineRule="auto"/>
              <w:jc w:val="center"/>
              <w:rPr>
                <w:rFonts w:ascii="Arial" w:eastAsia="Arial" w:hAnsi="Arial" w:cs="Arial"/>
                <w:b/>
                <w:sz w:val="24"/>
                <w:lang w:bidi="en-US"/>
              </w:rPr>
            </w:pPr>
          </w:p>
        </w:tc>
      </w:tr>
      <w:tr w:rsidR="00BD7E3B" w:rsidRPr="003154BE" w14:paraId="38ED6EAF"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26CF4E12" w14:textId="77777777" w:rsidR="00BD7E3B" w:rsidRPr="003154BE" w:rsidRDefault="00BD7E3B" w:rsidP="004C35CE">
            <w:pPr>
              <w:widowControl w:val="0"/>
              <w:autoSpaceDE w:val="0"/>
              <w:autoSpaceDN w:val="0"/>
              <w:spacing w:after="0" w:line="240" w:lineRule="auto"/>
              <w:rPr>
                <w:rFonts w:ascii="Arial" w:eastAsia="Arial" w:hAnsi="Arial" w:cs="Arial"/>
                <w:sz w:val="24"/>
                <w:lang w:bidi="en-US"/>
              </w:rPr>
            </w:pPr>
            <w:r w:rsidRPr="003154BE">
              <w:rPr>
                <w:rFonts w:ascii="Arial" w:eastAsia="Arial" w:hAnsi="Arial" w:cs="Arial"/>
                <w:sz w:val="24"/>
                <w:lang w:bidi="en-US"/>
              </w:rPr>
              <w:t>Separate Invoice per Contract</w:t>
            </w:r>
          </w:p>
        </w:tc>
        <w:tc>
          <w:tcPr>
            <w:tcW w:w="1170" w:type="dxa"/>
            <w:tcBorders>
              <w:top w:val="nil"/>
              <w:left w:val="nil"/>
              <w:bottom w:val="single" w:sz="4" w:space="0" w:color="auto"/>
              <w:right w:val="single" w:sz="4" w:space="0" w:color="auto"/>
            </w:tcBorders>
            <w:vAlign w:val="bottom"/>
          </w:tcPr>
          <w:p w14:paraId="4DDBEF00" w14:textId="77777777" w:rsidR="00BD7E3B" w:rsidRPr="003154BE" w:rsidRDefault="00BD7E3B" w:rsidP="004C35CE">
            <w:pPr>
              <w:widowControl w:val="0"/>
              <w:autoSpaceDE w:val="0"/>
              <w:autoSpaceDN w:val="0"/>
              <w:spacing w:after="0" w:line="240" w:lineRule="auto"/>
              <w:jc w:val="center"/>
              <w:rPr>
                <w:rFonts w:ascii="Arial" w:eastAsia="Arial" w:hAnsi="Arial" w:cs="Arial"/>
                <w:b/>
                <w:sz w:val="24"/>
                <w:lang w:bidi="en-US"/>
              </w:rPr>
            </w:pPr>
          </w:p>
        </w:tc>
      </w:tr>
      <w:tr w:rsidR="00BD7E3B" w:rsidRPr="003154BE" w14:paraId="46E63F01" w14:textId="77777777" w:rsidTr="004C35CE">
        <w:trPr>
          <w:trHeight w:val="255"/>
        </w:trPr>
        <w:tc>
          <w:tcPr>
            <w:tcW w:w="8295" w:type="dxa"/>
            <w:tcBorders>
              <w:top w:val="nil"/>
              <w:left w:val="single" w:sz="4" w:space="0" w:color="auto"/>
              <w:bottom w:val="single" w:sz="4" w:space="0" w:color="auto"/>
              <w:right w:val="single" w:sz="4" w:space="0" w:color="auto"/>
            </w:tcBorders>
            <w:vAlign w:val="bottom"/>
          </w:tcPr>
          <w:p w14:paraId="29CD8E71" w14:textId="0A47F323" w:rsidR="00BD7E3B" w:rsidRPr="003154BE" w:rsidRDefault="00BD7E3B" w:rsidP="002E44DD">
            <w:pPr>
              <w:widowControl w:val="0"/>
              <w:autoSpaceDE w:val="0"/>
              <w:autoSpaceDN w:val="0"/>
              <w:spacing w:after="0" w:line="240" w:lineRule="auto"/>
              <w:rPr>
                <w:rFonts w:ascii="Arial" w:eastAsia="Arial" w:hAnsi="Arial" w:cs="Arial"/>
                <w:sz w:val="24"/>
                <w:lang w:bidi="en-US"/>
              </w:rPr>
            </w:pPr>
            <w:r w:rsidRPr="003154BE">
              <w:rPr>
                <w:rFonts w:ascii="Arial" w:eastAsia="Arial" w:hAnsi="Arial" w:cs="Arial"/>
                <w:sz w:val="24"/>
                <w:lang w:bidi="en-US"/>
              </w:rPr>
              <w:t xml:space="preserve">Paid Summary Report </w:t>
            </w:r>
            <w:r w:rsidRPr="003154BE">
              <w:rPr>
                <w:rFonts w:ascii="Arial" w:eastAsia="Arial" w:hAnsi="Arial" w:cs="Arial"/>
                <w:sz w:val="24"/>
                <w:lang w:bidi="en-US"/>
              </w:rPr>
              <w:br/>
              <w:t>(</w:t>
            </w:r>
            <w:r w:rsidR="002E44DD" w:rsidRPr="002E44DD">
              <w:rPr>
                <w:rFonts w:ascii="Arial" w:eastAsia="Arial" w:hAnsi="Arial" w:cs="Arial"/>
                <w:sz w:val="24"/>
                <w:lang w:bidi="en-US"/>
              </w:rPr>
              <w:t xml:space="preserve">as applicable - </w:t>
            </w:r>
            <w:r w:rsidRPr="003154BE">
              <w:rPr>
                <w:rFonts w:ascii="Arial" w:eastAsia="Arial" w:hAnsi="Arial" w:cs="Arial"/>
                <w:sz w:val="24"/>
                <w:lang w:bidi="en-US"/>
              </w:rPr>
              <w:t>required for any Contract or WOC that includes sub</w:t>
            </w:r>
            <w:r w:rsidR="003324B6">
              <w:rPr>
                <w:rFonts w:ascii="Arial" w:eastAsia="Arial" w:hAnsi="Arial" w:cs="Arial"/>
                <w:sz w:val="24"/>
                <w:lang w:bidi="en-US"/>
              </w:rPr>
              <w:t>-</w:t>
            </w:r>
            <w:r w:rsidRPr="003154BE">
              <w:rPr>
                <w:rFonts w:ascii="Arial" w:eastAsia="Arial" w:hAnsi="Arial" w:cs="Arial"/>
                <w:sz w:val="24"/>
                <w:lang w:bidi="en-US"/>
              </w:rPr>
              <w:t>con</w:t>
            </w:r>
            <w:r w:rsidR="002E44DD">
              <w:rPr>
                <w:rFonts w:ascii="Arial" w:eastAsia="Arial" w:hAnsi="Arial" w:cs="Arial"/>
                <w:sz w:val="24"/>
                <w:lang w:bidi="en-US"/>
              </w:rPr>
              <w:t>sultant</w:t>
            </w:r>
            <w:r w:rsidRPr="003154BE">
              <w:rPr>
                <w:rFonts w:ascii="Arial" w:eastAsia="Arial" w:hAnsi="Arial" w:cs="Arial"/>
                <w:sz w:val="24"/>
                <w:lang w:bidi="en-US"/>
              </w:rPr>
              <w:t>s)</w:t>
            </w:r>
          </w:p>
        </w:tc>
        <w:tc>
          <w:tcPr>
            <w:tcW w:w="1170" w:type="dxa"/>
            <w:tcBorders>
              <w:top w:val="nil"/>
              <w:left w:val="nil"/>
              <w:bottom w:val="single" w:sz="4" w:space="0" w:color="auto"/>
              <w:right w:val="single" w:sz="4" w:space="0" w:color="auto"/>
            </w:tcBorders>
          </w:tcPr>
          <w:p w14:paraId="3461D779" w14:textId="77777777" w:rsidR="00BD7E3B" w:rsidRPr="003154BE" w:rsidRDefault="00BD7E3B" w:rsidP="004C35CE">
            <w:pPr>
              <w:widowControl w:val="0"/>
              <w:autoSpaceDE w:val="0"/>
              <w:autoSpaceDN w:val="0"/>
              <w:spacing w:after="0" w:line="240" w:lineRule="auto"/>
              <w:jc w:val="center"/>
              <w:rPr>
                <w:rFonts w:ascii="Arial" w:eastAsia="Arial" w:hAnsi="Arial" w:cs="Arial"/>
                <w:b/>
                <w:sz w:val="24"/>
                <w:lang w:bidi="en-US"/>
              </w:rPr>
            </w:pPr>
          </w:p>
        </w:tc>
      </w:tr>
    </w:tbl>
    <w:p w14:paraId="3CF2D8B6" w14:textId="77777777" w:rsidR="008C7002" w:rsidRDefault="008C7002"/>
    <w:tbl>
      <w:tblPr>
        <w:tblW w:w="9460" w:type="dxa"/>
        <w:tblInd w:w="-15" w:type="dxa"/>
        <w:tblLook w:val="0000" w:firstRow="0" w:lastRow="0" w:firstColumn="0" w:lastColumn="0" w:noHBand="0" w:noVBand="0"/>
      </w:tblPr>
      <w:tblGrid>
        <w:gridCol w:w="8290"/>
        <w:gridCol w:w="1170"/>
      </w:tblGrid>
      <w:tr w:rsidR="008C2159" w:rsidRPr="008C2159" w14:paraId="6101E463" w14:textId="77777777" w:rsidTr="004C35CE">
        <w:trPr>
          <w:trHeight w:val="255"/>
        </w:trPr>
        <w:tc>
          <w:tcPr>
            <w:tcW w:w="82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048F69" w14:textId="77777777" w:rsidR="008C2159" w:rsidRPr="008C2159" w:rsidRDefault="008C2159" w:rsidP="004C35CE">
            <w:pPr>
              <w:jc w:val="center"/>
              <w:rPr>
                <w:rFonts w:ascii="Arial" w:hAnsi="Arial" w:cs="Arial"/>
                <w:b/>
                <w:bCs/>
                <w:color w:val="0000FF"/>
                <w:sz w:val="24"/>
                <w:szCs w:val="24"/>
              </w:rPr>
            </w:pPr>
            <w:r w:rsidRPr="008C2159">
              <w:rPr>
                <w:rFonts w:ascii="Arial" w:hAnsi="Arial" w:cs="Arial"/>
                <w:b/>
                <w:bCs/>
                <w:color w:val="0000FF"/>
                <w:sz w:val="24"/>
                <w:szCs w:val="24"/>
              </w:rPr>
              <w:lastRenderedPageBreak/>
              <w:t xml:space="preserve">Invoice Requirements for Contingency Tasks </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2BFE975F" w14:textId="77777777" w:rsidR="008C2159" w:rsidRPr="008C2159" w:rsidRDefault="008C2159" w:rsidP="008C2159">
            <w:pPr>
              <w:numPr>
                <w:ilvl w:val="0"/>
                <w:numId w:val="3"/>
              </w:numPr>
              <w:contextualSpacing/>
              <w:jc w:val="center"/>
              <w:rPr>
                <w:rFonts w:ascii="Arial" w:hAnsi="Arial" w:cs="Arial"/>
                <w:b/>
                <w:bCs/>
                <w:color w:val="0000FF"/>
                <w:sz w:val="24"/>
                <w:szCs w:val="24"/>
              </w:rPr>
            </w:pPr>
          </w:p>
        </w:tc>
      </w:tr>
      <w:tr w:rsidR="008C2159" w:rsidRPr="008C2159" w14:paraId="2A610F48" w14:textId="77777777" w:rsidTr="004C35CE">
        <w:trPr>
          <w:trHeight w:val="255"/>
        </w:trPr>
        <w:tc>
          <w:tcPr>
            <w:tcW w:w="8290" w:type="dxa"/>
            <w:tcBorders>
              <w:top w:val="nil"/>
              <w:left w:val="single" w:sz="4" w:space="0" w:color="auto"/>
              <w:bottom w:val="single" w:sz="4" w:space="0" w:color="auto"/>
              <w:right w:val="single" w:sz="4" w:space="0" w:color="auto"/>
            </w:tcBorders>
            <w:vAlign w:val="bottom"/>
          </w:tcPr>
          <w:p w14:paraId="20A391BE" w14:textId="75717D29" w:rsidR="008C2159" w:rsidRPr="008C2159" w:rsidRDefault="008C2159" w:rsidP="008C2159">
            <w:pPr>
              <w:widowControl w:val="0"/>
              <w:autoSpaceDE w:val="0"/>
              <w:autoSpaceDN w:val="0"/>
              <w:spacing w:after="0" w:line="240" w:lineRule="auto"/>
              <w:ind w:left="12" w:right="6"/>
              <w:rPr>
                <w:rFonts w:ascii="Arial" w:eastAsia="Arial" w:hAnsi="Arial" w:cs="Arial"/>
                <w:sz w:val="24"/>
                <w:szCs w:val="24"/>
                <w:lang w:bidi="en-US"/>
              </w:rPr>
            </w:pPr>
            <w:r w:rsidRPr="008C2159">
              <w:rPr>
                <w:rFonts w:ascii="Arial" w:eastAsia="Arial" w:hAnsi="Arial" w:cs="Arial"/>
                <w:sz w:val="24"/>
                <w:szCs w:val="24"/>
                <w:lang w:bidi="en-US"/>
              </w:rPr>
              <w:t xml:space="preserve">Amounts billed for authorized contingency tasks must be identified as separate line items from amounts billed for non-contingency (required) tasks (Notice-to-Proceed for each authorized contingency task must be kept on file). The amount for a </w:t>
            </w:r>
            <w:r w:rsidR="002E44DD" w:rsidRPr="002E44DD">
              <w:rPr>
                <w:rFonts w:ascii="Arial" w:eastAsia="Arial" w:hAnsi="Arial" w:cs="Arial"/>
                <w:sz w:val="24"/>
                <w:szCs w:val="24"/>
                <w:lang w:bidi="en-US"/>
              </w:rPr>
              <w:t xml:space="preserve">T&amp;M or CPFF </w:t>
            </w:r>
            <w:r w:rsidRPr="008C2159">
              <w:rPr>
                <w:rFonts w:ascii="Arial" w:eastAsia="Arial" w:hAnsi="Arial" w:cs="Arial"/>
                <w:sz w:val="24"/>
                <w:szCs w:val="24"/>
                <w:lang w:bidi="en-US"/>
              </w:rPr>
              <w:t>contingency task must include all labor, overhead, profit, and expenses for the task. Direct non-labor expenses for contingency tasks must not be included in an overall amount for direct non-labor expenses applied to the budget for the non-contingency tasks.</w:t>
            </w:r>
          </w:p>
        </w:tc>
        <w:tc>
          <w:tcPr>
            <w:tcW w:w="1170" w:type="dxa"/>
            <w:tcBorders>
              <w:top w:val="nil"/>
              <w:left w:val="nil"/>
              <w:bottom w:val="single" w:sz="4" w:space="0" w:color="auto"/>
              <w:right w:val="single" w:sz="4" w:space="0" w:color="auto"/>
            </w:tcBorders>
            <w:vAlign w:val="bottom"/>
          </w:tcPr>
          <w:p w14:paraId="3E1AEF74" w14:textId="77777777" w:rsidR="008C2159" w:rsidRPr="008C2159" w:rsidRDefault="008C2159" w:rsidP="008C2159">
            <w:pPr>
              <w:jc w:val="center"/>
              <w:rPr>
                <w:rFonts w:ascii="Arial" w:hAnsi="Arial" w:cs="Arial"/>
                <w:b/>
                <w:bCs/>
                <w:color w:val="0000FF"/>
                <w:sz w:val="24"/>
                <w:szCs w:val="24"/>
              </w:rPr>
            </w:pPr>
          </w:p>
        </w:tc>
      </w:tr>
    </w:tbl>
    <w:p w14:paraId="36A1491D" w14:textId="75D33FFE" w:rsidR="008C2159" w:rsidRDefault="008C2159"/>
    <w:p w14:paraId="444AE158" w14:textId="64FBE434" w:rsidR="008C2159" w:rsidRPr="008C2159" w:rsidRDefault="008C2159" w:rsidP="008C2159">
      <w:pPr>
        <w:tabs>
          <w:tab w:val="left" w:pos="1327"/>
        </w:tabs>
      </w:pPr>
      <w:r>
        <w:tab/>
      </w:r>
    </w:p>
    <w:sectPr w:rsidR="008C2159" w:rsidRPr="008C21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E7E1" w14:textId="77777777" w:rsidR="004C35CE" w:rsidRDefault="004C35CE" w:rsidP="008C2159">
      <w:pPr>
        <w:spacing w:after="0" w:line="240" w:lineRule="auto"/>
      </w:pPr>
      <w:r>
        <w:separator/>
      </w:r>
    </w:p>
  </w:endnote>
  <w:endnote w:type="continuationSeparator" w:id="0">
    <w:p w14:paraId="5AA68A66" w14:textId="77777777" w:rsidR="004C35CE" w:rsidRDefault="004C35CE" w:rsidP="008C2159">
      <w:pPr>
        <w:spacing w:after="0" w:line="240" w:lineRule="auto"/>
      </w:pPr>
      <w:r>
        <w:continuationSeparator/>
      </w:r>
    </w:p>
  </w:endnote>
  <w:endnote w:type="continuationNotice" w:id="1">
    <w:p w14:paraId="4DE88A31" w14:textId="77777777" w:rsidR="005444F1" w:rsidRDefault="00544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34205" w14:paraId="21D963F6" w14:textId="77777777" w:rsidTr="009B041C">
      <w:tc>
        <w:tcPr>
          <w:tcW w:w="3120" w:type="dxa"/>
        </w:tcPr>
        <w:p w14:paraId="13813F70" w14:textId="589CAEFD" w:rsidR="00634205" w:rsidRDefault="002E44DD" w:rsidP="00220EFF">
          <w:pPr>
            <w:pStyle w:val="Header"/>
            <w:ind w:left="-115"/>
          </w:pPr>
          <w:r>
            <w:t xml:space="preserve">Revised </w:t>
          </w:r>
          <w:r w:rsidR="00D32CF0">
            <w:t>July</w:t>
          </w:r>
          <w:r w:rsidR="00220EFF">
            <w:t xml:space="preserve"> 1, 2023</w:t>
          </w:r>
        </w:p>
      </w:tc>
      <w:tc>
        <w:tcPr>
          <w:tcW w:w="3120" w:type="dxa"/>
        </w:tcPr>
        <w:p w14:paraId="606B5A4B" w14:textId="77777777" w:rsidR="00634205" w:rsidRDefault="00634205" w:rsidP="00634205">
          <w:pPr>
            <w:pStyle w:val="Header"/>
            <w:jc w:val="center"/>
          </w:pPr>
        </w:p>
      </w:tc>
      <w:tc>
        <w:tcPr>
          <w:tcW w:w="3120" w:type="dxa"/>
        </w:tcPr>
        <w:p w14:paraId="1173C857" w14:textId="77777777" w:rsidR="00634205" w:rsidRDefault="00634205" w:rsidP="00634205">
          <w:pPr>
            <w:pStyle w:val="Header"/>
            <w:ind w:right="-115"/>
            <w:jc w:val="right"/>
          </w:pPr>
        </w:p>
      </w:tc>
    </w:tr>
  </w:tbl>
  <w:p w14:paraId="0082B1C7" w14:textId="77777777" w:rsidR="00634205" w:rsidRDefault="0063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54E3" w14:textId="77777777" w:rsidR="004C35CE" w:rsidRDefault="004C35CE" w:rsidP="008C2159">
      <w:pPr>
        <w:spacing w:after="0" w:line="240" w:lineRule="auto"/>
      </w:pPr>
      <w:r>
        <w:separator/>
      </w:r>
    </w:p>
  </w:footnote>
  <w:footnote w:type="continuationSeparator" w:id="0">
    <w:p w14:paraId="1EBD629F" w14:textId="77777777" w:rsidR="004C35CE" w:rsidRDefault="004C35CE" w:rsidP="008C2159">
      <w:pPr>
        <w:spacing w:after="0" w:line="240" w:lineRule="auto"/>
      </w:pPr>
      <w:r>
        <w:continuationSeparator/>
      </w:r>
    </w:p>
  </w:footnote>
  <w:footnote w:type="continuationNotice" w:id="1">
    <w:p w14:paraId="3779C971" w14:textId="77777777" w:rsidR="005444F1" w:rsidRDefault="005444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61BA9"/>
    <w:multiLevelType w:val="hybridMultilevel"/>
    <w:tmpl w:val="D256E2B4"/>
    <w:lvl w:ilvl="0" w:tplc="979CAF84">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35F1A"/>
    <w:multiLevelType w:val="hybridMultilevel"/>
    <w:tmpl w:val="4FCA4830"/>
    <w:lvl w:ilvl="0" w:tplc="CC268838">
      <w:start w:val="1"/>
      <w:numFmt w:val="bullet"/>
      <w:lvlText w:val=""/>
      <w:lvlJc w:val="left"/>
      <w:pPr>
        <w:ind w:left="720" w:hanging="360"/>
      </w:pPr>
      <w:rPr>
        <w:rFonts w:ascii="Wingdings" w:hAnsi="Wingdings" w:hint="default"/>
        <w:color w:val="0000F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D7F20"/>
    <w:multiLevelType w:val="hybridMultilevel"/>
    <w:tmpl w:val="93EA220E"/>
    <w:lvl w:ilvl="0" w:tplc="CC268838">
      <w:start w:val="1"/>
      <w:numFmt w:val="bullet"/>
      <w:lvlText w:val=""/>
      <w:lvlJc w:val="left"/>
      <w:pPr>
        <w:ind w:left="720" w:hanging="360"/>
      </w:pPr>
      <w:rPr>
        <w:rFonts w:ascii="Wingdings" w:hAnsi="Wingdings" w:hint="default"/>
        <w:color w:val="0000F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768964">
    <w:abstractNumId w:val="0"/>
  </w:num>
  <w:num w:numId="2" w16cid:durableId="1302687848">
    <w:abstractNumId w:val="1"/>
  </w:num>
  <w:num w:numId="3" w16cid:durableId="637613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3B"/>
    <w:rsid w:val="00171360"/>
    <w:rsid w:val="00220EFF"/>
    <w:rsid w:val="002E44DD"/>
    <w:rsid w:val="003324B6"/>
    <w:rsid w:val="004C35CE"/>
    <w:rsid w:val="005444F1"/>
    <w:rsid w:val="00634205"/>
    <w:rsid w:val="00694B3E"/>
    <w:rsid w:val="006F6F9B"/>
    <w:rsid w:val="0074306A"/>
    <w:rsid w:val="008C2159"/>
    <w:rsid w:val="008C7002"/>
    <w:rsid w:val="00BD7E3B"/>
    <w:rsid w:val="00D32CF0"/>
    <w:rsid w:val="00D600DE"/>
    <w:rsid w:val="00F441E2"/>
    <w:rsid w:val="660B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3EB7"/>
  <w15:chartTrackingRefBased/>
  <w15:docId w15:val="{3BC9D008-319B-40B1-B765-F4913B7D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3B"/>
    <w:pPr>
      <w:ind w:left="720"/>
      <w:contextualSpacing/>
    </w:pPr>
  </w:style>
  <w:style w:type="paragraph" w:styleId="Header">
    <w:name w:val="header"/>
    <w:basedOn w:val="Normal"/>
    <w:link w:val="HeaderChar"/>
    <w:uiPriority w:val="99"/>
    <w:unhideWhenUsed/>
    <w:rsid w:val="008C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159"/>
  </w:style>
  <w:style w:type="paragraph" w:styleId="Footer">
    <w:name w:val="footer"/>
    <w:basedOn w:val="Normal"/>
    <w:link w:val="FooterChar"/>
    <w:uiPriority w:val="99"/>
    <w:unhideWhenUsed/>
    <w:rsid w:val="008C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59"/>
  </w:style>
  <w:style w:type="character" w:styleId="Hyperlink">
    <w:name w:val="Hyperlink"/>
    <w:basedOn w:val="DefaultParagraphFont"/>
    <w:uiPriority w:val="99"/>
    <w:unhideWhenUsed/>
    <w:rsid w:val="006F6F9B"/>
    <w:rPr>
      <w:color w:val="0563C1" w:themeColor="hyperlink"/>
      <w:u w:val="single"/>
    </w:rPr>
  </w:style>
  <w:style w:type="character" w:styleId="UnresolvedMention">
    <w:name w:val="Unresolved Mention"/>
    <w:basedOn w:val="DefaultParagraphFont"/>
    <w:uiPriority w:val="99"/>
    <w:semiHidden/>
    <w:unhideWhenUsed/>
    <w:rsid w:val="006F6F9B"/>
    <w:rPr>
      <w:color w:val="605E5C"/>
      <w:shd w:val="clear" w:color="auto" w:fill="E1DFDD"/>
    </w:rPr>
  </w:style>
  <w:style w:type="character" w:styleId="FollowedHyperlink">
    <w:name w:val="FollowedHyperlink"/>
    <w:basedOn w:val="DefaultParagraphFont"/>
    <w:uiPriority w:val="99"/>
    <w:semiHidden/>
    <w:unhideWhenUsed/>
    <w:rsid w:val="00171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regon.gov/odot/Business/Procurement/DocsPSK/inveq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ca339065-d680-4a93-9ad1-00d5967fe119">A&amp;E</Audience>
    <Topic xmlns="ca339065-d680-4a93-9ad1-00d5967fe119">Miscellaneous Forms</Topic>
  </documentManagement>
</p:properties>
</file>

<file path=customXml/itemProps1.xml><?xml version="1.0" encoding="utf-8"?>
<ds:datastoreItem xmlns:ds="http://schemas.openxmlformats.org/officeDocument/2006/customXml" ds:itemID="{825DD9A4-D471-4D96-AB49-11D820266259}">
  <ds:schemaRefs>
    <ds:schemaRef ds:uri="http://schemas.microsoft.com/sharepoint/v3/contenttype/forms"/>
  </ds:schemaRefs>
</ds:datastoreItem>
</file>

<file path=customXml/itemProps2.xml><?xml version="1.0" encoding="utf-8"?>
<ds:datastoreItem xmlns:ds="http://schemas.openxmlformats.org/officeDocument/2006/customXml" ds:itemID="{76F501AF-07B1-4E1D-9ABE-39FF694F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39065-d680-4a93-9ad1-00d5967fe119"/>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27F95-E9C0-4D21-B949-7EB54BE6657C}">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ca339065-d680-4a93-9ad1-00d5967fe119"/>
    <ds:schemaRef ds:uri="http://schemas.microsoft.com/office/2006/documentManagement/types"/>
    <ds:schemaRef ds:uri="6ec60af1-6d1e-4575-bf73-1b6e791fcd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Price Invoice Checklist</dc:title>
  <dc:subject/>
  <dc:creator>MADER Jessica M</dc:creator>
  <cp:keywords/>
  <dc:description/>
  <cp:lastModifiedBy>LOPEZ Cassidy</cp:lastModifiedBy>
  <cp:revision>7</cp:revision>
  <dcterms:created xsi:type="dcterms:W3CDTF">2023-03-06T18:36:00Z</dcterms:created>
  <dcterms:modified xsi:type="dcterms:W3CDTF">2023-07-11T22:08:00Z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