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E490" w14:textId="77777777" w:rsidR="00CC54B0" w:rsidRDefault="00A90DD6" w:rsidP="009B7180">
      <w:pPr>
        <w:pStyle w:val="Heading1"/>
        <w:spacing w:before="240"/>
        <w:jc w:val="center"/>
      </w:pPr>
      <w:r>
        <w:rPr>
          <w:spacing w:val="-2"/>
        </w:rPr>
        <w:t>Negotiated Billing Rates (NBR)</w:t>
      </w:r>
      <w:r w:rsidR="00CC54B0">
        <w:rPr>
          <w:spacing w:val="-2"/>
        </w:rPr>
        <w:t xml:space="preserve"> </w:t>
      </w:r>
      <w:r w:rsidR="00A474D4">
        <w:rPr>
          <w:spacing w:val="-2"/>
        </w:rPr>
        <w:t>Eligibility Certification</w:t>
      </w:r>
      <w:r w:rsidR="00CC54B0">
        <w:rPr>
          <w:spacing w:val="-2"/>
        </w:rPr>
        <w:t xml:space="preserve"> and </w:t>
      </w:r>
      <w:r w:rsidR="00CC54B0">
        <w:t>Certification</w:t>
      </w:r>
      <w:r w:rsidR="00CC54B0">
        <w:rPr>
          <w:spacing w:val="-12"/>
        </w:rPr>
        <w:t xml:space="preserve"> </w:t>
      </w:r>
      <w:r w:rsidR="00CC54B0">
        <w:t>of</w:t>
      </w:r>
      <w:r w:rsidR="00CC54B0">
        <w:rPr>
          <w:spacing w:val="-6"/>
        </w:rPr>
        <w:t xml:space="preserve"> </w:t>
      </w:r>
      <w:r w:rsidR="00CC54B0">
        <w:t>Financial</w:t>
      </w:r>
      <w:r w:rsidR="00CC54B0">
        <w:rPr>
          <w:spacing w:val="-7"/>
        </w:rPr>
        <w:t xml:space="preserve"> </w:t>
      </w:r>
      <w:r w:rsidR="00CC54B0">
        <w:t>Management</w:t>
      </w:r>
      <w:r w:rsidR="00CC54B0">
        <w:rPr>
          <w:spacing w:val="-6"/>
        </w:rPr>
        <w:t xml:space="preserve"> </w:t>
      </w:r>
      <w:r w:rsidR="00CC54B0">
        <w:rPr>
          <w:spacing w:val="-2"/>
        </w:rPr>
        <w:t>System</w:t>
      </w:r>
    </w:p>
    <w:p w14:paraId="7FD8540A" w14:textId="77777777" w:rsidR="006F7520" w:rsidRPr="00014AD1" w:rsidRDefault="006F7520" w:rsidP="006F7520">
      <w:pPr>
        <w:pStyle w:val="BodyText"/>
        <w:spacing w:before="120" w:after="120"/>
        <w:ind w:left="160"/>
        <w:rPr>
          <w:sz w:val="12"/>
          <w:szCs w:val="12"/>
        </w:rPr>
      </w:pPr>
    </w:p>
    <w:p w14:paraId="0FE7D451" w14:textId="291D0257" w:rsidR="006F7520" w:rsidRDefault="006F7520" w:rsidP="006F7520">
      <w:pPr>
        <w:pStyle w:val="BodyText"/>
        <w:spacing w:before="120" w:after="120"/>
        <w:ind w:left="160"/>
      </w:pPr>
      <w:r w:rsidRPr="006F7520">
        <w:t xml:space="preserve"> </w:t>
      </w:r>
      <w:r w:rsidRPr="006F7520">
        <w:rPr>
          <w:b/>
          <w:bCs/>
        </w:rPr>
        <w:t>Consultant Firm Certification of Eligibility</w:t>
      </w:r>
    </w:p>
    <w:p w14:paraId="0FC96E28" w14:textId="3BF3C9E3" w:rsidR="00D80F2B" w:rsidRDefault="00D80F2B" w:rsidP="00A474D4">
      <w:pPr>
        <w:pStyle w:val="BodyText"/>
        <w:spacing w:before="120" w:after="120"/>
        <w:ind w:left="160"/>
      </w:pPr>
      <w:r>
        <w:t xml:space="preserve">I, the undersigned, certify that our </w:t>
      </w:r>
      <w:proofErr w:type="gramStart"/>
      <w:r>
        <w:t xml:space="preserve">firm </w:t>
      </w:r>
      <w:r w:rsidR="007828C9">
        <w:rPr>
          <w:u w:val="single"/>
        </w:rPr>
        <w:t xml:space="preserve"> </w:t>
      </w:r>
      <w:r w:rsidRPr="007828C9">
        <w:rPr>
          <w:u w:val="single"/>
        </w:rPr>
        <w:t>[</w:t>
      </w:r>
      <w:proofErr w:type="gramEnd"/>
      <w:r w:rsidRPr="003B30A3">
        <w:rPr>
          <w:b/>
          <w:bCs/>
          <w:u w:val="single"/>
        </w:rPr>
        <w:t>enter legal name</w:t>
      </w:r>
      <w:proofErr w:type="gramStart"/>
      <w:r w:rsidRPr="007828C9">
        <w:rPr>
          <w:u w:val="single"/>
        </w:rPr>
        <w:t>]</w:t>
      </w:r>
      <w:r w:rsidR="007828C9">
        <w:rPr>
          <w:u w:val="single"/>
        </w:rPr>
        <w:t xml:space="preserve"> </w:t>
      </w:r>
      <w:r>
        <w:t>:</w:t>
      </w:r>
      <w:proofErr w:type="gramEnd"/>
    </w:p>
    <w:p w14:paraId="7CFC91FB" w14:textId="71206F98" w:rsidR="00182207" w:rsidRDefault="006823A1" w:rsidP="00A474D4">
      <w:pPr>
        <w:pStyle w:val="ListParagraph"/>
        <w:numPr>
          <w:ilvl w:val="0"/>
          <w:numId w:val="2"/>
        </w:numPr>
        <w:tabs>
          <w:tab w:val="left" w:pos="880"/>
        </w:tabs>
        <w:spacing w:before="120" w:after="120" w:line="259" w:lineRule="auto"/>
        <w:ind w:right="428"/>
        <w:rPr>
          <w:sz w:val="24"/>
        </w:rPr>
      </w:pPr>
      <w:r>
        <w:rPr>
          <w:sz w:val="24"/>
        </w:rPr>
        <w:t>Do</w:t>
      </w:r>
      <w:r w:rsidR="00A474D4"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 w:rsidR="00AE5AC5">
        <w:rPr>
          <w:spacing w:val="-3"/>
          <w:sz w:val="24"/>
        </w:rPr>
        <w:t xml:space="preserve">enough </w:t>
      </w:r>
      <w:r w:rsidR="00653A9C">
        <w:rPr>
          <w:sz w:val="24"/>
        </w:rPr>
        <w:t>relevant</w:t>
      </w:r>
      <w:r w:rsidR="00653A9C">
        <w:rPr>
          <w:spacing w:val="-2"/>
          <w:sz w:val="24"/>
        </w:rPr>
        <w:t xml:space="preserve"> </w:t>
      </w:r>
      <w:r w:rsidR="00653A9C">
        <w:rPr>
          <w:sz w:val="24"/>
        </w:rPr>
        <w:t>contract</w:t>
      </w:r>
      <w:r w:rsidR="00653A9C">
        <w:rPr>
          <w:spacing w:val="-5"/>
          <w:sz w:val="24"/>
        </w:rPr>
        <w:t xml:space="preserve"> </w:t>
      </w:r>
      <w:r w:rsidR="00653A9C">
        <w:rPr>
          <w:sz w:val="24"/>
        </w:rPr>
        <w:t>cost</w:t>
      </w:r>
      <w:r w:rsidR="00653A9C">
        <w:rPr>
          <w:spacing w:val="-2"/>
          <w:sz w:val="24"/>
        </w:rPr>
        <w:t xml:space="preserve"> </w:t>
      </w:r>
      <w:r w:rsidR="00653A9C">
        <w:rPr>
          <w:sz w:val="24"/>
        </w:rPr>
        <w:t>history</w:t>
      </w:r>
      <w:r w:rsidR="00653A9C"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 w:rsidR="00182207">
        <w:rPr>
          <w:sz w:val="24"/>
        </w:rPr>
        <w:t>n</w:t>
      </w:r>
      <w:r>
        <w:rPr>
          <w:spacing w:val="-3"/>
          <w:sz w:val="24"/>
        </w:rPr>
        <w:t xml:space="preserve"> </w:t>
      </w:r>
      <w:r w:rsidR="00182207">
        <w:rPr>
          <w:sz w:val="24"/>
        </w:rPr>
        <w:t xml:space="preserve">Indirect Cost Rate (ICR) compliant with the </w:t>
      </w:r>
      <w:r>
        <w:rPr>
          <w:sz w:val="24"/>
        </w:rPr>
        <w:t xml:space="preserve">Federal Acquisition Regulations (FAR) of Title 48, Code of Federal Regulations </w:t>
      </w:r>
      <w:r w:rsidRPr="00496D3F">
        <w:rPr>
          <w:sz w:val="24"/>
        </w:rPr>
        <w:t>(CFR), Part 31</w:t>
      </w:r>
      <w:r w:rsidR="00A474D4" w:rsidRPr="00496D3F">
        <w:rPr>
          <w:sz w:val="24"/>
        </w:rPr>
        <w:t>.</w:t>
      </w:r>
      <w:r w:rsidR="00653A9C" w:rsidRPr="00496D3F">
        <w:rPr>
          <w:sz w:val="24"/>
        </w:rPr>
        <w:t xml:space="preserve"> Meaning your firm has not had enough accounting data for the current or previous years to adequately determine an indirect cost rate.</w:t>
      </w:r>
      <w:r w:rsidR="00653A9C">
        <w:rPr>
          <w:sz w:val="24"/>
        </w:rPr>
        <w:t xml:space="preserve"> </w:t>
      </w:r>
    </w:p>
    <w:p w14:paraId="5C283F13" w14:textId="1062E421" w:rsidR="00E74816" w:rsidRPr="00182207" w:rsidRDefault="00E74816" w:rsidP="00A474D4">
      <w:pPr>
        <w:pStyle w:val="ListParagraph"/>
        <w:numPr>
          <w:ilvl w:val="0"/>
          <w:numId w:val="2"/>
        </w:numPr>
        <w:tabs>
          <w:tab w:val="left" w:pos="880"/>
        </w:tabs>
        <w:spacing w:before="120" w:after="120" w:line="259" w:lineRule="auto"/>
        <w:ind w:right="428"/>
        <w:rPr>
          <w:sz w:val="24"/>
        </w:rPr>
      </w:pPr>
      <w:r>
        <w:rPr>
          <w:sz w:val="24"/>
        </w:rPr>
        <w:t>L</w:t>
      </w:r>
      <w:r w:rsidRPr="00E74816">
        <w:rPr>
          <w:sz w:val="24"/>
        </w:rPr>
        <w:t xml:space="preserve">ack the financial capability to either develop an </w:t>
      </w:r>
      <w:r>
        <w:rPr>
          <w:sz w:val="24"/>
        </w:rPr>
        <w:t>ICR</w:t>
      </w:r>
      <w:r w:rsidRPr="00E74816">
        <w:rPr>
          <w:sz w:val="24"/>
        </w:rPr>
        <w:t xml:space="preserve"> or lack the resources to hire a CPA to develop </w:t>
      </w:r>
      <w:r>
        <w:rPr>
          <w:sz w:val="24"/>
        </w:rPr>
        <w:t>an ICR.</w:t>
      </w:r>
    </w:p>
    <w:p w14:paraId="46009192" w14:textId="72217210" w:rsidR="00182207" w:rsidRPr="00A474D4" w:rsidRDefault="006823A1" w:rsidP="00A474D4">
      <w:pPr>
        <w:pStyle w:val="ListParagraph"/>
        <w:numPr>
          <w:ilvl w:val="0"/>
          <w:numId w:val="2"/>
        </w:numPr>
        <w:tabs>
          <w:tab w:val="left" w:pos="880"/>
        </w:tabs>
        <w:spacing w:before="120" w:after="120"/>
        <w:rPr>
          <w:sz w:val="24"/>
        </w:rPr>
      </w:pPr>
      <w:r>
        <w:rPr>
          <w:sz w:val="24"/>
        </w:rPr>
        <w:t>Do</w:t>
      </w:r>
      <w:r w:rsidR="00A474D4">
        <w:rPr>
          <w:sz w:val="24"/>
        </w:rPr>
        <w:t>es</w:t>
      </w:r>
      <w:r>
        <w:rPr>
          <w:sz w:val="24"/>
        </w:rPr>
        <w:t xml:space="preserve"> not have a </w:t>
      </w:r>
      <w:r w:rsidR="00D80F2B">
        <w:rPr>
          <w:sz w:val="24"/>
        </w:rPr>
        <w:t>currently</w:t>
      </w:r>
      <w:r>
        <w:rPr>
          <w:sz w:val="24"/>
        </w:rPr>
        <w:t xml:space="preserve"> accepted ICR by a </w:t>
      </w:r>
      <w:r w:rsidR="00182207">
        <w:rPr>
          <w:sz w:val="24"/>
        </w:rPr>
        <w:t xml:space="preserve">state or federal </w:t>
      </w:r>
      <w:r>
        <w:rPr>
          <w:sz w:val="24"/>
        </w:rPr>
        <w:t>agency</w:t>
      </w:r>
      <w:r w:rsidR="00A474D4">
        <w:rPr>
          <w:spacing w:val="-2"/>
          <w:sz w:val="24"/>
        </w:rPr>
        <w:t xml:space="preserve">. </w:t>
      </w:r>
    </w:p>
    <w:p w14:paraId="091B9B62" w14:textId="7675C31D" w:rsidR="00182207" w:rsidRDefault="00AE5AC5" w:rsidP="00A474D4">
      <w:pPr>
        <w:pStyle w:val="ListParagraph"/>
        <w:numPr>
          <w:ilvl w:val="0"/>
          <w:numId w:val="2"/>
        </w:numPr>
        <w:tabs>
          <w:tab w:val="left" w:pos="880"/>
        </w:tabs>
        <w:spacing w:before="120" w:after="120" w:line="259" w:lineRule="auto"/>
        <w:ind w:right="172"/>
        <w:rPr>
          <w:sz w:val="24"/>
        </w:rPr>
      </w:pPr>
      <w:r>
        <w:rPr>
          <w:sz w:val="24"/>
        </w:rPr>
        <w:t>A</w:t>
      </w:r>
      <w:r w:rsidRPr="00AE5AC5">
        <w:rPr>
          <w:sz w:val="24"/>
        </w:rPr>
        <w:t xml:space="preserve">nnual Invoiced Revenues </w:t>
      </w:r>
      <w:r>
        <w:rPr>
          <w:sz w:val="24"/>
        </w:rPr>
        <w:t xml:space="preserve">does not </w:t>
      </w:r>
      <w:r w:rsidRPr="00AE5AC5">
        <w:rPr>
          <w:sz w:val="24"/>
        </w:rPr>
        <w:t>exceed $1,000,000.00</w:t>
      </w:r>
      <w:r>
        <w:rPr>
          <w:sz w:val="24"/>
        </w:rPr>
        <w:t>.</w:t>
      </w:r>
    </w:p>
    <w:p w14:paraId="09542199" w14:textId="69666EF0" w:rsidR="00182207" w:rsidRDefault="009B7180" w:rsidP="009B7180">
      <w:pPr>
        <w:tabs>
          <w:tab w:val="left" w:pos="880"/>
        </w:tabs>
        <w:spacing w:before="120" w:after="120" w:line="259" w:lineRule="auto"/>
        <w:ind w:left="520" w:right="172"/>
        <w:rPr>
          <w:i/>
          <w:iCs/>
          <w:sz w:val="24"/>
        </w:rPr>
      </w:pPr>
      <w:r>
        <w:rPr>
          <w:i/>
          <w:iCs/>
          <w:sz w:val="24"/>
        </w:rPr>
        <w:t>N</w:t>
      </w:r>
      <w:r w:rsidR="00182207">
        <w:rPr>
          <w:i/>
          <w:iCs/>
          <w:sz w:val="24"/>
        </w:rPr>
        <w:t>ote</w:t>
      </w:r>
      <w:r>
        <w:rPr>
          <w:i/>
          <w:iCs/>
          <w:sz w:val="24"/>
        </w:rPr>
        <w:t>:</w:t>
      </w:r>
      <w:r w:rsidR="00182207">
        <w:rPr>
          <w:i/>
          <w:iCs/>
          <w:sz w:val="24"/>
        </w:rPr>
        <w:t xml:space="preserve"> f</w:t>
      </w:r>
      <w:r w:rsidR="00182207" w:rsidRPr="00182207">
        <w:rPr>
          <w:i/>
          <w:iCs/>
          <w:sz w:val="24"/>
        </w:rPr>
        <w:t xml:space="preserve">ailure to meet </w:t>
      </w:r>
      <w:r w:rsidR="00D80F2B">
        <w:rPr>
          <w:i/>
          <w:iCs/>
          <w:sz w:val="24"/>
        </w:rPr>
        <w:t>each</w:t>
      </w:r>
      <w:r w:rsidR="00182207" w:rsidRPr="00182207">
        <w:rPr>
          <w:i/>
          <w:iCs/>
          <w:sz w:val="24"/>
        </w:rPr>
        <w:t xml:space="preserve"> of the above statements disqualifies a firm from </w:t>
      </w:r>
      <w:r w:rsidR="00182207">
        <w:rPr>
          <w:i/>
          <w:iCs/>
          <w:sz w:val="24"/>
        </w:rPr>
        <w:t xml:space="preserve">NBR </w:t>
      </w:r>
      <w:r w:rsidR="00182207" w:rsidRPr="00182207">
        <w:rPr>
          <w:i/>
          <w:iCs/>
          <w:sz w:val="24"/>
        </w:rPr>
        <w:t>eligibility.</w:t>
      </w:r>
    </w:p>
    <w:p w14:paraId="6D2A21C2" w14:textId="77777777" w:rsidR="00F672E3" w:rsidRPr="00014AD1" w:rsidRDefault="00F672E3" w:rsidP="006F7520">
      <w:pPr>
        <w:pStyle w:val="BodyText"/>
        <w:spacing w:before="120" w:after="120"/>
        <w:ind w:left="160"/>
        <w:rPr>
          <w:b/>
          <w:bCs/>
          <w:sz w:val="12"/>
          <w:szCs w:val="12"/>
        </w:rPr>
      </w:pPr>
    </w:p>
    <w:p w14:paraId="650D422C" w14:textId="64E981EC" w:rsidR="006F7520" w:rsidRPr="006F7520" w:rsidRDefault="006F7520" w:rsidP="006F7520">
      <w:pPr>
        <w:pStyle w:val="BodyText"/>
        <w:spacing w:before="120" w:after="120"/>
        <w:ind w:left="160"/>
        <w:rPr>
          <w:b/>
          <w:bCs/>
        </w:rPr>
      </w:pPr>
      <w:r w:rsidRPr="006F7520">
        <w:rPr>
          <w:b/>
          <w:bCs/>
        </w:rPr>
        <w:t xml:space="preserve"> Certification of Financial Management System</w:t>
      </w:r>
    </w:p>
    <w:p w14:paraId="3BC85721" w14:textId="7F7AC827" w:rsidR="006823A1" w:rsidRDefault="006823A1" w:rsidP="006F7520">
      <w:pPr>
        <w:pStyle w:val="BodyText"/>
        <w:spacing w:line="259" w:lineRule="auto"/>
        <w:ind w:left="158" w:right="202"/>
      </w:pPr>
      <w:r>
        <w:t xml:space="preserve">I, the undersigned, </w:t>
      </w:r>
      <w:r w:rsidR="00CC54B0">
        <w:t xml:space="preserve">also </w:t>
      </w:r>
      <w:r>
        <w:t xml:space="preserve">certify that our financial management system in place for this contract and moving forward meets the </w:t>
      </w:r>
      <w:r w:rsidR="008F5AD4">
        <w:t>regulations</w:t>
      </w:r>
      <w:r>
        <w:t xml:space="preserve"> for the financial</w:t>
      </w:r>
      <w:r>
        <w:rPr>
          <w:spacing w:val="-3"/>
        </w:rPr>
        <w:t xml:space="preserve"> </w:t>
      </w:r>
      <w:r>
        <w:t>reporting,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records,</w:t>
      </w:r>
      <w:r>
        <w:rPr>
          <w:spacing w:val="-2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in</w:t>
      </w:r>
      <w:r w:rsidR="008F5AD4">
        <w:t xml:space="preserve"> the Federal Acquisition Regulations (</w:t>
      </w:r>
      <w:r w:rsidR="008F5AD4">
        <w:rPr>
          <w:spacing w:val="-3"/>
        </w:rPr>
        <w:t xml:space="preserve">48 CFR 31) </w:t>
      </w:r>
      <w:r w:rsidR="008F5AD4" w:rsidRPr="008F5AD4">
        <w:rPr>
          <w:spacing w:val="-3"/>
        </w:rPr>
        <w:t>Contract Cost Principles and Procedures</w:t>
      </w:r>
      <w:r w:rsidR="00DB0DEF">
        <w:rPr>
          <w:spacing w:val="-3"/>
        </w:rPr>
        <w:t>.</w:t>
      </w:r>
      <w:r>
        <w:t xml:space="preserve"> These </w:t>
      </w:r>
      <w:r w:rsidR="008F5AD4">
        <w:t>regulations</w:t>
      </w:r>
      <w:r>
        <w:t xml:space="preserve"> require </w:t>
      </w:r>
      <w:r w:rsidR="00653A9C">
        <w:t>c</w:t>
      </w:r>
      <w:r w:rsidR="00DB0DEF">
        <w:t>onsultants to</w:t>
      </w:r>
      <w:r>
        <w:t xml:space="preserve"> have an accounting system adequate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accumulate,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allowable,</w:t>
      </w:r>
      <w:r>
        <w:rPr>
          <w:spacing w:val="-4"/>
        </w:rPr>
        <w:t xml:space="preserve"> </w:t>
      </w:r>
      <w:r>
        <w:t>allocable,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and other direct costs by contract; segregate indirect costs and remove unallowable costs.</w:t>
      </w:r>
    </w:p>
    <w:p w14:paraId="01B9CBCB" w14:textId="77777777" w:rsidR="00A90DD6" w:rsidRDefault="00A90DD6" w:rsidP="00A90DD6">
      <w:pPr>
        <w:pStyle w:val="BodyText"/>
        <w:tabs>
          <w:tab w:val="left" w:pos="3039"/>
          <w:tab w:val="left" w:pos="8799"/>
        </w:tabs>
        <w:ind w:left="158"/>
      </w:pPr>
    </w:p>
    <w:p w14:paraId="250F8D28" w14:textId="19BADE1B" w:rsidR="00A474D4" w:rsidRDefault="00A474D4" w:rsidP="00A474D4">
      <w:pPr>
        <w:pStyle w:val="BodyText"/>
        <w:spacing w:before="2" w:line="259" w:lineRule="auto"/>
        <w:ind w:left="160" w:right="304"/>
      </w:pPr>
      <w:r>
        <w:t>The</w:t>
      </w:r>
      <w:r>
        <w:rPr>
          <w:spacing w:val="-5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of, the consultant firm’s executive management.</w:t>
      </w:r>
    </w:p>
    <w:p w14:paraId="007E074A" w14:textId="77777777" w:rsidR="00A474D4" w:rsidRDefault="00A474D4" w:rsidP="00A474D4">
      <w:pPr>
        <w:pStyle w:val="BodyText"/>
        <w:spacing w:before="2" w:line="259" w:lineRule="auto"/>
        <w:ind w:left="160" w:right="304"/>
      </w:pPr>
    </w:p>
    <w:p w14:paraId="7450B12B" w14:textId="4D3EEA92" w:rsidR="00A90DD6" w:rsidRDefault="006823A1" w:rsidP="00A90DD6">
      <w:pPr>
        <w:pStyle w:val="BodyText"/>
        <w:tabs>
          <w:tab w:val="left" w:pos="3039"/>
          <w:tab w:val="left" w:pos="8799"/>
        </w:tabs>
        <w:ind w:left="158"/>
        <w:rPr>
          <w:u w:val="single"/>
        </w:rPr>
      </w:pPr>
      <w:r>
        <w:t>Print</w:t>
      </w:r>
      <w:r>
        <w:rPr>
          <w:spacing w:val="-4"/>
        </w:rPr>
        <w:t xml:space="preserve"> Name</w:t>
      </w:r>
      <w:r>
        <w:tab/>
      </w:r>
      <w:r>
        <w:rPr>
          <w:u w:val="single"/>
        </w:rPr>
        <w:tab/>
      </w:r>
    </w:p>
    <w:p w14:paraId="0FC3701F" w14:textId="7FC62068" w:rsidR="006823A1" w:rsidRDefault="00A90DD6" w:rsidP="00A90DD6">
      <w:pPr>
        <w:pStyle w:val="BodyText"/>
        <w:tabs>
          <w:tab w:val="left" w:pos="3039"/>
          <w:tab w:val="left" w:pos="8799"/>
        </w:tabs>
        <w:ind w:left="158"/>
      </w:pPr>
      <w:r>
        <w:rPr>
          <w:spacing w:val="-4"/>
          <w:sz w:val="18"/>
          <w:szCs w:val="18"/>
        </w:rPr>
        <w:tab/>
      </w:r>
      <w:r w:rsidRPr="00A90DD6">
        <w:rPr>
          <w:spacing w:val="-4"/>
          <w:sz w:val="18"/>
          <w:szCs w:val="18"/>
        </w:rPr>
        <w:t>(</w:t>
      </w:r>
      <w:r w:rsidR="00173BFD" w:rsidRPr="00173BFD">
        <w:rPr>
          <w:spacing w:val="-4"/>
          <w:sz w:val="18"/>
          <w:szCs w:val="18"/>
        </w:rPr>
        <w:t>Principle</w:t>
      </w:r>
      <w:r w:rsidR="00173BFD">
        <w:rPr>
          <w:spacing w:val="-4"/>
          <w:sz w:val="18"/>
          <w:szCs w:val="18"/>
        </w:rPr>
        <w:t xml:space="preserve">, </w:t>
      </w:r>
      <w:r w:rsidR="00173BFD" w:rsidRPr="00173BFD">
        <w:rPr>
          <w:spacing w:val="-4"/>
          <w:sz w:val="18"/>
          <w:szCs w:val="18"/>
        </w:rPr>
        <w:t>CFO</w:t>
      </w:r>
      <w:r w:rsidR="00173BFD">
        <w:rPr>
          <w:spacing w:val="-4"/>
          <w:sz w:val="18"/>
          <w:szCs w:val="18"/>
        </w:rPr>
        <w:t>, or equivalent executive officer</w:t>
      </w:r>
      <w:r w:rsidRPr="00A90DD6">
        <w:rPr>
          <w:spacing w:val="-4"/>
          <w:sz w:val="18"/>
          <w:szCs w:val="18"/>
        </w:rPr>
        <w:t>)</w:t>
      </w:r>
    </w:p>
    <w:p w14:paraId="57B114A6" w14:textId="77777777" w:rsidR="006823A1" w:rsidRDefault="006823A1" w:rsidP="006823A1">
      <w:pPr>
        <w:pStyle w:val="BodyText"/>
        <w:spacing w:before="5"/>
        <w:rPr>
          <w:sz w:val="21"/>
        </w:rPr>
      </w:pPr>
    </w:p>
    <w:p w14:paraId="721C02B4" w14:textId="77777777" w:rsidR="00A90DD6" w:rsidRDefault="006823A1" w:rsidP="006823A1">
      <w:pPr>
        <w:pStyle w:val="BodyText"/>
        <w:tabs>
          <w:tab w:val="left" w:pos="3039"/>
          <w:tab w:val="left" w:pos="8799"/>
        </w:tabs>
        <w:spacing w:line="259" w:lineRule="auto"/>
        <w:ind w:left="160" w:right="2318"/>
      </w:pPr>
      <w:r>
        <w:rPr>
          <w:spacing w:val="-2"/>
        </w:rPr>
        <w:t>Signature</w:t>
      </w:r>
      <w:r>
        <w:tab/>
      </w:r>
      <w:r>
        <w:rPr>
          <w:u w:val="single"/>
        </w:rPr>
        <w:tab/>
      </w:r>
    </w:p>
    <w:p w14:paraId="3F7217C5" w14:textId="37A0AAC1" w:rsidR="006823A1" w:rsidRDefault="00A90DD6" w:rsidP="006823A1">
      <w:pPr>
        <w:pStyle w:val="BodyText"/>
        <w:tabs>
          <w:tab w:val="left" w:pos="3039"/>
          <w:tab w:val="left" w:pos="8799"/>
        </w:tabs>
        <w:spacing w:line="259" w:lineRule="auto"/>
        <w:ind w:left="160" w:right="2318"/>
        <w:rPr>
          <w:sz w:val="18"/>
          <w:szCs w:val="18"/>
        </w:rPr>
      </w:pPr>
      <w:r>
        <w:tab/>
      </w:r>
      <w:r w:rsidR="006823A1" w:rsidRPr="00A90DD6">
        <w:rPr>
          <w:sz w:val="18"/>
          <w:szCs w:val="18"/>
        </w:rPr>
        <w:t>(Electronic Signature Allowed)</w:t>
      </w:r>
    </w:p>
    <w:p w14:paraId="5D0EC59C" w14:textId="77777777" w:rsidR="00D80F2B" w:rsidRPr="00A90DD6" w:rsidRDefault="00D80F2B" w:rsidP="006823A1">
      <w:pPr>
        <w:pStyle w:val="BodyText"/>
        <w:tabs>
          <w:tab w:val="left" w:pos="3039"/>
          <w:tab w:val="left" w:pos="8799"/>
        </w:tabs>
        <w:spacing w:line="259" w:lineRule="auto"/>
        <w:ind w:left="160" w:right="2318"/>
        <w:rPr>
          <w:sz w:val="18"/>
          <w:szCs w:val="18"/>
        </w:rPr>
      </w:pPr>
    </w:p>
    <w:p w14:paraId="52D516DA" w14:textId="7A61BA97" w:rsidR="00A474D4" w:rsidRPr="00A474D4" w:rsidRDefault="006823A1" w:rsidP="00A474D4">
      <w:pPr>
        <w:pStyle w:val="BodyText"/>
        <w:tabs>
          <w:tab w:val="left" w:pos="3039"/>
          <w:tab w:val="left" w:pos="8799"/>
        </w:tabs>
        <w:spacing w:line="259" w:lineRule="auto"/>
        <w:ind w:left="160" w:right="2318"/>
        <w:rPr>
          <w:u w:val="single"/>
        </w:rPr>
      </w:pPr>
      <w:r>
        <w:rPr>
          <w:spacing w:val="-2"/>
        </w:rPr>
        <w:t>Title</w:t>
      </w:r>
      <w:r>
        <w:tab/>
      </w:r>
      <w:r>
        <w:rPr>
          <w:u w:val="single"/>
        </w:rPr>
        <w:tab/>
      </w:r>
    </w:p>
    <w:p w14:paraId="24BFBB15" w14:textId="528D327C" w:rsidR="00A474D4" w:rsidRPr="00A474D4" w:rsidRDefault="00A474D4" w:rsidP="00A474D4">
      <w:pPr>
        <w:pStyle w:val="BodyText"/>
        <w:tabs>
          <w:tab w:val="left" w:pos="3039"/>
          <w:tab w:val="left" w:pos="8799"/>
        </w:tabs>
        <w:spacing w:line="259" w:lineRule="auto"/>
        <w:ind w:left="160" w:right="2318"/>
        <w:rPr>
          <w:sz w:val="18"/>
          <w:szCs w:val="18"/>
        </w:rPr>
      </w:pPr>
      <w:r>
        <w:rPr>
          <w:sz w:val="18"/>
          <w:szCs w:val="18"/>
        </w:rPr>
        <w:tab/>
      </w:r>
      <w:r w:rsidRPr="00A474D4">
        <w:rPr>
          <w:sz w:val="18"/>
          <w:szCs w:val="18"/>
        </w:rPr>
        <w:t>(</w:t>
      </w:r>
      <w:r w:rsidR="00EC6B33" w:rsidRPr="00EC6B33">
        <w:rPr>
          <w:sz w:val="18"/>
          <w:szCs w:val="18"/>
        </w:rPr>
        <w:t>Principle, CFO, or equivalent executive officer</w:t>
      </w:r>
      <w:r w:rsidRPr="00A474D4">
        <w:rPr>
          <w:sz w:val="18"/>
          <w:szCs w:val="18"/>
        </w:rPr>
        <w:t>)</w:t>
      </w:r>
    </w:p>
    <w:p w14:paraId="1706B6E3" w14:textId="4052DEEE" w:rsidR="006823A1" w:rsidRDefault="006823A1" w:rsidP="00014AD1">
      <w:pPr>
        <w:pStyle w:val="BodyText"/>
        <w:tabs>
          <w:tab w:val="left" w:pos="3039"/>
          <w:tab w:val="left" w:pos="5799"/>
          <w:tab w:val="left" w:pos="8799"/>
        </w:tabs>
        <w:spacing w:before="120" w:line="454" w:lineRule="auto"/>
        <w:ind w:left="158" w:right="2318"/>
        <w:rPr>
          <w:u w:val="single"/>
        </w:rPr>
      </w:pPr>
      <w:r>
        <w:t>Date Completed</w:t>
      </w:r>
      <w:r>
        <w:tab/>
      </w:r>
      <w:r w:rsidR="00A474D4">
        <w:rPr>
          <w:u w:val="single"/>
        </w:rPr>
        <w:tab/>
      </w:r>
      <w:r w:rsidR="00A474D4">
        <w:rPr>
          <w:u w:val="single"/>
        </w:rPr>
        <w:tab/>
      </w:r>
    </w:p>
    <w:p w14:paraId="5F4DFA6B" w14:textId="7F420E68" w:rsidR="009B7180" w:rsidRDefault="00CC54B0" w:rsidP="00014AD1">
      <w:pPr>
        <w:pStyle w:val="BodyText"/>
        <w:spacing w:line="259" w:lineRule="auto"/>
        <w:ind w:left="158" w:right="201"/>
      </w:pPr>
      <w:r>
        <w:t>If certification cannot be made, for any reason, contact</w:t>
      </w:r>
      <w:r w:rsidR="00014AD1">
        <w:t xml:space="preserve"> </w:t>
      </w:r>
      <w:hyperlink r:id="rId7" w:history="1">
        <w:r w:rsidR="00014AD1" w:rsidRPr="00246E73">
          <w:rPr>
            <w:rStyle w:val="Hyperlink"/>
          </w:rPr>
          <w:t>ODOTBillingRateUpdates@odot.oregon.gov</w:t>
        </w:r>
      </w:hyperlink>
      <w:r>
        <w:t xml:space="preserve"> for next steps.</w:t>
      </w:r>
    </w:p>
    <w:p w14:paraId="79A9F761" w14:textId="625075F4" w:rsidR="003B30A3" w:rsidRPr="003B30A3" w:rsidRDefault="003B30A3" w:rsidP="003B30A3">
      <w:pPr>
        <w:tabs>
          <w:tab w:val="left" w:pos="9736"/>
        </w:tabs>
      </w:pPr>
      <w:r>
        <w:tab/>
      </w:r>
    </w:p>
    <w:p w14:paraId="52069A0B" w14:textId="77777777" w:rsidR="003B30A3" w:rsidRPr="003B30A3" w:rsidRDefault="003B30A3" w:rsidP="003B30A3"/>
    <w:p w14:paraId="3E663FAB" w14:textId="437065A8" w:rsidR="006823A1" w:rsidRPr="008F5AD4" w:rsidRDefault="006823A1" w:rsidP="009B7180">
      <w:pPr>
        <w:pStyle w:val="Heading2"/>
        <w:spacing w:before="240"/>
        <w:ind w:left="0"/>
        <w:rPr>
          <w:b w:val="0"/>
          <w:bCs w:val="0"/>
        </w:rPr>
      </w:pPr>
      <w:r>
        <w:t>Definition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Terms</w:t>
      </w:r>
      <w:r w:rsidR="008F5AD4">
        <w:rPr>
          <w:spacing w:val="-2"/>
        </w:rPr>
        <w:t xml:space="preserve"> </w:t>
      </w:r>
      <w:r w:rsidR="00033DF1">
        <w:rPr>
          <w:b w:val="0"/>
          <w:bCs w:val="0"/>
          <w:spacing w:val="-2"/>
        </w:rPr>
        <w:t xml:space="preserve">can be found in the </w:t>
      </w:r>
      <w:r w:rsidR="00F67FBF">
        <w:rPr>
          <w:b w:val="0"/>
          <w:bCs w:val="0"/>
          <w:spacing w:val="-2"/>
        </w:rPr>
        <w:t>ODOT Billing Rate Policy (AGR 06-01)</w:t>
      </w:r>
      <w:r w:rsidR="00033DF1">
        <w:rPr>
          <w:b w:val="0"/>
          <w:bCs w:val="0"/>
          <w:spacing w:val="-2"/>
        </w:rPr>
        <w:t xml:space="preserve">. </w:t>
      </w:r>
    </w:p>
    <w:p w14:paraId="08C6D54B" w14:textId="77777777" w:rsidR="006823A1" w:rsidRDefault="006823A1" w:rsidP="00835037">
      <w:pPr>
        <w:pStyle w:val="Heading2"/>
        <w:spacing w:before="240"/>
        <w:ind w:left="0"/>
      </w:pPr>
      <w:r w:rsidRPr="00835037">
        <w:t>References</w:t>
      </w:r>
    </w:p>
    <w:p w14:paraId="4EF15312" w14:textId="77777777" w:rsidR="006823A1" w:rsidRDefault="006823A1" w:rsidP="006823A1">
      <w:pPr>
        <w:pStyle w:val="BodyText"/>
        <w:spacing w:before="5"/>
        <w:rPr>
          <w:b/>
          <w:sz w:val="21"/>
        </w:rPr>
      </w:pPr>
    </w:p>
    <w:p w14:paraId="2BBCCB32" w14:textId="097CBC46" w:rsidR="00D80F2B" w:rsidRPr="001D18E0" w:rsidRDefault="001D18E0" w:rsidP="001D18E0">
      <w:pPr>
        <w:pStyle w:val="BodyText"/>
        <w:numPr>
          <w:ilvl w:val="0"/>
          <w:numId w:val="4"/>
        </w:numPr>
        <w:spacing w:after="160"/>
        <w:ind w:left="720"/>
        <w:rPr>
          <w:rStyle w:val="Hyperlink"/>
        </w:rPr>
      </w:pPr>
      <w:r>
        <w:fldChar w:fldCharType="begin"/>
      </w:r>
      <w:r>
        <w:instrText xml:space="preserve"> HYPERLINK "https://www.ecfr.gov/current/title-48/chapter-1/subchapter-E/part-31" </w:instrText>
      </w:r>
      <w:r>
        <w:fldChar w:fldCharType="separate"/>
      </w:r>
      <w:r w:rsidR="00D80F2B" w:rsidRPr="001D18E0">
        <w:rPr>
          <w:rStyle w:val="Hyperlink"/>
        </w:rPr>
        <w:t xml:space="preserve">Federal Acquisition Regulations (FAR) of Title 48, Code of Federal Regulations (CFR), Part 31 </w:t>
      </w:r>
      <w:r w:rsidR="001C18CD" w:rsidRPr="001D18E0">
        <w:rPr>
          <w:rStyle w:val="Hyperlink"/>
        </w:rPr>
        <w:t>– Contract Cost Principles and Procedures</w:t>
      </w:r>
      <w:r w:rsidR="00F45999">
        <w:rPr>
          <w:rStyle w:val="Hyperlink"/>
        </w:rPr>
        <w:t xml:space="preserve"> </w:t>
      </w:r>
    </w:p>
    <w:p w14:paraId="6A0ABFF6" w14:textId="22A13723" w:rsidR="003B30A3" w:rsidRDefault="001D18E0" w:rsidP="003B30A3">
      <w:pPr>
        <w:pStyle w:val="BodyText"/>
        <w:numPr>
          <w:ilvl w:val="0"/>
          <w:numId w:val="4"/>
        </w:numPr>
        <w:spacing w:after="160"/>
        <w:ind w:left="720"/>
      </w:pPr>
      <w:r>
        <w:fldChar w:fldCharType="end"/>
      </w:r>
      <w:hyperlink r:id="rId8" w:history="1">
        <w:r w:rsidR="003B30A3" w:rsidRPr="00F67FBF">
          <w:rPr>
            <w:rStyle w:val="Hyperlink"/>
          </w:rPr>
          <w:t xml:space="preserve">ODOT </w:t>
        </w:r>
        <w:r w:rsidR="00F67FBF" w:rsidRPr="00F67FBF">
          <w:rPr>
            <w:rStyle w:val="Hyperlink"/>
          </w:rPr>
          <w:t>Billing Rate Policy (AGR 06-01)</w:t>
        </w:r>
      </w:hyperlink>
    </w:p>
    <w:p w14:paraId="117A5C73" w14:textId="4B21F1F3" w:rsidR="00A474D4" w:rsidRDefault="00A474D4" w:rsidP="00835037">
      <w:pPr>
        <w:pStyle w:val="Heading2"/>
        <w:spacing w:before="240"/>
        <w:ind w:left="0"/>
      </w:pPr>
      <w:r w:rsidRPr="00835037">
        <w:t>Resources</w:t>
      </w:r>
    </w:p>
    <w:p w14:paraId="5EFC6D91" w14:textId="77777777" w:rsidR="009B7180" w:rsidRDefault="009B7180" w:rsidP="00A474D4">
      <w:pPr>
        <w:pStyle w:val="BodyText"/>
        <w:ind w:left="160"/>
      </w:pPr>
    </w:p>
    <w:p w14:paraId="3E1C44B6" w14:textId="7AECCAA7" w:rsidR="00033DF1" w:rsidRDefault="00033DF1" w:rsidP="00033DF1">
      <w:pPr>
        <w:pStyle w:val="BodyText"/>
        <w:numPr>
          <w:ilvl w:val="0"/>
          <w:numId w:val="3"/>
        </w:numPr>
        <w:spacing w:after="160"/>
        <w:ind w:left="720"/>
      </w:pPr>
      <w:hyperlink r:id="rId9" w:history="1">
        <w:r w:rsidRPr="00033DF1">
          <w:rPr>
            <w:rStyle w:val="Hyperlink"/>
          </w:rPr>
          <w:t xml:space="preserve">Oregon Department of </w:t>
        </w:r>
        <w:proofErr w:type="gramStart"/>
        <w:r w:rsidRPr="00033DF1">
          <w:rPr>
            <w:rStyle w:val="Hyperlink"/>
          </w:rPr>
          <w:t>Transportation :</w:t>
        </w:r>
        <w:proofErr w:type="gramEnd"/>
        <w:r w:rsidRPr="00033DF1">
          <w:rPr>
            <w:rStyle w:val="Hyperlink"/>
          </w:rPr>
          <w:t xml:space="preserve"> Consultant Billing </w:t>
        </w:r>
        <w:proofErr w:type="gramStart"/>
        <w:r w:rsidRPr="00033DF1">
          <w:rPr>
            <w:rStyle w:val="Hyperlink"/>
          </w:rPr>
          <w:t>Rates :</w:t>
        </w:r>
        <w:proofErr w:type="gramEnd"/>
        <w:r w:rsidRPr="00033DF1">
          <w:rPr>
            <w:rStyle w:val="Hyperlink"/>
          </w:rPr>
          <w:t xml:space="preserve"> </w:t>
        </w:r>
        <w:proofErr w:type="gramStart"/>
        <w:r w:rsidRPr="00033DF1">
          <w:rPr>
            <w:rStyle w:val="Hyperlink"/>
          </w:rPr>
          <w:t>Procurement :</w:t>
        </w:r>
        <w:proofErr w:type="gramEnd"/>
        <w:r w:rsidRPr="00033DF1">
          <w:rPr>
            <w:rStyle w:val="Hyperlink"/>
          </w:rPr>
          <w:t xml:space="preserve"> State of Oregon</w:t>
        </w:r>
      </w:hyperlink>
      <w:r>
        <w:t xml:space="preserve"> </w:t>
      </w:r>
      <w:r w:rsidR="00F67FBF">
        <w:t>webpage</w:t>
      </w:r>
    </w:p>
    <w:p w14:paraId="386BA03B" w14:textId="4C356C3D" w:rsidR="00835037" w:rsidRPr="00835037" w:rsidRDefault="00835037" w:rsidP="001D18E0">
      <w:pPr>
        <w:pStyle w:val="BodyText"/>
        <w:numPr>
          <w:ilvl w:val="0"/>
          <w:numId w:val="3"/>
        </w:numPr>
        <w:spacing w:after="160"/>
        <w:ind w:left="720"/>
      </w:pPr>
      <w:hyperlink r:id="rId10" w:history="1">
        <w:r w:rsidRPr="00835037">
          <w:rPr>
            <w:rStyle w:val="Hyperlink"/>
          </w:rPr>
          <w:t>American Association of State Highway and Transportation Officials (AASHTO) Uniform Audit &amp; Accounting Guide and Resources</w:t>
        </w:r>
      </w:hyperlink>
    </w:p>
    <w:p w14:paraId="61FC2EB3" w14:textId="77777777" w:rsidR="00033DF1" w:rsidRDefault="00033DF1" w:rsidP="00033DF1">
      <w:pPr>
        <w:pStyle w:val="BodyText"/>
        <w:numPr>
          <w:ilvl w:val="0"/>
          <w:numId w:val="3"/>
        </w:numPr>
        <w:spacing w:after="160"/>
        <w:ind w:left="720"/>
      </w:pPr>
      <w:hyperlink r:id="rId11" w:history="1">
        <w:r w:rsidRPr="001D18E0">
          <w:rPr>
            <w:rStyle w:val="Hyperlink"/>
          </w:rPr>
          <w:t>ICR Schedule Template/Sample</w:t>
        </w:r>
      </w:hyperlink>
    </w:p>
    <w:sectPr w:rsidR="00033DF1" w:rsidSect="00014AD1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81C3" w14:textId="77777777" w:rsidR="006823A1" w:rsidRDefault="006823A1" w:rsidP="006823A1">
      <w:r>
        <w:separator/>
      </w:r>
    </w:p>
  </w:endnote>
  <w:endnote w:type="continuationSeparator" w:id="0">
    <w:p w14:paraId="704EEAF9" w14:textId="77777777" w:rsidR="006823A1" w:rsidRDefault="006823A1" w:rsidP="0068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8A7E" w14:textId="188B333A" w:rsidR="00A15670" w:rsidRPr="00033DF1" w:rsidRDefault="00033DF1" w:rsidP="00033DF1">
    <w:pPr>
      <w:pStyle w:val="BodyText"/>
      <w:rPr>
        <w:sz w:val="22"/>
        <w:szCs w:val="28"/>
      </w:rPr>
    </w:pPr>
    <w:r>
      <w:rPr>
        <w:sz w:val="22"/>
        <w:szCs w:val="28"/>
      </w:rPr>
      <w:t>OPO Billing Rate Oversight</w:t>
    </w:r>
    <w:r w:rsidRPr="00033DF1">
      <w:rPr>
        <w:sz w:val="22"/>
        <w:szCs w:val="28"/>
      </w:rPr>
      <w:ptab w:relativeTo="margin" w:alignment="center" w:leader="none"/>
    </w:r>
    <w:r w:rsidRPr="00033DF1">
      <w:rPr>
        <w:sz w:val="22"/>
        <w:szCs w:val="28"/>
      </w:rPr>
      <w:fldChar w:fldCharType="begin"/>
    </w:r>
    <w:r w:rsidRPr="00033DF1">
      <w:rPr>
        <w:sz w:val="22"/>
        <w:szCs w:val="28"/>
      </w:rPr>
      <w:instrText xml:space="preserve"> PAGE   \* MERGEFORMAT </w:instrText>
    </w:r>
    <w:r w:rsidRPr="00033DF1">
      <w:rPr>
        <w:sz w:val="22"/>
        <w:szCs w:val="28"/>
      </w:rPr>
      <w:fldChar w:fldCharType="separate"/>
    </w:r>
    <w:r w:rsidRPr="00033DF1">
      <w:rPr>
        <w:noProof/>
        <w:sz w:val="22"/>
        <w:szCs w:val="28"/>
      </w:rPr>
      <w:t>1</w:t>
    </w:r>
    <w:r w:rsidRPr="00033DF1">
      <w:rPr>
        <w:noProof/>
        <w:sz w:val="22"/>
        <w:szCs w:val="28"/>
      </w:rPr>
      <w:fldChar w:fldCharType="end"/>
    </w:r>
    <w:r w:rsidRPr="00033DF1">
      <w:rPr>
        <w:sz w:val="22"/>
        <w:szCs w:val="28"/>
      </w:rPr>
      <w:ptab w:relativeTo="margin" w:alignment="right" w:leader="none"/>
    </w:r>
    <w:r>
      <w:rPr>
        <w:sz w:val="22"/>
        <w:szCs w:val="28"/>
      </w:rPr>
      <w:t xml:space="preserve">Created: </w:t>
    </w:r>
    <w:r w:rsidR="003B30A3">
      <w:rPr>
        <w:sz w:val="22"/>
        <w:szCs w:val="28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1345" w14:textId="77777777" w:rsidR="006823A1" w:rsidRDefault="006823A1" w:rsidP="006823A1">
      <w:r>
        <w:separator/>
      </w:r>
    </w:p>
  </w:footnote>
  <w:footnote w:type="continuationSeparator" w:id="0">
    <w:p w14:paraId="5C570B22" w14:textId="77777777" w:rsidR="006823A1" w:rsidRDefault="006823A1" w:rsidP="0068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5A07" w14:textId="467A5D76" w:rsidR="00A15670" w:rsidRDefault="00A1567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2ACC"/>
    <w:multiLevelType w:val="hybridMultilevel"/>
    <w:tmpl w:val="7EA2A018"/>
    <w:lvl w:ilvl="0" w:tplc="2B92D720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32551DA3"/>
    <w:multiLevelType w:val="hybridMultilevel"/>
    <w:tmpl w:val="5C62911E"/>
    <w:lvl w:ilvl="0" w:tplc="A0986DEE">
      <w:start w:val="1"/>
      <w:numFmt w:val="decimal"/>
      <w:lvlText w:val="%1."/>
      <w:lvlJc w:val="left"/>
      <w:pPr>
        <w:ind w:left="8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FEA77D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2" w:tplc="EB0CF452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2783398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BBA66112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5992BFE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96E44EA4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4CC6BE92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  <w:lvl w:ilvl="8" w:tplc="9730AF78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C01B35"/>
    <w:multiLevelType w:val="hybridMultilevel"/>
    <w:tmpl w:val="E90AC49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3B0C7FA6"/>
    <w:multiLevelType w:val="hybridMultilevel"/>
    <w:tmpl w:val="9B6049D8"/>
    <w:lvl w:ilvl="0" w:tplc="55200788">
      <w:start w:val="1"/>
      <w:numFmt w:val="decimal"/>
      <w:lvlText w:val="%1."/>
      <w:lvlJc w:val="left"/>
      <w:pPr>
        <w:ind w:left="8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75CD5EC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2" w:tplc="4B2659D0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E0941710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15B6471E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D04C835C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D5244B6C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DC2AB71C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  <w:lvl w:ilvl="8" w:tplc="55AC1898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503402163">
    <w:abstractNumId w:val="3"/>
  </w:num>
  <w:num w:numId="2" w16cid:durableId="1667510199">
    <w:abstractNumId w:val="1"/>
  </w:num>
  <w:num w:numId="3" w16cid:durableId="1193421233">
    <w:abstractNumId w:val="2"/>
  </w:num>
  <w:num w:numId="4" w16cid:durableId="77990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A1"/>
    <w:rsid w:val="00014AD1"/>
    <w:rsid w:val="00033DF1"/>
    <w:rsid w:val="00041162"/>
    <w:rsid w:val="000A35BD"/>
    <w:rsid w:val="00173BFD"/>
    <w:rsid w:val="00182207"/>
    <w:rsid w:val="00187246"/>
    <w:rsid w:val="001C18CD"/>
    <w:rsid w:val="001D18E0"/>
    <w:rsid w:val="001E759E"/>
    <w:rsid w:val="003268A4"/>
    <w:rsid w:val="003B30A3"/>
    <w:rsid w:val="004371F8"/>
    <w:rsid w:val="00496D3F"/>
    <w:rsid w:val="00605FD0"/>
    <w:rsid w:val="00653A9C"/>
    <w:rsid w:val="006823A1"/>
    <w:rsid w:val="006F7520"/>
    <w:rsid w:val="00712005"/>
    <w:rsid w:val="00755652"/>
    <w:rsid w:val="007828C9"/>
    <w:rsid w:val="007B2499"/>
    <w:rsid w:val="00832821"/>
    <w:rsid w:val="00835037"/>
    <w:rsid w:val="00841966"/>
    <w:rsid w:val="008F5AD4"/>
    <w:rsid w:val="00911B14"/>
    <w:rsid w:val="009B7180"/>
    <w:rsid w:val="00A15670"/>
    <w:rsid w:val="00A349BB"/>
    <w:rsid w:val="00A474D4"/>
    <w:rsid w:val="00A64C7E"/>
    <w:rsid w:val="00A67021"/>
    <w:rsid w:val="00A90DD6"/>
    <w:rsid w:val="00A90EDB"/>
    <w:rsid w:val="00AE5AC5"/>
    <w:rsid w:val="00B06C98"/>
    <w:rsid w:val="00BC22CE"/>
    <w:rsid w:val="00BE3F92"/>
    <w:rsid w:val="00CC54B0"/>
    <w:rsid w:val="00CE03B6"/>
    <w:rsid w:val="00CF0CC8"/>
    <w:rsid w:val="00D80F2B"/>
    <w:rsid w:val="00DA5B45"/>
    <w:rsid w:val="00DB0DEF"/>
    <w:rsid w:val="00E74816"/>
    <w:rsid w:val="00EC6B33"/>
    <w:rsid w:val="00EC77AE"/>
    <w:rsid w:val="00F45999"/>
    <w:rsid w:val="00F672E3"/>
    <w:rsid w:val="00F6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FB9CD"/>
  <w15:chartTrackingRefBased/>
  <w15:docId w15:val="{0EDD00DB-C098-4B20-B55D-F71CEB73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A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rsid w:val="006823A1"/>
    <w:pPr>
      <w:spacing w:before="91"/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823A1"/>
    <w:pPr>
      <w:spacing w:before="92"/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3A1"/>
    <w:rPr>
      <w:rFonts w:ascii="Century Gothic" w:eastAsia="Century Gothic" w:hAnsi="Century Gothic" w:cs="Century Gothic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23A1"/>
    <w:rPr>
      <w:rFonts w:ascii="Century Gothic" w:eastAsia="Century Gothic" w:hAnsi="Century Gothic" w:cs="Century Gothic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823A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23A1"/>
    <w:rPr>
      <w:rFonts w:ascii="Century Gothic" w:eastAsia="Century Gothic" w:hAnsi="Century Gothic" w:cs="Century Gothic"/>
      <w:sz w:val="24"/>
      <w:szCs w:val="24"/>
    </w:rPr>
  </w:style>
  <w:style w:type="paragraph" w:styleId="ListParagraph">
    <w:name w:val="List Paragraph"/>
    <w:basedOn w:val="Normal"/>
    <w:uiPriority w:val="1"/>
    <w:qFormat/>
    <w:rsid w:val="006823A1"/>
    <w:pPr>
      <w:ind w:left="520" w:hanging="360"/>
    </w:pPr>
  </w:style>
  <w:style w:type="paragraph" w:styleId="Header">
    <w:name w:val="header"/>
    <w:basedOn w:val="Normal"/>
    <w:link w:val="HeaderChar"/>
    <w:uiPriority w:val="99"/>
    <w:unhideWhenUsed/>
    <w:rsid w:val="00682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3A1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682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3A1"/>
    <w:rPr>
      <w:rFonts w:ascii="Century Gothic" w:eastAsia="Century Gothic" w:hAnsi="Century Gothic" w:cs="Century Gothic"/>
    </w:rPr>
  </w:style>
  <w:style w:type="character" w:styleId="CommentReference">
    <w:name w:val="annotation reference"/>
    <w:basedOn w:val="DefaultParagraphFont"/>
    <w:uiPriority w:val="99"/>
    <w:semiHidden/>
    <w:unhideWhenUsed/>
    <w:rsid w:val="0068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3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3A1"/>
    <w:rPr>
      <w:rFonts w:ascii="Century Gothic" w:eastAsia="Century Gothic" w:hAnsi="Century Gothic" w:cs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A1"/>
    <w:rPr>
      <w:rFonts w:ascii="Century Gothic" w:eastAsia="Century Gothic" w:hAnsi="Century Gothic" w:cs="Century Gothic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54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4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59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ot/business/procurement/pages/cbr.aspx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ODOTBillingRateUpdates@odot.oregon.gov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ot/Business/Procurement/DocsPSK/ICR_Schedule_Template.xls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ransportation.org/audit/resources/eap-subcommittee-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ot/business/procurement/pages/cbr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1B8FDFD1CE746B0D5127DCC04E831" ma:contentTypeVersion="7" ma:contentTypeDescription="Create a new document." ma:contentTypeScope="" ma:versionID="02c2a520511170315f86e843e78a3460">
  <xsd:schema xmlns:xsd="http://www.w3.org/2001/XMLSchema" xmlns:xs="http://www.w3.org/2001/XMLSchema" xmlns:p="http://schemas.microsoft.com/office/2006/metadata/properties" xmlns:ns2="ca339065-d680-4a93-9ad1-00d5967fe119" xmlns:ns3="6ec60af1-6d1e-4575-bf73-1b6e791fcd10" targetNamespace="http://schemas.microsoft.com/office/2006/metadata/properties" ma:root="true" ma:fieldsID="d60188779eecb9c4f5cda6ff5c288fed" ns2:_="" ns3:_="">
    <xsd:import namespace="ca339065-d680-4a93-9ad1-00d5967fe119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Audience"/>
                <xsd:element ref="ns2:Topic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9065-d680-4a93-9ad1-00d5967fe119" elementFormDefault="qualified">
    <xsd:import namespace="http://schemas.microsoft.com/office/2006/documentManagement/types"/>
    <xsd:import namespace="http://schemas.microsoft.com/office/infopath/2007/PartnerControls"/>
    <xsd:element name="Audience" ma:index="4" ma:displayName="Audience" ma:default="A&amp;E" ma:description="Who is the audience for this document?" ma:format="Dropdown" ma:internalName="Audience" ma:readOnly="false">
      <xsd:simpleType>
        <xsd:restriction base="dms:Choice">
          <xsd:enumeration value="A&amp;E"/>
          <xsd:enumeration value="Other"/>
        </xsd:restriction>
      </xsd:simpleType>
    </xsd:element>
    <xsd:element name="Topic" ma:index="5" ma:displayName="Topic" ma:default="Price Agreement Contract Exhibit" ma:description="What topic is this document related to?" ma:format="Dropdown" ma:internalName="Topic" ma:readOnly="false">
      <xsd:simpleType>
        <xsd:restriction base="dms:Choice">
          <xsd:enumeration value="Price Agreement Contract Exhibit"/>
          <xsd:enumeration value="Policies"/>
          <xsd:enumeration value="Publications"/>
          <xsd:enumeration value="Miscellaneous Forms"/>
          <xsd:enumeration value="Compensation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ca339065-d680-4a93-9ad1-00d5967fe119">Compensation Forms</Topic>
    <Audience xmlns="ca339065-d680-4a93-9ad1-00d5967fe119">A&amp;E</Audience>
  </documentManagement>
</p:properties>
</file>

<file path=customXml/itemProps1.xml><?xml version="1.0" encoding="utf-8"?>
<ds:datastoreItem xmlns:ds="http://schemas.openxmlformats.org/officeDocument/2006/customXml" ds:itemID="{F8A9150C-2291-4AF1-89A6-9DB1ADD45115}"/>
</file>

<file path=customXml/itemProps2.xml><?xml version="1.0" encoding="utf-8"?>
<ds:datastoreItem xmlns:ds="http://schemas.openxmlformats.org/officeDocument/2006/customXml" ds:itemID="{90E54A52-E303-4455-B702-9C3A64957A35}"/>
</file>

<file path=customXml/itemProps3.xml><?xml version="1.0" encoding="utf-8"?>
<ds:datastoreItem xmlns:ds="http://schemas.openxmlformats.org/officeDocument/2006/customXml" ds:itemID="{C8E72340-486B-4739-AB5E-F1AB5D180675}"/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Negotiated Billing Rate Eligibility Certification</dc:title>
  <dc:subject/>
  <dc:creator>SCOVELL Whitney</dc:creator>
  <cp:keywords/>
  <dc:description/>
  <cp:lastModifiedBy>SCOVELL Whitney</cp:lastModifiedBy>
  <cp:revision>3</cp:revision>
  <dcterms:created xsi:type="dcterms:W3CDTF">2025-08-14T15:02:00Z</dcterms:created>
  <dcterms:modified xsi:type="dcterms:W3CDTF">2025-09-25T17:46:00Z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2024-02-05T17:30:49Z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0a18a6a3-b4bb-4537-bb72-69365f938744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0x010100FD41B8FDFD1CE746B0D5127DCC04E831</vt:lpwstr>
  </property>
</Properties>
</file>