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40" w:rsidRDefault="00DF0E40" w:rsidP="001B3268">
      <w:pPr>
        <w:jc w:val="center"/>
        <w:rPr>
          <w:bCs/>
          <w:color w:val="1F497D"/>
          <w:sz w:val="40"/>
          <w:szCs w:val="40"/>
        </w:rPr>
      </w:pPr>
      <w:r w:rsidRPr="00DF0E40">
        <w:rPr>
          <w:bCs/>
          <w:color w:val="1F497D"/>
          <w:sz w:val="40"/>
          <w:szCs w:val="40"/>
        </w:rPr>
        <w:t>Full-Service Price Agreement</w:t>
      </w:r>
      <w:r w:rsidR="009C146D">
        <w:rPr>
          <w:bCs/>
          <w:color w:val="1F497D"/>
          <w:sz w:val="40"/>
          <w:szCs w:val="40"/>
        </w:rPr>
        <w:t>s</w:t>
      </w:r>
    </w:p>
    <w:p w:rsidR="001B3268" w:rsidRPr="001B3268" w:rsidRDefault="00E905CF" w:rsidP="001B3268">
      <w:pPr>
        <w:jc w:val="center"/>
        <w:rPr>
          <w:bCs/>
          <w:color w:val="1F497D"/>
          <w:sz w:val="24"/>
          <w:szCs w:val="24"/>
        </w:rPr>
      </w:pPr>
      <w:bookmarkStart w:id="0" w:name="_GoBack"/>
      <w:bookmarkEnd w:id="0"/>
      <w:r>
        <w:rPr>
          <w:bCs/>
          <w:color w:val="1F497D"/>
          <w:sz w:val="24"/>
          <w:szCs w:val="24"/>
        </w:rPr>
        <w:t>Awarded</w:t>
      </w:r>
      <w:r w:rsidR="001B3268" w:rsidRPr="001B3268">
        <w:rPr>
          <w:bCs/>
          <w:color w:val="1F497D"/>
          <w:sz w:val="24"/>
          <w:szCs w:val="24"/>
        </w:rPr>
        <w:t xml:space="preserve"> under RFP 32257</w:t>
      </w:r>
    </w:p>
    <w:p w:rsidR="001B3268" w:rsidRDefault="001B3268" w:rsidP="001B3268">
      <w:pPr>
        <w:rPr>
          <w:b/>
          <w:bCs/>
          <w:color w:val="1F497D"/>
          <w:u w:val="single"/>
        </w:rPr>
      </w:pPr>
    </w:p>
    <w:p w:rsidR="00054994" w:rsidRDefault="00054994" w:rsidP="002B1BF4">
      <w:pPr>
        <w:spacing w:after="240"/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>Definitions in Solicitation:</w:t>
      </w:r>
    </w:p>
    <w:p w:rsidR="00054994" w:rsidRDefault="00054994" w:rsidP="002B1BF4">
      <w:pPr>
        <w:spacing w:after="240"/>
        <w:rPr>
          <w:spacing w:val="-2"/>
          <w:szCs w:val="24"/>
        </w:rPr>
      </w:pPr>
      <w:r>
        <w:rPr>
          <w:spacing w:val="-2"/>
          <w:szCs w:val="24"/>
        </w:rPr>
        <w:t xml:space="preserve">“Full-Service” means </w:t>
      </w:r>
      <w:r w:rsidRPr="005721B4">
        <w:rPr>
          <w:spacing w:val="-2"/>
          <w:szCs w:val="24"/>
        </w:rPr>
        <w:t>the ability to deliver a multi-discipline transportation-related project from project initiation to final PS&amp;E delivery up to bid (Preliminary Engineering Phase) and Consultant is solely responsible for delivery of the final project package.  The Agency reserves the right to maintain certain disciplines in-house that will contribute to the delive</w:t>
      </w:r>
      <w:r>
        <w:rPr>
          <w:spacing w:val="-2"/>
          <w:szCs w:val="24"/>
        </w:rPr>
        <w:t>ry of the final project package;</w:t>
      </w:r>
    </w:p>
    <w:p w:rsidR="00054994" w:rsidRPr="00054994" w:rsidRDefault="00054994" w:rsidP="002B1BF4">
      <w:pPr>
        <w:pStyle w:val="BodyText2"/>
        <w:spacing w:after="240"/>
        <w:jc w:val="left"/>
        <w:rPr>
          <w:rFonts w:ascii="Calibri" w:eastAsiaTheme="minorHAnsi" w:hAnsi="Calibri" w:cs="Calibri"/>
          <w:spacing w:val="-2"/>
          <w:sz w:val="22"/>
          <w:szCs w:val="24"/>
        </w:rPr>
      </w:pPr>
      <w:r w:rsidRPr="00054994">
        <w:rPr>
          <w:rFonts w:ascii="Calibri" w:eastAsiaTheme="minorHAnsi" w:hAnsi="Calibri" w:cs="Calibri"/>
          <w:spacing w:val="-2"/>
          <w:sz w:val="22"/>
          <w:szCs w:val="24"/>
        </w:rPr>
        <w:t>“Multi-discipline” means two (2) or more disciplines;</w:t>
      </w:r>
    </w:p>
    <w:p w:rsidR="00054994" w:rsidRPr="00054994" w:rsidRDefault="00054994" w:rsidP="002B1BF4">
      <w:pPr>
        <w:spacing w:after="240"/>
        <w:rPr>
          <w:spacing w:val="-2"/>
          <w:szCs w:val="24"/>
        </w:rPr>
      </w:pPr>
      <w:r w:rsidRPr="00054994">
        <w:rPr>
          <w:spacing w:val="-2"/>
          <w:szCs w:val="24"/>
        </w:rPr>
        <w:t>“Tier A” means PAs for projects $150,000 - $750,000;</w:t>
      </w:r>
    </w:p>
    <w:p w:rsidR="00054994" w:rsidRPr="00310DE8" w:rsidRDefault="00054994" w:rsidP="002B1BF4">
      <w:pPr>
        <w:spacing w:after="240"/>
        <w:rPr>
          <w:spacing w:val="-2"/>
          <w:szCs w:val="24"/>
        </w:rPr>
      </w:pPr>
      <w:r w:rsidRPr="00054994">
        <w:rPr>
          <w:spacing w:val="-2"/>
          <w:szCs w:val="24"/>
        </w:rPr>
        <w:t xml:space="preserve">“Tier B” means PAs for projects $350,000 and above; </w:t>
      </w:r>
    </w:p>
    <w:p w:rsidR="00054994" w:rsidRDefault="00054994" w:rsidP="002B1BF4">
      <w:pPr>
        <w:spacing w:after="120"/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>Solicitation Language:</w:t>
      </w:r>
    </w:p>
    <w:p w:rsidR="002B1BF4" w:rsidRDefault="002B1BF4" w:rsidP="002B1BF4">
      <w:r w:rsidRPr="00405C0C">
        <w:t xml:space="preserve">The </w:t>
      </w:r>
      <w:r>
        <w:t xml:space="preserve">Full-Service A&amp;E Professional </w:t>
      </w:r>
      <w:r w:rsidRPr="00405C0C">
        <w:t xml:space="preserve">Services </w:t>
      </w:r>
      <w:r>
        <w:t xml:space="preserve">and Related Services </w:t>
      </w:r>
      <w:r w:rsidRPr="00405C0C">
        <w:t>required are associated with transportation projects that ma</w:t>
      </w:r>
      <w:r>
        <w:t>y be located anywhere in the State on either the S</w:t>
      </w:r>
      <w:r w:rsidRPr="00405C0C">
        <w:t>tate highway system or on transportation systems of L</w:t>
      </w:r>
      <w:r>
        <w:t>ocal Agencies. Proposers will need to be Full-S</w:t>
      </w:r>
      <w:r w:rsidRPr="00405C0C">
        <w:t xml:space="preserve">ervice teams to include project management and all facets of a given project from start to finish with minimal oversight and involvement from ODOT or </w:t>
      </w:r>
      <w:r>
        <w:t>Local Agencies</w:t>
      </w:r>
      <w:r w:rsidRPr="00405C0C">
        <w:t>. WOCs will be assigned using a mini-solicitation process</w:t>
      </w:r>
      <w:r>
        <w:t xml:space="preserve"> (See Exhibit F to the Attachment C Sample PA)</w:t>
      </w:r>
      <w:r w:rsidRPr="00405C0C">
        <w:t xml:space="preserve">. </w:t>
      </w:r>
      <w:r>
        <w:t>The Services needed for any given WOC may include, but are not limited to:</w:t>
      </w:r>
    </w:p>
    <w:p w:rsidR="002B1BF4" w:rsidRDefault="002B1BF4" w:rsidP="002B1BF4"/>
    <w:tbl>
      <w:tblPr>
        <w:tblStyle w:val="TableGrid"/>
        <w:tblW w:w="8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500"/>
      </w:tblGrid>
      <w:tr w:rsidR="002B1BF4" w:rsidTr="002B1BF4">
        <w:trPr>
          <w:trHeight w:val="2177"/>
        </w:trPr>
        <w:tc>
          <w:tcPr>
            <w:tcW w:w="4315" w:type="dxa"/>
          </w:tcPr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 xml:space="preserve">Project Management     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Survey and Mapping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Environmental Services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Public Involvement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 xml:space="preserve">Utility Coordination 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Geotechnical and Pavement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Hydraulics Related Services</w:t>
            </w:r>
          </w:p>
          <w:p w:rsidR="002B1BF4" w:rsidRDefault="002B1BF4" w:rsidP="002B1BF4">
            <w:pPr>
              <w:numPr>
                <w:ilvl w:val="0"/>
                <w:numId w:val="2"/>
              </w:numPr>
            </w:pPr>
            <w:r w:rsidRPr="00834B29">
              <w:rPr>
                <w:rFonts w:cs="Mangal"/>
                <w:lang w:bidi="kok-IN"/>
              </w:rPr>
              <w:t>Traffic Engineering and Management</w:t>
            </w:r>
          </w:p>
        </w:tc>
        <w:tc>
          <w:tcPr>
            <w:tcW w:w="4500" w:type="dxa"/>
          </w:tcPr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Pavement Design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Roadway Design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Bridge Design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Interchange Design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Design Acceptance Plans (DAP)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Right of Way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Plan, Specification and Estimate (PS&amp;E)</w:t>
            </w:r>
          </w:p>
          <w:p w:rsidR="002B1BF4" w:rsidRPr="00834B29" w:rsidRDefault="002B1BF4" w:rsidP="002B1BF4">
            <w:pPr>
              <w:numPr>
                <w:ilvl w:val="0"/>
                <w:numId w:val="2"/>
              </w:numPr>
              <w:rPr>
                <w:rFonts w:cs="Mangal"/>
                <w:lang w:bidi="kok-IN"/>
              </w:rPr>
            </w:pPr>
            <w:r w:rsidRPr="00834B29">
              <w:rPr>
                <w:rFonts w:cs="Mangal"/>
                <w:lang w:bidi="kok-IN"/>
              </w:rPr>
              <w:t>Bid Assist</w:t>
            </w:r>
          </w:p>
          <w:p w:rsidR="002B1BF4" w:rsidRDefault="002B1BF4" w:rsidP="002B1BF4"/>
        </w:tc>
      </w:tr>
    </w:tbl>
    <w:p w:rsidR="002B1BF4" w:rsidRDefault="002B1BF4" w:rsidP="002B1BF4">
      <w:pPr>
        <w:rPr>
          <w:color w:val="000000"/>
        </w:rPr>
      </w:pPr>
      <w:r>
        <w:rPr>
          <w:color w:val="000000"/>
        </w:rPr>
        <w:t xml:space="preserve">A WOC may also include CA/CEI Services as a continuation of other Services already assigned, but Agency does not anticipate using the PAs awarded under this RFP to assign only CA/CEI Services for a project. </w:t>
      </w:r>
    </w:p>
    <w:p w:rsidR="002B1BF4" w:rsidRPr="001B3268" w:rsidRDefault="002B1BF4" w:rsidP="00054994">
      <w:pPr>
        <w:rPr>
          <w:color w:val="000000"/>
          <w:sz w:val="16"/>
          <w:szCs w:val="16"/>
        </w:rPr>
      </w:pPr>
    </w:p>
    <w:p w:rsidR="00054994" w:rsidRDefault="00054994" w:rsidP="0005499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The PA series to be awarded under this RFP is an overlapping two-tier PA series.  On Attachment A, Proposal Coversheet, Proposers must select which PA tier they are proposing on, either Tier A or Tier B.  Firms are not allowed to propose for both Tier A and Tier B PAs and must choose one tier.  If a firm proposes for Tier B and is not awarded a Tier B PA, that firm will automatically be evaluated for a Tier A PA.  Agency’s tiered process consists of the following and is further defined in Exhibit F, of Attachment C, Sample Price Agreement: </w:t>
      </w:r>
    </w:p>
    <w:p w:rsidR="00054994" w:rsidRDefault="00054994" w:rsidP="00054994">
      <w:pPr>
        <w:rPr>
          <w:color w:val="000000"/>
        </w:rPr>
      </w:pPr>
    </w:p>
    <w:p w:rsidR="00054994" w:rsidRPr="00054994" w:rsidRDefault="00054994" w:rsidP="00054994">
      <w:pPr>
        <w:numPr>
          <w:ilvl w:val="0"/>
          <w:numId w:val="1"/>
        </w:numPr>
        <w:rPr>
          <w:color w:val="000000"/>
        </w:rPr>
      </w:pPr>
      <w:r w:rsidRPr="00054994">
        <w:rPr>
          <w:color w:val="000000"/>
        </w:rPr>
        <w:t>TIER A:  PA for projects $150,000 - $750,000;</w:t>
      </w:r>
    </w:p>
    <w:p w:rsidR="00054994" w:rsidRPr="00054994" w:rsidRDefault="00054994" w:rsidP="00054994">
      <w:pPr>
        <w:numPr>
          <w:ilvl w:val="0"/>
          <w:numId w:val="1"/>
        </w:numPr>
        <w:rPr>
          <w:color w:val="000000"/>
        </w:rPr>
      </w:pPr>
      <w:r w:rsidRPr="00054994">
        <w:rPr>
          <w:color w:val="000000"/>
        </w:rPr>
        <w:t>TIER B:  PA for projects $350,000 and above;</w:t>
      </w:r>
    </w:p>
    <w:p w:rsidR="00054994" w:rsidRPr="00054994" w:rsidRDefault="00054994" w:rsidP="00054994">
      <w:pPr>
        <w:numPr>
          <w:ilvl w:val="0"/>
          <w:numId w:val="1"/>
        </w:numPr>
        <w:rPr>
          <w:color w:val="000000"/>
        </w:rPr>
      </w:pPr>
      <w:r w:rsidRPr="00054994">
        <w:rPr>
          <w:color w:val="000000"/>
        </w:rPr>
        <w:t>OVERLAP:  Both Tier A and Tier B may compete for projects $350,000-$750,000.</w:t>
      </w:r>
    </w:p>
    <w:p w:rsidR="00054994" w:rsidRDefault="00054994" w:rsidP="00054994">
      <w:pPr>
        <w:rPr>
          <w:color w:val="1F497D"/>
        </w:rPr>
      </w:pPr>
    </w:p>
    <w:p w:rsidR="002B1BF4" w:rsidRDefault="002B1BF4" w:rsidP="002B1BF4">
      <w:pPr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>Price Agreements:</w:t>
      </w:r>
    </w:p>
    <w:p w:rsidR="002B1BF4" w:rsidRPr="001B3268" w:rsidRDefault="002B1BF4" w:rsidP="002B1BF4">
      <w:pPr>
        <w:rPr>
          <w:rFonts w:ascii="Times New Roman" w:hAnsi="Times New Roman" w:cs="Times New Roman"/>
          <w:sz w:val="16"/>
          <w:szCs w:val="16"/>
        </w:rPr>
      </w:pPr>
    </w:p>
    <w:p w:rsidR="002B1BF4" w:rsidRDefault="002B1BF4" w:rsidP="002B1BF4">
      <w:pPr>
        <w:pStyle w:val="Heading5"/>
        <w:spacing w:after="240"/>
        <w:ind w:left="0"/>
        <w:rPr>
          <w:rFonts w:eastAsia="Times New Roman"/>
        </w:rPr>
      </w:pPr>
      <w:r>
        <w:rPr>
          <w:rFonts w:eastAsia="Times New Roman"/>
        </w:rPr>
        <w:t>WORK ORDER CONTRACT ASSIGNMENT PROCESS</w:t>
      </w:r>
    </w:p>
    <w:p w:rsidR="002B1BF4" w:rsidRDefault="002B1BF4" w:rsidP="001B3268">
      <w:pPr>
        <w:autoSpaceDE w:val="0"/>
        <w:autoSpaceDN w:val="0"/>
        <w:spacing w:after="120"/>
      </w:pPr>
      <w:r>
        <w:t xml:space="preserve">WOCs will be assigned as needed by Agency, and there is no guarantee that any specific amount of Services or overall dollar amounts will be assigned to Consultant.     </w:t>
      </w:r>
    </w:p>
    <w:p w:rsidR="002B1BF4" w:rsidRPr="00054994" w:rsidRDefault="002B1BF4" w:rsidP="002B1BF4">
      <w:pPr>
        <w:numPr>
          <w:ilvl w:val="0"/>
          <w:numId w:val="1"/>
        </w:numPr>
      </w:pPr>
      <w:r w:rsidRPr="00054994">
        <w:t xml:space="preserve">Tier </w:t>
      </w:r>
      <w:proofErr w:type="gramStart"/>
      <w:r w:rsidRPr="00054994">
        <w:t>A</w:t>
      </w:r>
      <w:proofErr w:type="gramEnd"/>
      <w:r w:rsidRPr="00054994">
        <w:t xml:space="preserve"> PA Consultants are eligible to compete for WOCs/Projects $150,000 - $750,000.</w:t>
      </w:r>
    </w:p>
    <w:p w:rsidR="002B1BF4" w:rsidRPr="00054994" w:rsidRDefault="002B1BF4" w:rsidP="002B1BF4">
      <w:pPr>
        <w:numPr>
          <w:ilvl w:val="0"/>
          <w:numId w:val="1"/>
        </w:numPr>
      </w:pPr>
      <w:r w:rsidRPr="00054994">
        <w:t>Tier B PA Consultants are eligible to compete for WOCs/Project $350,000 and above.</w:t>
      </w:r>
    </w:p>
    <w:p w:rsidR="002B1BF4" w:rsidRDefault="002B1BF4" w:rsidP="002B1BF4">
      <w:pPr>
        <w:numPr>
          <w:ilvl w:val="0"/>
          <w:numId w:val="1"/>
        </w:numPr>
        <w:spacing w:after="240"/>
        <w:contextualSpacing/>
      </w:pPr>
      <w:r w:rsidRPr="00054994">
        <w:t xml:space="preserve">Both Tier </w:t>
      </w:r>
      <w:proofErr w:type="gramStart"/>
      <w:r w:rsidRPr="00054994">
        <w:t>A</w:t>
      </w:r>
      <w:proofErr w:type="gramEnd"/>
      <w:r w:rsidRPr="00054994">
        <w:t xml:space="preserve"> PA and Tier B PA Consultants are eligible to compete for WOCs/Project $350,000-$750,000.</w:t>
      </w:r>
    </w:p>
    <w:p w:rsidR="00DB3348" w:rsidRPr="001B3268" w:rsidRDefault="00DB3348" w:rsidP="00DB3348">
      <w:pPr>
        <w:spacing w:after="240"/>
        <w:ind w:left="720"/>
        <w:contextualSpacing/>
        <w:rPr>
          <w:sz w:val="16"/>
          <w:szCs w:val="16"/>
        </w:rPr>
      </w:pPr>
    </w:p>
    <w:p w:rsidR="00DB3348" w:rsidRPr="00DB3348" w:rsidRDefault="00DB3348" w:rsidP="00DB3348">
      <w:pPr>
        <w:rPr>
          <w:rFonts w:asciiTheme="minorHAnsi" w:hAnsiTheme="minorHAnsi" w:cstheme="minorHAnsi"/>
          <w:highlight w:val="yellow"/>
        </w:rPr>
      </w:pPr>
      <w:r w:rsidRPr="00DB3348">
        <w:rPr>
          <w:rFonts w:asciiTheme="minorHAnsi" w:hAnsiTheme="minorHAnsi" w:cstheme="minorHAnsi"/>
          <w:highlight w:val="yellow"/>
        </w:rPr>
        <w:t xml:space="preserve">The scopes of services and </w:t>
      </w:r>
      <w:r w:rsidRPr="00DB3348">
        <w:rPr>
          <w:rFonts w:asciiTheme="minorHAnsi" w:hAnsiTheme="minorHAnsi" w:cstheme="minorHAnsi"/>
          <w:b/>
          <w:highlight w:val="yellow"/>
          <w:u w:val="single"/>
        </w:rPr>
        <w:t>estimated PE contract value</w:t>
      </w:r>
      <w:r w:rsidRPr="00DB3348">
        <w:rPr>
          <w:rFonts w:asciiTheme="minorHAnsi" w:hAnsiTheme="minorHAnsi" w:cstheme="minorHAnsi"/>
          <w:highlight w:val="yellow"/>
        </w:rPr>
        <w:t xml:space="preserve"> determine the applicable PA Tier to use for the Mini-Solicitation process.  The estimated PE contract value should include potential amendments (except for potential amendments to add any elements of CA/CEI services).  See Full-Service </w:t>
      </w:r>
      <w:r>
        <w:rPr>
          <w:rFonts w:asciiTheme="minorHAnsi" w:hAnsiTheme="minorHAnsi" w:cstheme="minorHAnsi"/>
          <w:highlight w:val="yellow"/>
        </w:rPr>
        <w:t>User Guides for more detail.</w:t>
      </w:r>
    </w:p>
    <w:p w:rsidR="002B1BF4" w:rsidRPr="001B3268" w:rsidRDefault="002B1BF4" w:rsidP="002B1BF4">
      <w:pPr>
        <w:rPr>
          <w:b/>
          <w:bCs/>
          <w:color w:val="1F497D"/>
          <w:sz w:val="16"/>
          <w:szCs w:val="16"/>
          <w:u w:val="single"/>
        </w:rPr>
      </w:pPr>
    </w:p>
    <w:p w:rsidR="002B1BF4" w:rsidRDefault="002B1BF4" w:rsidP="002B1BF4">
      <w:pPr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>User Guides:</w:t>
      </w:r>
    </w:p>
    <w:p w:rsidR="002B1BF4" w:rsidRDefault="002B1BF4" w:rsidP="002B1BF4">
      <w:pPr>
        <w:rPr>
          <w:b/>
          <w:bCs/>
          <w:color w:val="1F497D"/>
          <w:u w:val="single"/>
        </w:rPr>
      </w:pPr>
    </w:p>
    <w:p w:rsidR="00504B4D" w:rsidRDefault="00504B4D" w:rsidP="00504B4D">
      <w:pPr>
        <w:numPr>
          <w:ilvl w:val="0"/>
          <w:numId w:val="3"/>
        </w:numPr>
        <w:spacing w:after="240"/>
        <w:contextualSpacing/>
        <w:rPr>
          <w:rFonts w:eastAsia="Times New Roman"/>
        </w:rPr>
      </w:pPr>
      <w:r>
        <w:rPr>
          <w:rFonts w:eastAsia="Times New Roman"/>
        </w:rPr>
        <w:t>Full-Service procurements under $150,000 will be done outside of these Price Agreements (see user guides</w:t>
      </w:r>
      <w:r w:rsidR="006D2F33">
        <w:rPr>
          <w:rFonts w:eastAsia="Times New Roman"/>
        </w:rPr>
        <w:t>):</w:t>
      </w:r>
      <w:r>
        <w:rPr>
          <w:rFonts w:eastAsia="Times New Roman"/>
        </w:rPr>
        <w:t xml:space="preserve"> </w:t>
      </w:r>
      <w:hyperlink r:id="rId7" w:history="1">
        <w:r>
          <w:rPr>
            <w:rStyle w:val="Hyperlink"/>
            <w:rFonts w:eastAsia="Times New Roman"/>
          </w:rPr>
          <w:t>http://www.oregon.gov/ODOT/Business/Procurement/FS/APMguide.doc</w:t>
        </w:r>
      </w:hyperlink>
      <w:r>
        <w:rPr>
          <w:rFonts w:eastAsia="Times New Roman"/>
        </w:rPr>
        <w:t xml:space="preserve">, </w:t>
      </w:r>
      <w:hyperlink r:id="rId8" w:history="1">
        <w:r>
          <w:rPr>
            <w:rStyle w:val="Hyperlink"/>
            <w:rFonts w:eastAsia="Times New Roman"/>
          </w:rPr>
          <w:t>http://www.oregon.gov/ODOT/Business/Procurement/FS/tier2guide.doc</w:t>
        </w:r>
      </w:hyperlink>
    </w:p>
    <w:p w:rsidR="00504B4D" w:rsidRDefault="00504B4D" w:rsidP="00504B4D">
      <w:pPr>
        <w:spacing w:after="240"/>
        <w:ind w:left="720"/>
        <w:contextualSpacing/>
        <w:rPr>
          <w:rFonts w:eastAsia="Times New Roman"/>
        </w:rPr>
      </w:pPr>
    </w:p>
    <w:p w:rsidR="001C18C5" w:rsidRPr="001C18C5" w:rsidRDefault="00D12DF9" w:rsidP="001C18C5">
      <w:pPr>
        <w:rPr>
          <w:b/>
          <w:bCs/>
          <w:u w:val="single"/>
        </w:rPr>
      </w:pPr>
      <w:r>
        <w:rPr>
          <w:b/>
          <w:bCs/>
          <w:color w:val="1F497D"/>
          <w:u w:val="single"/>
        </w:rPr>
        <w:t>Option</w:t>
      </w:r>
      <w:r w:rsidR="001C18C5" w:rsidRPr="001C18C5">
        <w:rPr>
          <w:b/>
          <w:bCs/>
          <w:color w:val="1F497D"/>
          <w:u w:val="single"/>
        </w:rPr>
        <w:t xml:space="preserve"> for Full-Service Projects under $150,000</w:t>
      </w:r>
      <w:r w:rsidR="001C18C5">
        <w:rPr>
          <w:b/>
          <w:bCs/>
          <w:sz w:val="24"/>
          <w:szCs w:val="24"/>
          <w:u w:val="single"/>
        </w:rPr>
        <w:t xml:space="preserve"> </w:t>
      </w:r>
      <w:r w:rsidR="00EB6756">
        <w:rPr>
          <w:b/>
          <w:bCs/>
          <w:i/>
          <w:iCs/>
          <w:color w:val="FF0000"/>
        </w:rPr>
        <w:t xml:space="preserve">(this method </w:t>
      </w:r>
      <w:r w:rsidR="001C18C5" w:rsidRPr="001C18C5">
        <w:rPr>
          <w:b/>
          <w:bCs/>
          <w:i/>
          <w:iCs/>
          <w:color w:val="FF0000"/>
        </w:rPr>
        <w:t>do</w:t>
      </w:r>
      <w:r w:rsidR="00EB6756">
        <w:rPr>
          <w:b/>
          <w:bCs/>
          <w:i/>
          <w:iCs/>
          <w:color w:val="FF0000"/>
        </w:rPr>
        <w:t>es</w:t>
      </w:r>
      <w:r w:rsidR="001C18C5" w:rsidRPr="001C18C5">
        <w:rPr>
          <w:b/>
          <w:bCs/>
          <w:i/>
          <w:iCs/>
          <w:color w:val="FF0000"/>
        </w:rPr>
        <w:t xml:space="preserve"> not include issuing a WOC from the PA’s and using the PA NTE)</w:t>
      </w:r>
      <w:r w:rsidR="001C18C5" w:rsidRPr="008321AA">
        <w:rPr>
          <w:bCs/>
          <w:iCs/>
          <w:color w:val="1F497D" w:themeColor="text2"/>
        </w:rPr>
        <w:t>:</w:t>
      </w:r>
    </w:p>
    <w:p w:rsidR="002B1BF4" w:rsidRPr="00D6169F" w:rsidRDefault="001C18C5" w:rsidP="00FA5EA3">
      <w:pPr>
        <w:pStyle w:val="ListParagraph"/>
        <w:numPr>
          <w:ilvl w:val="0"/>
          <w:numId w:val="3"/>
        </w:numPr>
        <w:spacing w:after="200" w:line="276" w:lineRule="auto"/>
        <w:contextualSpacing w:val="0"/>
        <w:rPr>
          <w:b/>
          <w:bCs/>
          <w:color w:val="1F497D"/>
          <w:u w:val="single"/>
        </w:rPr>
      </w:pPr>
      <w:r w:rsidRPr="001C18C5">
        <w:rPr>
          <w:rFonts w:ascii="Calibri" w:hAnsi="Calibri" w:cs="Calibri"/>
          <w:sz w:val="22"/>
          <w:szCs w:val="22"/>
        </w:rPr>
        <w:t xml:space="preserve">The Agency can use the Full-Service PA’s as a “Qualified List” to award a project specific contract using the Small Purchase Process (federal </w:t>
      </w:r>
      <w:r w:rsidR="004C4BFA">
        <w:rPr>
          <w:rFonts w:ascii="Calibri" w:hAnsi="Calibri" w:cs="Calibri"/>
          <w:sz w:val="22"/>
          <w:szCs w:val="22"/>
        </w:rPr>
        <w:t xml:space="preserve">and state funds </w:t>
      </w:r>
      <w:r w:rsidRPr="001C18C5">
        <w:rPr>
          <w:rFonts w:ascii="Calibri" w:hAnsi="Calibri" w:cs="Calibri"/>
          <w:sz w:val="22"/>
          <w:szCs w:val="22"/>
        </w:rPr>
        <w:t>up to $150,000, see Small Purchase Procedure</w:t>
      </w:r>
      <w:r w:rsidR="006D2F33">
        <w:rPr>
          <w:rFonts w:ascii="Calibri" w:hAnsi="Calibri" w:cs="Calibri"/>
          <w:sz w:val="22"/>
          <w:szCs w:val="22"/>
        </w:rPr>
        <w:t>):</w:t>
      </w:r>
      <w:r>
        <w:t xml:space="preserve"> </w:t>
      </w:r>
      <w:hyperlink r:id="rId9" w:history="1">
        <w:r w:rsidRPr="00D6169F">
          <w:rPr>
            <w:rStyle w:val="Hyperlink"/>
            <w:rFonts w:asciiTheme="minorHAnsi" w:hAnsiTheme="minorHAnsi" w:cstheme="minorHAnsi"/>
            <w:sz w:val="22"/>
            <w:szCs w:val="22"/>
          </w:rPr>
          <w:t>http://transnet.odot.state.or.us/cs/opo/Documents/Policies-Procedures/DP-OPO-037.pdf</w:t>
        </w:r>
      </w:hyperlink>
      <w:r w:rsidRPr="00D6169F">
        <w:rPr>
          <w:rFonts w:asciiTheme="minorHAnsi" w:hAnsiTheme="minorHAnsi" w:cstheme="minorHAnsi"/>
          <w:sz w:val="22"/>
          <w:szCs w:val="22"/>
        </w:rPr>
        <w:t>)</w:t>
      </w:r>
    </w:p>
    <w:sectPr w:rsidR="002B1BF4" w:rsidRPr="00D6169F" w:rsidSect="002B1BF4">
      <w:footerReference w:type="default" r:id="rId10"/>
      <w:pgSz w:w="12240" w:h="20160" w:code="5"/>
      <w:pgMar w:top="432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3F" w:rsidRDefault="00171E3F" w:rsidP="002B1BF4">
      <w:r>
        <w:separator/>
      </w:r>
    </w:p>
  </w:endnote>
  <w:endnote w:type="continuationSeparator" w:id="0">
    <w:p w:rsidR="00171E3F" w:rsidRDefault="00171E3F" w:rsidP="002B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463" w:rsidRPr="00AA43FB" w:rsidRDefault="00B22E97">
    <w:pPr>
      <w:pStyle w:val="Foo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z w:val="18"/>
      </w:rPr>
      <w:t>07-2</w:t>
    </w:r>
    <w:r w:rsidR="00DB3348">
      <w:rPr>
        <w:rFonts w:asciiTheme="minorHAnsi" w:hAnsiTheme="minorHAnsi" w:cstheme="minorHAnsi"/>
        <w:b/>
        <w:sz w:val="18"/>
      </w:rPr>
      <w:t>9</w:t>
    </w:r>
    <w:r w:rsidR="00AA43FB" w:rsidRPr="00AA43FB">
      <w:rPr>
        <w:rFonts w:asciiTheme="minorHAnsi" w:hAnsiTheme="minorHAnsi" w:cstheme="minorHAnsi"/>
        <w:b/>
        <w:sz w:val="18"/>
      </w:rPr>
      <w:t>-1</w:t>
    </w:r>
    <w:r w:rsidR="00DB3348">
      <w:rPr>
        <w:rFonts w:asciiTheme="minorHAnsi" w:hAnsiTheme="minorHAnsi" w:cstheme="minorHAnsi"/>
        <w:b/>
        <w:sz w:val="18"/>
      </w:rPr>
      <w:t>9</w:t>
    </w:r>
    <w:r w:rsidR="002B1BF4" w:rsidRPr="00AA43FB">
      <w:rPr>
        <w:rFonts w:asciiTheme="minorHAnsi" w:hAnsiTheme="minorHAnsi" w:cstheme="minorHAnsi"/>
        <w:b/>
        <w:sz w:val="18"/>
      </w:rPr>
      <w:tab/>
    </w:r>
  </w:p>
  <w:p w:rsidR="00056463" w:rsidRPr="00676F7E" w:rsidRDefault="002B1BF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3F" w:rsidRDefault="00171E3F" w:rsidP="002B1BF4">
      <w:r>
        <w:separator/>
      </w:r>
    </w:p>
  </w:footnote>
  <w:footnote w:type="continuationSeparator" w:id="0">
    <w:p w:rsidR="00171E3F" w:rsidRDefault="00171E3F" w:rsidP="002B1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CD8"/>
    <w:multiLevelType w:val="hybridMultilevel"/>
    <w:tmpl w:val="B30E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B38B6"/>
    <w:multiLevelType w:val="hybridMultilevel"/>
    <w:tmpl w:val="CE1A3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94"/>
    <w:rsid w:val="00054994"/>
    <w:rsid w:val="000B59A5"/>
    <w:rsid w:val="00171E3F"/>
    <w:rsid w:val="001B3268"/>
    <w:rsid w:val="001C18C5"/>
    <w:rsid w:val="002B1BF4"/>
    <w:rsid w:val="003A50A1"/>
    <w:rsid w:val="004C4BFA"/>
    <w:rsid w:val="00504B4D"/>
    <w:rsid w:val="005A7D6D"/>
    <w:rsid w:val="006D2F33"/>
    <w:rsid w:val="008321AA"/>
    <w:rsid w:val="009C146D"/>
    <w:rsid w:val="00A250EA"/>
    <w:rsid w:val="00AA43FB"/>
    <w:rsid w:val="00B22E97"/>
    <w:rsid w:val="00D12DF9"/>
    <w:rsid w:val="00D6169F"/>
    <w:rsid w:val="00D65227"/>
    <w:rsid w:val="00DB3348"/>
    <w:rsid w:val="00DF0E40"/>
    <w:rsid w:val="00E055E8"/>
    <w:rsid w:val="00E905CF"/>
    <w:rsid w:val="00EB6756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82FB2DC-4C87-481B-BF90-8622EEC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994"/>
    <w:pPr>
      <w:spacing w:after="0" w:line="240" w:lineRule="auto"/>
    </w:pPr>
    <w:rPr>
      <w:rFonts w:ascii="Calibri" w:hAnsi="Calibri" w:cs="Calibri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054994"/>
    <w:pPr>
      <w:spacing w:after="60"/>
      <w:ind w:left="288"/>
      <w:outlineLvl w:val="4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054994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54994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aliases w:val="Body Text 2 Char1 Char,Body Text 2 Char Char Char,Body Text 1 Char Char Char,Body Text 1 Char1 Char,Body Text 2 Char1,Body Text 2 Char Char,Body Text 1 Char Char,Body Text 1 Char1"/>
    <w:basedOn w:val="Normal"/>
    <w:link w:val="BodyText2Char2"/>
    <w:rsid w:val="0005499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uiPriority w:val="99"/>
    <w:semiHidden/>
    <w:rsid w:val="00054994"/>
    <w:rPr>
      <w:rFonts w:ascii="Calibri" w:hAnsi="Calibri" w:cs="Calibri"/>
    </w:rPr>
  </w:style>
  <w:style w:type="character" w:customStyle="1" w:styleId="BodyText2Char2">
    <w:name w:val="Body Text 2 Char2"/>
    <w:aliases w:val="Body Text 2 Char1 Char Char,Body Text 2 Char Char Char Char,Body Text 1 Char Char Char Char,Body Text 1 Char1 Char Char,Body Text 2 Char1 Char1,Body Text 2 Char Char Char1,Body Text 1 Char Char Char1,Body Text 1 Char1 Char1"/>
    <w:link w:val="BodyText2"/>
    <w:rsid w:val="0005499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B1BF4"/>
  </w:style>
  <w:style w:type="paragraph" w:styleId="Footer">
    <w:name w:val="footer"/>
    <w:basedOn w:val="Normal"/>
    <w:link w:val="FooterChar"/>
    <w:rsid w:val="002B1BF4"/>
    <w:pPr>
      <w:tabs>
        <w:tab w:val="center" w:pos="5040"/>
        <w:tab w:val="right" w:pos="1008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2B1BF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B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BF4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C1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DOT/Business/Procurement/FS/tier2guide.doc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oregon.gov/ODOT/Business/Procurement/FS/APMguide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ransnet.odot.state.or.us/cs/opo/Documents/Policies-Procedures/DP-OPO-037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54D41ED7B03419EC5307E70C9D768" ma:contentTypeVersion="7" ma:contentTypeDescription="Create a new document." ma:contentTypeScope="" ma:versionID="da853b8db401407e99e0fbe57710c3e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087731bee01ba62bf11ff4a5fc2b51aa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F9870-34AE-41BA-B193-40569545048B}"/>
</file>

<file path=customXml/itemProps2.xml><?xml version="1.0" encoding="utf-8"?>
<ds:datastoreItem xmlns:ds="http://schemas.openxmlformats.org/officeDocument/2006/customXml" ds:itemID="{F2F24E9E-3B95-4451-A1B3-65C96101434B}"/>
</file>

<file path=customXml/itemProps3.xml><?xml version="1.0" encoding="utf-8"?>
<ds:datastoreItem xmlns:ds="http://schemas.openxmlformats.org/officeDocument/2006/customXml" ds:itemID="{8E0D63EA-DE3F-43F1-90F7-FF48455DBB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Mary M * ODOT</dc:creator>
  <cp:keywords/>
  <dc:description/>
  <cp:lastModifiedBy>RICE Kim C</cp:lastModifiedBy>
  <cp:revision>6</cp:revision>
  <dcterms:created xsi:type="dcterms:W3CDTF">2019-07-30T18:09:00Z</dcterms:created>
  <dcterms:modified xsi:type="dcterms:W3CDTF">2019-07-30T21:35:00Z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0x010100E1154D41ED7B03419EC5307E70C9D768</vt:lpwstr>
  </property>
</Properties>
</file>