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A48" w:rsidRDefault="00A66C7B" w:rsidP="00770A48">
      <w:r>
        <w:rPr>
          <w:rFonts w:cs="Times New Roman"/>
          <w:noProof/>
        </w:rPr>
        <w:drawing>
          <wp:anchor distT="0" distB="0" distL="114300" distR="114300" simplePos="0" relativeHeight="251648000" behindDoc="0" locked="0" layoutInCell="1" allowOverlap="1" wp14:anchorId="7DDF27A8" wp14:editId="46CEB796">
            <wp:simplePos x="0" y="0"/>
            <wp:positionH relativeFrom="margin">
              <wp:posOffset>-552559</wp:posOffset>
            </wp:positionH>
            <wp:positionV relativeFrom="margin">
              <wp:posOffset>-536575</wp:posOffset>
            </wp:positionV>
            <wp:extent cx="1460500" cy="44386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ing t with words reversed.gif"/>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60500" cy="443865"/>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785B6944" wp14:editId="2956552C">
                <wp:simplePos x="0" y="0"/>
                <wp:positionH relativeFrom="page">
                  <wp:posOffset>5673725</wp:posOffset>
                </wp:positionH>
                <wp:positionV relativeFrom="page">
                  <wp:posOffset>232301</wp:posOffset>
                </wp:positionV>
                <wp:extent cx="1880870" cy="9655810"/>
                <wp:effectExtent l="0" t="0" r="5080" b="25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0A48" w:rsidRPr="002C5956" w:rsidRDefault="002B6A72" w:rsidP="00AF0C64">
                            <w:pPr>
                              <w:pStyle w:val="Subtitle"/>
                              <w:rPr>
                                <w:b/>
                                <w:color w:val="000000" w:themeColor="text1"/>
                              </w:rPr>
                            </w:pPr>
                            <w:sdt>
                              <w:sdtPr>
                                <w:rPr>
                                  <w:b/>
                                  <w:color w:val="000000" w:themeColor="text1"/>
                                </w:rPr>
                                <w:alias w:val="Subtitle"/>
                                <w:id w:val="1090039369"/>
                                <w:showingPlcHdr/>
                                <w:dataBinding w:prefixMappings="xmlns:ns0='http://schemas.openxmlformats.org/package/2006/metadata/core-properties' xmlns:ns1='http://purl.org/dc/elements/1.1/'" w:xpath="/ns0:coreProperties[1]/ns1:subject[1]" w:storeItemID="{6C3C8BC8-F283-45AE-878A-BAB7291924A1}"/>
                                <w:text/>
                              </w:sdtPr>
                              <w:sdtEndPr/>
                              <w:sdtContent>
                                <w:r w:rsidR="0036205B">
                                  <w:rPr>
                                    <w:b/>
                                    <w:color w:val="000000" w:themeColor="text1"/>
                                  </w:rPr>
                                  <w:t xml:space="preserve">     </w:t>
                                </w:r>
                              </w:sdtContent>
                            </w:sdt>
                            <w:r w:rsidR="00770A48" w:rsidRPr="002C5956">
                              <w:rPr>
                                <w:b/>
                                <w:color w:val="000000" w:themeColor="text1"/>
                              </w:rPr>
                              <w:t>2016 OReGO FAST Act STSFA Grant</w:t>
                            </w:r>
                          </w:p>
                          <w:p w:rsidR="00770A48" w:rsidRPr="002C5956" w:rsidRDefault="001C63D1" w:rsidP="00770A48">
                            <w:pPr>
                              <w:pStyle w:val="Subtitle"/>
                              <w:rPr>
                                <w:b/>
                                <w:color w:val="000000" w:themeColor="text1"/>
                              </w:rPr>
                            </w:pPr>
                            <w:r>
                              <w:rPr>
                                <w:b/>
                                <w:color w:val="000000" w:themeColor="text1"/>
                              </w:rPr>
                              <w:t>June</w:t>
                            </w:r>
                            <w:r w:rsidR="00035D98">
                              <w:rPr>
                                <w:b/>
                                <w:color w:val="000000" w:themeColor="text1"/>
                              </w:rPr>
                              <w:t xml:space="preserve"> 2019</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785B6944" id="Rectangle 48" o:spid="_x0000_s1026" style="position:absolute;margin-left:446.75pt;margin-top:18.3pt;width:148.1pt;height:760.3pt;z-index:251660288;visibility:visible;mso-wrap-style:square;mso-width-percent:242;mso-height-percent:960;mso-wrap-distance-left:9pt;mso-wrap-distance-top:0;mso-wrap-distance-right:9pt;mso-wrap-distance-bottom:0;mso-position-horizontal:absolute;mso-position-horizontal-relative:page;mso-position-vertical:absolute;mso-position-vertical-relative:page;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" fillcolor="#8dc63f" stroked="f" strokeweight="2pt">
                <v:path arrowok="t"/>
                <v:textbox inset="14.4pt,,14.4pt">
                  <w:txbxContent>
                    <w:p w:rsidR="00770A48" w:rsidRPr="002C5956" w:rsidRDefault="002B6A72" w:rsidP="00AF0C64">
                      <w:pPr>
                        <w:pStyle w:val="Subtitle"/>
                        <w:rPr>
                          <w:b/>
                          <w:color w:val="000000" w:themeColor="text1"/>
                        </w:rPr>
                      </w:pPr>
                      <w:sdt>
                        <w:sdtPr>
                          <w:rPr>
                            <w:b/>
                            <w:color w:val="000000" w:themeColor="text1"/>
                          </w:rPr>
                          <w:alias w:val="Subtitle"/>
                          <w:id w:val="1090039369"/>
                          <w:showingPlcHdr/>
                          <w:dataBinding w:prefixMappings="xmlns:ns0='http://schemas.openxmlformats.org/package/2006/metadata/core-properties' xmlns:ns1='http://purl.org/dc/elements/1.1/'" w:xpath="/ns0:coreProperties[1]/ns1:subject[1]" w:storeItemID="{6C3C8BC8-F283-45AE-878A-BAB7291924A1}"/>
                          <w:text/>
                        </w:sdtPr>
                        <w:sdtEndPr/>
                        <w:sdtContent>
                          <w:r w:rsidR="0036205B">
                            <w:rPr>
                              <w:b/>
                              <w:color w:val="000000" w:themeColor="text1"/>
                            </w:rPr>
                            <w:t xml:space="preserve">     </w:t>
                          </w:r>
                        </w:sdtContent>
                      </w:sdt>
                      <w:r w:rsidR="00770A48" w:rsidRPr="002C5956">
                        <w:rPr>
                          <w:b/>
                          <w:color w:val="000000" w:themeColor="text1"/>
                        </w:rPr>
                        <w:t>2016 OReGO FAST Act STSFA Grant</w:t>
                      </w:r>
                    </w:p>
                    <w:p w:rsidR="00770A48" w:rsidRPr="002C5956" w:rsidRDefault="001C63D1" w:rsidP="00770A48">
                      <w:pPr>
                        <w:pStyle w:val="Subtitle"/>
                        <w:rPr>
                          <w:b/>
                          <w:color w:val="000000" w:themeColor="text1"/>
                        </w:rPr>
                      </w:pPr>
                      <w:r>
                        <w:rPr>
                          <w:b/>
                          <w:color w:val="000000" w:themeColor="text1"/>
                        </w:rPr>
                        <w:t>June</w:t>
                      </w:r>
                      <w:r w:rsidR="00035D98">
                        <w:rPr>
                          <w:b/>
                          <w:color w:val="000000" w:themeColor="text1"/>
                        </w:rPr>
                        <w:t xml:space="preserve"> 2019</w:t>
                      </w:r>
                    </w:p>
                  </w:txbxContent>
                </v:textbox>
                <w10:wrap anchorx="page" anchory="page"/>
              </v:rect>
            </w:pict>
          </mc:Fallback>
        </mc:AlternateContent>
      </w:r>
      <w:r w:rsidR="002C5956">
        <w:rPr>
          <w:noProof/>
        </w:rPr>
        <w:drawing>
          <wp:inline distT="0" distB="0" distL="0" distR="0" wp14:anchorId="17422D94" wp14:editId="77D1C19A">
            <wp:extent cx="2880360" cy="891540"/>
            <wp:effectExtent l="0" t="0" r="0" b="3810"/>
            <wp:docPr id="18" name="Picture 18" descr="http://transnet.odot.state.or.us/odot/Comm/SiteAssets/SitePages/Logos/flying%20t%20with%20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ansnet.odot.state.or.us/odot/Comm/SiteAssets/SitePages/Logos/flying%20t%20with%20word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360" cy="891540"/>
                    </a:xfrm>
                    <a:prstGeom prst="rect">
                      <a:avLst/>
                    </a:prstGeom>
                    <a:noFill/>
                    <a:ln>
                      <a:noFill/>
                    </a:ln>
                  </pic:spPr>
                </pic:pic>
              </a:graphicData>
            </a:graphic>
          </wp:inline>
        </w:drawing>
      </w:r>
      <w:r w:rsidR="008B4E0F">
        <w:rPr>
          <w:noProof/>
        </w:rPr>
        <mc:AlternateContent>
          <mc:Choice Requires="wps">
            <w:drawing>
              <wp:anchor distT="0" distB="0" distL="114300" distR="114300" simplePos="0" relativeHeight="251646976" behindDoc="0" locked="0" layoutInCell="1" allowOverlap="1" wp14:anchorId="4E1EB8ED" wp14:editId="6CAEB242">
                <wp:simplePos x="0" y="0"/>
                <wp:positionH relativeFrom="page">
                  <wp:posOffset>208280</wp:posOffset>
                </wp:positionH>
                <wp:positionV relativeFrom="page">
                  <wp:posOffset>251460</wp:posOffset>
                </wp:positionV>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solidFill>
                          <a:srgbClr val="0073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56"/>
                                <w:szCs w:val="56"/>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770A48" w:rsidRPr="000F37A4" w:rsidRDefault="00035D98" w:rsidP="00770A48">
                                <w:pPr>
                                  <w:pStyle w:val="Title"/>
                                  <w:pBdr>
                                    <w:bottom w:val="none" w:sz="0" w:space="0" w:color="auto"/>
                                  </w:pBdr>
                                  <w:jc w:val="right"/>
                                  <w:rPr>
                                    <w:caps/>
                                    <w:color w:val="FFFFFF" w:themeColor="background1"/>
                                    <w:sz w:val="56"/>
                                    <w:szCs w:val="56"/>
                                  </w:rPr>
                                </w:pPr>
                                <w:r>
                                  <w:rPr>
                                    <w:caps/>
                                    <w:color w:val="FFFFFF" w:themeColor="background1"/>
                                    <w:sz w:val="56"/>
                                    <w:szCs w:val="56"/>
                                  </w:rPr>
                                  <w:t>New Technologies</w:t>
                                </w:r>
                                <w:r w:rsidR="006336AF" w:rsidRPr="000F37A4">
                                  <w:rPr>
                                    <w:caps/>
                                    <w:color w:val="FFFFFF" w:themeColor="background1"/>
                                    <w:sz w:val="56"/>
                                    <w:szCs w:val="56"/>
                                  </w:rPr>
                                  <w:t xml:space="preserve"> evaluation</w:t>
                                </w:r>
                              </w:p>
                            </w:sdtContent>
                          </w:sdt>
                          <w:p w:rsidR="00770A48" w:rsidRDefault="00770A48" w:rsidP="00770A48">
                            <w:pPr>
                              <w:spacing w:before="240"/>
                              <w:ind w:left="720"/>
                              <w:jc w:val="right"/>
                              <w:rPr>
                                <w:color w:val="FFFFFF" w:themeColor="background1"/>
                              </w:rPr>
                            </w:pPr>
                          </w:p>
                          <w:sdt>
                            <w:sdtPr>
                              <w:rPr>
                                <w:color w:val="FFFFFF" w:themeColor="background1"/>
                                <w:sz w:val="21"/>
                                <w:szCs w:val="21"/>
                              </w:rPr>
                              <w:alias w:val="Abstract"/>
                              <w:id w:val="307982498"/>
                              <w:showingPlcHdr/>
                              <w:dataBinding w:prefixMappings="xmlns:ns0='http://schemas.microsoft.com/office/2006/coverPageProps'" w:xpath="/ns0:CoverPageProperties[1]/ns0:Abstract[1]" w:storeItemID="{55AF091B-3C7A-41E3-B477-F2FDAA23CFDA}"/>
                              <w:text/>
                            </w:sdtPr>
                            <w:sdtEndPr/>
                            <w:sdtContent>
                              <w:p w:rsidR="00770A48" w:rsidRDefault="00770A48" w:rsidP="00770A48">
                                <w:pPr>
                                  <w:spacing w:before="240"/>
                                  <w:ind w:left="1008"/>
                                  <w:jc w:val="right"/>
                                  <w:rPr>
                                    <w:color w:val="FFFFFF" w:themeColor="background1"/>
                                  </w:rPr>
                                </w:pPr>
                                <w:r>
                                  <w:rPr>
                                    <w:color w:val="FFFFFF" w:themeColor="background1"/>
                                    <w:sz w:val="21"/>
                                    <w:szCs w:val="21"/>
                                  </w:rPr>
                                  <w:t xml:space="preserve">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4E1EB8ED" id="Rectangle 47" o:spid="_x0000_s1027" style="position:absolute;margin-left:16.4pt;margin-top:19.8pt;width:422.3pt;height:760.3pt;z-index:251646976;visibility:visible;mso-wrap-style:square;mso-width-percent:690;mso-height-percent:960;mso-wrap-distance-left:9pt;mso-wrap-distance-top:0;mso-wrap-distance-right:9pt;mso-wrap-distance-bottom:0;mso-position-horizontal:absolute;mso-position-horizontal-relative:page;mso-position-vertical:absolute;mso-position-vertical-relative:page;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" fillcolor="#00733c" stroked="f" strokeweight="2pt">
                <v:path arrowok="t"/>
                <v:textbox inset="21.6pt,1in,21.6pt">
                  <w:txbxContent>
                    <w:sdt>
                      <w:sdtPr>
                        <w:rPr>
                          <w:caps/>
                          <w:color w:val="FFFFFF" w:themeColor="background1"/>
                          <w:sz w:val="56"/>
                          <w:szCs w:val="56"/>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770A48" w:rsidRPr="000F37A4" w:rsidRDefault="00035D98" w:rsidP="00770A48">
                          <w:pPr>
                            <w:pStyle w:val="Title"/>
                            <w:pBdr>
                              <w:bottom w:val="none" w:sz="0" w:space="0" w:color="auto"/>
                            </w:pBdr>
                            <w:jc w:val="right"/>
                            <w:rPr>
                              <w:caps/>
                              <w:color w:val="FFFFFF" w:themeColor="background1"/>
                              <w:sz w:val="56"/>
                              <w:szCs w:val="56"/>
                            </w:rPr>
                          </w:pPr>
                          <w:r>
                            <w:rPr>
                              <w:caps/>
                              <w:color w:val="FFFFFF" w:themeColor="background1"/>
                              <w:sz w:val="56"/>
                              <w:szCs w:val="56"/>
                            </w:rPr>
                            <w:t>New Technologies</w:t>
                          </w:r>
                          <w:r w:rsidR="006336AF" w:rsidRPr="000F37A4">
                            <w:rPr>
                              <w:caps/>
                              <w:color w:val="FFFFFF" w:themeColor="background1"/>
                              <w:sz w:val="56"/>
                              <w:szCs w:val="56"/>
                            </w:rPr>
                            <w:t xml:space="preserve"> evaluation</w:t>
                          </w:r>
                        </w:p>
                      </w:sdtContent>
                    </w:sdt>
                    <w:p w:rsidR="00770A48" w:rsidRDefault="00770A48" w:rsidP="00770A48">
                      <w:pPr>
                        <w:spacing w:before="240"/>
                        <w:ind w:left="720"/>
                        <w:jc w:val="right"/>
                        <w:rPr>
                          <w:color w:val="FFFFFF" w:themeColor="background1"/>
                        </w:rPr>
                      </w:pPr>
                    </w:p>
                    <w:sdt>
                      <w:sdtPr>
                        <w:rPr>
                          <w:color w:val="FFFFFF" w:themeColor="background1"/>
                          <w:sz w:val="21"/>
                          <w:szCs w:val="21"/>
                        </w:rPr>
                        <w:alias w:val="Abstract"/>
                        <w:id w:val="307982498"/>
                        <w:showingPlcHdr/>
                        <w:dataBinding w:prefixMappings="xmlns:ns0='http://schemas.microsoft.com/office/2006/coverPageProps'" w:xpath="/ns0:CoverPageProperties[1]/ns0:Abstract[1]" w:storeItemID="{55AF091B-3C7A-41E3-B477-F2FDAA23CFDA}"/>
                        <w:text/>
                      </w:sdtPr>
                      <w:sdtEndPr/>
                      <w:sdtContent>
                        <w:p w:rsidR="00770A48" w:rsidRDefault="00770A48" w:rsidP="00770A48">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p>
    <w:p w:rsidR="00770A48" w:rsidRDefault="00770A48">
      <w:r>
        <w:br w:type="page"/>
      </w:r>
    </w:p>
    <w:sdt>
      <w:sdtPr>
        <w:rPr>
          <w:rFonts w:asciiTheme="minorHAnsi" w:eastAsiaTheme="minorHAnsi" w:hAnsiTheme="minorHAnsi" w:cstheme="minorBidi"/>
          <w:color w:val="auto"/>
          <w:sz w:val="22"/>
          <w:szCs w:val="22"/>
        </w:rPr>
        <w:id w:val="811297157"/>
        <w:docPartObj>
          <w:docPartGallery w:val="Table of Contents"/>
          <w:docPartUnique/>
        </w:docPartObj>
      </w:sdtPr>
      <w:sdtEndPr>
        <w:rPr>
          <w:b/>
          <w:bCs/>
          <w:noProof/>
        </w:rPr>
      </w:sdtEndPr>
      <w:sdtContent>
        <w:p w:rsidR="00770A48" w:rsidRDefault="00770A48">
          <w:pPr>
            <w:pStyle w:val="TOCHeading"/>
          </w:pPr>
          <w:r>
            <w:t>Contents</w:t>
          </w:r>
        </w:p>
        <w:p w:rsidR="00D320E8" w:rsidRDefault="00770A48">
          <w:pPr>
            <w:pStyle w:val="TOC1"/>
            <w:tabs>
              <w:tab w:val="right" w:leader="dot" w:pos="9170"/>
            </w:tabs>
            <w:rPr>
              <w:rFonts w:eastAsiaTheme="minorEastAsia"/>
              <w:noProof/>
            </w:rPr>
          </w:pPr>
          <w:r>
            <w:fldChar w:fldCharType="begin"/>
          </w:r>
          <w:r>
            <w:instrText xml:space="preserve"> TOC \o "1-3" \h \z \u </w:instrText>
          </w:r>
          <w:r>
            <w:fldChar w:fldCharType="separate"/>
          </w:r>
          <w:hyperlink w:anchor="_Toc80705014" w:history="1">
            <w:r w:rsidR="00D320E8" w:rsidRPr="008A7726">
              <w:rPr>
                <w:rStyle w:val="Hyperlink"/>
                <w:noProof/>
              </w:rPr>
              <w:t>Executive Summary</w:t>
            </w:r>
            <w:r w:rsidR="00D320E8">
              <w:rPr>
                <w:noProof/>
                <w:webHidden/>
              </w:rPr>
              <w:tab/>
            </w:r>
            <w:r w:rsidR="00D320E8">
              <w:rPr>
                <w:noProof/>
                <w:webHidden/>
              </w:rPr>
              <w:fldChar w:fldCharType="begin"/>
            </w:r>
            <w:r w:rsidR="00D320E8">
              <w:rPr>
                <w:noProof/>
                <w:webHidden/>
              </w:rPr>
              <w:instrText xml:space="preserve"> PAGEREF _Toc80705014 \h </w:instrText>
            </w:r>
            <w:r w:rsidR="00D320E8">
              <w:rPr>
                <w:noProof/>
                <w:webHidden/>
              </w:rPr>
            </w:r>
            <w:r w:rsidR="00D320E8">
              <w:rPr>
                <w:noProof/>
                <w:webHidden/>
              </w:rPr>
              <w:fldChar w:fldCharType="separate"/>
            </w:r>
            <w:r w:rsidR="00D320E8">
              <w:rPr>
                <w:noProof/>
                <w:webHidden/>
              </w:rPr>
              <w:t>3</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15" w:history="1">
            <w:r w:rsidR="00D320E8" w:rsidRPr="008A7726">
              <w:rPr>
                <w:rStyle w:val="Hyperlink"/>
                <w:noProof/>
              </w:rPr>
              <w:t>Project Objectives</w:t>
            </w:r>
            <w:r w:rsidR="00D320E8">
              <w:rPr>
                <w:noProof/>
                <w:webHidden/>
              </w:rPr>
              <w:tab/>
            </w:r>
            <w:r w:rsidR="00D320E8">
              <w:rPr>
                <w:noProof/>
                <w:webHidden/>
              </w:rPr>
              <w:fldChar w:fldCharType="begin"/>
            </w:r>
            <w:r w:rsidR="00D320E8">
              <w:rPr>
                <w:noProof/>
                <w:webHidden/>
              </w:rPr>
              <w:instrText xml:space="preserve"> PAGEREF _Toc80705015 \h </w:instrText>
            </w:r>
            <w:r w:rsidR="00D320E8">
              <w:rPr>
                <w:noProof/>
                <w:webHidden/>
              </w:rPr>
            </w:r>
            <w:r w:rsidR="00D320E8">
              <w:rPr>
                <w:noProof/>
                <w:webHidden/>
              </w:rPr>
              <w:fldChar w:fldCharType="separate"/>
            </w:r>
            <w:r w:rsidR="00D320E8">
              <w:rPr>
                <w:noProof/>
                <w:webHidden/>
              </w:rPr>
              <w:t>3</w:t>
            </w:r>
            <w:r w:rsidR="00D320E8">
              <w:rPr>
                <w:noProof/>
                <w:webHidden/>
              </w:rPr>
              <w:fldChar w:fldCharType="end"/>
            </w:r>
          </w:hyperlink>
        </w:p>
        <w:p w:rsidR="00D320E8" w:rsidRDefault="002B6A72">
          <w:pPr>
            <w:pStyle w:val="TOC1"/>
            <w:tabs>
              <w:tab w:val="right" w:leader="dot" w:pos="9170"/>
            </w:tabs>
            <w:rPr>
              <w:rFonts w:eastAsiaTheme="minorEastAsia"/>
              <w:noProof/>
            </w:rPr>
          </w:pPr>
          <w:hyperlink w:anchor="_Toc80705016" w:history="1">
            <w:r w:rsidR="00D320E8" w:rsidRPr="008A7726">
              <w:rPr>
                <w:rStyle w:val="Hyperlink"/>
                <w:noProof/>
              </w:rPr>
              <w:t>Background</w:t>
            </w:r>
            <w:r w:rsidR="00D320E8">
              <w:rPr>
                <w:noProof/>
                <w:webHidden/>
              </w:rPr>
              <w:tab/>
            </w:r>
            <w:r w:rsidR="00D320E8">
              <w:rPr>
                <w:noProof/>
                <w:webHidden/>
              </w:rPr>
              <w:fldChar w:fldCharType="begin"/>
            </w:r>
            <w:r w:rsidR="00D320E8">
              <w:rPr>
                <w:noProof/>
                <w:webHidden/>
              </w:rPr>
              <w:instrText xml:space="preserve"> PAGEREF _Toc80705016 \h </w:instrText>
            </w:r>
            <w:r w:rsidR="00D320E8">
              <w:rPr>
                <w:noProof/>
                <w:webHidden/>
              </w:rPr>
            </w:r>
            <w:r w:rsidR="00D320E8">
              <w:rPr>
                <w:noProof/>
                <w:webHidden/>
              </w:rPr>
              <w:fldChar w:fldCharType="separate"/>
            </w:r>
            <w:r w:rsidR="00D320E8">
              <w:rPr>
                <w:noProof/>
                <w:webHidden/>
              </w:rPr>
              <w:t>4</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17" w:history="1">
            <w:r w:rsidR="00D320E8" w:rsidRPr="008A7726">
              <w:rPr>
                <w:rStyle w:val="Hyperlink"/>
                <w:noProof/>
              </w:rPr>
              <w:t>ODOT Road Usage Charging and OReGO</w:t>
            </w:r>
            <w:r w:rsidR="00D320E8">
              <w:rPr>
                <w:noProof/>
                <w:webHidden/>
              </w:rPr>
              <w:tab/>
            </w:r>
            <w:r w:rsidR="00D320E8">
              <w:rPr>
                <w:noProof/>
                <w:webHidden/>
              </w:rPr>
              <w:fldChar w:fldCharType="begin"/>
            </w:r>
            <w:r w:rsidR="00D320E8">
              <w:rPr>
                <w:noProof/>
                <w:webHidden/>
              </w:rPr>
              <w:instrText xml:space="preserve"> PAGEREF _Toc80705017 \h </w:instrText>
            </w:r>
            <w:r w:rsidR="00D320E8">
              <w:rPr>
                <w:noProof/>
                <w:webHidden/>
              </w:rPr>
            </w:r>
            <w:r w:rsidR="00D320E8">
              <w:rPr>
                <w:noProof/>
                <w:webHidden/>
              </w:rPr>
              <w:fldChar w:fldCharType="separate"/>
            </w:r>
            <w:r w:rsidR="00D320E8">
              <w:rPr>
                <w:noProof/>
                <w:webHidden/>
              </w:rPr>
              <w:t>4</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18" w:history="1">
            <w:r w:rsidR="00D320E8" w:rsidRPr="008A7726">
              <w:rPr>
                <w:rStyle w:val="Hyperlink"/>
                <w:noProof/>
              </w:rPr>
              <w:t>2016 FHWA FAST Act STSFA Grant</w:t>
            </w:r>
            <w:r w:rsidR="00D320E8">
              <w:rPr>
                <w:noProof/>
                <w:webHidden/>
              </w:rPr>
              <w:tab/>
            </w:r>
            <w:r w:rsidR="00D320E8">
              <w:rPr>
                <w:noProof/>
                <w:webHidden/>
              </w:rPr>
              <w:fldChar w:fldCharType="begin"/>
            </w:r>
            <w:r w:rsidR="00D320E8">
              <w:rPr>
                <w:noProof/>
                <w:webHidden/>
              </w:rPr>
              <w:instrText xml:space="preserve"> PAGEREF _Toc80705018 \h </w:instrText>
            </w:r>
            <w:r w:rsidR="00D320E8">
              <w:rPr>
                <w:noProof/>
                <w:webHidden/>
              </w:rPr>
            </w:r>
            <w:r w:rsidR="00D320E8">
              <w:rPr>
                <w:noProof/>
                <w:webHidden/>
              </w:rPr>
              <w:fldChar w:fldCharType="separate"/>
            </w:r>
            <w:r w:rsidR="00D320E8">
              <w:rPr>
                <w:noProof/>
                <w:webHidden/>
              </w:rPr>
              <w:t>4</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19" w:history="1">
            <w:r w:rsidR="00D320E8" w:rsidRPr="008A7726">
              <w:rPr>
                <w:rStyle w:val="Hyperlink"/>
                <w:noProof/>
              </w:rPr>
              <w:t>Evaluation Report</w:t>
            </w:r>
            <w:r w:rsidR="00D320E8">
              <w:rPr>
                <w:noProof/>
                <w:webHidden/>
              </w:rPr>
              <w:tab/>
            </w:r>
            <w:r w:rsidR="00D320E8">
              <w:rPr>
                <w:noProof/>
                <w:webHidden/>
              </w:rPr>
              <w:fldChar w:fldCharType="begin"/>
            </w:r>
            <w:r w:rsidR="00D320E8">
              <w:rPr>
                <w:noProof/>
                <w:webHidden/>
              </w:rPr>
              <w:instrText xml:space="preserve"> PAGEREF _Toc80705019 \h </w:instrText>
            </w:r>
            <w:r w:rsidR="00D320E8">
              <w:rPr>
                <w:noProof/>
                <w:webHidden/>
              </w:rPr>
            </w:r>
            <w:r w:rsidR="00D320E8">
              <w:rPr>
                <w:noProof/>
                <w:webHidden/>
              </w:rPr>
              <w:fldChar w:fldCharType="separate"/>
            </w:r>
            <w:r w:rsidR="00D320E8">
              <w:rPr>
                <w:noProof/>
                <w:webHidden/>
              </w:rPr>
              <w:t>4</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20" w:history="1">
            <w:r w:rsidR="00D320E8" w:rsidRPr="008A7726">
              <w:rPr>
                <w:rStyle w:val="Hyperlink"/>
                <w:noProof/>
              </w:rPr>
              <w:t>New Technologies Project</w:t>
            </w:r>
            <w:r w:rsidR="00D320E8">
              <w:rPr>
                <w:noProof/>
                <w:webHidden/>
              </w:rPr>
              <w:tab/>
            </w:r>
            <w:r w:rsidR="00D320E8">
              <w:rPr>
                <w:noProof/>
                <w:webHidden/>
              </w:rPr>
              <w:fldChar w:fldCharType="begin"/>
            </w:r>
            <w:r w:rsidR="00D320E8">
              <w:rPr>
                <w:noProof/>
                <w:webHidden/>
              </w:rPr>
              <w:instrText xml:space="preserve"> PAGEREF _Toc80705020 \h </w:instrText>
            </w:r>
            <w:r w:rsidR="00D320E8">
              <w:rPr>
                <w:noProof/>
                <w:webHidden/>
              </w:rPr>
            </w:r>
            <w:r w:rsidR="00D320E8">
              <w:rPr>
                <w:noProof/>
                <w:webHidden/>
              </w:rPr>
              <w:fldChar w:fldCharType="separate"/>
            </w:r>
            <w:r w:rsidR="00D320E8">
              <w:rPr>
                <w:noProof/>
                <w:webHidden/>
              </w:rPr>
              <w:t>5</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21" w:history="1">
            <w:r w:rsidR="00D320E8" w:rsidRPr="008A7726">
              <w:rPr>
                <w:rStyle w:val="Hyperlink"/>
                <w:noProof/>
              </w:rPr>
              <w:t>Evaluation</w:t>
            </w:r>
            <w:r w:rsidR="00D320E8">
              <w:rPr>
                <w:noProof/>
                <w:webHidden/>
              </w:rPr>
              <w:tab/>
            </w:r>
            <w:r w:rsidR="00D320E8">
              <w:rPr>
                <w:noProof/>
                <w:webHidden/>
              </w:rPr>
              <w:fldChar w:fldCharType="begin"/>
            </w:r>
            <w:r w:rsidR="00D320E8">
              <w:rPr>
                <w:noProof/>
                <w:webHidden/>
              </w:rPr>
              <w:instrText xml:space="preserve"> PAGEREF _Toc80705021 \h </w:instrText>
            </w:r>
            <w:r w:rsidR="00D320E8">
              <w:rPr>
                <w:noProof/>
                <w:webHidden/>
              </w:rPr>
            </w:r>
            <w:r w:rsidR="00D320E8">
              <w:rPr>
                <w:noProof/>
                <w:webHidden/>
              </w:rPr>
              <w:fldChar w:fldCharType="separate"/>
            </w:r>
            <w:r w:rsidR="00D320E8">
              <w:rPr>
                <w:noProof/>
                <w:webHidden/>
              </w:rPr>
              <w:t>5</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22" w:history="1">
            <w:r w:rsidR="00D320E8" w:rsidRPr="008A7726">
              <w:rPr>
                <w:rStyle w:val="Hyperlink"/>
                <w:noProof/>
              </w:rPr>
              <w:t>Lessons Learned</w:t>
            </w:r>
            <w:r w:rsidR="00D320E8">
              <w:rPr>
                <w:noProof/>
                <w:webHidden/>
              </w:rPr>
              <w:tab/>
            </w:r>
            <w:r w:rsidR="00D320E8">
              <w:rPr>
                <w:noProof/>
                <w:webHidden/>
              </w:rPr>
              <w:fldChar w:fldCharType="begin"/>
            </w:r>
            <w:r w:rsidR="00D320E8">
              <w:rPr>
                <w:noProof/>
                <w:webHidden/>
              </w:rPr>
              <w:instrText xml:space="preserve"> PAGEREF _Toc80705022 \h </w:instrText>
            </w:r>
            <w:r w:rsidR="00D320E8">
              <w:rPr>
                <w:noProof/>
                <w:webHidden/>
              </w:rPr>
            </w:r>
            <w:r w:rsidR="00D320E8">
              <w:rPr>
                <w:noProof/>
                <w:webHidden/>
              </w:rPr>
              <w:fldChar w:fldCharType="separate"/>
            </w:r>
            <w:r w:rsidR="00D320E8">
              <w:rPr>
                <w:noProof/>
                <w:webHidden/>
              </w:rPr>
              <w:t>6</w:t>
            </w:r>
            <w:r w:rsidR="00D320E8">
              <w:rPr>
                <w:noProof/>
                <w:webHidden/>
              </w:rPr>
              <w:fldChar w:fldCharType="end"/>
            </w:r>
          </w:hyperlink>
        </w:p>
        <w:p w:rsidR="00D320E8" w:rsidRDefault="002B6A72">
          <w:pPr>
            <w:pStyle w:val="TOC1"/>
            <w:tabs>
              <w:tab w:val="right" w:leader="dot" w:pos="9170"/>
            </w:tabs>
            <w:rPr>
              <w:rFonts w:eastAsiaTheme="minorEastAsia"/>
              <w:noProof/>
            </w:rPr>
          </w:pPr>
          <w:hyperlink w:anchor="_Toc80705023" w:history="1">
            <w:r w:rsidR="00D320E8" w:rsidRPr="008A7726">
              <w:rPr>
                <w:rStyle w:val="Hyperlink"/>
                <w:noProof/>
              </w:rPr>
              <w:t>Panasonic Research</w:t>
            </w:r>
            <w:r w:rsidR="00D320E8">
              <w:rPr>
                <w:noProof/>
                <w:webHidden/>
              </w:rPr>
              <w:tab/>
            </w:r>
            <w:r w:rsidR="00D320E8">
              <w:rPr>
                <w:noProof/>
                <w:webHidden/>
              </w:rPr>
              <w:fldChar w:fldCharType="begin"/>
            </w:r>
            <w:r w:rsidR="00D320E8">
              <w:rPr>
                <w:noProof/>
                <w:webHidden/>
              </w:rPr>
              <w:instrText xml:space="preserve"> PAGEREF _Toc80705023 \h </w:instrText>
            </w:r>
            <w:r w:rsidR="00D320E8">
              <w:rPr>
                <w:noProof/>
                <w:webHidden/>
              </w:rPr>
            </w:r>
            <w:r w:rsidR="00D320E8">
              <w:rPr>
                <w:noProof/>
                <w:webHidden/>
              </w:rPr>
              <w:fldChar w:fldCharType="separate"/>
            </w:r>
            <w:r w:rsidR="00D320E8">
              <w:rPr>
                <w:noProof/>
                <w:webHidden/>
              </w:rPr>
              <w:t>8</w:t>
            </w:r>
            <w:r w:rsidR="00D320E8">
              <w:rPr>
                <w:noProof/>
                <w:webHidden/>
              </w:rPr>
              <w:fldChar w:fldCharType="end"/>
            </w:r>
          </w:hyperlink>
        </w:p>
        <w:p w:rsidR="00D320E8" w:rsidRDefault="002B6A72">
          <w:pPr>
            <w:pStyle w:val="TOC1"/>
            <w:tabs>
              <w:tab w:val="right" w:leader="dot" w:pos="9170"/>
            </w:tabs>
            <w:rPr>
              <w:rFonts w:eastAsiaTheme="minorEastAsia"/>
              <w:noProof/>
            </w:rPr>
          </w:pPr>
          <w:hyperlink w:anchor="_Toc80705024" w:history="1">
            <w:r w:rsidR="00D320E8" w:rsidRPr="008A7726">
              <w:rPr>
                <w:rStyle w:val="Hyperlink"/>
                <w:noProof/>
              </w:rPr>
              <w:t>RUC for Fleets Report - Azuga Report Synopsis</w:t>
            </w:r>
            <w:r w:rsidR="00D320E8">
              <w:rPr>
                <w:noProof/>
                <w:webHidden/>
              </w:rPr>
              <w:tab/>
            </w:r>
            <w:r w:rsidR="00D320E8">
              <w:rPr>
                <w:noProof/>
                <w:webHidden/>
              </w:rPr>
              <w:fldChar w:fldCharType="begin"/>
            </w:r>
            <w:r w:rsidR="00D320E8">
              <w:rPr>
                <w:noProof/>
                <w:webHidden/>
              </w:rPr>
              <w:instrText xml:space="preserve"> PAGEREF _Toc80705024 \h </w:instrText>
            </w:r>
            <w:r w:rsidR="00D320E8">
              <w:rPr>
                <w:noProof/>
                <w:webHidden/>
              </w:rPr>
            </w:r>
            <w:r w:rsidR="00D320E8">
              <w:rPr>
                <w:noProof/>
                <w:webHidden/>
              </w:rPr>
              <w:fldChar w:fldCharType="separate"/>
            </w:r>
            <w:r w:rsidR="00D320E8">
              <w:rPr>
                <w:noProof/>
                <w:webHidden/>
              </w:rPr>
              <w:t>9</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25" w:history="1">
            <w:r w:rsidR="00D320E8" w:rsidRPr="008A7726">
              <w:rPr>
                <w:rStyle w:val="Hyperlink"/>
                <w:noProof/>
              </w:rPr>
              <w:t>RUC Fleet Examples</w:t>
            </w:r>
            <w:r w:rsidR="00D320E8">
              <w:rPr>
                <w:noProof/>
                <w:webHidden/>
              </w:rPr>
              <w:tab/>
            </w:r>
            <w:r w:rsidR="00D320E8">
              <w:rPr>
                <w:noProof/>
                <w:webHidden/>
              </w:rPr>
              <w:fldChar w:fldCharType="begin"/>
            </w:r>
            <w:r w:rsidR="00D320E8">
              <w:rPr>
                <w:noProof/>
                <w:webHidden/>
              </w:rPr>
              <w:instrText xml:space="preserve"> PAGEREF _Toc80705025 \h </w:instrText>
            </w:r>
            <w:r w:rsidR="00D320E8">
              <w:rPr>
                <w:noProof/>
                <w:webHidden/>
              </w:rPr>
            </w:r>
            <w:r w:rsidR="00D320E8">
              <w:rPr>
                <w:noProof/>
                <w:webHidden/>
              </w:rPr>
              <w:fldChar w:fldCharType="separate"/>
            </w:r>
            <w:r w:rsidR="00D320E8">
              <w:rPr>
                <w:noProof/>
                <w:webHidden/>
              </w:rPr>
              <w:t>9</w:t>
            </w:r>
            <w:r w:rsidR="00D320E8">
              <w:rPr>
                <w:noProof/>
                <w:webHidden/>
              </w:rPr>
              <w:fldChar w:fldCharType="end"/>
            </w:r>
          </w:hyperlink>
        </w:p>
        <w:p w:rsidR="00D320E8" w:rsidRDefault="002B6A72">
          <w:pPr>
            <w:pStyle w:val="TOC3"/>
            <w:tabs>
              <w:tab w:val="right" w:leader="dot" w:pos="9170"/>
            </w:tabs>
            <w:rPr>
              <w:rFonts w:eastAsiaTheme="minorEastAsia"/>
              <w:noProof/>
            </w:rPr>
          </w:pPr>
          <w:hyperlink w:anchor="_Toc80705026" w:history="1">
            <w:r w:rsidR="00D320E8" w:rsidRPr="008A7726">
              <w:rPr>
                <w:rStyle w:val="Hyperlink"/>
                <w:rFonts w:ascii="Yu Gothic UI Semibold" w:eastAsia="Yu Gothic UI Semibold" w:hAnsi="Yu Gothic UI Semibold" w:cs="Calibri"/>
                <w:b/>
                <w:noProof/>
              </w:rPr>
              <w:t>Rental Car Fleet</w:t>
            </w:r>
            <w:r w:rsidR="00D320E8">
              <w:rPr>
                <w:noProof/>
                <w:webHidden/>
              </w:rPr>
              <w:tab/>
            </w:r>
            <w:r w:rsidR="00D320E8">
              <w:rPr>
                <w:noProof/>
                <w:webHidden/>
              </w:rPr>
              <w:fldChar w:fldCharType="begin"/>
            </w:r>
            <w:r w:rsidR="00D320E8">
              <w:rPr>
                <w:noProof/>
                <w:webHidden/>
              </w:rPr>
              <w:instrText xml:space="preserve"> PAGEREF _Toc80705026 \h </w:instrText>
            </w:r>
            <w:r w:rsidR="00D320E8">
              <w:rPr>
                <w:noProof/>
                <w:webHidden/>
              </w:rPr>
            </w:r>
            <w:r w:rsidR="00D320E8">
              <w:rPr>
                <w:noProof/>
                <w:webHidden/>
              </w:rPr>
              <w:fldChar w:fldCharType="separate"/>
            </w:r>
            <w:r w:rsidR="00D320E8">
              <w:rPr>
                <w:noProof/>
                <w:webHidden/>
              </w:rPr>
              <w:t>10</w:t>
            </w:r>
            <w:r w:rsidR="00D320E8">
              <w:rPr>
                <w:noProof/>
                <w:webHidden/>
              </w:rPr>
              <w:fldChar w:fldCharType="end"/>
            </w:r>
          </w:hyperlink>
        </w:p>
        <w:p w:rsidR="00D320E8" w:rsidRDefault="002B6A72">
          <w:pPr>
            <w:pStyle w:val="TOC3"/>
            <w:tabs>
              <w:tab w:val="right" w:leader="dot" w:pos="9170"/>
            </w:tabs>
            <w:rPr>
              <w:rFonts w:eastAsiaTheme="minorEastAsia"/>
              <w:noProof/>
            </w:rPr>
          </w:pPr>
          <w:hyperlink w:anchor="_Toc80705027" w:history="1">
            <w:r w:rsidR="00D320E8" w:rsidRPr="008A7726">
              <w:rPr>
                <w:rStyle w:val="Hyperlink"/>
                <w:rFonts w:ascii="Yu Gothic UI Semibold" w:eastAsia="Yu Gothic UI Semibold" w:hAnsi="Yu Gothic UI Semibold" w:cs="Calibri"/>
                <w:b/>
                <w:noProof/>
              </w:rPr>
              <w:t>Transportation Network Company (TNC) (i.e. Uber or Lyft)</w:t>
            </w:r>
            <w:r w:rsidR="00D320E8">
              <w:rPr>
                <w:noProof/>
                <w:webHidden/>
              </w:rPr>
              <w:tab/>
            </w:r>
            <w:r w:rsidR="00D320E8">
              <w:rPr>
                <w:noProof/>
                <w:webHidden/>
              </w:rPr>
              <w:fldChar w:fldCharType="begin"/>
            </w:r>
            <w:r w:rsidR="00D320E8">
              <w:rPr>
                <w:noProof/>
                <w:webHidden/>
              </w:rPr>
              <w:instrText xml:space="preserve"> PAGEREF _Toc80705027 \h </w:instrText>
            </w:r>
            <w:r w:rsidR="00D320E8">
              <w:rPr>
                <w:noProof/>
                <w:webHidden/>
              </w:rPr>
            </w:r>
            <w:r w:rsidR="00D320E8">
              <w:rPr>
                <w:noProof/>
                <w:webHidden/>
              </w:rPr>
              <w:fldChar w:fldCharType="separate"/>
            </w:r>
            <w:r w:rsidR="00D320E8">
              <w:rPr>
                <w:noProof/>
                <w:webHidden/>
              </w:rPr>
              <w:t>10</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28" w:history="1">
            <w:r w:rsidR="00D320E8" w:rsidRPr="008A7726">
              <w:rPr>
                <w:rStyle w:val="Hyperlink"/>
                <w:rFonts w:ascii="Yu Gothic UI Semibold" w:eastAsia="Yu Gothic UI Semibold" w:hAnsi="Yu Gothic UI Semibold" w:cs="Calibri"/>
                <w:b/>
                <w:noProof/>
              </w:rPr>
              <w:t>Fleet Functions</w:t>
            </w:r>
            <w:r w:rsidR="00D320E8">
              <w:rPr>
                <w:noProof/>
                <w:webHidden/>
              </w:rPr>
              <w:tab/>
            </w:r>
            <w:r w:rsidR="00D320E8">
              <w:rPr>
                <w:noProof/>
                <w:webHidden/>
              </w:rPr>
              <w:fldChar w:fldCharType="begin"/>
            </w:r>
            <w:r w:rsidR="00D320E8">
              <w:rPr>
                <w:noProof/>
                <w:webHidden/>
              </w:rPr>
              <w:instrText xml:space="preserve"> PAGEREF _Toc80705028 \h </w:instrText>
            </w:r>
            <w:r w:rsidR="00D320E8">
              <w:rPr>
                <w:noProof/>
                <w:webHidden/>
              </w:rPr>
            </w:r>
            <w:r w:rsidR="00D320E8">
              <w:rPr>
                <w:noProof/>
                <w:webHidden/>
              </w:rPr>
              <w:fldChar w:fldCharType="separate"/>
            </w:r>
            <w:r w:rsidR="00D320E8">
              <w:rPr>
                <w:noProof/>
                <w:webHidden/>
              </w:rPr>
              <w:t>10</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29" w:history="1">
            <w:r w:rsidR="00D320E8" w:rsidRPr="008A7726">
              <w:rPr>
                <w:rStyle w:val="Hyperlink"/>
                <w:noProof/>
              </w:rPr>
              <w:t>Fleet Use Cases &amp; Enhancements</w:t>
            </w:r>
            <w:r w:rsidR="00D320E8">
              <w:rPr>
                <w:noProof/>
                <w:webHidden/>
              </w:rPr>
              <w:tab/>
            </w:r>
            <w:r w:rsidR="00D320E8">
              <w:rPr>
                <w:noProof/>
                <w:webHidden/>
              </w:rPr>
              <w:fldChar w:fldCharType="begin"/>
            </w:r>
            <w:r w:rsidR="00D320E8">
              <w:rPr>
                <w:noProof/>
                <w:webHidden/>
              </w:rPr>
              <w:instrText xml:space="preserve"> PAGEREF _Toc80705029 \h </w:instrText>
            </w:r>
            <w:r w:rsidR="00D320E8">
              <w:rPr>
                <w:noProof/>
                <w:webHidden/>
              </w:rPr>
            </w:r>
            <w:r w:rsidR="00D320E8">
              <w:rPr>
                <w:noProof/>
                <w:webHidden/>
              </w:rPr>
              <w:fldChar w:fldCharType="separate"/>
            </w:r>
            <w:r w:rsidR="00D320E8">
              <w:rPr>
                <w:noProof/>
                <w:webHidden/>
              </w:rPr>
              <w:t>10</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30" w:history="1">
            <w:r w:rsidR="00D320E8" w:rsidRPr="008A7726">
              <w:rPr>
                <w:rStyle w:val="Hyperlink"/>
                <w:rFonts w:ascii="Yu Gothic UI Semibold" w:eastAsia="Yu Gothic UI Semibold" w:hAnsi="Yu Gothic UI Semibold" w:cs="Calibri"/>
                <w:b/>
                <w:noProof/>
              </w:rPr>
              <w:t>Use Case 1: Fleet companies that do not already have a fleet management system in place and are not looking for one</w:t>
            </w:r>
            <w:r w:rsidR="00D320E8">
              <w:rPr>
                <w:noProof/>
                <w:webHidden/>
              </w:rPr>
              <w:tab/>
            </w:r>
            <w:r w:rsidR="00D320E8">
              <w:rPr>
                <w:noProof/>
                <w:webHidden/>
              </w:rPr>
              <w:fldChar w:fldCharType="begin"/>
            </w:r>
            <w:r w:rsidR="00D320E8">
              <w:rPr>
                <w:noProof/>
                <w:webHidden/>
              </w:rPr>
              <w:instrText xml:space="preserve"> PAGEREF _Toc80705030 \h </w:instrText>
            </w:r>
            <w:r w:rsidR="00D320E8">
              <w:rPr>
                <w:noProof/>
                <w:webHidden/>
              </w:rPr>
            </w:r>
            <w:r w:rsidR="00D320E8">
              <w:rPr>
                <w:noProof/>
                <w:webHidden/>
              </w:rPr>
              <w:fldChar w:fldCharType="separate"/>
            </w:r>
            <w:r w:rsidR="00D320E8">
              <w:rPr>
                <w:noProof/>
                <w:webHidden/>
              </w:rPr>
              <w:t>11</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31" w:history="1">
            <w:r w:rsidR="00D320E8" w:rsidRPr="008A7726">
              <w:rPr>
                <w:rStyle w:val="Hyperlink"/>
                <w:rFonts w:ascii="Yu Gothic UI Semibold" w:eastAsia="Yu Gothic UI Semibold" w:hAnsi="Yu Gothic UI Semibold" w:cs="Calibri"/>
                <w:b/>
                <w:noProof/>
              </w:rPr>
              <w:t>Use Case 2 - Fleet companies that already have a fleet management system in place</w:t>
            </w:r>
            <w:r w:rsidR="00D320E8">
              <w:rPr>
                <w:noProof/>
                <w:webHidden/>
              </w:rPr>
              <w:tab/>
            </w:r>
            <w:r w:rsidR="00D320E8">
              <w:rPr>
                <w:noProof/>
                <w:webHidden/>
              </w:rPr>
              <w:fldChar w:fldCharType="begin"/>
            </w:r>
            <w:r w:rsidR="00D320E8">
              <w:rPr>
                <w:noProof/>
                <w:webHidden/>
              </w:rPr>
              <w:instrText xml:space="preserve"> PAGEREF _Toc80705031 \h </w:instrText>
            </w:r>
            <w:r w:rsidR="00D320E8">
              <w:rPr>
                <w:noProof/>
                <w:webHidden/>
              </w:rPr>
            </w:r>
            <w:r w:rsidR="00D320E8">
              <w:rPr>
                <w:noProof/>
                <w:webHidden/>
              </w:rPr>
              <w:fldChar w:fldCharType="separate"/>
            </w:r>
            <w:r w:rsidR="00D320E8">
              <w:rPr>
                <w:noProof/>
                <w:webHidden/>
              </w:rPr>
              <w:t>12</w:t>
            </w:r>
            <w:r w:rsidR="00D320E8">
              <w:rPr>
                <w:noProof/>
                <w:webHidden/>
              </w:rPr>
              <w:fldChar w:fldCharType="end"/>
            </w:r>
          </w:hyperlink>
        </w:p>
        <w:p w:rsidR="00D320E8" w:rsidRDefault="002B6A72">
          <w:pPr>
            <w:pStyle w:val="TOC2"/>
            <w:tabs>
              <w:tab w:val="right" w:leader="dot" w:pos="9170"/>
            </w:tabs>
            <w:rPr>
              <w:rFonts w:eastAsiaTheme="minorEastAsia"/>
              <w:noProof/>
            </w:rPr>
          </w:pPr>
          <w:hyperlink w:anchor="_Toc80705032" w:history="1">
            <w:r w:rsidR="00D320E8" w:rsidRPr="008A7726">
              <w:rPr>
                <w:rStyle w:val="Hyperlink"/>
                <w:noProof/>
              </w:rPr>
              <w:t>Proposal Summary</w:t>
            </w:r>
            <w:r w:rsidR="00D320E8">
              <w:rPr>
                <w:noProof/>
                <w:webHidden/>
              </w:rPr>
              <w:tab/>
            </w:r>
            <w:r w:rsidR="00D320E8">
              <w:rPr>
                <w:noProof/>
                <w:webHidden/>
              </w:rPr>
              <w:fldChar w:fldCharType="begin"/>
            </w:r>
            <w:r w:rsidR="00D320E8">
              <w:rPr>
                <w:noProof/>
                <w:webHidden/>
              </w:rPr>
              <w:instrText xml:space="preserve"> PAGEREF _Toc80705032 \h </w:instrText>
            </w:r>
            <w:r w:rsidR="00D320E8">
              <w:rPr>
                <w:noProof/>
                <w:webHidden/>
              </w:rPr>
            </w:r>
            <w:r w:rsidR="00D320E8">
              <w:rPr>
                <w:noProof/>
                <w:webHidden/>
              </w:rPr>
              <w:fldChar w:fldCharType="separate"/>
            </w:r>
            <w:r w:rsidR="00D320E8">
              <w:rPr>
                <w:noProof/>
                <w:webHidden/>
              </w:rPr>
              <w:t>12</w:t>
            </w:r>
            <w:r w:rsidR="00D320E8">
              <w:rPr>
                <w:noProof/>
                <w:webHidden/>
              </w:rPr>
              <w:fldChar w:fldCharType="end"/>
            </w:r>
          </w:hyperlink>
        </w:p>
        <w:p w:rsidR="00AD0FF3" w:rsidRDefault="00770A48" w:rsidP="00AA2E73">
          <w:r>
            <w:rPr>
              <w:b/>
              <w:bCs/>
              <w:noProof/>
            </w:rPr>
            <w:fldChar w:fldCharType="end"/>
          </w:r>
        </w:p>
      </w:sdtContent>
    </w:sdt>
    <w:p w:rsidR="00490B49" w:rsidRDefault="00490B49">
      <w:pPr>
        <w:rPr>
          <w:rFonts w:asciiTheme="majorHAnsi" w:eastAsiaTheme="majorEastAsia" w:hAnsiTheme="majorHAnsi" w:cstheme="majorBidi"/>
          <w:color w:val="365F91" w:themeColor="accent1" w:themeShade="BF"/>
          <w:sz w:val="32"/>
          <w:szCs w:val="32"/>
        </w:rPr>
      </w:pPr>
      <w:r>
        <w:br w:type="page"/>
      </w:r>
    </w:p>
    <w:p w:rsidR="008C198E" w:rsidRDefault="008C198E" w:rsidP="008C198E">
      <w:pPr>
        <w:pStyle w:val="Heading1"/>
      </w:pPr>
      <w:bookmarkStart w:id="0" w:name="_Toc80705014"/>
      <w:r w:rsidRPr="00E2787C">
        <w:t>Executive Summary</w:t>
      </w:r>
      <w:bookmarkEnd w:id="0"/>
    </w:p>
    <w:p w:rsidR="00CF05C9" w:rsidRPr="00CF05C9" w:rsidRDefault="00CF05C9" w:rsidP="00CF05C9">
      <w:r w:rsidRPr="00CF05C9">
        <w:t xml:space="preserve">The Oregon Department of Transportation (ODOT) Road Usage Charge (RUC) program uses Mileage Reporting Devices (MRD) that plug into participating vehicles’ onboard diagnostics (OBD) ports to track and report mileage and fuel consumption data. </w:t>
      </w:r>
      <w:r w:rsidR="00A8195F">
        <w:t>The devices currently in use are only compatible with the OBD-II port.</w:t>
      </w:r>
    </w:p>
    <w:p w:rsidR="00CF05C9" w:rsidRPr="00CF05C9" w:rsidRDefault="00CF05C9" w:rsidP="00CF05C9">
      <w:r w:rsidRPr="00CF05C9">
        <w:t>As of now, certain vehicles do not meet the criteria to use a MRD for one of the following reasons:</w:t>
      </w:r>
    </w:p>
    <w:p w:rsidR="00CF05C9" w:rsidRPr="00CF05C9" w:rsidRDefault="00CF05C9" w:rsidP="00C90073">
      <w:pPr>
        <w:numPr>
          <w:ilvl w:val="0"/>
          <w:numId w:val="4"/>
        </w:numPr>
      </w:pPr>
      <w:r w:rsidRPr="00CF05C9">
        <w:t>Vehicles manufactured before 1996 may not have OBD ports;</w:t>
      </w:r>
    </w:p>
    <w:p w:rsidR="00CF05C9" w:rsidRPr="00CF05C9" w:rsidRDefault="00CF05C9" w:rsidP="00C90073">
      <w:pPr>
        <w:numPr>
          <w:ilvl w:val="0"/>
          <w:numId w:val="4"/>
        </w:numPr>
      </w:pPr>
      <w:r w:rsidRPr="00CF05C9">
        <w:t>Diesel vehicles manufactured before 2006 may not have standardized OBD ports; or</w:t>
      </w:r>
    </w:p>
    <w:p w:rsidR="00CF05C9" w:rsidRPr="00CF05C9" w:rsidRDefault="00CF05C9" w:rsidP="00C90073">
      <w:pPr>
        <w:numPr>
          <w:ilvl w:val="0"/>
          <w:numId w:val="4"/>
        </w:numPr>
      </w:pPr>
      <w:r w:rsidRPr="00CF05C9">
        <w:t>Electric vehicles are not required to follow OBD standards, therefore some electric vehicles are not compatible with the MRD.</w:t>
      </w:r>
    </w:p>
    <w:p w:rsidR="00CF05C9" w:rsidRPr="00CF05C9" w:rsidRDefault="00CF05C9" w:rsidP="00CF05C9">
      <w:r w:rsidRPr="00CF05C9">
        <w:t>As the RUC program continues to move forward, additional mileage reporting technologies must be implemented to better prepare for a mandatory program</w:t>
      </w:r>
      <w:r w:rsidR="00A8195F">
        <w:t xml:space="preserve"> and to provide the participants with options</w:t>
      </w:r>
      <w:r w:rsidRPr="00CF05C9">
        <w:t>.</w:t>
      </w:r>
    </w:p>
    <w:p w:rsidR="00CF05C9" w:rsidRPr="00CF05C9" w:rsidRDefault="00CF05C9" w:rsidP="00CF05C9">
      <w:r w:rsidRPr="00CF05C9">
        <w:t xml:space="preserve">The purpose of this project is to partner with current commercial account managers (CAM) to </w:t>
      </w:r>
      <w:r>
        <w:t>analyze the feasibility of</w:t>
      </w:r>
      <w:r w:rsidRPr="00CF05C9">
        <w:t xml:space="preserve"> additional mileage reporting technologies. This will allow more vehicles to be eligible to participate in the program and provide more choices to the public. Because an additional opportunity was presented to explore development of a connected vehicle ecosystem, which would potentially allow for greater access to data directly from vehicles that could be used in the OReGO program, the scope was amended. </w:t>
      </w:r>
    </w:p>
    <w:p w:rsidR="00CF05C9" w:rsidRPr="00CF05C9" w:rsidRDefault="00CF05C9" w:rsidP="00433750">
      <w:pPr>
        <w:pStyle w:val="Heading2"/>
      </w:pPr>
      <w:bookmarkStart w:id="1" w:name="_Toc80705015"/>
      <w:r>
        <w:t>Project Objectives</w:t>
      </w:r>
      <w:bookmarkEnd w:id="1"/>
    </w:p>
    <w:p w:rsidR="00CF05C9" w:rsidRDefault="00CF05C9" w:rsidP="00433750">
      <w:r w:rsidRPr="00CF05C9">
        <w:t xml:space="preserve">Partner with current commercial account managers (CAM) to </w:t>
      </w:r>
      <w:r>
        <w:t>analyze the feasibility of</w:t>
      </w:r>
      <w:r w:rsidRPr="00CF05C9">
        <w:t xml:space="preserve"> additional mileage reporting technologies to</w:t>
      </w:r>
      <w:r>
        <w:t>:</w:t>
      </w:r>
    </w:p>
    <w:p w:rsidR="00CF05C9" w:rsidRPr="00CF05C9" w:rsidRDefault="00CF05C9" w:rsidP="00266611">
      <w:pPr>
        <w:numPr>
          <w:ilvl w:val="0"/>
          <w:numId w:val="9"/>
        </w:numPr>
      </w:pPr>
      <w:r>
        <w:t>B</w:t>
      </w:r>
      <w:r w:rsidRPr="00CF05C9">
        <w:t>etter prepare the current OReGO program for a mandatory system;</w:t>
      </w:r>
    </w:p>
    <w:p w:rsidR="00CF05C9" w:rsidRPr="00CF05C9" w:rsidRDefault="00CF05C9" w:rsidP="00266611">
      <w:pPr>
        <w:numPr>
          <w:ilvl w:val="0"/>
          <w:numId w:val="9"/>
        </w:numPr>
      </w:pPr>
      <w:r w:rsidRPr="00CF05C9">
        <w:t>Increase program participation and satisfaction;</w:t>
      </w:r>
    </w:p>
    <w:p w:rsidR="00CF05C9" w:rsidRPr="00CF05C9" w:rsidRDefault="00CF05C9" w:rsidP="00266611">
      <w:pPr>
        <w:numPr>
          <w:ilvl w:val="0"/>
          <w:numId w:val="9"/>
        </w:numPr>
        <w:rPr>
          <w:b/>
        </w:rPr>
      </w:pPr>
      <w:r w:rsidRPr="00CF05C9">
        <w:t>Revise program procedures and systems to accommodate different technologies while ensuring compliance with program requirements; and</w:t>
      </w:r>
    </w:p>
    <w:p w:rsidR="00CF05C9" w:rsidRPr="00CF05C9" w:rsidRDefault="00CF05C9" w:rsidP="00266611">
      <w:pPr>
        <w:numPr>
          <w:ilvl w:val="0"/>
          <w:numId w:val="9"/>
        </w:numPr>
        <w:rPr>
          <w:b/>
        </w:rPr>
      </w:pPr>
      <w:r w:rsidRPr="00CF05C9">
        <w:t>Enhance the RUC market by providing more choices to program participants.</w:t>
      </w:r>
    </w:p>
    <w:p w:rsidR="00E751B2" w:rsidRPr="00FD18B9" w:rsidRDefault="00A8195F" w:rsidP="00FD18B9">
      <w:pPr>
        <w:tabs>
          <w:tab w:val="left" w:pos="2235"/>
        </w:tabs>
      </w:pPr>
      <w:r>
        <w:t xml:space="preserve">The project met its objectives. </w:t>
      </w:r>
      <w:r w:rsidR="00D35340">
        <w:t xml:space="preserve">A number of different technologies were tested, and the one that showed the most promise was in-vehicle telematics because it does not require access to a diagnostic port nor does a participant have to install a device. Requirements were rewritten in anticipation of other technologies being offered.   </w:t>
      </w:r>
      <w:r>
        <w:t xml:space="preserve">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single" w:sz="18" w:space="0" w:color="4BACC6" w:themeColor="accent5"/>
        </w:tblBorders>
        <w:tblLook w:val="04A0" w:firstRow="1" w:lastRow="0" w:firstColumn="1" w:lastColumn="0" w:noHBand="0" w:noVBand="1"/>
      </w:tblPr>
      <w:tblGrid>
        <w:gridCol w:w="2117"/>
        <w:gridCol w:w="244"/>
        <w:gridCol w:w="6637"/>
      </w:tblGrid>
      <w:tr w:rsidR="001E2D15" w:rsidTr="00D970A8">
        <w:trPr>
          <w:trHeight w:val="13230"/>
        </w:trPr>
        <w:tc>
          <w:tcPr>
            <w:tcW w:w="2117" w:type="dxa"/>
          </w:tcPr>
          <w:p w:rsidR="001E2D15" w:rsidRDefault="001E2D15" w:rsidP="00EC3AAD">
            <w:r>
              <w:rPr>
                <w:noProof/>
              </w:rPr>
              <w:drawing>
                <wp:inline distT="0" distB="0" distL="0" distR="0" wp14:anchorId="2B5FDD10" wp14:editId="11E0B93E">
                  <wp:extent cx="1207698" cy="155330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re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1353" cy="1609448"/>
                          </a:xfrm>
                          <a:prstGeom prst="rect">
                            <a:avLst/>
                          </a:prstGeom>
                        </pic:spPr>
                      </pic:pic>
                    </a:graphicData>
                  </a:graphic>
                </wp:inline>
              </w:drawing>
            </w:r>
            <w:r>
              <w:t xml:space="preserve">   </w:t>
            </w:r>
          </w:p>
        </w:tc>
        <w:tc>
          <w:tcPr>
            <w:tcW w:w="244" w:type="dxa"/>
            <w:tcBorders>
              <w:right w:val="nil"/>
            </w:tcBorders>
          </w:tcPr>
          <w:p w:rsidR="001E2D15" w:rsidRDefault="001E2D15" w:rsidP="00844BD4">
            <w:pPr>
              <w:pStyle w:val="Heading1"/>
              <w:outlineLvl w:val="0"/>
            </w:pPr>
          </w:p>
        </w:tc>
        <w:tc>
          <w:tcPr>
            <w:tcW w:w="6637" w:type="dxa"/>
            <w:tcBorders>
              <w:left w:val="nil"/>
            </w:tcBorders>
          </w:tcPr>
          <w:p w:rsidR="001E2D15" w:rsidRDefault="001E2D15" w:rsidP="00490B49">
            <w:pPr>
              <w:pStyle w:val="Heading1"/>
              <w:spacing w:before="0"/>
              <w:outlineLvl w:val="0"/>
              <w:rPr>
                <w:sz w:val="40"/>
              </w:rPr>
            </w:pPr>
            <w:bookmarkStart w:id="2" w:name="_Toc80705016"/>
            <w:r w:rsidRPr="00AE7C2C">
              <w:rPr>
                <w:sz w:val="40"/>
              </w:rPr>
              <w:t>Background</w:t>
            </w:r>
            <w:bookmarkEnd w:id="2"/>
          </w:p>
          <w:p w:rsidR="00AE7C2C" w:rsidRPr="00AE7C2C" w:rsidRDefault="00AE7C2C" w:rsidP="00AE7C2C"/>
          <w:p w:rsidR="001E2D15" w:rsidRPr="00AE7C2C" w:rsidRDefault="001E2D15" w:rsidP="00AE7C2C">
            <w:pPr>
              <w:pStyle w:val="Heading2"/>
              <w:spacing w:after="120"/>
              <w:outlineLvl w:val="1"/>
              <w:rPr>
                <w:sz w:val="32"/>
              </w:rPr>
            </w:pPr>
            <w:bookmarkStart w:id="3" w:name="_Toc80705017"/>
            <w:r w:rsidRPr="00AE7C2C">
              <w:rPr>
                <w:sz w:val="32"/>
              </w:rPr>
              <w:t>ODOT Road Usage Charging and OReGO</w:t>
            </w:r>
            <w:bookmarkEnd w:id="3"/>
          </w:p>
          <w:p w:rsidR="001E2D15" w:rsidRPr="002B405D" w:rsidRDefault="001E2D15" w:rsidP="00844BD4">
            <w:r w:rsidRPr="002B405D">
              <w:t xml:space="preserve">In 2001, the legislature formed the Road </w:t>
            </w:r>
            <w:r w:rsidR="00D95B9F" w:rsidRPr="002B405D">
              <w:t>Us</w:t>
            </w:r>
            <w:r w:rsidR="00D95B9F">
              <w:t>er</w:t>
            </w:r>
            <w:r w:rsidR="00D95B9F" w:rsidRPr="002B405D">
              <w:t xml:space="preserve"> </w:t>
            </w:r>
            <w:r w:rsidRPr="002B405D">
              <w:t>Fee Task Force (RUFTF). Its mission was to find an alternative source of transportation funding outside of fuel taxes. From this legislative body, the concept of road usage charge -- where volunteers pay for every mile they drive, rather than for every gallon their vehicles consume—came into existence. With the passage of SB 810 in 2013, the Oregon Department of Transportation (ODOT) was mandated to create and maintain a road usage charge (RUC) program. The resulting OReGO program became operational on July 1, 2015.</w:t>
            </w:r>
          </w:p>
          <w:p w:rsidR="00AE7C2C" w:rsidRPr="004B5856" w:rsidRDefault="00AE7C2C" w:rsidP="00844BD4">
            <w:pPr>
              <w:rPr>
                <w:sz w:val="24"/>
                <w:szCs w:val="24"/>
              </w:rPr>
            </w:pPr>
          </w:p>
          <w:p w:rsidR="001E2D15" w:rsidRPr="00AE7C2C" w:rsidRDefault="001E2D15" w:rsidP="00AE7C2C">
            <w:pPr>
              <w:pStyle w:val="Heading2"/>
              <w:spacing w:after="120"/>
              <w:outlineLvl w:val="1"/>
              <w:rPr>
                <w:sz w:val="32"/>
              </w:rPr>
            </w:pPr>
            <w:bookmarkStart w:id="4" w:name="_Toc80705018"/>
            <w:r w:rsidRPr="00AE7C2C">
              <w:rPr>
                <w:sz w:val="32"/>
              </w:rPr>
              <w:t xml:space="preserve">2016 FHWA FAST Act STSFA </w:t>
            </w:r>
            <w:r w:rsidR="00AE7C2C">
              <w:rPr>
                <w:sz w:val="32"/>
              </w:rPr>
              <w:t>G</w:t>
            </w:r>
            <w:r w:rsidRPr="00AE7C2C">
              <w:rPr>
                <w:sz w:val="32"/>
              </w:rPr>
              <w:t>rant</w:t>
            </w:r>
            <w:bookmarkEnd w:id="4"/>
          </w:p>
          <w:p w:rsidR="001E2D15" w:rsidRPr="002B405D" w:rsidRDefault="001E2D15" w:rsidP="00844BD4">
            <w:r w:rsidRPr="002B405D">
              <w:t xml:space="preserve">In 2016, ODOT was awarded a federal grant from the Federal Highway Administration (FHWA) under the Fixing America’s Surface Transportation (FAST) Act Surface Transportation System Funding Alternatives (STSFA) program. ODOT has defined eight projects to meet the objectives in the grant and enhance the OReGO program. </w:t>
            </w:r>
          </w:p>
          <w:p w:rsidR="001E2D15" w:rsidRPr="002B405D" w:rsidRDefault="001E2D15" w:rsidP="00844BD4"/>
          <w:p w:rsidR="001E2D15" w:rsidRPr="002B405D" w:rsidRDefault="001E2D15" w:rsidP="00AE7C2C">
            <w:pPr>
              <w:pStyle w:val="ListParagraph"/>
              <w:spacing w:after="120"/>
              <w:ind w:left="0"/>
              <w:contextualSpacing w:val="0"/>
              <w:jc w:val="both"/>
              <w:rPr>
                <w:rFonts w:cstheme="minorHAnsi"/>
              </w:rPr>
            </w:pPr>
            <w:r w:rsidRPr="002B405D">
              <w:rPr>
                <w:rFonts w:cstheme="minorHAnsi"/>
              </w:rPr>
              <w:t>The primary project objectives are to:</w:t>
            </w:r>
          </w:p>
          <w:p w:rsidR="00AD0FF3" w:rsidRPr="002B405D" w:rsidRDefault="00AD0FF3" w:rsidP="00AD0FF3">
            <w:pPr>
              <w:ind w:left="720"/>
            </w:pPr>
            <w:r w:rsidRPr="002B405D">
              <w:t>1: Expand the market</w:t>
            </w:r>
          </w:p>
          <w:p w:rsidR="00AD0FF3" w:rsidRPr="002B405D" w:rsidRDefault="00AD0FF3" w:rsidP="00C90073">
            <w:pPr>
              <w:pStyle w:val="ListParagraph"/>
              <w:numPr>
                <w:ilvl w:val="0"/>
                <w:numId w:val="1"/>
              </w:numPr>
            </w:pPr>
            <w:r w:rsidRPr="002B405D">
              <w:t>Expand technology options for reporting mileage</w:t>
            </w:r>
          </w:p>
          <w:p w:rsidR="00AD0FF3" w:rsidRPr="002B405D" w:rsidRDefault="00AD0FF3" w:rsidP="00C90073">
            <w:pPr>
              <w:pStyle w:val="ListParagraph"/>
              <w:numPr>
                <w:ilvl w:val="0"/>
                <w:numId w:val="1"/>
              </w:numPr>
            </w:pPr>
            <w:r w:rsidRPr="002B405D">
              <w:t>Manage the open market</w:t>
            </w:r>
          </w:p>
          <w:p w:rsidR="00AD0FF3" w:rsidRPr="002B405D" w:rsidRDefault="00AD0FF3" w:rsidP="00C90073">
            <w:pPr>
              <w:pStyle w:val="ListParagraph"/>
              <w:numPr>
                <w:ilvl w:val="0"/>
                <w:numId w:val="1"/>
              </w:numPr>
            </w:pPr>
            <w:r w:rsidRPr="002B405D">
              <w:t>Develop requirements for a manual reporting option</w:t>
            </w:r>
          </w:p>
          <w:p w:rsidR="00AD0FF3" w:rsidRPr="002B405D" w:rsidRDefault="00AD0FF3" w:rsidP="00C90073">
            <w:pPr>
              <w:pStyle w:val="ListParagraph"/>
              <w:numPr>
                <w:ilvl w:val="0"/>
                <w:numId w:val="1"/>
              </w:numPr>
            </w:pPr>
            <w:r w:rsidRPr="002B405D">
              <w:t>Streamline reporting and data sharing</w:t>
            </w:r>
          </w:p>
          <w:p w:rsidR="00AD0FF3" w:rsidRPr="002B405D" w:rsidRDefault="00AD0FF3" w:rsidP="00AD0FF3">
            <w:pPr>
              <w:ind w:left="720"/>
            </w:pPr>
            <w:r w:rsidRPr="002B405D">
              <w:t>2: Increase public awareness</w:t>
            </w:r>
          </w:p>
          <w:p w:rsidR="00AD0FF3" w:rsidRPr="002B405D" w:rsidRDefault="00AD0FF3" w:rsidP="00AD0FF3">
            <w:pPr>
              <w:ind w:left="720"/>
            </w:pPr>
            <w:r w:rsidRPr="002B405D">
              <w:t>3: Evaluate compliance mechanisms</w:t>
            </w:r>
          </w:p>
          <w:p w:rsidR="00AD0FF3" w:rsidRPr="002B405D" w:rsidRDefault="00AD0FF3" w:rsidP="00C90073">
            <w:pPr>
              <w:pStyle w:val="ListParagraph"/>
              <w:numPr>
                <w:ilvl w:val="0"/>
                <w:numId w:val="2"/>
              </w:numPr>
            </w:pPr>
            <w:r w:rsidRPr="002B405D">
              <w:t xml:space="preserve">Account manager </w:t>
            </w:r>
          </w:p>
          <w:p w:rsidR="00AD0FF3" w:rsidRPr="002B405D" w:rsidRDefault="00AD0FF3" w:rsidP="00C90073">
            <w:pPr>
              <w:pStyle w:val="ListParagraph"/>
              <w:numPr>
                <w:ilvl w:val="0"/>
                <w:numId w:val="2"/>
              </w:numPr>
            </w:pPr>
            <w:r w:rsidRPr="002B405D">
              <w:t xml:space="preserve">RUC payer </w:t>
            </w:r>
          </w:p>
          <w:p w:rsidR="00AD0FF3" w:rsidRPr="002B405D" w:rsidRDefault="00AD0FF3" w:rsidP="00AD0FF3">
            <w:pPr>
              <w:ind w:left="720"/>
            </w:pPr>
            <w:r w:rsidRPr="002B405D">
              <w:t>4: Explore interoperability</w:t>
            </w:r>
          </w:p>
          <w:p w:rsidR="001E2D15" w:rsidRDefault="001E2D15" w:rsidP="00AD0FF3">
            <w:pPr>
              <w:spacing w:after="120"/>
              <w:rPr>
                <w:sz w:val="24"/>
              </w:rPr>
            </w:pPr>
          </w:p>
          <w:p w:rsidR="001A4F66" w:rsidRPr="001A4F66" w:rsidRDefault="001A4F66" w:rsidP="001A4F66">
            <w:pPr>
              <w:pStyle w:val="Heading2"/>
              <w:outlineLvl w:val="1"/>
              <w:rPr>
                <w:sz w:val="28"/>
              </w:rPr>
            </w:pPr>
            <w:bookmarkStart w:id="5" w:name="_Toc80705019"/>
            <w:r w:rsidRPr="001A4F66">
              <w:rPr>
                <w:sz w:val="28"/>
              </w:rPr>
              <w:t>Evaluation Report</w:t>
            </w:r>
            <w:bookmarkEnd w:id="5"/>
          </w:p>
          <w:p w:rsidR="005C7915" w:rsidRPr="005C7915" w:rsidRDefault="005C7915" w:rsidP="00AD0FF3">
            <w:pPr>
              <w:spacing w:after="120"/>
            </w:pPr>
            <w:r w:rsidRPr="005C7915">
              <w:t xml:space="preserve">This document is broken into </w:t>
            </w:r>
            <w:r w:rsidR="001A4F66">
              <w:t>three</w:t>
            </w:r>
            <w:r w:rsidRPr="005C7915">
              <w:t xml:space="preserve"> Sections</w:t>
            </w:r>
            <w:r w:rsidR="00D35340">
              <w:t xml:space="preserve"> with</w:t>
            </w:r>
            <w:r w:rsidRPr="005C7915">
              <w:t xml:space="preserve"> each addressing a grant initiative:</w:t>
            </w:r>
          </w:p>
          <w:p w:rsidR="005C7915" w:rsidRPr="005C7915" w:rsidRDefault="005C7915" w:rsidP="005C7915">
            <w:pPr>
              <w:pStyle w:val="ListParagraph"/>
              <w:numPr>
                <w:ilvl w:val="0"/>
                <w:numId w:val="17"/>
              </w:numPr>
              <w:spacing w:after="120"/>
            </w:pPr>
            <w:r w:rsidRPr="005C7915">
              <w:t>New Technologies</w:t>
            </w:r>
            <w:r w:rsidR="001A4F66">
              <w:t xml:space="preserve"> Project</w:t>
            </w:r>
          </w:p>
          <w:p w:rsidR="005C7915" w:rsidRPr="005C7915" w:rsidRDefault="005C7915" w:rsidP="005C7915">
            <w:pPr>
              <w:pStyle w:val="ListParagraph"/>
              <w:numPr>
                <w:ilvl w:val="0"/>
                <w:numId w:val="17"/>
              </w:numPr>
              <w:spacing w:after="120"/>
            </w:pPr>
            <w:r w:rsidRPr="005C7915">
              <w:t>Panasonic Research</w:t>
            </w:r>
          </w:p>
          <w:p w:rsidR="005C7915" w:rsidRDefault="005C7915" w:rsidP="00E973E5">
            <w:pPr>
              <w:pStyle w:val="ListParagraph"/>
              <w:numPr>
                <w:ilvl w:val="0"/>
                <w:numId w:val="17"/>
              </w:numPr>
              <w:spacing w:after="120"/>
              <w:rPr>
                <w:sz w:val="24"/>
              </w:rPr>
            </w:pPr>
            <w:r w:rsidRPr="005C7915">
              <w:t xml:space="preserve">RUC for </w:t>
            </w:r>
            <w:r w:rsidR="001A4F66">
              <w:t>Fleets Report</w:t>
            </w:r>
          </w:p>
          <w:p w:rsidR="005C7915" w:rsidRPr="005C7915" w:rsidRDefault="005C7915" w:rsidP="005C7915">
            <w:pPr>
              <w:rPr>
                <w:sz w:val="24"/>
              </w:rPr>
            </w:pPr>
          </w:p>
        </w:tc>
      </w:tr>
      <w:tr w:rsidR="001E2D15" w:rsidTr="00D970A8">
        <w:tc>
          <w:tcPr>
            <w:tcW w:w="2117" w:type="dxa"/>
          </w:tcPr>
          <w:p w:rsidR="001E2D15" w:rsidRDefault="001E2D15" w:rsidP="00B43EBB">
            <w:pPr>
              <w:pStyle w:val="Heading1"/>
              <w:outlineLvl w:val="0"/>
            </w:pPr>
          </w:p>
        </w:tc>
        <w:tc>
          <w:tcPr>
            <w:tcW w:w="244" w:type="dxa"/>
            <w:tcBorders>
              <w:right w:val="nil"/>
            </w:tcBorders>
          </w:tcPr>
          <w:p w:rsidR="001E2D15" w:rsidRDefault="001E2D15" w:rsidP="00B43EBB">
            <w:pPr>
              <w:pStyle w:val="Heading1"/>
              <w:outlineLvl w:val="0"/>
            </w:pPr>
          </w:p>
        </w:tc>
        <w:tc>
          <w:tcPr>
            <w:tcW w:w="6637" w:type="dxa"/>
            <w:tcBorders>
              <w:left w:val="nil"/>
            </w:tcBorders>
          </w:tcPr>
          <w:p w:rsidR="001E2D15" w:rsidRPr="00AE7C2C" w:rsidRDefault="00CF05C9" w:rsidP="00AE7C2C">
            <w:pPr>
              <w:pStyle w:val="Heading2"/>
              <w:spacing w:before="120" w:after="120"/>
              <w:outlineLvl w:val="1"/>
              <w:rPr>
                <w:sz w:val="32"/>
              </w:rPr>
            </w:pPr>
            <w:bookmarkStart w:id="6" w:name="_Toc80705020"/>
            <w:r>
              <w:rPr>
                <w:sz w:val="32"/>
              </w:rPr>
              <w:t>New Technologies</w:t>
            </w:r>
            <w:r w:rsidR="001E2D15" w:rsidRPr="00AE7C2C">
              <w:rPr>
                <w:sz w:val="32"/>
              </w:rPr>
              <w:t xml:space="preserve"> </w:t>
            </w:r>
            <w:r w:rsidR="001A4F66">
              <w:rPr>
                <w:sz w:val="32"/>
              </w:rPr>
              <w:t>P</w:t>
            </w:r>
            <w:r w:rsidR="001E2D15" w:rsidRPr="00AE7C2C">
              <w:rPr>
                <w:sz w:val="32"/>
              </w:rPr>
              <w:t>roject</w:t>
            </w:r>
            <w:bookmarkEnd w:id="6"/>
          </w:p>
          <w:p w:rsidR="00CF05C9" w:rsidRDefault="00CF05C9" w:rsidP="00CF05C9">
            <w:pPr>
              <w:pStyle w:val="ListParagraph"/>
              <w:ind w:left="1"/>
            </w:pPr>
            <w:r w:rsidRPr="00CF05C9">
              <w:t>The Oregon Department of Transportation (ODOT) Road Usage Charge (RUC) program uses Mileage Reporting Devices (MRD) to report mileage and fuel consumption data from participating vehicles.  The program’s current device plugs into the vehicle’s Onboard Diagnostics (OBD) port, captures the mileage and fuel consumption data, and reports it to an account manager (AM) that calculates road usage charges and fuel tax credits. Two types of devices are available to OReGO Program participants:</w:t>
            </w:r>
          </w:p>
          <w:p w:rsidR="00CF05C9" w:rsidRPr="00CF05C9" w:rsidRDefault="00CF05C9" w:rsidP="00CF05C9">
            <w:pPr>
              <w:pStyle w:val="ListParagraph"/>
            </w:pPr>
          </w:p>
          <w:p w:rsidR="00CF05C9" w:rsidRPr="00CF05C9" w:rsidRDefault="00CF05C9" w:rsidP="00C90073">
            <w:pPr>
              <w:pStyle w:val="ListParagraph"/>
              <w:numPr>
                <w:ilvl w:val="0"/>
                <w:numId w:val="6"/>
              </w:numPr>
            </w:pPr>
            <w:r w:rsidRPr="00CF05C9">
              <w:t>Basic: Plugs in to the OBD port; Captures miles driven and fuel consumption (when available).</w:t>
            </w:r>
            <w:r w:rsidR="00D35340">
              <w:t xml:space="preserve"> This device does not use vehicle location technology.</w:t>
            </w:r>
          </w:p>
          <w:p w:rsidR="00CF05C9" w:rsidRPr="00CF05C9" w:rsidRDefault="00CF05C9" w:rsidP="00C90073">
            <w:pPr>
              <w:pStyle w:val="ListParagraph"/>
              <w:numPr>
                <w:ilvl w:val="0"/>
                <w:numId w:val="6"/>
              </w:numPr>
            </w:pPr>
            <w:r w:rsidRPr="00CF05C9">
              <w:t>Advanced: Plugs in to the OBD port; Captures miles driven and fuel consumption (when available) as well as Global Positioning System (GPS) location data. GPS allows CAMs to differentiate between in-state and out-of-state miles driven</w:t>
            </w:r>
            <w:r w:rsidR="00412A95">
              <w:t xml:space="preserve"> and also provide a number of value-added services</w:t>
            </w:r>
            <w:r w:rsidRPr="00CF05C9">
              <w:t>.</w:t>
            </w:r>
          </w:p>
          <w:p w:rsidR="00CF05C9" w:rsidRPr="00CF05C9" w:rsidRDefault="00CF05C9" w:rsidP="00CF05C9">
            <w:pPr>
              <w:pStyle w:val="ListParagraph"/>
              <w:ind w:left="0"/>
            </w:pPr>
          </w:p>
          <w:p w:rsidR="00CF05C9" w:rsidRDefault="00CF05C9" w:rsidP="00CF05C9">
            <w:pPr>
              <w:pStyle w:val="ListParagraph"/>
              <w:ind w:left="0"/>
            </w:pPr>
            <w:r w:rsidRPr="00CF05C9">
              <w:t>As of now, certain vehicles do not meet the criteria to use a MRD for one of the following reasons:</w:t>
            </w:r>
          </w:p>
          <w:p w:rsidR="00CF05C9" w:rsidRPr="00CF05C9" w:rsidRDefault="00CF05C9" w:rsidP="00CF05C9">
            <w:pPr>
              <w:pStyle w:val="ListParagraph"/>
            </w:pPr>
          </w:p>
          <w:p w:rsidR="00CF05C9" w:rsidRPr="00CF05C9" w:rsidRDefault="00CF05C9" w:rsidP="00C90073">
            <w:pPr>
              <w:pStyle w:val="ListParagraph"/>
              <w:numPr>
                <w:ilvl w:val="0"/>
                <w:numId w:val="4"/>
              </w:numPr>
            </w:pPr>
            <w:r w:rsidRPr="00CF05C9">
              <w:t>Vehicles manufactured before 1996 may not have an OBD port</w:t>
            </w:r>
          </w:p>
          <w:p w:rsidR="00CF05C9" w:rsidRPr="00CF05C9" w:rsidRDefault="00CF05C9" w:rsidP="00C90073">
            <w:pPr>
              <w:pStyle w:val="ListParagraph"/>
              <w:numPr>
                <w:ilvl w:val="0"/>
                <w:numId w:val="4"/>
              </w:numPr>
            </w:pPr>
            <w:r w:rsidRPr="00CF05C9">
              <w:t>Diesel vehicles manufactured before 2006 may not have standardized OBD-II ports</w:t>
            </w:r>
          </w:p>
          <w:p w:rsidR="00CF05C9" w:rsidRPr="00CF05C9" w:rsidRDefault="00CF05C9" w:rsidP="00C90073">
            <w:pPr>
              <w:pStyle w:val="ListParagraph"/>
              <w:numPr>
                <w:ilvl w:val="0"/>
                <w:numId w:val="4"/>
              </w:numPr>
            </w:pPr>
            <w:r w:rsidRPr="00CF05C9">
              <w:t>Electric vehicles are not required to follow OBD standards, therefore some electric vehicles are not compatible with the MRD</w:t>
            </w:r>
          </w:p>
          <w:p w:rsidR="00CF05C9" w:rsidRDefault="00E43982" w:rsidP="00E43982">
            <w:pPr>
              <w:pStyle w:val="ListParagraph"/>
              <w:numPr>
                <w:ilvl w:val="0"/>
                <w:numId w:val="4"/>
              </w:numPr>
            </w:pPr>
            <w:r>
              <w:t xml:space="preserve">Up to 2014 not all vehicles even report VIN </w:t>
            </w:r>
          </w:p>
          <w:p w:rsidR="00E43982" w:rsidRPr="00CF05C9" w:rsidRDefault="00E43982" w:rsidP="00E43982">
            <w:pPr>
              <w:pStyle w:val="ListParagraph"/>
            </w:pPr>
          </w:p>
          <w:p w:rsidR="00CF05C9" w:rsidRDefault="00CF05C9" w:rsidP="00CF05C9">
            <w:pPr>
              <w:pStyle w:val="ListParagraph"/>
              <w:ind w:left="1"/>
            </w:pPr>
            <w:r w:rsidRPr="00CF05C9">
              <w:t xml:space="preserve">As the RUC program continues to grow, </w:t>
            </w:r>
            <w:r w:rsidR="00454AAC">
              <w:t xml:space="preserve">the program must research </w:t>
            </w:r>
            <w:r w:rsidRPr="00CF05C9">
              <w:t>new technologies to ensure all target vehicles can participate and to introduce more options in the RUC market.</w:t>
            </w:r>
          </w:p>
          <w:p w:rsidR="00CF05C9" w:rsidRPr="00CF05C9" w:rsidRDefault="00CF05C9" w:rsidP="00CF05C9">
            <w:pPr>
              <w:pStyle w:val="ListParagraph"/>
              <w:ind w:left="1"/>
            </w:pPr>
          </w:p>
          <w:p w:rsidR="001E2D15" w:rsidRPr="001E2D15" w:rsidRDefault="00CF05C9" w:rsidP="00454AAC">
            <w:pPr>
              <w:rPr>
                <w:sz w:val="24"/>
              </w:rPr>
            </w:pPr>
            <w:r w:rsidRPr="00CF05C9">
              <w:t xml:space="preserve">The OReGO Program will solicit current CAMs to </w:t>
            </w:r>
            <w:r w:rsidR="00454AAC">
              <w:t>analyze the feasibility of</w:t>
            </w:r>
            <w:r w:rsidRPr="00CF05C9">
              <w:t xml:space="preserve"> additional mileage reporting technologies, which </w:t>
            </w:r>
            <w:r w:rsidR="00454AAC">
              <w:t>could</w:t>
            </w:r>
            <w:r w:rsidRPr="00CF05C9">
              <w:t xml:space="preserve"> allow more vehicles in the program and provide more choice to the public.</w:t>
            </w:r>
          </w:p>
        </w:tc>
      </w:tr>
      <w:tr w:rsidR="001E2D15" w:rsidTr="00D970A8">
        <w:tc>
          <w:tcPr>
            <w:tcW w:w="2117" w:type="dxa"/>
          </w:tcPr>
          <w:p w:rsidR="001E2D15" w:rsidRPr="00F5537A" w:rsidRDefault="001E2D15" w:rsidP="00F5537A">
            <w:pPr>
              <w:rPr>
                <w:rFonts w:ascii="Century Gothic" w:eastAsia="Arial Unicode MS" w:hAnsi="Century Gothic" w:cs="Arial Unicode MS"/>
                <w:color w:val="00B0F0"/>
                <w:sz w:val="24"/>
                <w:szCs w:val="18"/>
                <w:lang w:val="en-NZ"/>
              </w:rPr>
            </w:pPr>
          </w:p>
        </w:tc>
        <w:tc>
          <w:tcPr>
            <w:tcW w:w="244" w:type="dxa"/>
            <w:tcBorders>
              <w:right w:val="nil"/>
            </w:tcBorders>
          </w:tcPr>
          <w:p w:rsidR="001E2D15" w:rsidRDefault="001E2D15" w:rsidP="00B43EBB">
            <w:pPr>
              <w:pStyle w:val="Heading1"/>
              <w:outlineLvl w:val="0"/>
            </w:pPr>
          </w:p>
        </w:tc>
        <w:tc>
          <w:tcPr>
            <w:tcW w:w="6637" w:type="dxa"/>
            <w:tcBorders>
              <w:left w:val="nil"/>
            </w:tcBorders>
          </w:tcPr>
          <w:p w:rsidR="00A55447" w:rsidRDefault="00A55447" w:rsidP="00490B49">
            <w:pPr>
              <w:pStyle w:val="Heading1"/>
              <w:spacing w:before="0"/>
              <w:outlineLvl w:val="0"/>
              <w:rPr>
                <w:sz w:val="40"/>
              </w:rPr>
            </w:pPr>
          </w:p>
          <w:p w:rsidR="00EC3AAD" w:rsidRPr="001A4F66" w:rsidRDefault="00EC3AAD" w:rsidP="001A4F66">
            <w:pPr>
              <w:pStyle w:val="Heading2"/>
              <w:outlineLvl w:val="1"/>
              <w:rPr>
                <w:sz w:val="28"/>
              </w:rPr>
            </w:pPr>
            <w:bookmarkStart w:id="7" w:name="_Toc80705021"/>
            <w:r w:rsidRPr="001A4F66">
              <w:rPr>
                <w:sz w:val="28"/>
              </w:rPr>
              <w:t>Evaluation</w:t>
            </w:r>
            <w:bookmarkEnd w:id="7"/>
          </w:p>
          <w:p w:rsidR="00EC3AAD" w:rsidRPr="00490B49" w:rsidRDefault="00EC3AAD" w:rsidP="00AE7C2C">
            <w:pPr>
              <w:pStyle w:val="Heading2"/>
              <w:spacing w:after="120"/>
              <w:outlineLvl w:val="1"/>
              <w:rPr>
                <w:sz w:val="18"/>
              </w:rPr>
            </w:pPr>
          </w:p>
          <w:p w:rsidR="001E2D15" w:rsidRPr="002B405D" w:rsidRDefault="007B3AB6" w:rsidP="00403E14">
            <w:pPr>
              <w:pStyle w:val="ListParagraph"/>
              <w:ind w:left="0"/>
            </w:pPr>
            <w:r w:rsidRPr="002B405D">
              <w:t>The</w:t>
            </w:r>
            <w:r w:rsidR="00F451F6" w:rsidRPr="002B405D">
              <w:t xml:space="preserve"> “</w:t>
            </w:r>
            <w:r w:rsidR="00454AAC">
              <w:t>New Technologies</w:t>
            </w:r>
            <w:r w:rsidR="00F451F6" w:rsidRPr="002B405D">
              <w:t>” subproject</w:t>
            </w:r>
            <w:r w:rsidR="001E2D15" w:rsidRPr="002B405D">
              <w:t xml:space="preserve"> </w:t>
            </w:r>
            <w:r w:rsidRPr="002B405D">
              <w:t xml:space="preserve">took place between November 2016 and </w:t>
            </w:r>
            <w:r w:rsidR="00AB69E5">
              <w:t>January 2019</w:t>
            </w:r>
            <w:r w:rsidRPr="002B405D">
              <w:t>.</w:t>
            </w:r>
            <w:r w:rsidR="00F943B0">
              <w:t xml:space="preserve">  The Account Manager’s final task of “Evaluation and Report</w:t>
            </w:r>
            <w:r w:rsidR="00D35340">
              <w:t>,</w:t>
            </w:r>
            <w:r w:rsidR="00F943B0">
              <w:t xml:space="preserve">” </w:t>
            </w:r>
            <w:r w:rsidR="00D35340">
              <w:t xml:space="preserve">was </w:t>
            </w:r>
            <w:r w:rsidR="00F943B0">
              <w:t xml:space="preserve">completed in April 2019. </w:t>
            </w:r>
          </w:p>
          <w:p w:rsidR="007B3AB6" w:rsidRPr="002B405D" w:rsidRDefault="007B3AB6" w:rsidP="00403E14">
            <w:pPr>
              <w:pStyle w:val="ListParagraph"/>
              <w:ind w:left="0"/>
            </w:pPr>
          </w:p>
          <w:p w:rsidR="00510D42" w:rsidRDefault="00510D42" w:rsidP="00185D21">
            <w:pPr>
              <w:pStyle w:val="ListParagraph"/>
              <w:ind w:left="0"/>
            </w:pPr>
            <w:r>
              <w:t xml:space="preserve">Architecture and </w:t>
            </w:r>
            <w:r w:rsidR="00A22E43">
              <w:t>Analysis</w:t>
            </w:r>
            <w:r w:rsidR="00CD166E">
              <w:t xml:space="preserve"> (A&amp;A)</w:t>
            </w:r>
            <w:r>
              <w:t xml:space="preserve"> began </w:t>
            </w:r>
            <w:r w:rsidR="00CD166E">
              <w:t>December 2016</w:t>
            </w:r>
            <w:r>
              <w:t xml:space="preserve">, with ODOT staff evaluating and updating existing requirements documents to align with the goals of the New Technologies subproject. </w:t>
            </w:r>
            <w:r w:rsidR="003C0E4B">
              <w:t xml:space="preserve">The draft of new requirements were provided </w:t>
            </w:r>
            <w:r w:rsidR="00A22E43">
              <w:t xml:space="preserve">for the Request for Proposal (RFP) </w:t>
            </w:r>
            <w:r w:rsidR="003C0E4B">
              <w:t xml:space="preserve">in April 2017. </w:t>
            </w:r>
            <w:r w:rsidR="00F943B0">
              <w:t>A</w:t>
            </w:r>
            <w:r w:rsidR="00A22E43">
              <w:t xml:space="preserve">s part of </w:t>
            </w:r>
            <w:r w:rsidR="00F943B0">
              <w:t xml:space="preserve">the </w:t>
            </w:r>
            <w:r w:rsidR="005E0AD5">
              <w:t>A&amp;A</w:t>
            </w:r>
            <w:r w:rsidR="00F943B0">
              <w:t xml:space="preserve">, </w:t>
            </w:r>
            <w:r w:rsidR="00CD166E">
              <w:t xml:space="preserve">ODOT realized the need for a separate </w:t>
            </w:r>
            <w:r w:rsidR="00701493">
              <w:t xml:space="preserve">application </w:t>
            </w:r>
            <w:r w:rsidR="00CD166E">
              <w:t>environment</w:t>
            </w:r>
            <w:r w:rsidR="00266611">
              <w:t xml:space="preserve"> for system administration</w:t>
            </w:r>
            <w:r w:rsidR="00A3200F">
              <w:t>.  The team</w:t>
            </w:r>
            <w:r w:rsidR="00B34383">
              <w:t xml:space="preserve"> schedul</w:t>
            </w:r>
            <w:r w:rsidR="00F943B0">
              <w:t>ed</w:t>
            </w:r>
            <w:r w:rsidR="00B34383">
              <w:t xml:space="preserve"> </w:t>
            </w:r>
            <w:r w:rsidR="00266611">
              <w:t xml:space="preserve">development </w:t>
            </w:r>
            <w:r w:rsidR="00F943B0">
              <w:t>cycles</w:t>
            </w:r>
            <w:r w:rsidR="00D61B4C">
              <w:t xml:space="preserve"> (called sprints)</w:t>
            </w:r>
            <w:r w:rsidR="00F943B0">
              <w:t xml:space="preserve"> for the purpose of cloning</w:t>
            </w:r>
            <w:r w:rsidR="00266611">
              <w:t xml:space="preserve"> </w:t>
            </w:r>
            <w:r w:rsidR="00A3200F">
              <w:t xml:space="preserve">the current </w:t>
            </w:r>
            <w:r w:rsidR="00266611">
              <w:t>administrative system</w:t>
            </w:r>
            <w:r w:rsidR="00A3200F">
              <w:t xml:space="preserve"> into</w:t>
            </w:r>
            <w:r w:rsidR="00266611">
              <w:t xml:space="preserve"> “</w:t>
            </w:r>
            <w:r w:rsidR="00701493">
              <w:t>RUCAS OpsTrial</w:t>
            </w:r>
            <w:r w:rsidR="00266611">
              <w:t>”</w:t>
            </w:r>
            <w:r w:rsidR="00701493">
              <w:t xml:space="preserve">. </w:t>
            </w:r>
            <w:r w:rsidR="00B34383">
              <w:t xml:space="preserve"> </w:t>
            </w:r>
            <w:r w:rsidR="00F943B0">
              <w:t>This secondary system</w:t>
            </w:r>
            <w:r w:rsidR="00D35340">
              <w:t xml:space="preserve"> will</w:t>
            </w:r>
            <w:r w:rsidR="00F943B0">
              <w:t xml:space="preserve">, in perpetuity, serve as the platform for all future operational trials. </w:t>
            </w:r>
          </w:p>
          <w:p w:rsidR="00510D42" w:rsidRDefault="00510D42" w:rsidP="00185D21">
            <w:pPr>
              <w:pStyle w:val="ListParagraph"/>
              <w:ind w:left="0"/>
            </w:pPr>
          </w:p>
          <w:p w:rsidR="001E2D15" w:rsidRDefault="00185D21" w:rsidP="00185D21">
            <w:pPr>
              <w:pStyle w:val="ListParagraph"/>
              <w:ind w:left="0"/>
            </w:pPr>
            <w:r>
              <w:t xml:space="preserve">Current Account Managers for the OReGO Program were invited to submit </w:t>
            </w:r>
            <w:r w:rsidR="000832F7">
              <w:t>responses</w:t>
            </w:r>
            <w:r>
              <w:t xml:space="preserve"> to the RFP submitted </w:t>
            </w:r>
            <w:r w:rsidR="00510D42">
              <w:t>in May 2017</w:t>
            </w:r>
            <w:r>
              <w:t>. After careful evaluation of all submissions</w:t>
            </w:r>
            <w:r w:rsidR="00F943B0">
              <w:t>,</w:t>
            </w:r>
            <w:r>
              <w:t xml:space="preserve"> both Azuga and emovis were </w:t>
            </w:r>
            <w:r w:rsidR="003C0E4B">
              <w:t>given an Intent to Award</w:t>
            </w:r>
            <w:r>
              <w:t>,</w:t>
            </w:r>
            <w:r w:rsidR="003C0E4B">
              <w:t xml:space="preserve"> and negotiations began.</w:t>
            </w:r>
            <w:r>
              <w:t xml:space="preserve"> </w:t>
            </w:r>
            <w:r w:rsidR="003C0E4B">
              <w:t>A Work Order Contract (</w:t>
            </w:r>
            <w:r w:rsidR="00F943B0">
              <w:t xml:space="preserve">WOC) was approved </w:t>
            </w:r>
            <w:r w:rsidR="00D61B4C">
              <w:t>(</w:t>
            </w:r>
            <w:r w:rsidR="00F943B0">
              <w:t>by DOJ and Oregon’s Procurement Office</w:t>
            </w:r>
            <w:r w:rsidR="00D61B4C">
              <w:t>)</w:t>
            </w:r>
            <w:r w:rsidR="003C0E4B">
              <w:t xml:space="preserve"> for Azuga in October 2017, with emovis’ taking place in November 2017. T</w:t>
            </w:r>
            <w:r>
              <w:t xml:space="preserve">he project requirements were </w:t>
            </w:r>
            <w:r w:rsidR="003C0E4B">
              <w:t xml:space="preserve">then finalized and </w:t>
            </w:r>
            <w:r>
              <w:t xml:space="preserve">provided for </w:t>
            </w:r>
            <w:r w:rsidR="003C0E4B">
              <w:t>account manager</w:t>
            </w:r>
            <w:r>
              <w:t xml:space="preserve"> review in December 2017. </w:t>
            </w:r>
          </w:p>
          <w:p w:rsidR="00185D21" w:rsidRDefault="00185D21" w:rsidP="00185D21">
            <w:pPr>
              <w:pStyle w:val="ListParagraph"/>
              <w:ind w:left="0"/>
            </w:pPr>
          </w:p>
          <w:p w:rsidR="00185D21" w:rsidRDefault="000832F7" w:rsidP="00185D21">
            <w:pPr>
              <w:pStyle w:val="ListParagraph"/>
              <w:ind w:left="0"/>
            </w:pPr>
            <w:r>
              <w:t xml:space="preserve">The </w:t>
            </w:r>
            <w:r w:rsidR="00510D42">
              <w:t>Design and Construct</w:t>
            </w:r>
            <w:r>
              <w:t xml:space="preserve"> phase began for both account managers in February 2018, with certification beginning in April 2018. </w:t>
            </w:r>
            <w:r w:rsidR="00D61B4C">
              <w:t xml:space="preserve">Due to the newness of the proposed technologies, </w:t>
            </w:r>
            <w:r w:rsidR="003C0E4B">
              <w:t xml:space="preserve">ODOT and the account managers </w:t>
            </w:r>
            <w:r w:rsidR="00D61B4C">
              <w:t>held joint</w:t>
            </w:r>
            <w:r w:rsidR="003C0E4B">
              <w:t xml:space="preserve"> consultations, </w:t>
            </w:r>
            <w:r w:rsidR="00D61B4C">
              <w:t xml:space="preserve">to </w:t>
            </w:r>
            <w:r w:rsidR="003C0E4B">
              <w:t>work through unforeseen issues</w:t>
            </w:r>
            <w:r w:rsidR="003E63F8">
              <w:t>.</w:t>
            </w:r>
            <w:r w:rsidR="00701493">
              <w:t xml:space="preserve"> </w:t>
            </w:r>
            <w:r w:rsidR="00D61B4C">
              <w:t xml:space="preserve">Applying the solutions found during these consultations, </w:t>
            </w:r>
            <w:r w:rsidR="00701493">
              <w:t>ODOT concluded the final sprint for</w:t>
            </w:r>
            <w:r w:rsidR="00D61B4C">
              <w:t xml:space="preserve"> the RUCAS OpsTrial in May 2018</w:t>
            </w:r>
            <w:r w:rsidR="00701493">
              <w:t xml:space="preserve">. </w:t>
            </w:r>
          </w:p>
          <w:p w:rsidR="000832F7" w:rsidRDefault="000832F7" w:rsidP="00185D21">
            <w:pPr>
              <w:pStyle w:val="ListParagraph"/>
              <w:ind w:left="0"/>
            </w:pPr>
          </w:p>
          <w:p w:rsidR="003E63F8" w:rsidRDefault="003E63F8" w:rsidP="00185D21">
            <w:pPr>
              <w:pStyle w:val="ListParagraph"/>
              <w:ind w:left="0"/>
            </w:pPr>
            <w:r>
              <w:t xml:space="preserve">Implementation </w:t>
            </w:r>
            <w:r w:rsidR="00A22E43">
              <w:t xml:space="preserve">of the operational trial </w:t>
            </w:r>
            <w:r>
              <w:t xml:space="preserve">started for emovis in June 2018, while Azuga implemented </w:t>
            </w:r>
            <w:r w:rsidR="00D35340">
              <w:t xml:space="preserve">its </w:t>
            </w:r>
            <w:r w:rsidR="00A22E43">
              <w:t>trial</w:t>
            </w:r>
            <w:r>
              <w:t xml:space="preserve"> technologies in August 2018. </w:t>
            </w:r>
            <w:r w:rsidR="00A22E43">
              <w:t xml:space="preserve">The trials </w:t>
            </w:r>
            <w:r w:rsidR="00A22E43" w:rsidRPr="00A22E43">
              <w:t xml:space="preserve">illuminated opportunities for improvement.  </w:t>
            </w:r>
            <w:r w:rsidR="00A22E43">
              <w:t>ODOT</w:t>
            </w:r>
            <w:r w:rsidR="00A22E43" w:rsidRPr="00A22E43">
              <w:t xml:space="preserve">, under the guidance of leadership, </w:t>
            </w:r>
            <w:r w:rsidR="00A22E43">
              <w:t>took</w:t>
            </w:r>
            <w:r w:rsidR="00A22E43" w:rsidRPr="00A22E43">
              <w:t xml:space="preserve"> a continuous improvement approach</w:t>
            </w:r>
            <w:r w:rsidR="00A22E43">
              <w:t xml:space="preserve"> and</w:t>
            </w:r>
            <w:r w:rsidR="00A22E43" w:rsidRPr="00A22E43">
              <w:t xml:space="preserve"> assessed </w:t>
            </w:r>
            <w:r w:rsidR="00A22E43">
              <w:t>opportunities proactively</w:t>
            </w:r>
            <w:r w:rsidR="00A22E43" w:rsidRPr="00A22E43">
              <w:t xml:space="preserve"> throughout the project.</w:t>
            </w:r>
          </w:p>
          <w:p w:rsidR="003E63F8" w:rsidRPr="002B3396" w:rsidRDefault="003E63F8" w:rsidP="00185D21">
            <w:pPr>
              <w:pStyle w:val="ListParagraph"/>
              <w:ind w:left="0"/>
            </w:pPr>
          </w:p>
        </w:tc>
      </w:tr>
      <w:tr w:rsidR="001E2D15" w:rsidRPr="00A3200F" w:rsidTr="00D970A8">
        <w:tc>
          <w:tcPr>
            <w:tcW w:w="2117" w:type="dxa"/>
          </w:tcPr>
          <w:p w:rsidR="001E2D15" w:rsidRPr="00F5537A" w:rsidRDefault="001E2D15" w:rsidP="00D970A8">
            <w:pPr>
              <w:rPr>
                <w:rFonts w:ascii="Century Gothic" w:eastAsia="Arial Unicode MS" w:hAnsi="Century Gothic" w:cs="Arial Unicode MS"/>
                <w:color w:val="00B0F0"/>
                <w:sz w:val="20"/>
                <w:szCs w:val="18"/>
                <w:lang w:val="en-NZ"/>
              </w:rPr>
            </w:pPr>
          </w:p>
        </w:tc>
        <w:tc>
          <w:tcPr>
            <w:tcW w:w="244" w:type="dxa"/>
            <w:tcBorders>
              <w:right w:val="nil"/>
            </w:tcBorders>
          </w:tcPr>
          <w:p w:rsidR="001E2D15" w:rsidRDefault="001E2D15" w:rsidP="00B43EBB">
            <w:pPr>
              <w:pStyle w:val="Heading1"/>
              <w:outlineLvl w:val="0"/>
            </w:pPr>
          </w:p>
        </w:tc>
        <w:tc>
          <w:tcPr>
            <w:tcW w:w="6637" w:type="dxa"/>
            <w:tcBorders>
              <w:left w:val="nil"/>
            </w:tcBorders>
          </w:tcPr>
          <w:p w:rsidR="00A52A59" w:rsidRPr="00A3200F" w:rsidRDefault="00121D21" w:rsidP="00A52A59">
            <w:r w:rsidRPr="00A3200F">
              <w:t xml:space="preserve">The </w:t>
            </w:r>
            <w:r w:rsidR="009B5E44" w:rsidRPr="00A3200F">
              <w:t>pilot</w:t>
            </w:r>
            <w:r w:rsidR="00371130" w:rsidRPr="00A3200F">
              <w:t xml:space="preserve"> </w:t>
            </w:r>
            <w:r w:rsidR="00A3200F">
              <w:t>demonstrated that</w:t>
            </w:r>
            <w:r w:rsidR="00371130" w:rsidRPr="00A3200F">
              <w:t xml:space="preserve"> </w:t>
            </w:r>
            <w:r w:rsidR="009B5E44" w:rsidRPr="00A3200F">
              <w:t>emerging</w:t>
            </w:r>
            <w:r w:rsidR="00371130" w:rsidRPr="00A3200F">
              <w:t xml:space="preserve"> technologies have their inadequacies. </w:t>
            </w:r>
            <w:r w:rsidR="00D35340">
              <w:t>The technologies tested included a cell phone/beacon pairing and cell phone imagery of the odometer as well as telematics.</w:t>
            </w:r>
            <w:r w:rsidR="00371130" w:rsidRPr="00A3200F">
              <w:t xml:space="preserve">  </w:t>
            </w:r>
            <w:r w:rsidR="00A52A59" w:rsidRPr="00A3200F">
              <w:t>For two of the three technologies, t</w:t>
            </w:r>
            <w:r w:rsidR="009B5E44" w:rsidRPr="00A3200F">
              <w:t xml:space="preserve">hese deficiencies </w:t>
            </w:r>
            <w:r w:rsidR="00A52A59" w:rsidRPr="00A3200F">
              <w:t xml:space="preserve">resulted in poor user experiences and inconsistency in the data captured.  </w:t>
            </w:r>
          </w:p>
          <w:p w:rsidR="00A52A59" w:rsidRPr="00A3200F" w:rsidRDefault="00A52A59" w:rsidP="00A52A59"/>
          <w:p w:rsidR="00834811" w:rsidRDefault="00A52A59" w:rsidP="0024101F">
            <w:r w:rsidRPr="00A3200F">
              <w:t>T</w:t>
            </w:r>
            <w:r w:rsidR="00371130" w:rsidRPr="00A3200F">
              <w:t xml:space="preserve">elematics </w:t>
            </w:r>
            <w:r w:rsidR="00A3200F">
              <w:t>did demonstrate</w:t>
            </w:r>
            <w:r w:rsidR="00371130" w:rsidRPr="00A3200F">
              <w:t xml:space="preserve"> promise.  The advantage of telematics</w:t>
            </w:r>
            <w:r w:rsidRPr="00A3200F">
              <w:t xml:space="preserve"> </w:t>
            </w:r>
            <w:r w:rsidR="00371130" w:rsidRPr="00A3200F">
              <w:t>is</w:t>
            </w:r>
            <w:r w:rsidRPr="00A3200F">
              <w:t xml:space="preserve"> the</w:t>
            </w:r>
            <w:r w:rsidR="00371130" w:rsidRPr="00A3200F">
              <w:t xml:space="preserve"> reliability and simplicity.  The disadvantage </w:t>
            </w:r>
            <w:r w:rsidR="00D61B4C">
              <w:t>is the lack of</w:t>
            </w:r>
            <w:r w:rsidR="00371130" w:rsidRPr="00A3200F">
              <w:t xml:space="preserve"> </w:t>
            </w:r>
            <w:r w:rsidR="009B5E44" w:rsidRPr="00A3200F">
              <w:t>ubiquit</w:t>
            </w:r>
            <w:r w:rsidR="00D61B4C">
              <w:t>y</w:t>
            </w:r>
            <w:r w:rsidR="009B5E44" w:rsidRPr="00A3200F">
              <w:t xml:space="preserve"> in automobiles</w:t>
            </w:r>
            <w:r w:rsidR="00D61B4C">
              <w:t xml:space="preserve">.  </w:t>
            </w:r>
            <w:r w:rsidR="0024101F">
              <w:t>The</w:t>
            </w:r>
            <w:r w:rsidR="00A3200F">
              <w:t xml:space="preserve"> technology will need more time to mature</w:t>
            </w:r>
            <w:r w:rsidR="0024101F">
              <w:t>, the access through third parties is limited and engagement from the automotive industry could move the technology further.</w:t>
            </w:r>
          </w:p>
          <w:p w:rsidR="001A4F66" w:rsidRPr="00A3200F" w:rsidRDefault="001A4F66" w:rsidP="0024101F"/>
        </w:tc>
      </w:tr>
      <w:tr w:rsidR="00821379" w:rsidTr="00D970A8">
        <w:tc>
          <w:tcPr>
            <w:tcW w:w="2117" w:type="dxa"/>
          </w:tcPr>
          <w:p w:rsidR="00821379" w:rsidRPr="00F5537A" w:rsidRDefault="00821379" w:rsidP="00D970A8">
            <w:pPr>
              <w:rPr>
                <w:rFonts w:ascii="Century Gothic" w:eastAsia="Arial Unicode MS" w:hAnsi="Century Gothic" w:cs="Arial Unicode MS"/>
                <w:color w:val="00B0F0"/>
                <w:sz w:val="20"/>
                <w:szCs w:val="18"/>
                <w:lang w:val="en-NZ"/>
              </w:rPr>
            </w:pPr>
            <w:r>
              <w:br/>
            </w:r>
          </w:p>
        </w:tc>
        <w:tc>
          <w:tcPr>
            <w:tcW w:w="244" w:type="dxa"/>
            <w:tcBorders>
              <w:right w:val="nil"/>
            </w:tcBorders>
          </w:tcPr>
          <w:p w:rsidR="00821379" w:rsidRDefault="00821379" w:rsidP="008C2672">
            <w:pPr>
              <w:spacing w:after="120"/>
            </w:pPr>
          </w:p>
        </w:tc>
        <w:tc>
          <w:tcPr>
            <w:tcW w:w="6637" w:type="dxa"/>
            <w:tcBorders>
              <w:left w:val="nil"/>
            </w:tcBorders>
          </w:tcPr>
          <w:p w:rsidR="00821379" w:rsidRPr="001A4F66" w:rsidRDefault="00821379" w:rsidP="008C2672">
            <w:pPr>
              <w:pStyle w:val="Heading2"/>
              <w:outlineLvl w:val="1"/>
              <w:rPr>
                <w:sz w:val="28"/>
              </w:rPr>
            </w:pPr>
            <w:bookmarkStart w:id="8" w:name="_Toc80705022"/>
            <w:r w:rsidRPr="001A4F66">
              <w:rPr>
                <w:sz w:val="28"/>
              </w:rPr>
              <w:t>Lessons Learned</w:t>
            </w:r>
            <w:bookmarkEnd w:id="8"/>
          </w:p>
          <w:p w:rsidR="00821379" w:rsidRDefault="00821379" w:rsidP="008C2672">
            <w:pPr>
              <w:spacing w:after="120"/>
            </w:pPr>
            <w:r>
              <w:t>The outline below summarizes th</w:t>
            </w:r>
            <w:r w:rsidR="00C14FED">
              <w:t xml:space="preserve">e OReGO team’s lessons learned </w:t>
            </w:r>
            <w:r>
              <w:t>including challeng</w:t>
            </w:r>
            <w:r w:rsidR="00C14FED">
              <w:t xml:space="preserve">es that </w:t>
            </w:r>
            <w:r w:rsidR="009912B7">
              <w:t>were encountered</w:t>
            </w:r>
            <w:r w:rsidR="004E0CD8">
              <w:t>, findings and recommendations for future implementations</w:t>
            </w:r>
            <w:r w:rsidR="00C14FED">
              <w:t>.</w:t>
            </w:r>
            <w:r w:rsidR="00E935E8">
              <w:t xml:space="preserve"> </w:t>
            </w:r>
          </w:p>
          <w:p w:rsidR="004365E2" w:rsidRPr="001A4F66" w:rsidRDefault="00630197" w:rsidP="008C2672">
            <w:pPr>
              <w:spacing w:after="120"/>
              <w:rPr>
                <w:rFonts w:ascii="Yu Gothic UI Semibold" w:eastAsia="Yu Gothic UI Semibold" w:hAnsi="Yu Gothic UI Semibold" w:cs="Calibri"/>
                <w:b/>
                <w:color w:val="00B050"/>
              </w:rPr>
            </w:pPr>
            <w:r w:rsidRPr="001A4F66">
              <w:rPr>
                <w:rFonts w:ascii="Yu Gothic UI Semibold" w:eastAsia="Yu Gothic UI Semibold" w:hAnsi="Yu Gothic UI Semibold" w:cs="Calibri"/>
                <w:b/>
                <w:color w:val="00B050"/>
              </w:rPr>
              <w:t>Certification Requirements</w:t>
            </w:r>
          </w:p>
          <w:p w:rsidR="002B405D" w:rsidRDefault="00BD05E9" w:rsidP="008C2672">
            <w:pPr>
              <w:spacing w:after="120"/>
              <w:rPr>
                <w:rFonts w:cstheme="minorHAnsi"/>
              </w:rPr>
            </w:pPr>
            <w:r>
              <w:rPr>
                <w:rFonts w:cstheme="minorHAnsi"/>
              </w:rPr>
              <w:t>The certification process was time consuming for Account Managers and OReGO staff alike.   The process needs to be more iterative with regular OReGO check points so the AM can ask questions and validate assumptions.  This will provide OReGO improved insight to determine whether the AM is veering off track.</w:t>
            </w:r>
          </w:p>
          <w:p w:rsidR="00BD05E9" w:rsidRPr="001A4F66" w:rsidRDefault="00BD05E9" w:rsidP="00BD05E9">
            <w:pPr>
              <w:spacing w:after="120"/>
              <w:rPr>
                <w:color w:val="00B050"/>
              </w:rPr>
            </w:pPr>
            <w:r w:rsidRPr="001A4F66">
              <w:rPr>
                <w:rFonts w:ascii="Yu Gothic UI Semibold" w:eastAsia="Yu Gothic UI Semibold" w:hAnsi="Yu Gothic UI Semibold" w:cs="Calibri"/>
                <w:b/>
                <w:color w:val="00B050"/>
              </w:rPr>
              <w:t>Self-Certification</w:t>
            </w:r>
          </w:p>
          <w:p w:rsidR="00BD05E9" w:rsidRDefault="00BD05E9" w:rsidP="00BD05E9">
            <w:pPr>
              <w:spacing w:after="120"/>
            </w:pPr>
            <w:r>
              <w:t xml:space="preserve">Initially the AMs were unclear of the purpose of the self-certification process and the intended outcomes.  The AMs rushed through the process often considering it a “paper exercise” without doing the actual development and/or the proper testing.  In the future OReGO will need to have clearer communication about the process and hold AMs accountable to </w:t>
            </w:r>
            <w:r w:rsidR="00D61B4C">
              <w:t>the process</w:t>
            </w:r>
            <w:r>
              <w:t>.</w:t>
            </w:r>
          </w:p>
          <w:p w:rsidR="008A3D25" w:rsidRPr="001A4F66" w:rsidRDefault="008A3D25" w:rsidP="008A3D25">
            <w:pPr>
              <w:spacing w:after="120"/>
              <w:rPr>
                <w:rFonts w:ascii="Yu Gothic UI Semibold" w:eastAsia="Yu Gothic UI Semibold" w:hAnsi="Yu Gothic UI Semibold" w:cs="Calibri"/>
                <w:b/>
                <w:color w:val="00B050"/>
              </w:rPr>
            </w:pPr>
            <w:r w:rsidRPr="001A4F66">
              <w:rPr>
                <w:rFonts w:ascii="Yu Gothic UI Semibold" w:eastAsia="Yu Gothic UI Semibold" w:hAnsi="Yu Gothic UI Semibold" w:cs="Calibri"/>
                <w:b/>
                <w:color w:val="00B050"/>
              </w:rPr>
              <w:t xml:space="preserve">Clear and Concise </w:t>
            </w:r>
          </w:p>
          <w:p w:rsidR="008A3D25" w:rsidRDefault="008A3D25" w:rsidP="008A3D25">
            <w:pPr>
              <w:spacing w:after="120"/>
            </w:pPr>
            <w:r>
              <w:t>It</w:t>
            </w:r>
            <w:r w:rsidR="00D35340">
              <w:t xml:space="preserve"> is</w:t>
            </w:r>
            <w:r>
              <w:t xml:space="preserve"> critical to write details in the service level agreements, </w:t>
            </w:r>
            <w:r w:rsidR="006542B0">
              <w:t xml:space="preserve">contracts, </w:t>
            </w:r>
            <w:r>
              <w:t>requirement</w:t>
            </w:r>
            <w:r w:rsidR="001A3D8C">
              <w:t>s</w:t>
            </w:r>
            <w:r w:rsidR="006542B0">
              <w:t>,</w:t>
            </w:r>
            <w:r>
              <w:t xml:space="preserve"> and the system specifications in an unambiguous way so that</w:t>
            </w:r>
            <w:r w:rsidR="001A3D8C">
              <w:t xml:space="preserve"> OReGO’s</w:t>
            </w:r>
            <w:r>
              <w:t xml:space="preserve"> intentions are not left open to interpretation.  Consistent and accurate interpretation among the </w:t>
            </w:r>
            <w:r w:rsidR="00776F18">
              <w:t>account manager</w:t>
            </w:r>
            <w:r>
              <w:t xml:space="preserve">s is paramount for honoring the original objective of the requirement or agreement so that the </w:t>
            </w:r>
            <w:r w:rsidR="006542B0">
              <w:t>project</w:t>
            </w:r>
            <w:r>
              <w:t xml:space="preserve"> </w:t>
            </w:r>
            <w:r w:rsidR="006542B0">
              <w:t>outcomes are</w:t>
            </w:r>
            <w:r>
              <w:t xml:space="preserve"> as intended.  </w:t>
            </w:r>
          </w:p>
          <w:p w:rsidR="00D21152" w:rsidRPr="001A4F66" w:rsidRDefault="00D21152" w:rsidP="00D21152">
            <w:pPr>
              <w:spacing w:after="120"/>
              <w:rPr>
                <w:color w:val="00B050"/>
              </w:rPr>
            </w:pPr>
            <w:r w:rsidRPr="001A4F66">
              <w:rPr>
                <w:rFonts w:ascii="Yu Gothic UI Semibold" w:eastAsia="Yu Gothic UI Semibold" w:hAnsi="Yu Gothic UI Semibold" w:cs="Calibri"/>
                <w:b/>
                <w:color w:val="00B050"/>
              </w:rPr>
              <w:t>End to End Testing At Each Phase</w:t>
            </w:r>
          </w:p>
          <w:p w:rsidR="004C02F7" w:rsidRDefault="00D21152" w:rsidP="00D21152">
            <w:pPr>
              <w:spacing w:after="120"/>
            </w:pPr>
            <w:r>
              <w:t>OReGO testing was conducted incrementally however changes were being made by the AM throughout the product de</w:t>
            </w:r>
            <w:r w:rsidR="006542B0">
              <w:t xml:space="preserve">velopment.  OReGO’s experience </w:t>
            </w:r>
            <w:r>
              <w:t xml:space="preserve">was that a function would behave as intended but at some point a change made resulted in it not functioning the same or breaking.  In a couple instances this was not be discovered until the participant enrolled.  </w:t>
            </w:r>
          </w:p>
          <w:p w:rsidR="006542B0" w:rsidRPr="001A4F66" w:rsidRDefault="006542B0" w:rsidP="006542B0">
            <w:pPr>
              <w:spacing w:after="120"/>
              <w:rPr>
                <w:color w:val="00B050"/>
              </w:rPr>
            </w:pPr>
            <w:r w:rsidRPr="001A4F66">
              <w:rPr>
                <w:rFonts w:ascii="Yu Gothic UI Semibold" w:eastAsia="Yu Gothic UI Semibold" w:hAnsi="Yu Gothic UI Semibold" w:cs="Calibri"/>
                <w:b/>
                <w:color w:val="00B050"/>
              </w:rPr>
              <w:t>Inconsistencies in Terminology</w:t>
            </w:r>
            <w:r w:rsidRPr="001A4F66">
              <w:rPr>
                <w:color w:val="00B050"/>
              </w:rPr>
              <w:t xml:space="preserve"> </w:t>
            </w:r>
          </w:p>
          <w:p w:rsidR="006542B0" w:rsidRDefault="006542B0" w:rsidP="006542B0">
            <w:pPr>
              <w:spacing w:after="120"/>
            </w:pPr>
            <w:r>
              <w:t>AMs had their own conventions for terms and they were inconsistent with OReGO’s terminology and contract language.  This led to confusion and a consistent need to cross map and translate terms.  In future partnerships there needs to be a common set of terms that are consistently used.</w:t>
            </w:r>
          </w:p>
          <w:p w:rsidR="006542B0" w:rsidRPr="001A4F66" w:rsidRDefault="006542B0" w:rsidP="006542B0">
            <w:pPr>
              <w:spacing w:after="120"/>
              <w:rPr>
                <w:color w:val="00B050"/>
              </w:rPr>
            </w:pPr>
            <w:r w:rsidRPr="001A4F66">
              <w:rPr>
                <w:rFonts w:ascii="Yu Gothic UI Semibold" w:eastAsia="Yu Gothic UI Semibold" w:hAnsi="Yu Gothic UI Semibold" w:cs="Calibri"/>
                <w:b/>
                <w:color w:val="00B050"/>
              </w:rPr>
              <w:t>Ambiguity in Product Design and Back-office Workflow</w:t>
            </w:r>
          </w:p>
          <w:p w:rsidR="006542B0" w:rsidRDefault="00CA01B4" w:rsidP="00D129DC">
            <w:pPr>
              <w:spacing w:after="120"/>
            </w:pPr>
            <w:r>
              <w:t xml:space="preserve">There were </w:t>
            </w:r>
            <w:r w:rsidR="006542B0">
              <w:t>several misunderstanding</w:t>
            </w:r>
            <w:r w:rsidR="00D35340">
              <w:t>s</w:t>
            </w:r>
            <w:r w:rsidR="006542B0">
              <w:t xml:space="preserve"> </w:t>
            </w:r>
            <w:r w:rsidR="00D35340">
              <w:t xml:space="preserve">between OReGO and the AM’s experience </w:t>
            </w:r>
            <w:r w:rsidR="00D129DC">
              <w:t xml:space="preserve">relating to the technical </w:t>
            </w:r>
            <w:r w:rsidR="006542B0">
              <w:t>functionality</w:t>
            </w:r>
            <w:r w:rsidR="00D35340">
              <w:t xml:space="preserve">. This made </w:t>
            </w:r>
            <w:r w:rsidR="006542B0">
              <w:t xml:space="preserve">it difficult to trouble-shoot problems or provide guidance to our participants.  In future projects OReGO should hold AMs </w:t>
            </w:r>
            <w:r>
              <w:t xml:space="preserve">accountable </w:t>
            </w:r>
            <w:r w:rsidR="006542B0">
              <w:t>to provide more details and documentation that explains their processes end-to-end</w:t>
            </w:r>
            <w:r w:rsidR="001A3D8C">
              <w:t>,</w:t>
            </w:r>
            <w:r w:rsidR="006542B0">
              <w:t xml:space="preserve"> includ</w:t>
            </w:r>
            <w:r w:rsidR="001A3D8C">
              <w:t>ing thos</w:t>
            </w:r>
            <w:r w:rsidR="006542B0">
              <w:t>e</w:t>
            </w:r>
            <w:r w:rsidR="001A3D8C">
              <w:t xml:space="preserve"> of</w:t>
            </w:r>
            <w:r w:rsidR="006542B0">
              <w:t xml:space="preserve"> their business partners.</w:t>
            </w:r>
          </w:p>
          <w:p w:rsidR="005C7915" w:rsidRPr="005C7915" w:rsidRDefault="005C7915" w:rsidP="005C7915">
            <w:pPr>
              <w:pStyle w:val="Heading1"/>
              <w:outlineLvl w:val="0"/>
            </w:pPr>
            <w:bookmarkStart w:id="9" w:name="_Toc80705023"/>
            <w:r w:rsidRPr="005C7915">
              <w:t xml:space="preserve">Panasonic </w:t>
            </w:r>
            <w:r>
              <w:t>Research</w:t>
            </w:r>
            <w:bookmarkEnd w:id="9"/>
          </w:p>
          <w:p w:rsidR="005C7915" w:rsidRDefault="005C7915" w:rsidP="005C7915">
            <w:r>
              <w:t xml:space="preserve">A delegation of ODOT, Portland Bureau of Transportation, and Metro representatives traveled to Denver in December 2018, to meet with Panasonic on a potential partnership for a connected vehicle (CV) </w:t>
            </w:r>
            <w:r w:rsidR="00E905A9">
              <w:t>eco</w:t>
            </w:r>
            <w:r>
              <w:t>system. Panasonic has already partnered with the Colorado Department of Transportation (CDOT) to deploy the system, and is seeking to partner with several other states to expand the scope and coverage of the project.</w:t>
            </w:r>
          </w:p>
          <w:p w:rsidR="005C7915" w:rsidRDefault="005C7915" w:rsidP="005C7915"/>
          <w:p w:rsidR="00E905A9" w:rsidRDefault="00E905A9" w:rsidP="00E905A9">
            <w:r>
              <w:t xml:space="preserve">As ODOT strives to fulfill its mission of providing a safe and reliable multimodal transportation system, it will need to be able adopt new systems and technologies that improve how it operates the transportation system as well as how it funds it. This means keeping abreast of evolving technologies, such as those in connected vehicles, and proactively partnering with private industry rather than reacting to changing standards. </w:t>
            </w:r>
          </w:p>
          <w:p w:rsidR="00E905A9" w:rsidRDefault="00E905A9" w:rsidP="00E905A9"/>
          <w:p w:rsidR="00E905A9" w:rsidRDefault="00E905A9" w:rsidP="00E905A9">
            <w:r>
              <w:t xml:space="preserve">Connected vehicles are capable of communicating with each other and with infrastructure, which allows them to transmit vast quantities of data about the transportation system and vehicle operations. This could enable public agencies to gather real-time data that will allow them to enhance their operations of the transportation system, </w:t>
            </w:r>
            <w:r w:rsidRPr="00C2741A">
              <w:t xml:space="preserve">creating opportunities </w:t>
            </w:r>
            <w:r>
              <w:t xml:space="preserve">for next generation intelligent transportation systems </w:t>
            </w:r>
            <w:r w:rsidRPr="00C2741A">
              <w:t>to reduce crashes, improve travel time, and lower emissions.</w:t>
            </w:r>
            <w:r>
              <w:t xml:space="preserve"> Some of this data may be used for revenue collection, whether that is for road usage charging, tolling or congestion pricing.</w:t>
            </w:r>
            <w:r w:rsidDel="0056754C">
              <w:t xml:space="preserve"> </w:t>
            </w:r>
          </w:p>
          <w:p w:rsidR="00E905A9" w:rsidRDefault="00E905A9" w:rsidP="00E905A9"/>
          <w:p w:rsidR="00E905A9" w:rsidRDefault="00E905A9" w:rsidP="00E905A9">
            <w:r>
              <w:t xml:space="preserve">Public agencies currently have no way of connecting to this data to better operate the system, and current federal policy leaves it to industry to make technology choices and determine the adoption rate.  In spite of this uncertainty, recent advances in the private sector indicate that opportunities to access this data may be on the horizon. A technology-agnostic connected vehicle ecosystem would provide a platform for CV data gathering and distribution, creating a link to communicate information from vehicles to the highway system and share safety and mobility information with drivers. </w:t>
            </w:r>
          </w:p>
          <w:p w:rsidR="00E905A9" w:rsidRDefault="00E905A9" w:rsidP="005C7915"/>
          <w:p w:rsidR="005C7915" w:rsidRDefault="005C7915" w:rsidP="005C7915"/>
          <w:p w:rsidR="00E905A9" w:rsidRDefault="005C7915" w:rsidP="005C7915">
            <w:r>
              <w:t xml:space="preserve">A partnership with Panasonic could help to break through that impasse by leveraging Panasonic’s connections to automobile manufacturers as a Tier 1 auto supplier, providing a link to communicate information to and from vehicles on the highway system and display safety-related information to drivers. </w:t>
            </w:r>
          </w:p>
          <w:p w:rsidR="00E905A9" w:rsidRDefault="00E905A9" w:rsidP="005C7915"/>
          <w:p w:rsidR="005C7915" w:rsidRDefault="005C7915" w:rsidP="005C7915"/>
          <w:p w:rsidR="005C7915" w:rsidRDefault="005C7915" w:rsidP="005C7915">
            <w:r>
              <w:t>A major focus of the meeting with Panasonic was evaluating in greater detail the potential for the proposed system to support implementation of transportation funding applications. In the meeting, we discussed what role Panasonic could potentially play in the Open Architecture for Transportation Systems, concluding that Panasonic could serve the role of a data collector and transaction processor. Panasonic’s system could potentially receive information from vehicles related to time and location, and use this information to calculate taxable miles traveled under different payment schedules (e.g., tolling, RUC), as inputs to calculation of fees. As Panasonic does not wish to act as an account manager, a separate organization would be necessary to actually calculate dollar amounts and handle individual accounts.</w:t>
            </w:r>
          </w:p>
          <w:p w:rsidR="005C7915" w:rsidRDefault="005C7915" w:rsidP="005C7915"/>
          <w:p w:rsidR="005C7915" w:rsidRDefault="005C7915" w:rsidP="005C7915">
            <w:r>
              <w:t xml:space="preserve">Panasonic emphasized its close relationship with automakers, as a Tier 1 supplier of in-vehicle infotainment systems. Through these partnerships, Panasonic has already put an agreement in place to directly receive telematics information from one manufacturer’s vehicles, and is seeking to implement agreements with other auto manufacturers. If Panasonic </w:t>
            </w:r>
            <w:r w:rsidR="00E905A9">
              <w:t xml:space="preserve">was </w:t>
            </w:r>
            <w:r>
              <w:t xml:space="preserve">able to secure additional data sharing agreements, and develop the technical infrastructure to handle transportation funding applications, it potentially offers a path forward towards broader implementation of RUC and tolling, without having to use a </w:t>
            </w:r>
            <w:r w:rsidR="00E905A9">
              <w:t xml:space="preserve">device </w:t>
            </w:r>
            <w:r>
              <w:t>that occupies the OBD-II port.</w:t>
            </w:r>
          </w:p>
          <w:p w:rsidR="005C7915" w:rsidRDefault="005C7915" w:rsidP="005C7915"/>
          <w:p w:rsidR="005C7915" w:rsidRDefault="005C7915" w:rsidP="005C7915">
            <w:r>
              <w:t xml:space="preserve">ODOT and its regional partners will continue </w:t>
            </w:r>
            <w:r w:rsidR="00E905A9">
              <w:t xml:space="preserve">to pursue a connected vehicle ecosystem that </w:t>
            </w:r>
            <w:r>
              <w:t xml:space="preserve">would move towards a production system that enables RUC and other transportation funding mechanisms to </w:t>
            </w:r>
            <w:r w:rsidR="00E905A9">
              <w:t xml:space="preserve">get necessary data </w:t>
            </w:r>
            <w:r>
              <w:t xml:space="preserve">directly </w:t>
            </w:r>
            <w:r w:rsidR="00E905A9">
              <w:t xml:space="preserve">from </w:t>
            </w:r>
            <w:r>
              <w:t xml:space="preserve">the vehicle. An integrated vehicle option would increase the ease of participating in the program, and potentially provide increased satisfaction to users by providing easily accessible, real-time account information. </w:t>
            </w:r>
          </w:p>
          <w:p w:rsidR="005C7915" w:rsidRPr="00E33FC4" w:rsidRDefault="005C7915" w:rsidP="005C7915">
            <w:pPr>
              <w:pStyle w:val="Heading1"/>
              <w:outlineLvl w:val="0"/>
            </w:pPr>
            <w:bookmarkStart w:id="10" w:name="_Toc80705024"/>
            <w:r w:rsidRPr="00E33FC4">
              <w:t xml:space="preserve">RUC for Fleets Report - Azuga Report </w:t>
            </w:r>
            <w:r w:rsidR="001A4F66">
              <w:t>Synopsis</w:t>
            </w:r>
            <w:bookmarkEnd w:id="10"/>
            <w:r w:rsidRPr="00E33FC4">
              <w:t xml:space="preserve"> </w:t>
            </w:r>
          </w:p>
          <w:p w:rsidR="005C7915" w:rsidRPr="00E33FC4" w:rsidRDefault="005C7915" w:rsidP="005C7915"/>
          <w:p w:rsidR="005C7915" w:rsidRDefault="005C7915" w:rsidP="005C7915">
            <w:r w:rsidRPr="00E33FC4">
              <w:t>With the grant ODOT commissioned a RUC for Fleets Report from Azuga.  The report is intended to assess the potential opportunity and use cases for RUC in the fleet marketplace.</w:t>
            </w:r>
          </w:p>
          <w:p w:rsidR="00E905A9" w:rsidRPr="00E33FC4" w:rsidRDefault="00E905A9" w:rsidP="005C7915"/>
          <w:p w:rsidR="005C7915" w:rsidRDefault="005C7915" w:rsidP="005C7915">
            <w:r w:rsidRPr="00E33FC4">
              <w:t>Fleets in the US comprise about 10% of the total light duty vehicle pool. This means that currently about 25 million fleet vehicles exist in the US</w:t>
            </w:r>
            <w:r w:rsidR="00E905A9">
              <w:t xml:space="preserve"> with a</w:t>
            </w:r>
            <w:r w:rsidRPr="00E33FC4">
              <w:t>bout 300,000 of those are in Oregon. Granted, not all of those vehicles will be required to participate in a RUC system (due to weight limitations), but most of them will. Azuga’s proposal outlines the features and processes within the Azuga CAM system that need to be enhanced and modified in order to better support companies that use fleets in conducting their business.</w:t>
            </w:r>
          </w:p>
          <w:p w:rsidR="005C7915" w:rsidRPr="00E33FC4" w:rsidRDefault="005C7915" w:rsidP="005C7915"/>
          <w:p w:rsidR="005C7915" w:rsidRPr="00E33FC4" w:rsidRDefault="005C7915" w:rsidP="005C7915">
            <w:pPr>
              <w:pStyle w:val="Heading2"/>
              <w:outlineLvl w:val="1"/>
            </w:pPr>
            <w:bookmarkStart w:id="11" w:name="_Toc80705025"/>
            <w:r w:rsidRPr="00E33FC4">
              <w:t>RUC Fleet Examples</w:t>
            </w:r>
            <w:bookmarkEnd w:id="11"/>
          </w:p>
          <w:p w:rsidR="005C7915" w:rsidRPr="00E33FC4" w:rsidRDefault="005C7915" w:rsidP="005C7915">
            <w:r w:rsidRPr="00E33FC4">
              <w:t>Listed are some examples of how the RUC for Fleets service will work</w:t>
            </w:r>
          </w:p>
          <w:p w:rsidR="005C7915" w:rsidRDefault="005C7915" w:rsidP="005C7915">
            <w:pPr>
              <w:pStyle w:val="Heading3"/>
              <w:outlineLvl w:val="2"/>
            </w:pPr>
          </w:p>
          <w:p w:rsidR="005C7915" w:rsidRPr="001C63D1" w:rsidRDefault="005C7915" w:rsidP="005C7915">
            <w:pPr>
              <w:pStyle w:val="Heading3"/>
              <w:outlineLvl w:val="2"/>
              <w:rPr>
                <w:rFonts w:ascii="Yu Gothic UI Semibold" w:eastAsia="Yu Gothic UI Semibold" w:hAnsi="Yu Gothic UI Semibold" w:cs="Calibri"/>
                <w:b/>
                <w:color w:val="00B050"/>
                <w:sz w:val="22"/>
                <w:szCs w:val="22"/>
              </w:rPr>
            </w:pPr>
            <w:bookmarkStart w:id="12" w:name="_Toc80705026"/>
            <w:r w:rsidRPr="001C63D1">
              <w:rPr>
                <w:rFonts w:ascii="Yu Gothic UI Semibold" w:eastAsia="Yu Gothic UI Semibold" w:hAnsi="Yu Gothic UI Semibold" w:cs="Calibri"/>
                <w:b/>
                <w:color w:val="00B050"/>
                <w:sz w:val="22"/>
                <w:szCs w:val="22"/>
              </w:rPr>
              <w:t>Rental Car Fleet</w:t>
            </w:r>
            <w:bookmarkEnd w:id="12"/>
          </w:p>
          <w:p w:rsidR="005C7915" w:rsidRPr="00E33FC4" w:rsidRDefault="005C7915" w:rsidP="005C7915">
            <w:r w:rsidRPr="00E33FC4">
              <w:t>The Fleet Maintenance System</w:t>
            </w:r>
            <w:r w:rsidR="005001A0">
              <w:t xml:space="preserve"> (FMS)</w:t>
            </w:r>
            <w:r w:rsidRPr="00E33FC4">
              <w:t xml:space="preserve"> for the Rental Car company </w:t>
            </w:r>
            <w:r w:rsidR="00E12BF5">
              <w:t>would</w:t>
            </w:r>
            <w:r w:rsidR="00E12BF5" w:rsidRPr="00E33FC4">
              <w:t xml:space="preserve"> </w:t>
            </w:r>
            <w:r w:rsidRPr="00E33FC4">
              <w:t>handle all of the core functions that are required by a rental car company – booking, tracking of the rental activities as well as the management of the vehicles (i.e. onboarding new vehicles, off</w:t>
            </w:r>
            <w:r w:rsidR="001C63D1">
              <w:t>-</w:t>
            </w:r>
            <w:r w:rsidRPr="00E33FC4">
              <w:t xml:space="preserve">boarding old vehicles, servicing). FMS </w:t>
            </w:r>
            <w:r w:rsidR="00E12BF5">
              <w:t xml:space="preserve">functionality needed </w:t>
            </w:r>
            <w:r w:rsidRPr="00E33FC4">
              <w:t xml:space="preserve">for RUC would be within the rental car return process. During this process an odometer reading is captured either manually or electronically. An odometer reading at the initial time of rental provides a start and the reading at the rental car return is already part of the normal rental procedures and can be used by the Azuga RUC for Fleets solution. Azuga </w:t>
            </w:r>
            <w:r w:rsidR="00E12BF5">
              <w:t>would</w:t>
            </w:r>
            <w:r w:rsidR="00E12BF5" w:rsidRPr="00E33FC4">
              <w:t xml:space="preserve"> </w:t>
            </w:r>
            <w:r w:rsidRPr="00E33FC4">
              <w:t xml:space="preserve">use these two odometer values along with some other basic factors to determine the RUC owed for the time that the vehicle was rented. </w:t>
            </w:r>
          </w:p>
          <w:p w:rsidR="005C7915" w:rsidRDefault="005C7915" w:rsidP="005C7915">
            <w:pPr>
              <w:pStyle w:val="Heading3"/>
              <w:outlineLvl w:val="2"/>
            </w:pPr>
          </w:p>
          <w:p w:rsidR="005C7915" w:rsidRPr="001C63D1" w:rsidRDefault="005C7915" w:rsidP="005C7915">
            <w:pPr>
              <w:pStyle w:val="Heading3"/>
              <w:outlineLvl w:val="2"/>
              <w:rPr>
                <w:rFonts w:ascii="Yu Gothic UI Semibold" w:eastAsia="Yu Gothic UI Semibold" w:hAnsi="Yu Gothic UI Semibold" w:cs="Calibri"/>
                <w:b/>
                <w:color w:val="00B050"/>
                <w:sz w:val="22"/>
                <w:szCs w:val="22"/>
              </w:rPr>
            </w:pPr>
            <w:bookmarkStart w:id="13" w:name="_Toc80705027"/>
            <w:r w:rsidRPr="001C63D1">
              <w:rPr>
                <w:rFonts w:ascii="Yu Gothic UI Semibold" w:eastAsia="Yu Gothic UI Semibold" w:hAnsi="Yu Gothic UI Semibold" w:cs="Calibri"/>
                <w:b/>
                <w:color w:val="00B050"/>
                <w:sz w:val="22"/>
                <w:szCs w:val="22"/>
              </w:rPr>
              <w:t>Transportation Network Company (TNC) (i.e. Uber or Lyft)</w:t>
            </w:r>
            <w:bookmarkEnd w:id="13"/>
          </w:p>
          <w:p w:rsidR="005C7915" w:rsidRPr="00E33FC4" w:rsidRDefault="005C7915" w:rsidP="005C7915">
            <w:r w:rsidRPr="00E33FC4">
              <w:t xml:space="preserve">The FMS for the TNC </w:t>
            </w:r>
            <w:r w:rsidR="00E12BF5">
              <w:t>would</w:t>
            </w:r>
            <w:r w:rsidR="00E12BF5" w:rsidRPr="00E33FC4">
              <w:t xml:space="preserve"> </w:t>
            </w:r>
            <w:r w:rsidRPr="00E33FC4">
              <w:t xml:space="preserve">work similar to any other fleet and </w:t>
            </w:r>
            <w:r w:rsidR="00E12BF5">
              <w:t>would</w:t>
            </w:r>
            <w:r w:rsidR="00E12BF5" w:rsidRPr="00E33FC4">
              <w:t xml:space="preserve"> </w:t>
            </w:r>
            <w:r w:rsidRPr="00E33FC4">
              <w:t>handle all of the core functions that are required to manage their business – booking, tracking of the usage activities as well as the management of the vehicles (i.e. onboarding new drivers, off</w:t>
            </w:r>
            <w:r w:rsidR="001C63D1">
              <w:t>-</w:t>
            </w:r>
            <w:r w:rsidRPr="00E33FC4">
              <w:t xml:space="preserve">boarding drivers, servicing). The TNC management service </w:t>
            </w:r>
            <w:r w:rsidR="00E12BF5">
              <w:t>functionality</w:t>
            </w:r>
            <w:r w:rsidR="00E12BF5" w:rsidRPr="00E33FC4">
              <w:t xml:space="preserve"> </w:t>
            </w:r>
            <w:r w:rsidRPr="00E33FC4">
              <w:t xml:space="preserve">that would be necessary for RUC would be within the end event process. During this process a mileage reading is captured electronically as part of the usage event. Capturing mileage is already part of the normal TNC customer event procedures and can be used by the Azuga RUC for Fleets solution. Azuga </w:t>
            </w:r>
            <w:r w:rsidR="00E12BF5" w:rsidRPr="00E33FC4">
              <w:t>w</w:t>
            </w:r>
            <w:r w:rsidR="00E12BF5">
              <w:t>ould</w:t>
            </w:r>
            <w:r w:rsidR="00E12BF5" w:rsidRPr="00E33FC4">
              <w:t xml:space="preserve"> </w:t>
            </w:r>
            <w:r w:rsidRPr="00E33FC4">
              <w:t xml:space="preserve">use the mileage values along with some other basic factors provided by the state to determine the RUC owed for the time that the vehicle was rented. </w:t>
            </w:r>
          </w:p>
          <w:p w:rsidR="005C7915" w:rsidRDefault="005C7915" w:rsidP="005C7915">
            <w:pPr>
              <w:spacing w:line="276" w:lineRule="auto"/>
              <w:ind w:right="540"/>
              <w:rPr>
                <w:rFonts w:eastAsia="Arial" w:cs="Open Sans"/>
              </w:rPr>
            </w:pPr>
          </w:p>
          <w:p w:rsidR="005C7915" w:rsidRPr="001C63D1" w:rsidRDefault="005C7915" w:rsidP="005C7915">
            <w:pPr>
              <w:pStyle w:val="Heading2"/>
              <w:outlineLvl w:val="1"/>
              <w:rPr>
                <w:rFonts w:ascii="Yu Gothic UI Semibold" w:eastAsia="Yu Gothic UI Semibold" w:hAnsi="Yu Gothic UI Semibold" w:cs="Calibri"/>
                <w:b/>
                <w:color w:val="00B050"/>
                <w:sz w:val="22"/>
                <w:szCs w:val="22"/>
              </w:rPr>
            </w:pPr>
            <w:bookmarkStart w:id="14" w:name="_Toc80705028"/>
            <w:r w:rsidRPr="001C63D1">
              <w:rPr>
                <w:rFonts w:ascii="Yu Gothic UI Semibold" w:eastAsia="Yu Gothic UI Semibold" w:hAnsi="Yu Gothic UI Semibold" w:cs="Calibri"/>
                <w:b/>
                <w:color w:val="00B050"/>
                <w:sz w:val="22"/>
                <w:szCs w:val="22"/>
              </w:rPr>
              <w:t>Fleet Functions</w:t>
            </w:r>
            <w:bookmarkEnd w:id="14"/>
          </w:p>
          <w:p w:rsidR="005C7915" w:rsidRPr="00514B8D" w:rsidRDefault="005C7915" w:rsidP="005C7915">
            <w:pPr>
              <w:spacing w:line="276" w:lineRule="auto"/>
              <w:ind w:right="540"/>
              <w:rPr>
                <w:rFonts w:eastAsia="Arial" w:cs="Open Sans"/>
              </w:rPr>
            </w:pPr>
            <w:r>
              <w:rPr>
                <w:rFonts w:eastAsia="Arial" w:cs="Open Sans"/>
              </w:rPr>
              <w:t>The</w:t>
            </w:r>
            <w:r w:rsidRPr="00514B8D">
              <w:rPr>
                <w:rFonts w:eastAsia="Arial" w:cs="Open Sans"/>
              </w:rPr>
              <w:t xml:space="preserve"> underlying technology in Azuga’s RUC for Fleets solution can be broken down to its major functions: </w:t>
            </w:r>
          </w:p>
          <w:p w:rsidR="005C7915" w:rsidRPr="00514B8D" w:rsidRDefault="005C7915" w:rsidP="005C7915">
            <w:pPr>
              <w:pStyle w:val="ListParagraph"/>
              <w:numPr>
                <w:ilvl w:val="0"/>
                <w:numId w:val="11"/>
              </w:numPr>
              <w:spacing w:line="276" w:lineRule="auto"/>
              <w:ind w:right="540"/>
              <w:rPr>
                <w:rFonts w:eastAsia="Arial" w:cs="Open Sans"/>
              </w:rPr>
            </w:pPr>
            <w:r w:rsidRPr="00514B8D">
              <w:rPr>
                <w:rFonts w:eastAsia="Arial" w:cs="Open Sans"/>
              </w:rPr>
              <w:t>Track miles</w:t>
            </w:r>
          </w:p>
          <w:p w:rsidR="005C7915" w:rsidRPr="00514B8D" w:rsidRDefault="005C7915" w:rsidP="005C7915">
            <w:pPr>
              <w:pStyle w:val="ListParagraph"/>
              <w:numPr>
                <w:ilvl w:val="0"/>
                <w:numId w:val="11"/>
              </w:numPr>
              <w:spacing w:line="276" w:lineRule="auto"/>
              <w:ind w:right="540"/>
              <w:rPr>
                <w:rFonts w:eastAsia="Arial" w:cs="Open Sans"/>
              </w:rPr>
            </w:pPr>
            <w:r w:rsidRPr="00514B8D">
              <w:rPr>
                <w:rFonts w:eastAsia="Arial" w:cs="Open Sans"/>
              </w:rPr>
              <w:t>Track fuel usage (or EPA MPG)</w:t>
            </w:r>
          </w:p>
          <w:p w:rsidR="005C7915" w:rsidRPr="00514B8D" w:rsidRDefault="005C7915" w:rsidP="005C7915">
            <w:pPr>
              <w:pStyle w:val="ListParagraph"/>
              <w:numPr>
                <w:ilvl w:val="0"/>
                <w:numId w:val="11"/>
              </w:numPr>
              <w:spacing w:line="276" w:lineRule="auto"/>
              <w:ind w:right="540"/>
              <w:rPr>
                <w:rFonts w:eastAsia="Arial" w:cs="Open Sans"/>
              </w:rPr>
            </w:pPr>
            <w:r w:rsidRPr="00514B8D">
              <w:rPr>
                <w:rFonts w:eastAsia="Arial" w:cs="Open Sans"/>
              </w:rPr>
              <w:t>Maintain State mileage rate</w:t>
            </w:r>
          </w:p>
          <w:p w:rsidR="005C7915" w:rsidRPr="00514B8D" w:rsidRDefault="005C7915" w:rsidP="005C7915">
            <w:pPr>
              <w:pStyle w:val="ListParagraph"/>
              <w:numPr>
                <w:ilvl w:val="0"/>
                <w:numId w:val="11"/>
              </w:numPr>
              <w:spacing w:line="276" w:lineRule="auto"/>
              <w:ind w:right="540"/>
              <w:rPr>
                <w:rFonts w:eastAsia="Arial" w:cs="Open Sans"/>
              </w:rPr>
            </w:pPr>
            <w:r w:rsidRPr="00514B8D">
              <w:rPr>
                <w:rFonts w:eastAsia="Arial" w:cs="Open Sans"/>
              </w:rPr>
              <w:t>Calculate RUC (per vehicle, per day)</w:t>
            </w:r>
          </w:p>
          <w:p w:rsidR="005C7915" w:rsidRPr="00514B8D" w:rsidRDefault="005C7915" w:rsidP="005C7915">
            <w:pPr>
              <w:pStyle w:val="ListParagraph"/>
              <w:numPr>
                <w:ilvl w:val="0"/>
                <w:numId w:val="11"/>
              </w:numPr>
              <w:spacing w:line="276" w:lineRule="auto"/>
              <w:ind w:right="540"/>
              <w:rPr>
                <w:rFonts w:eastAsia="Arial" w:cs="Open Sans"/>
              </w:rPr>
            </w:pPr>
            <w:r w:rsidRPr="00514B8D">
              <w:rPr>
                <w:rFonts w:eastAsia="Arial" w:cs="Open Sans"/>
              </w:rPr>
              <w:t>Payment collection (from owner or user)</w:t>
            </w:r>
          </w:p>
          <w:p w:rsidR="005C7915" w:rsidRPr="00514B8D" w:rsidRDefault="005C7915" w:rsidP="005C7915">
            <w:pPr>
              <w:pStyle w:val="ListParagraph"/>
              <w:numPr>
                <w:ilvl w:val="0"/>
                <w:numId w:val="11"/>
              </w:numPr>
              <w:spacing w:line="276" w:lineRule="auto"/>
              <w:ind w:right="540"/>
              <w:rPr>
                <w:rFonts w:eastAsia="Arial" w:cs="Open Sans"/>
              </w:rPr>
            </w:pPr>
            <w:r w:rsidRPr="00514B8D">
              <w:rPr>
                <w:rFonts w:eastAsia="Arial" w:cs="Open Sans"/>
              </w:rPr>
              <w:t>Payment disbursement (to State)</w:t>
            </w:r>
          </w:p>
          <w:p w:rsidR="005C7915" w:rsidRPr="00514B8D" w:rsidRDefault="005C7915" w:rsidP="005C7915">
            <w:pPr>
              <w:pStyle w:val="ListParagraph"/>
              <w:numPr>
                <w:ilvl w:val="0"/>
                <w:numId w:val="11"/>
              </w:numPr>
              <w:spacing w:line="276" w:lineRule="auto"/>
              <w:ind w:right="540"/>
              <w:rPr>
                <w:rFonts w:eastAsia="Arial" w:cs="Open Sans"/>
              </w:rPr>
            </w:pPr>
            <w:r w:rsidRPr="00514B8D">
              <w:rPr>
                <w:rFonts w:eastAsia="Arial" w:cs="Open Sans"/>
              </w:rPr>
              <w:t>End customer user interface (portal, invoicing, communications)</w:t>
            </w:r>
          </w:p>
          <w:p w:rsidR="005C7915" w:rsidRPr="00514B8D" w:rsidRDefault="005C7915" w:rsidP="005C7915">
            <w:pPr>
              <w:pStyle w:val="ListParagraph"/>
              <w:numPr>
                <w:ilvl w:val="0"/>
                <w:numId w:val="11"/>
              </w:numPr>
              <w:spacing w:line="276" w:lineRule="auto"/>
              <w:ind w:right="540"/>
              <w:rPr>
                <w:rFonts w:eastAsia="Arial" w:cs="Open Sans"/>
              </w:rPr>
            </w:pPr>
            <w:r w:rsidRPr="00514B8D">
              <w:rPr>
                <w:rFonts w:eastAsia="Arial" w:cs="Open Sans"/>
              </w:rPr>
              <w:t>CWFV user interface (portal, invoicing, onboarding new vehicles, off</w:t>
            </w:r>
            <w:r w:rsidR="001C63D1">
              <w:rPr>
                <w:rFonts w:eastAsia="Arial" w:cs="Open Sans"/>
              </w:rPr>
              <w:t>-</w:t>
            </w:r>
            <w:r w:rsidRPr="00514B8D">
              <w:rPr>
                <w:rFonts w:eastAsia="Arial" w:cs="Open Sans"/>
              </w:rPr>
              <w:t>boarding sold vehicles, link to DMV)</w:t>
            </w:r>
          </w:p>
          <w:p w:rsidR="005C7915" w:rsidRDefault="005C7915" w:rsidP="005C7915">
            <w:pPr>
              <w:pStyle w:val="Heading2"/>
              <w:outlineLvl w:val="1"/>
            </w:pPr>
          </w:p>
          <w:p w:rsidR="005C7915" w:rsidRPr="00514B8D" w:rsidRDefault="005C7915" w:rsidP="005C7915">
            <w:pPr>
              <w:pStyle w:val="Heading2"/>
              <w:outlineLvl w:val="1"/>
            </w:pPr>
            <w:bookmarkStart w:id="15" w:name="_Toc80705029"/>
            <w:r>
              <w:t xml:space="preserve">Fleet </w:t>
            </w:r>
            <w:r w:rsidRPr="00514B8D">
              <w:t>Use Cases</w:t>
            </w:r>
            <w:r>
              <w:t xml:space="preserve"> &amp; Enhancement</w:t>
            </w:r>
            <w:r w:rsidR="001A4F66">
              <w:t>s</w:t>
            </w:r>
            <w:bookmarkEnd w:id="15"/>
          </w:p>
          <w:p w:rsidR="005C7915" w:rsidRPr="00514B8D" w:rsidRDefault="005C7915" w:rsidP="005C7915">
            <w:pPr>
              <w:ind w:right="540"/>
            </w:pPr>
            <w:r>
              <w:t>This section identifies two use cases and the changes to the Azuga platform to support each:</w:t>
            </w:r>
          </w:p>
          <w:p w:rsidR="005C7915" w:rsidRDefault="005C7915" w:rsidP="005C7915">
            <w:pPr>
              <w:pStyle w:val="Heading3"/>
              <w:outlineLvl w:val="2"/>
            </w:pPr>
            <w:bookmarkStart w:id="16" w:name="_Toc9584979"/>
          </w:p>
          <w:p w:rsidR="005C7915" w:rsidRPr="001C63D1" w:rsidRDefault="005C7915" w:rsidP="001C63D1">
            <w:pPr>
              <w:pStyle w:val="Heading2"/>
              <w:outlineLvl w:val="1"/>
              <w:rPr>
                <w:rFonts w:ascii="Yu Gothic UI Semibold" w:eastAsia="Yu Gothic UI Semibold" w:hAnsi="Yu Gothic UI Semibold" w:cs="Calibri"/>
                <w:b/>
                <w:color w:val="00B050"/>
                <w:sz w:val="22"/>
                <w:szCs w:val="22"/>
              </w:rPr>
            </w:pPr>
            <w:bookmarkStart w:id="17" w:name="_Toc80705030"/>
            <w:r w:rsidRPr="001C63D1">
              <w:rPr>
                <w:rFonts w:ascii="Yu Gothic UI Semibold" w:eastAsia="Yu Gothic UI Semibold" w:hAnsi="Yu Gothic UI Semibold" w:cs="Calibri"/>
                <w:b/>
                <w:color w:val="00B050"/>
                <w:sz w:val="22"/>
                <w:szCs w:val="22"/>
              </w:rPr>
              <w:t>Use Case 1: Fleet companies that do not already have a fleet management system in place and are not looking for one</w:t>
            </w:r>
            <w:bookmarkEnd w:id="16"/>
            <w:bookmarkEnd w:id="17"/>
          </w:p>
          <w:p w:rsidR="005C7915" w:rsidRDefault="005C7915" w:rsidP="005C7915">
            <w:pPr>
              <w:ind w:right="540"/>
            </w:pPr>
            <w:r w:rsidRPr="00514B8D">
              <w:t>This use case is primarily targeted at companies that do not have a fleet management system. For this use case, the existing Azuga RUC platform w</w:t>
            </w:r>
            <w:r w:rsidR="00E12BF5">
              <w:t>ould</w:t>
            </w:r>
            <w:r w:rsidRPr="00514B8D">
              <w:t xml:space="preserve"> need to be “fleet friendly”. The following are the key areas of the Azuga RUC platform that need to be optimized for fleet use.</w:t>
            </w:r>
          </w:p>
          <w:p w:rsidR="005C7915" w:rsidRPr="001A4F66" w:rsidRDefault="005C7915" w:rsidP="005C7915">
            <w:pPr>
              <w:ind w:right="540"/>
              <w:rPr>
                <w:b/>
              </w:rPr>
            </w:pPr>
            <w:r w:rsidRPr="001A4F66">
              <w:rPr>
                <w:b/>
              </w:rPr>
              <w:t>Changes for Enrollment</w:t>
            </w:r>
          </w:p>
          <w:p w:rsidR="005C7915" w:rsidRPr="00514B8D" w:rsidRDefault="005C7915" w:rsidP="005C7915">
            <w:pPr>
              <w:widowControl w:val="0"/>
              <w:numPr>
                <w:ilvl w:val="0"/>
                <w:numId w:val="13"/>
              </w:numPr>
              <w:spacing w:line="276" w:lineRule="auto"/>
              <w:ind w:right="540" w:hanging="360"/>
              <w:contextualSpacing/>
            </w:pPr>
            <w:r w:rsidRPr="00514B8D">
              <w:t xml:space="preserve">A new question will be asked during step one to determine if this account will be a personal account or a commercial account. If commercial account is selected, the rest of the enrollment steps will change to reflect the specific needs of a commercial customer. </w:t>
            </w:r>
          </w:p>
          <w:p w:rsidR="005C7915" w:rsidRPr="00514B8D" w:rsidRDefault="005C7915" w:rsidP="005C7915">
            <w:pPr>
              <w:widowControl w:val="0"/>
              <w:numPr>
                <w:ilvl w:val="0"/>
                <w:numId w:val="13"/>
              </w:numPr>
              <w:spacing w:line="276" w:lineRule="auto"/>
              <w:ind w:right="540" w:hanging="360"/>
              <w:contextualSpacing/>
            </w:pPr>
            <w:r w:rsidRPr="00514B8D">
              <w:t>When adding vehicles, there will be an option to enter all vehicle information into a worksheet. There will also be an alternative for customers to upload their information in bulk (from a spreadsheet or CSV file for example). During the upload process, the Azuga CAM system will parse the data to ensure it meets ODOT data requirements. This change will also require a change on the ODOT side to allow for a bulk upload of vehicle information.</w:t>
            </w:r>
          </w:p>
          <w:p w:rsidR="005C7915" w:rsidRPr="00514B8D" w:rsidRDefault="005C7915" w:rsidP="005C7915">
            <w:pPr>
              <w:widowControl w:val="0"/>
              <w:numPr>
                <w:ilvl w:val="0"/>
                <w:numId w:val="13"/>
              </w:numPr>
              <w:spacing w:line="276" w:lineRule="auto"/>
              <w:ind w:right="540" w:hanging="360"/>
              <w:contextualSpacing/>
            </w:pPr>
            <w:r w:rsidRPr="00514B8D">
              <w:t>Entry of payment information will be enhanced to support company specific payment methods that are tied to the corporation.</w:t>
            </w:r>
            <w:r w:rsidRPr="00514B8D">
              <w:br/>
            </w:r>
          </w:p>
          <w:p w:rsidR="005C7915" w:rsidRPr="001A4F66" w:rsidRDefault="005C7915" w:rsidP="005C7915">
            <w:pPr>
              <w:ind w:right="540"/>
              <w:rPr>
                <w:b/>
              </w:rPr>
            </w:pPr>
            <w:r w:rsidRPr="001A4F66">
              <w:rPr>
                <w:b/>
              </w:rPr>
              <w:t>Changes for Dashboard</w:t>
            </w:r>
          </w:p>
          <w:p w:rsidR="005C7915" w:rsidRPr="00514B8D" w:rsidRDefault="005C7915" w:rsidP="005C7915">
            <w:pPr>
              <w:widowControl w:val="0"/>
              <w:numPr>
                <w:ilvl w:val="0"/>
                <w:numId w:val="14"/>
              </w:numPr>
              <w:spacing w:line="276" w:lineRule="auto"/>
              <w:ind w:right="540" w:hanging="360"/>
              <w:contextualSpacing/>
            </w:pPr>
            <w:r w:rsidRPr="00514B8D">
              <w:t>Company name will be used as opposed to an individual.</w:t>
            </w:r>
          </w:p>
          <w:p w:rsidR="005C7915" w:rsidRPr="00514B8D" w:rsidRDefault="005C7915" w:rsidP="005C7915">
            <w:pPr>
              <w:widowControl w:val="0"/>
              <w:numPr>
                <w:ilvl w:val="0"/>
                <w:numId w:val="14"/>
              </w:numPr>
              <w:spacing w:line="276" w:lineRule="auto"/>
              <w:ind w:right="540" w:hanging="360"/>
              <w:contextualSpacing/>
            </w:pPr>
            <w:r w:rsidRPr="00514B8D">
              <w:t>All vehicles will have a nickname (if uploaded during enrollment).</w:t>
            </w:r>
          </w:p>
          <w:p w:rsidR="005C7915" w:rsidRPr="00514B8D" w:rsidRDefault="005C7915" w:rsidP="005C7915">
            <w:pPr>
              <w:widowControl w:val="0"/>
              <w:numPr>
                <w:ilvl w:val="0"/>
                <w:numId w:val="14"/>
              </w:numPr>
              <w:spacing w:line="276" w:lineRule="auto"/>
              <w:ind w:right="540" w:hanging="360"/>
              <w:contextualSpacing/>
            </w:pPr>
            <w:r w:rsidRPr="00514B8D">
              <w:t>Profile information will pertain to the company rather than an individual.</w:t>
            </w:r>
          </w:p>
          <w:p w:rsidR="005C7915" w:rsidRPr="00514B8D" w:rsidRDefault="005C7915" w:rsidP="005C7915">
            <w:pPr>
              <w:widowControl w:val="0"/>
              <w:numPr>
                <w:ilvl w:val="0"/>
                <w:numId w:val="14"/>
              </w:numPr>
              <w:spacing w:line="276" w:lineRule="auto"/>
              <w:ind w:right="540" w:hanging="360"/>
              <w:contextualSpacing/>
            </w:pPr>
            <w:r w:rsidRPr="00514B8D">
              <w:t>Dashboard tiles will provide an aggregate view of vehicles instead of just one.</w:t>
            </w:r>
          </w:p>
          <w:p w:rsidR="005C7915" w:rsidRPr="00514B8D" w:rsidRDefault="005C7915" w:rsidP="005C7915">
            <w:pPr>
              <w:widowControl w:val="0"/>
              <w:numPr>
                <w:ilvl w:val="0"/>
                <w:numId w:val="14"/>
              </w:numPr>
              <w:spacing w:line="276" w:lineRule="auto"/>
              <w:ind w:right="540" w:hanging="360"/>
              <w:contextualSpacing/>
            </w:pPr>
            <w:r w:rsidRPr="00514B8D">
              <w:t xml:space="preserve">A vehicle information tile will be added that expands into a vehicle information page to show high-level details of all vehicles. </w:t>
            </w:r>
          </w:p>
          <w:p w:rsidR="005C7915" w:rsidRPr="00514B8D" w:rsidRDefault="005C7915" w:rsidP="005C7915">
            <w:pPr>
              <w:widowControl w:val="0"/>
              <w:numPr>
                <w:ilvl w:val="0"/>
                <w:numId w:val="14"/>
              </w:numPr>
              <w:spacing w:line="276" w:lineRule="auto"/>
              <w:ind w:right="540" w:hanging="360"/>
              <w:contextualSpacing/>
            </w:pPr>
            <w:r w:rsidRPr="00514B8D">
              <w:t>In order to not overlap with Azuga’s fleet product</w:t>
            </w:r>
          </w:p>
          <w:p w:rsidR="005C7915" w:rsidRPr="00514B8D" w:rsidRDefault="005C7915" w:rsidP="005C7915">
            <w:pPr>
              <w:widowControl w:val="0"/>
              <w:numPr>
                <w:ilvl w:val="1"/>
                <w:numId w:val="14"/>
              </w:numPr>
              <w:spacing w:line="276" w:lineRule="auto"/>
              <w:ind w:right="540" w:hanging="360"/>
              <w:contextualSpacing/>
            </w:pPr>
            <w:r w:rsidRPr="00514B8D">
              <w:t>badges will be removed</w:t>
            </w:r>
          </w:p>
          <w:p w:rsidR="005C7915" w:rsidRPr="00514B8D" w:rsidRDefault="005C7915" w:rsidP="005C7915">
            <w:pPr>
              <w:widowControl w:val="0"/>
              <w:numPr>
                <w:ilvl w:val="1"/>
                <w:numId w:val="14"/>
              </w:numPr>
              <w:spacing w:line="276" w:lineRule="auto"/>
              <w:ind w:right="540" w:hanging="360"/>
              <w:contextualSpacing/>
            </w:pPr>
            <w:r w:rsidRPr="00514B8D">
              <w:t>trip logging will be removed</w:t>
            </w:r>
          </w:p>
          <w:p w:rsidR="005C7915" w:rsidRPr="00514B8D" w:rsidRDefault="005C7915" w:rsidP="005C7915">
            <w:pPr>
              <w:widowControl w:val="0"/>
              <w:numPr>
                <w:ilvl w:val="1"/>
                <w:numId w:val="14"/>
              </w:numPr>
              <w:spacing w:line="276" w:lineRule="auto"/>
              <w:ind w:right="540" w:hanging="360"/>
              <w:contextualSpacing/>
            </w:pPr>
            <w:r w:rsidRPr="00514B8D">
              <w:t>scoring will be removed</w:t>
            </w:r>
          </w:p>
          <w:p w:rsidR="005C7915" w:rsidRPr="00514B8D" w:rsidRDefault="005C7915" w:rsidP="005C7915">
            <w:pPr>
              <w:widowControl w:val="0"/>
              <w:numPr>
                <w:ilvl w:val="1"/>
                <w:numId w:val="14"/>
              </w:numPr>
              <w:spacing w:line="276" w:lineRule="auto"/>
              <w:ind w:right="540" w:hanging="360"/>
              <w:contextualSpacing/>
            </w:pPr>
            <w:r w:rsidRPr="00514B8D">
              <w:t>SafeZones will be removed</w:t>
            </w:r>
          </w:p>
          <w:p w:rsidR="005C7915" w:rsidRPr="00514B8D" w:rsidRDefault="005C7915" w:rsidP="005C7915">
            <w:pPr>
              <w:widowControl w:val="0"/>
              <w:numPr>
                <w:ilvl w:val="1"/>
                <w:numId w:val="14"/>
              </w:numPr>
              <w:spacing w:line="276" w:lineRule="auto"/>
              <w:ind w:right="540" w:hanging="360"/>
              <w:contextualSpacing/>
            </w:pPr>
            <w:r w:rsidRPr="00514B8D">
              <w:t>battery health and engine health will be moved to the vehicle information page</w:t>
            </w:r>
          </w:p>
          <w:p w:rsidR="005C7915" w:rsidRPr="00514B8D" w:rsidRDefault="005C7915" w:rsidP="005C7915">
            <w:pPr>
              <w:widowControl w:val="0"/>
              <w:numPr>
                <w:ilvl w:val="0"/>
                <w:numId w:val="14"/>
              </w:numPr>
              <w:spacing w:line="276" w:lineRule="auto"/>
              <w:ind w:right="540" w:hanging="360"/>
              <w:contextualSpacing/>
            </w:pPr>
            <w:r w:rsidRPr="00514B8D">
              <w:t>Emissions support will remain the same.</w:t>
            </w:r>
          </w:p>
          <w:p w:rsidR="005C7915" w:rsidRPr="00514B8D" w:rsidRDefault="005C7915" w:rsidP="005C7915">
            <w:pPr>
              <w:ind w:right="540"/>
            </w:pPr>
          </w:p>
          <w:p w:rsidR="005C7915" w:rsidRPr="001C63D1" w:rsidRDefault="005C7915" w:rsidP="005C7915">
            <w:pPr>
              <w:pStyle w:val="Heading2"/>
              <w:outlineLvl w:val="1"/>
              <w:rPr>
                <w:rFonts w:ascii="Yu Gothic UI Semibold" w:eastAsia="Yu Gothic UI Semibold" w:hAnsi="Yu Gothic UI Semibold" w:cs="Calibri"/>
                <w:b/>
                <w:color w:val="00B050"/>
                <w:sz w:val="22"/>
                <w:szCs w:val="22"/>
              </w:rPr>
            </w:pPr>
            <w:bookmarkStart w:id="18" w:name="_Toc9584980"/>
            <w:bookmarkStart w:id="19" w:name="_Toc80705031"/>
            <w:r w:rsidRPr="001C63D1">
              <w:rPr>
                <w:rFonts w:ascii="Yu Gothic UI Semibold" w:eastAsia="Yu Gothic UI Semibold" w:hAnsi="Yu Gothic UI Semibold" w:cs="Calibri"/>
                <w:b/>
                <w:color w:val="00B050"/>
                <w:sz w:val="22"/>
                <w:szCs w:val="22"/>
              </w:rPr>
              <w:t>Use Case 2 - Fleet companies that already have a fleet management system in place</w:t>
            </w:r>
            <w:bookmarkEnd w:id="18"/>
            <w:bookmarkEnd w:id="19"/>
            <w:r w:rsidRPr="001C63D1">
              <w:rPr>
                <w:rFonts w:ascii="Yu Gothic UI Semibold" w:eastAsia="Yu Gothic UI Semibold" w:hAnsi="Yu Gothic UI Semibold" w:cs="Calibri"/>
                <w:b/>
                <w:color w:val="00B050"/>
                <w:sz w:val="22"/>
                <w:szCs w:val="22"/>
              </w:rPr>
              <w:t xml:space="preserve">  </w:t>
            </w:r>
          </w:p>
          <w:p w:rsidR="005C7915" w:rsidRDefault="005C7915" w:rsidP="005C7915">
            <w:pPr>
              <w:ind w:right="540"/>
            </w:pPr>
            <w:r w:rsidRPr="00514B8D">
              <w:t xml:space="preserve">The second use case is to provide </w:t>
            </w:r>
            <w:r w:rsidR="00CC5324">
              <w:t xml:space="preserve">interfaces </w:t>
            </w:r>
            <w:r w:rsidRPr="00514B8D">
              <w:t>to fleet management companies as a means of integrating RUC functionality into their own systems. This is primarily for fleet management companies that need to participate in a RUC program without having to become a fully certified RUC service provider.</w:t>
            </w:r>
          </w:p>
          <w:p w:rsidR="005C7915" w:rsidRPr="00514B8D" w:rsidRDefault="005C7915" w:rsidP="005C7915">
            <w:pPr>
              <w:ind w:right="540"/>
            </w:pPr>
          </w:p>
          <w:p w:rsidR="005C7915" w:rsidRPr="00514B8D" w:rsidRDefault="005C7915" w:rsidP="005C7915">
            <w:pPr>
              <w:ind w:right="540"/>
            </w:pPr>
            <w:r w:rsidRPr="00514B8D">
              <w:t>For this use case, the core Azuga R</w:t>
            </w:r>
            <w:r w:rsidR="001A4F66">
              <w:t xml:space="preserve">UC </w:t>
            </w:r>
            <w:r w:rsidRPr="00514B8D">
              <w:t>a</w:t>
            </w:r>
            <w:r w:rsidR="001A4F66">
              <w:t xml:space="preserve">s </w:t>
            </w:r>
            <w:r w:rsidRPr="00514B8D">
              <w:t>a</w:t>
            </w:r>
            <w:r w:rsidR="001A4F66">
              <w:t xml:space="preserve"> </w:t>
            </w:r>
            <w:r w:rsidRPr="00514B8D">
              <w:t>S</w:t>
            </w:r>
            <w:r w:rsidR="001A4F66">
              <w:t>ervice</w:t>
            </w:r>
            <w:r w:rsidRPr="00514B8D">
              <w:t xml:space="preserve"> functions will be modularized into a set of API’s for FMS companies to leverage to update their FMS to include RUC capabilities. </w:t>
            </w:r>
          </w:p>
          <w:p w:rsidR="005C7915" w:rsidRDefault="005C7915" w:rsidP="005C7915">
            <w:pPr>
              <w:ind w:right="540"/>
            </w:pPr>
            <w:r>
              <w:t>Enhancements</w:t>
            </w:r>
          </w:p>
          <w:p w:rsidR="001A4F66" w:rsidRDefault="001A4F66" w:rsidP="005C7915">
            <w:pPr>
              <w:ind w:right="540"/>
            </w:pPr>
          </w:p>
          <w:p w:rsidR="001A4F66" w:rsidRPr="001A4F66" w:rsidRDefault="001A4F66" w:rsidP="001A4F66">
            <w:pPr>
              <w:pStyle w:val="Heading2"/>
              <w:outlineLvl w:val="1"/>
              <w:rPr>
                <w:sz w:val="28"/>
              </w:rPr>
            </w:pPr>
            <w:bookmarkStart w:id="20" w:name="_Toc80705032"/>
            <w:r w:rsidRPr="001A4F66">
              <w:rPr>
                <w:sz w:val="28"/>
              </w:rPr>
              <w:t>Proposal Summary</w:t>
            </w:r>
            <w:bookmarkEnd w:id="20"/>
          </w:p>
          <w:p w:rsidR="005C7915" w:rsidRPr="008C2672" w:rsidRDefault="005C7915">
            <w:pPr>
              <w:spacing w:after="120"/>
            </w:pPr>
            <w:r w:rsidRPr="00514B8D">
              <w:t xml:space="preserve">The Azuga RUC for Fleets solution </w:t>
            </w:r>
            <w:r w:rsidR="00E12BF5" w:rsidRPr="00514B8D">
              <w:t>w</w:t>
            </w:r>
            <w:r w:rsidR="00E12BF5">
              <w:t>ould</w:t>
            </w:r>
            <w:r w:rsidR="00E12BF5" w:rsidRPr="00514B8D">
              <w:t xml:space="preserve"> </w:t>
            </w:r>
            <w:r w:rsidRPr="00514B8D">
              <w:t>provide modules that include an RUC calculation engine</w:t>
            </w:r>
            <w:r w:rsidR="00E12BF5">
              <w:t>,</w:t>
            </w:r>
            <w:r w:rsidRPr="00514B8D">
              <w:t xml:space="preserve"> which will integrate directly with the fleet management company’s core fleet management system. Azuga </w:t>
            </w:r>
            <w:r w:rsidR="00E12BF5">
              <w:t>would</w:t>
            </w:r>
            <w:r w:rsidR="00E12BF5" w:rsidRPr="00514B8D">
              <w:t xml:space="preserve"> </w:t>
            </w:r>
            <w:r w:rsidRPr="00514B8D">
              <w:t xml:space="preserve">supply ongoing mileage rate and fuel tax credit rule updates to help ensure accurate, compliant RUC calculation and collection. Azuga’s CAM offering </w:t>
            </w:r>
            <w:r w:rsidR="00E12BF5" w:rsidRPr="00514B8D">
              <w:t>c</w:t>
            </w:r>
            <w:r w:rsidR="00E12BF5">
              <w:t>ould</w:t>
            </w:r>
            <w:r w:rsidR="00E12BF5" w:rsidRPr="00514B8D">
              <w:t xml:space="preserve"> </w:t>
            </w:r>
            <w:r w:rsidRPr="00514B8D">
              <w:t>easily be integrated with a fleet management system through Azuga’s open APIs offered to partners.</w:t>
            </w:r>
          </w:p>
        </w:tc>
      </w:tr>
    </w:tbl>
    <w:p w:rsidR="00D629F8" w:rsidRPr="003C283B" w:rsidRDefault="00D629F8" w:rsidP="003C283B">
      <w:pPr>
        <w:autoSpaceDE w:val="0"/>
        <w:autoSpaceDN w:val="0"/>
        <w:adjustRightInd w:val="0"/>
        <w:spacing w:after="0" w:line="240" w:lineRule="auto"/>
        <w:rPr>
          <w:sz w:val="24"/>
          <w:szCs w:val="24"/>
        </w:rPr>
      </w:pPr>
    </w:p>
    <w:sectPr w:rsidR="00D629F8" w:rsidRPr="003C283B" w:rsidSect="00C601F8">
      <w:footerReference w:type="default" r:id="rId12"/>
      <w:pgSz w:w="12240" w:h="15840"/>
      <w:pgMar w:top="1440" w:right="16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A72" w:rsidRDefault="002B6A72" w:rsidP="00284643">
      <w:pPr>
        <w:spacing w:after="0" w:line="240" w:lineRule="auto"/>
      </w:pPr>
      <w:r>
        <w:separator/>
      </w:r>
    </w:p>
  </w:endnote>
  <w:endnote w:type="continuationSeparator" w:id="0">
    <w:p w:rsidR="002B6A72" w:rsidRDefault="002B6A72" w:rsidP="0028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UI Semibold">
    <w:panose1 w:val="020B07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428335"/>
      <w:docPartObj>
        <w:docPartGallery w:val="Page Numbers (Bottom of Page)"/>
        <w:docPartUnique/>
      </w:docPartObj>
    </w:sdtPr>
    <w:sdtEndPr>
      <w:rPr>
        <w:noProof/>
      </w:rPr>
    </w:sdtEndPr>
    <w:sdtContent>
      <w:p w:rsidR="00AD0FF3" w:rsidRDefault="00AD0FF3" w:rsidP="00AD0FF3">
        <w:pPr>
          <w:pStyle w:val="Footer"/>
          <w:jc w:val="center"/>
        </w:pPr>
        <w:r>
          <w:fldChar w:fldCharType="begin"/>
        </w:r>
        <w:r>
          <w:instrText xml:space="preserve"> PAGE   \* MERGEFORMAT </w:instrText>
        </w:r>
        <w:r>
          <w:fldChar w:fldCharType="separate"/>
        </w:r>
        <w:r w:rsidR="002B6A72">
          <w:rPr>
            <w:noProof/>
          </w:rPr>
          <w:t>1</w:t>
        </w:r>
        <w:r>
          <w:rPr>
            <w:noProof/>
          </w:rPr>
          <w:fldChar w:fldCharType="end"/>
        </w:r>
      </w:p>
    </w:sdtContent>
  </w:sdt>
  <w:p w:rsidR="00AD0FF3" w:rsidRDefault="00AD0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A72" w:rsidRDefault="002B6A72" w:rsidP="00284643">
      <w:pPr>
        <w:spacing w:after="0" w:line="240" w:lineRule="auto"/>
      </w:pPr>
      <w:r>
        <w:separator/>
      </w:r>
    </w:p>
  </w:footnote>
  <w:footnote w:type="continuationSeparator" w:id="0">
    <w:p w:rsidR="002B6A72" w:rsidRDefault="002B6A72" w:rsidP="00284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1FF0"/>
    <w:multiLevelType w:val="hybridMultilevel"/>
    <w:tmpl w:val="DCF06B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EC30FC"/>
    <w:multiLevelType w:val="hybridMultilevel"/>
    <w:tmpl w:val="3AF8A8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04264"/>
    <w:multiLevelType w:val="hybridMultilevel"/>
    <w:tmpl w:val="B196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0583D"/>
    <w:multiLevelType w:val="hybridMultilevel"/>
    <w:tmpl w:val="B6C8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F6AC2"/>
    <w:multiLevelType w:val="hybridMultilevel"/>
    <w:tmpl w:val="77EC39A8"/>
    <w:lvl w:ilvl="0" w:tplc="BB36B806">
      <w:numFmt w:val="bullet"/>
      <w:lvlText w:val="-"/>
      <w:lvlJc w:val="left"/>
      <w:pPr>
        <w:ind w:left="1080" w:hanging="720"/>
      </w:pPr>
      <w:rPr>
        <w:rFonts w:ascii="Open Sans" w:eastAsia="Arial"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E6627"/>
    <w:multiLevelType w:val="hybridMultilevel"/>
    <w:tmpl w:val="18B2C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719D0"/>
    <w:multiLevelType w:val="hybridMultilevel"/>
    <w:tmpl w:val="9F80876E"/>
    <w:lvl w:ilvl="0" w:tplc="04090005">
      <w:start w:val="1"/>
      <w:numFmt w:val="bullet"/>
      <w:lvlText w:val=""/>
      <w:lvlJc w:val="left"/>
      <w:pPr>
        <w:ind w:left="720" w:hanging="360"/>
      </w:pPr>
      <w:rPr>
        <w:rFonts w:ascii="Wingdings" w:hAnsi="Wingdings" w:hint="default"/>
      </w:rPr>
    </w:lvl>
    <w:lvl w:ilvl="1" w:tplc="E7E0063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D5776"/>
    <w:multiLevelType w:val="hybridMultilevel"/>
    <w:tmpl w:val="178E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E7210"/>
    <w:multiLevelType w:val="hybridMultilevel"/>
    <w:tmpl w:val="3C9ED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66719"/>
    <w:multiLevelType w:val="hybridMultilevel"/>
    <w:tmpl w:val="F4C847E6"/>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63DC6"/>
    <w:multiLevelType w:val="hybridMultilevel"/>
    <w:tmpl w:val="29645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E489B"/>
    <w:multiLevelType w:val="hybridMultilevel"/>
    <w:tmpl w:val="434A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05216"/>
    <w:multiLevelType w:val="hybridMultilevel"/>
    <w:tmpl w:val="D9A297A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8D205A"/>
    <w:multiLevelType w:val="hybridMultilevel"/>
    <w:tmpl w:val="9EFA813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A3ABB"/>
    <w:multiLevelType w:val="multilevel"/>
    <w:tmpl w:val="A9386B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ECD6FA2"/>
    <w:multiLevelType w:val="hybridMultilevel"/>
    <w:tmpl w:val="E9C0E7C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172730A"/>
    <w:multiLevelType w:val="multilevel"/>
    <w:tmpl w:val="2A263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0"/>
  </w:num>
  <w:num w:numId="3">
    <w:abstractNumId w:val="2"/>
  </w:num>
  <w:num w:numId="4">
    <w:abstractNumId w:val="5"/>
  </w:num>
  <w:num w:numId="5">
    <w:abstractNumId w:val="12"/>
  </w:num>
  <w:num w:numId="6">
    <w:abstractNumId w:val="6"/>
  </w:num>
  <w:num w:numId="7">
    <w:abstractNumId w:val="7"/>
  </w:num>
  <w:num w:numId="8">
    <w:abstractNumId w:val="9"/>
  </w:num>
  <w:num w:numId="9">
    <w:abstractNumId w:val="13"/>
  </w:num>
  <w:num w:numId="10">
    <w:abstractNumId w:val="10"/>
  </w:num>
  <w:num w:numId="11">
    <w:abstractNumId w:val="4"/>
  </w:num>
  <w:num w:numId="12">
    <w:abstractNumId w:val="11"/>
  </w:num>
  <w:num w:numId="13">
    <w:abstractNumId w:val="16"/>
  </w:num>
  <w:num w:numId="14">
    <w:abstractNumId w:val="14"/>
  </w:num>
  <w:num w:numId="15">
    <w:abstractNumId w:val="1"/>
  </w:num>
  <w:num w:numId="16">
    <w:abstractNumId w:val="3"/>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NZ" w:vendorID="64" w:dllVersion="131078" w:nlCheck="1" w:checkStyle="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E6"/>
    <w:rsid w:val="000073D3"/>
    <w:rsid w:val="00010C42"/>
    <w:rsid w:val="000124FB"/>
    <w:rsid w:val="00035D98"/>
    <w:rsid w:val="0005245A"/>
    <w:rsid w:val="000832F7"/>
    <w:rsid w:val="00096CE2"/>
    <w:rsid w:val="000D3998"/>
    <w:rsid w:val="000E22E0"/>
    <w:rsid w:val="000E28F2"/>
    <w:rsid w:val="000F37A4"/>
    <w:rsid w:val="00102184"/>
    <w:rsid w:val="00121D21"/>
    <w:rsid w:val="00122613"/>
    <w:rsid w:val="00135E06"/>
    <w:rsid w:val="00141FCB"/>
    <w:rsid w:val="001657C0"/>
    <w:rsid w:val="001733EC"/>
    <w:rsid w:val="00175B7C"/>
    <w:rsid w:val="001802F2"/>
    <w:rsid w:val="001803F2"/>
    <w:rsid w:val="00185D21"/>
    <w:rsid w:val="0018769B"/>
    <w:rsid w:val="0019752C"/>
    <w:rsid w:val="001A0D72"/>
    <w:rsid w:val="001A3D8C"/>
    <w:rsid w:val="001A4F66"/>
    <w:rsid w:val="001A52A9"/>
    <w:rsid w:val="001C0C3E"/>
    <w:rsid w:val="001C63D1"/>
    <w:rsid w:val="001D6A55"/>
    <w:rsid w:val="001D7EF2"/>
    <w:rsid w:val="001E2D15"/>
    <w:rsid w:val="001E4E26"/>
    <w:rsid w:val="001F63FB"/>
    <w:rsid w:val="001F732C"/>
    <w:rsid w:val="0020455F"/>
    <w:rsid w:val="00220FDB"/>
    <w:rsid w:val="00240B47"/>
    <w:rsid w:val="0024101F"/>
    <w:rsid w:val="00250E1B"/>
    <w:rsid w:val="0026062B"/>
    <w:rsid w:val="00261A78"/>
    <w:rsid w:val="00266611"/>
    <w:rsid w:val="00267C11"/>
    <w:rsid w:val="00270640"/>
    <w:rsid w:val="0028105B"/>
    <w:rsid w:val="00284643"/>
    <w:rsid w:val="002A70F7"/>
    <w:rsid w:val="002B1920"/>
    <w:rsid w:val="002B3396"/>
    <w:rsid w:val="002B405D"/>
    <w:rsid w:val="002B6A72"/>
    <w:rsid w:val="002C0063"/>
    <w:rsid w:val="002C5956"/>
    <w:rsid w:val="002C6D8F"/>
    <w:rsid w:val="002D06D9"/>
    <w:rsid w:val="002D3185"/>
    <w:rsid w:val="002D46F1"/>
    <w:rsid w:val="002D760C"/>
    <w:rsid w:val="002E0AF6"/>
    <w:rsid w:val="002E5066"/>
    <w:rsid w:val="002F366F"/>
    <w:rsid w:val="002F57AA"/>
    <w:rsid w:val="002F7AC3"/>
    <w:rsid w:val="00303F03"/>
    <w:rsid w:val="003051ED"/>
    <w:rsid w:val="00317975"/>
    <w:rsid w:val="003222D5"/>
    <w:rsid w:val="0032690D"/>
    <w:rsid w:val="00327CFE"/>
    <w:rsid w:val="00355E69"/>
    <w:rsid w:val="0036205B"/>
    <w:rsid w:val="003648EE"/>
    <w:rsid w:val="00364B85"/>
    <w:rsid w:val="00367002"/>
    <w:rsid w:val="00371130"/>
    <w:rsid w:val="00371229"/>
    <w:rsid w:val="003721DD"/>
    <w:rsid w:val="003728DD"/>
    <w:rsid w:val="00372FFC"/>
    <w:rsid w:val="00374D6B"/>
    <w:rsid w:val="003762D9"/>
    <w:rsid w:val="00380E93"/>
    <w:rsid w:val="0039710D"/>
    <w:rsid w:val="003972A0"/>
    <w:rsid w:val="003A17B9"/>
    <w:rsid w:val="003A6ED0"/>
    <w:rsid w:val="003B440E"/>
    <w:rsid w:val="003B7827"/>
    <w:rsid w:val="003B79BE"/>
    <w:rsid w:val="003C0E4B"/>
    <w:rsid w:val="003C22BA"/>
    <w:rsid w:val="003C283B"/>
    <w:rsid w:val="003D5D3D"/>
    <w:rsid w:val="003E63F8"/>
    <w:rsid w:val="003E7340"/>
    <w:rsid w:val="003F07C7"/>
    <w:rsid w:val="003F6BD0"/>
    <w:rsid w:val="00403E14"/>
    <w:rsid w:val="00410F49"/>
    <w:rsid w:val="00412A95"/>
    <w:rsid w:val="00416C93"/>
    <w:rsid w:val="00417C38"/>
    <w:rsid w:val="00422141"/>
    <w:rsid w:val="004230E4"/>
    <w:rsid w:val="0042354C"/>
    <w:rsid w:val="00427E76"/>
    <w:rsid w:val="00433750"/>
    <w:rsid w:val="004365E2"/>
    <w:rsid w:val="00441C48"/>
    <w:rsid w:val="00443827"/>
    <w:rsid w:val="00454AAC"/>
    <w:rsid w:val="00457A3D"/>
    <w:rsid w:val="00471CBC"/>
    <w:rsid w:val="00472C07"/>
    <w:rsid w:val="004744DD"/>
    <w:rsid w:val="00486EFF"/>
    <w:rsid w:val="00490B49"/>
    <w:rsid w:val="004926A9"/>
    <w:rsid w:val="00493CC4"/>
    <w:rsid w:val="004A7F5B"/>
    <w:rsid w:val="004C02F7"/>
    <w:rsid w:val="004C346D"/>
    <w:rsid w:val="004C4598"/>
    <w:rsid w:val="004C5A13"/>
    <w:rsid w:val="004C6B06"/>
    <w:rsid w:val="004D2EEF"/>
    <w:rsid w:val="004D5116"/>
    <w:rsid w:val="004D73D7"/>
    <w:rsid w:val="004E0CD8"/>
    <w:rsid w:val="004F0D11"/>
    <w:rsid w:val="005001A0"/>
    <w:rsid w:val="00502921"/>
    <w:rsid w:val="00510D42"/>
    <w:rsid w:val="00511D15"/>
    <w:rsid w:val="00514B8D"/>
    <w:rsid w:val="00517699"/>
    <w:rsid w:val="005251E3"/>
    <w:rsid w:val="00530345"/>
    <w:rsid w:val="00555682"/>
    <w:rsid w:val="005742D8"/>
    <w:rsid w:val="00577802"/>
    <w:rsid w:val="00581D37"/>
    <w:rsid w:val="00585E5F"/>
    <w:rsid w:val="0059329E"/>
    <w:rsid w:val="00595199"/>
    <w:rsid w:val="005977E6"/>
    <w:rsid w:val="005A6356"/>
    <w:rsid w:val="005B3FF8"/>
    <w:rsid w:val="005B4414"/>
    <w:rsid w:val="005C1E60"/>
    <w:rsid w:val="005C7915"/>
    <w:rsid w:val="005E0AD5"/>
    <w:rsid w:val="005E5976"/>
    <w:rsid w:val="005F27BF"/>
    <w:rsid w:val="005F46FB"/>
    <w:rsid w:val="005F7D7A"/>
    <w:rsid w:val="00603AEC"/>
    <w:rsid w:val="006047AA"/>
    <w:rsid w:val="00607D29"/>
    <w:rsid w:val="006235E8"/>
    <w:rsid w:val="00630197"/>
    <w:rsid w:val="006336AF"/>
    <w:rsid w:val="00635E6E"/>
    <w:rsid w:val="00647E51"/>
    <w:rsid w:val="006507C5"/>
    <w:rsid w:val="006542B0"/>
    <w:rsid w:val="00657738"/>
    <w:rsid w:val="00671BB0"/>
    <w:rsid w:val="00672AF1"/>
    <w:rsid w:val="00681BAC"/>
    <w:rsid w:val="00685AE3"/>
    <w:rsid w:val="00686105"/>
    <w:rsid w:val="00687C32"/>
    <w:rsid w:val="00696CB1"/>
    <w:rsid w:val="006A6C66"/>
    <w:rsid w:val="006B27D3"/>
    <w:rsid w:val="006B2AD2"/>
    <w:rsid w:val="006B5484"/>
    <w:rsid w:val="006D275D"/>
    <w:rsid w:val="006D2A99"/>
    <w:rsid w:val="006F0CB8"/>
    <w:rsid w:val="006F1259"/>
    <w:rsid w:val="00701493"/>
    <w:rsid w:val="00710272"/>
    <w:rsid w:val="00715EF1"/>
    <w:rsid w:val="00725712"/>
    <w:rsid w:val="0073346F"/>
    <w:rsid w:val="00736770"/>
    <w:rsid w:val="007410AE"/>
    <w:rsid w:val="0074542F"/>
    <w:rsid w:val="00751672"/>
    <w:rsid w:val="00755D2D"/>
    <w:rsid w:val="00770A48"/>
    <w:rsid w:val="00776F18"/>
    <w:rsid w:val="007845FE"/>
    <w:rsid w:val="00785471"/>
    <w:rsid w:val="00794FCC"/>
    <w:rsid w:val="00795D87"/>
    <w:rsid w:val="007B1DB9"/>
    <w:rsid w:val="007B3335"/>
    <w:rsid w:val="007B3AB6"/>
    <w:rsid w:val="007D2AE3"/>
    <w:rsid w:val="007E15F8"/>
    <w:rsid w:val="007E36AC"/>
    <w:rsid w:val="007E6F8E"/>
    <w:rsid w:val="007F167B"/>
    <w:rsid w:val="008137C4"/>
    <w:rsid w:val="00821379"/>
    <w:rsid w:val="00821AF8"/>
    <w:rsid w:val="00833128"/>
    <w:rsid w:val="00833C13"/>
    <w:rsid w:val="00834811"/>
    <w:rsid w:val="00840BAC"/>
    <w:rsid w:val="00844BD4"/>
    <w:rsid w:val="00862050"/>
    <w:rsid w:val="00862CA9"/>
    <w:rsid w:val="00865E99"/>
    <w:rsid w:val="00866191"/>
    <w:rsid w:val="00894FA6"/>
    <w:rsid w:val="008A18D4"/>
    <w:rsid w:val="008A3D25"/>
    <w:rsid w:val="008A60BE"/>
    <w:rsid w:val="008B3BF8"/>
    <w:rsid w:val="008B4E0F"/>
    <w:rsid w:val="008C198E"/>
    <w:rsid w:val="008C2672"/>
    <w:rsid w:val="008D3BDA"/>
    <w:rsid w:val="008E1047"/>
    <w:rsid w:val="009223E1"/>
    <w:rsid w:val="009432E5"/>
    <w:rsid w:val="00953AEF"/>
    <w:rsid w:val="009549AE"/>
    <w:rsid w:val="009574E4"/>
    <w:rsid w:val="0096027B"/>
    <w:rsid w:val="00964891"/>
    <w:rsid w:val="009674B7"/>
    <w:rsid w:val="00975B67"/>
    <w:rsid w:val="00976240"/>
    <w:rsid w:val="00980FA3"/>
    <w:rsid w:val="009844E1"/>
    <w:rsid w:val="009912B7"/>
    <w:rsid w:val="00992C36"/>
    <w:rsid w:val="00997012"/>
    <w:rsid w:val="009A0D52"/>
    <w:rsid w:val="009B17D0"/>
    <w:rsid w:val="009B19FC"/>
    <w:rsid w:val="009B1AFD"/>
    <w:rsid w:val="009B3A44"/>
    <w:rsid w:val="009B5608"/>
    <w:rsid w:val="009B5E44"/>
    <w:rsid w:val="009C0332"/>
    <w:rsid w:val="009D08CF"/>
    <w:rsid w:val="009D2803"/>
    <w:rsid w:val="009E27DF"/>
    <w:rsid w:val="009E2CDC"/>
    <w:rsid w:val="009E7F40"/>
    <w:rsid w:val="009F457E"/>
    <w:rsid w:val="00A05076"/>
    <w:rsid w:val="00A076AC"/>
    <w:rsid w:val="00A118FE"/>
    <w:rsid w:val="00A21DCB"/>
    <w:rsid w:val="00A22E43"/>
    <w:rsid w:val="00A27FFC"/>
    <w:rsid w:val="00A3200F"/>
    <w:rsid w:val="00A32571"/>
    <w:rsid w:val="00A361E9"/>
    <w:rsid w:val="00A4048D"/>
    <w:rsid w:val="00A50B67"/>
    <w:rsid w:val="00A52A59"/>
    <w:rsid w:val="00A55447"/>
    <w:rsid w:val="00A6008E"/>
    <w:rsid w:val="00A66C7B"/>
    <w:rsid w:val="00A67872"/>
    <w:rsid w:val="00A7398A"/>
    <w:rsid w:val="00A8195F"/>
    <w:rsid w:val="00A87BD0"/>
    <w:rsid w:val="00A90925"/>
    <w:rsid w:val="00A96B6F"/>
    <w:rsid w:val="00AA2E73"/>
    <w:rsid w:val="00AA6B45"/>
    <w:rsid w:val="00AB1009"/>
    <w:rsid w:val="00AB3C75"/>
    <w:rsid w:val="00AB64E2"/>
    <w:rsid w:val="00AB69E5"/>
    <w:rsid w:val="00AC2AB8"/>
    <w:rsid w:val="00AD0FF3"/>
    <w:rsid w:val="00AE067A"/>
    <w:rsid w:val="00AE3CA1"/>
    <w:rsid w:val="00AE7C2C"/>
    <w:rsid w:val="00AF0C64"/>
    <w:rsid w:val="00AF4286"/>
    <w:rsid w:val="00AF44E4"/>
    <w:rsid w:val="00B01171"/>
    <w:rsid w:val="00B173DE"/>
    <w:rsid w:val="00B34383"/>
    <w:rsid w:val="00B4224E"/>
    <w:rsid w:val="00B4232C"/>
    <w:rsid w:val="00B42ED0"/>
    <w:rsid w:val="00B4365B"/>
    <w:rsid w:val="00B459C3"/>
    <w:rsid w:val="00B5342F"/>
    <w:rsid w:val="00B61B1A"/>
    <w:rsid w:val="00B661EF"/>
    <w:rsid w:val="00B663BF"/>
    <w:rsid w:val="00B7243D"/>
    <w:rsid w:val="00B77A00"/>
    <w:rsid w:val="00B84ADA"/>
    <w:rsid w:val="00B95291"/>
    <w:rsid w:val="00BA35B6"/>
    <w:rsid w:val="00BA3A6A"/>
    <w:rsid w:val="00BA57ED"/>
    <w:rsid w:val="00BA5893"/>
    <w:rsid w:val="00BC0969"/>
    <w:rsid w:val="00BC6343"/>
    <w:rsid w:val="00BD05E9"/>
    <w:rsid w:val="00BD0A40"/>
    <w:rsid w:val="00BD1CFA"/>
    <w:rsid w:val="00BD6ECD"/>
    <w:rsid w:val="00BF6580"/>
    <w:rsid w:val="00BF6960"/>
    <w:rsid w:val="00C00FD1"/>
    <w:rsid w:val="00C056D4"/>
    <w:rsid w:val="00C05C3A"/>
    <w:rsid w:val="00C100B6"/>
    <w:rsid w:val="00C141E4"/>
    <w:rsid w:val="00C14FED"/>
    <w:rsid w:val="00C31087"/>
    <w:rsid w:val="00C34D38"/>
    <w:rsid w:val="00C601F8"/>
    <w:rsid w:val="00C754E7"/>
    <w:rsid w:val="00C90073"/>
    <w:rsid w:val="00CA01B4"/>
    <w:rsid w:val="00CA04F6"/>
    <w:rsid w:val="00CA16B2"/>
    <w:rsid w:val="00CA4AB2"/>
    <w:rsid w:val="00CA5E74"/>
    <w:rsid w:val="00CB2AA9"/>
    <w:rsid w:val="00CB6D8E"/>
    <w:rsid w:val="00CC5324"/>
    <w:rsid w:val="00CD166E"/>
    <w:rsid w:val="00CD320F"/>
    <w:rsid w:val="00CD3A0F"/>
    <w:rsid w:val="00CE6D35"/>
    <w:rsid w:val="00CF05C9"/>
    <w:rsid w:val="00CF1BC9"/>
    <w:rsid w:val="00D06023"/>
    <w:rsid w:val="00D129DC"/>
    <w:rsid w:val="00D17F86"/>
    <w:rsid w:val="00D21152"/>
    <w:rsid w:val="00D267FC"/>
    <w:rsid w:val="00D2795B"/>
    <w:rsid w:val="00D320E8"/>
    <w:rsid w:val="00D3287B"/>
    <w:rsid w:val="00D35340"/>
    <w:rsid w:val="00D4780F"/>
    <w:rsid w:val="00D61B4C"/>
    <w:rsid w:val="00D61EBC"/>
    <w:rsid w:val="00D629F8"/>
    <w:rsid w:val="00D72A72"/>
    <w:rsid w:val="00D746C8"/>
    <w:rsid w:val="00D9219E"/>
    <w:rsid w:val="00D95B9F"/>
    <w:rsid w:val="00D970A8"/>
    <w:rsid w:val="00DB68FE"/>
    <w:rsid w:val="00DC20BE"/>
    <w:rsid w:val="00DC65B8"/>
    <w:rsid w:val="00DD0202"/>
    <w:rsid w:val="00DD1905"/>
    <w:rsid w:val="00E02F75"/>
    <w:rsid w:val="00E12BF5"/>
    <w:rsid w:val="00E16C19"/>
    <w:rsid w:val="00E32569"/>
    <w:rsid w:val="00E33FC4"/>
    <w:rsid w:val="00E43982"/>
    <w:rsid w:val="00E501CC"/>
    <w:rsid w:val="00E751B2"/>
    <w:rsid w:val="00E84AEE"/>
    <w:rsid w:val="00E905A9"/>
    <w:rsid w:val="00E9217B"/>
    <w:rsid w:val="00E935E8"/>
    <w:rsid w:val="00EC3975"/>
    <w:rsid w:val="00EC3AAD"/>
    <w:rsid w:val="00ED2393"/>
    <w:rsid w:val="00EE3182"/>
    <w:rsid w:val="00EE3A18"/>
    <w:rsid w:val="00EE51BE"/>
    <w:rsid w:val="00EE74D6"/>
    <w:rsid w:val="00EF41A1"/>
    <w:rsid w:val="00F03758"/>
    <w:rsid w:val="00F14E7A"/>
    <w:rsid w:val="00F31F63"/>
    <w:rsid w:val="00F35E5D"/>
    <w:rsid w:val="00F3618F"/>
    <w:rsid w:val="00F43618"/>
    <w:rsid w:val="00F451F6"/>
    <w:rsid w:val="00F5537A"/>
    <w:rsid w:val="00F6376D"/>
    <w:rsid w:val="00F8428D"/>
    <w:rsid w:val="00F93138"/>
    <w:rsid w:val="00F943B0"/>
    <w:rsid w:val="00FA2DF9"/>
    <w:rsid w:val="00FA5EB2"/>
    <w:rsid w:val="00FB222F"/>
    <w:rsid w:val="00FB7141"/>
    <w:rsid w:val="00FC1F79"/>
    <w:rsid w:val="00FC3837"/>
    <w:rsid w:val="00FC6BB2"/>
    <w:rsid w:val="00FD18B9"/>
    <w:rsid w:val="00FE4F04"/>
    <w:rsid w:val="00FE78B2"/>
    <w:rsid w:val="00FE7AA0"/>
    <w:rsid w:val="00FF01F4"/>
    <w:rsid w:val="00FF3BC5"/>
    <w:rsid w:val="00FF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D740"/>
  <w15:docId w15:val="{4A27D87A-88D4-4972-8876-B2C84C6A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AEE"/>
  </w:style>
  <w:style w:type="paragraph" w:styleId="Heading1">
    <w:name w:val="heading 1"/>
    <w:basedOn w:val="Normal"/>
    <w:next w:val="Normal"/>
    <w:link w:val="Heading1Char"/>
    <w:uiPriority w:val="9"/>
    <w:qFormat/>
    <w:rsid w:val="008C19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C19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70A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7E6"/>
    <w:pPr>
      <w:ind w:left="720"/>
      <w:contextualSpacing/>
    </w:pPr>
  </w:style>
  <w:style w:type="table" w:styleId="TableGrid">
    <w:name w:val="Table Grid"/>
    <w:basedOn w:val="TableNormal"/>
    <w:uiPriority w:val="59"/>
    <w:rsid w:val="00C75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643"/>
  </w:style>
  <w:style w:type="paragraph" w:styleId="Footer">
    <w:name w:val="footer"/>
    <w:basedOn w:val="Normal"/>
    <w:link w:val="FooterChar"/>
    <w:uiPriority w:val="99"/>
    <w:unhideWhenUsed/>
    <w:rsid w:val="00284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643"/>
  </w:style>
  <w:style w:type="character" w:styleId="CommentReference">
    <w:name w:val="annotation reference"/>
    <w:basedOn w:val="DefaultParagraphFont"/>
    <w:uiPriority w:val="99"/>
    <w:semiHidden/>
    <w:unhideWhenUsed/>
    <w:rsid w:val="00F35E5D"/>
    <w:rPr>
      <w:sz w:val="16"/>
      <w:szCs w:val="16"/>
    </w:rPr>
  </w:style>
  <w:style w:type="paragraph" w:styleId="CommentText">
    <w:name w:val="annotation text"/>
    <w:basedOn w:val="Normal"/>
    <w:link w:val="CommentTextChar"/>
    <w:uiPriority w:val="99"/>
    <w:semiHidden/>
    <w:unhideWhenUsed/>
    <w:rsid w:val="00F35E5D"/>
    <w:pPr>
      <w:spacing w:line="240" w:lineRule="auto"/>
    </w:pPr>
    <w:rPr>
      <w:sz w:val="20"/>
      <w:szCs w:val="20"/>
    </w:rPr>
  </w:style>
  <w:style w:type="character" w:customStyle="1" w:styleId="CommentTextChar">
    <w:name w:val="Comment Text Char"/>
    <w:basedOn w:val="DefaultParagraphFont"/>
    <w:link w:val="CommentText"/>
    <w:uiPriority w:val="99"/>
    <w:semiHidden/>
    <w:rsid w:val="00F35E5D"/>
    <w:rPr>
      <w:sz w:val="20"/>
      <w:szCs w:val="20"/>
    </w:rPr>
  </w:style>
  <w:style w:type="paragraph" w:styleId="CommentSubject">
    <w:name w:val="annotation subject"/>
    <w:basedOn w:val="CommentText"/>
    <w:next w:val="CommentText"/>
    <w:link w:val="CommentSubjectChar"/>
    <w:uiPriority w:val="99"/>
    <w:semiHidden/>
    <w:unhideWhenUsed/>
    <w:rsid w:val="00F35E5D"/>
    <w:rPr>
      <w:b/>
      <w:bCs/>
    </w:rPr>
  </w:style>
  <w:style w:type="character" w:customStyle="1" w:styleId="CommentSubjectChar">
    <w:name w:val="Comment Subject Char"/>
    <w:basedOn w:val="CommentTextChar"/>
    <w:link w:val="CommentSubject"/>
    <w:uiPriority w:val="99"/>
    <w:semiHidden/>
    <w:rsid w:val="00F35E5D"/>
    <w:rPr>
      <w:b/>
      <w:bCs/>
      <w:sz w:val="20"/>
      <w:szCs w:val="20"/>
    </w:rPr>
  </w:style>
  <w:style w:type="paragraph" w:styleId="BalloonText">
    <w:name w:val="Balloon Text"/>
    <w:basedOn w:val="Normal"/>
    <w:link w:val="BalloonTextChar"/>
    <w:uiPriority w:val="99"/>
    <w:semiHidden/>
    <w:unhideWhenUsed/>
    <w:rsid w:val="00F35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E5D"/>
    <w:rPr>
      <w:rFonts w:ascii="Tahoma" w:hAnsi="Tahoma" w:cs="Tahoma"/>
      <w:sz w:val="16"/>
      <w:szCs w:val="16"/>
    </w:rPr>
  </w:style>
  <w:style w:type="character" w:customStyle="1" w:styleId="Heading1Char">
    <w:name w:val="Heading 1 Char"/>
    <w:basedOn w:val="DefaultParagraphFont"/>
    <w:link w:val="Heading1"/>
    <w:uiPriority w:val="9"/>
    <w:rsid w:val="008C198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C19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70A48"/>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770A48"/>
    <w:pPr>
      <w:spacing w:line="259" w:lineRule="auto"/>
      <w:outlineLvl w:val="9"/>
    </w:pPr>
  </w:style>
  <w:style w:type="paragraph" w:styleId="TOC1">
    <w:name w:val="toc 1"/>
    <w:basedOn w:val="Normal"/>
    <w:next w:val="Normal"/>
    <w:autoRedefine/>
    <w:uiPriority w:val="39"/>
    <w:unhideWhenUsed/>
    <w:rsid w:val="00770A48"/>
    <w:pPr>
      <w:spacing w:after="100"/>
    </w:pPr>
  </w:style>
  <w:style w:type="paragraph" w:styleId="TOC2">
    <w:name w:val="toc 2"/>
    <w:basedOn w:val="Normal"/>
    <w:next w:val="Normal"/>
    <w:autoRedefine/>
    <w:uiPriority w:val="39"/>
    <w:unhideWhenUsed/>
    <w:rsid w:val="00770A48"/>
    <w:pPr>
      <w:spacing w:after="100"/>
      <w:ind w:left="220"/>
    </w:pPr>
  </w:style>
  <w:style w:type="paragraph" w:styleId="TOC3">
    <w:name w:val="toc 3"/>
    <w:basedOn w:val="Normal"/>
    <w:next w:val="Normal"/>
    <w:autoRedefine/>
    <w:uiPriority w:val="39"/>
    <w:unhideWhenUsed/>
    <w:rsid w:val="00770A48"/>
    <w:pPr>
      <w:spacing w:after="100"/>
      <w:ind w:left="440"/>
    </w:pPr>
  </w:style>
  <w:style w:type="character" w:styleId="Hyperlink">
    <w:name w:val="Hyperlink"/>
    <w:basedOn w:val="DefaultParagraphFont"/>
    <w:uiPriority w:val="99"/>
    <w:unhideWhenUsed/>
    <w:rsid w:val="00770A48"/>
    <w:rPr>
      <w:color w:val="0000FF" w:themeColor="hyperlink"/>
      <w:u w:val="single"/>
    </w:rPr>
  </w:style>
  <w:style w:type="paragraph" w:styleId="Title">
    <w:name w:val="Title"/>
    <w:basedOn w:val="Normal"/>
    <w:next w:val="Normal"/>
    <w:link w:val="TitleChar"/>
    <w:uiPriority w:val="10"/>
    <w:qFormat/>
    <w:rsid w:val="00770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70A48"/>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70A48"/>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70A48"/>
    <w:rPr>
      <w:rFonts w:asciiTheme="majorHAnsi" w:eastAsiaTheme="majorEastAsia" w:hAnsiTheme="majorHAnsi" w:cstheme="majorBidi"/>
      <w:i/>
      <w:iCs/>
      <w:color w:val="4F81BD" w:themeColor="accent1"/>
      <w:spacing w:val="15"/>
      <w:sz w:val="24"/>
      <w:szCs w:val="24"/>
      <w:lang w:eastAsia="ja-JP"/>
    </w:rPr>
  </w:style>
  <w:style w:type="paragraph" w:styleId="Revision">
    <w:name w:val="Revision"/>
    <w:hidden/>
    <w:uiPriority w:val="99"/>
    <w:semiHidden/>
    <w:rsid w:val="00844BD4"/>
    <w:pPr>
      <w:spacing w:after="0" w:line="240" w:lineRule="auto"/>
    </w:pPr>
  </w:style>
  <w:style w:type="paragraph" w:styleId="BodyText">
    <w:name w:val="Body Text"/>
    <w:basedOn w:val="Normal"/>
    <w:link w:val="BodyTextChar"/>
    <w:uiPriority w:val="99"/>
    <w:rsid w:val="006D275D"/>
    <w:pPr>
      <w:spacing w:after="120" w:line="240" w:lineRule="auto"/>
      <w:ind w:left="907"/>
    </w:pPr>
    <w:rPr>
      <w:rFonts w:ascii="Times New Roman" w:eastAsia="Times New Roman" w:hAnsi="Times New Roman" w:cs="Times New Roman"/>
      <w:sz w:val="24"/>
      <w:szCs w:val="20"/>
      <w:lang w:eastAsia="ja-JP"/>
    </w:rPr>
  </w:style>
  <w:style w:type="character" w:customStyle="1" w:styleId="BodyTextChar">
    <w:name w:val="Body Text Char"/>
    <w:basedOn w:val="DefaultParagraphFont"/>
    <w:link w:val="BodyText"/>
    <w:uiPriority w:val="99"/>
    <w:rsid w:val="006D275D"/>
    <w:rPr>
      <w:rFonts w:ascii="Times New Roman" w:eastAsia="Times New Roman" w:hAnsi="Times New Roman" w:cs="Times New Roman"/>
      <w:sz w:val="24"/>
      <w:szCs w:val="20"/>
      <w:lang w:eastAsia="ja-JP"/>
    </w:rPr>
  </w:style>
  <w:style w:type="paragraph" w:styleId="NoSpacing">
    <w:name w:val="No Spacing"/>
    <w:uiPriority w:val="1"/>
    <w:qFormat/>
    <w:rsid w:val="00327CFE"/>
    <w:pPr>
      <w:spacing w:after="0" w:line="240" w:lineRule="auto"/>
    </w:pPr>
  </w:style>
  <w:style w:type="paragraph" w:styleId="FootnoteText">
    <w:name w:val="footnote text"/>
    <w:basedOn w:val="Normal"/>
    <w:link w:val="FootnoteTextChar"/>
    <w:uiPriority w:val="99"/>
    <w:semiHidden/>
    <w:unhideWhenUsed/>
    <w:rsid w:val="00A96B6F"/>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A96B6F"/>
    <w:rPr>
      <w:rFonts w:ascii="Calibri" w:hAnsi="Calibri" w:cs="Calibri"/>
      <w:sz w:val="20"/>
      <w:szCs w:val="20"/>
    </w:rPr>
  </w:style>
  <w:style w:type="character" w:styleId="FootnoteReference">
    <w:name w:val="footnote reference"/>
    <w:basedOn w:val="DefaultParagraphFont"/>
    <w:uiPriority w:val="99"/>
    <w:semiHidden/>
    <w:unhideWhenUsed/>
    <w:rsid w:val="00A96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84">
      <w:bodyDiv w:val="1"/>
      <w:marLeft w:val="0"/>
      <w:marRight w:val="0"/>
      <w:marTop w:val="0"/>
      <w:marBottom w:val="0"/>
      <w:divBdr>
        <w:top w:val="none" w:sz="0" w:space="0" w:color="auto"/>
        <w:left w:val="none" w:sz="0" w:space="0" w:color="auto"/>
        <w:bottom w:val="none" w:sz="0" w:space="0" w:color="auto"/>
        <w:right w:val="none" w:sz="0" w:space="0" w:color="auto"/>
      </w:divBdr>
    </w:div>
    <w:div w:id="26565918">
      <w:bodyDiv w:val="1"/>
      <w:marLeft w:val="0"/>
      <w:marRight w:val="0"/>
      <w:marTop w:val="0"/>
      <w:marBottom w:val="0"/>
      <w:divBdr>
        <w:top w:val="none" w:sz="0" w:space="0" w:color="auto"/>
        <w:left w:val="none" w:sz="0" w:space="0" w:color="auto"/>
        <w:bottom w:val="none" w:sz="0" w:space="0" w:color="auto"/>
        <w:right w:val="none" w:sz="0" w:space="0" w:color="auto"/>
      </w:divBdr>
      <w:divsChild>
        <w:div w:id="1484665302">
          <w:marLeft w:val="547"/>
          <w:marRight w:val="0"/>
          <w:marTop w:val="200"/>
          <w:marBottom w:val="0"/>
          <w:divBdr>
            <w:top w:val="none" w:sz="0" w:space="0" w:color="auto"/>
            <w:left w:val="none" w:sz="0" w:space="0" w:color="auto"/>
            <w:bottom w:val="none" w:sz="0" w:space="0" w:color="auto"/>
            <w:right w:val="none" w:sz="0" w:space="0" w:color="auto"/>
          </w:divBdr>
        </w:div>
      </w:divsChild>
    </w:div>
    <w:div w:id="265115277">
      <w:bodyDiv w:val="1"/>
      <w:marLeft w:val="0"/>
      <w:marRight w:val="0"/>
      <w:marTop w:val="0"/>
      <w:marBottom w:val="0"/>
      <w:divBdr>
        <w:top w:val="none" w:sz="0" w:space="0" w:color="auto"/>
        <w:left w:val="none" w:sz="0" w:space="0" w:color="auto"/>
        <w:bottom w:val="none" w:sz="0" w:space="0" w:color="auto"/>
        <w:right w:val="none" w:sz="0" w:space="0" w:color="auto"/>
      </w:divBdr>
      <w:divsChild>
        <w:div w:id="132138006">
          <w:marLeft w:val="547"/>
          <w:marRight w:val="0"/>
          <w:marTop w:val="200"/>
          <w:marBottom w:val="0"/>
          <w:divBdr>
            <w:top w:val="none" w:sz="0" w:space="0" w:color="auto"/>
            <w:left w:val="none" w:sz="0" w:space="0" w:color="auto"/>
            <w:bottom w:val="none" w:sz="0" w:space="0" w:color="auto"/>
            <w:right w:val="none" w:sz="0" w:space="0" w:color="auto"/>
          </w:divBdr>
        </w:div>
      </w:divsChild>
    </w:div>
    <w:div w:id="574750992">
      <w:bodyDiv w:val="1"/>
      <w:marLeft w:val="0"/>
      <w:marRight w:val="0"/>
      <w:marTop w:val="0"/>
      <w:marBottom w:val="0"/>
      <w:divBdr>
        <w:top w:val="none" w:sz="0" w:space="0" w:color="auto"/>
        <w:left w:val="none" w:sz="0" w:space="0" w:color="auto"/>
        <w:bottom w:val="none" w:sz="0" w:space="0" w:color="auto"/>
        <w:right w:val="none" w:sz="0" w:space="0" w:color="auto"/>
      </w:divBdr>
    </w:div>
    <w:div w:id="756827005">
      <w:bodyDiv w:val="1"/>
      <w:marLeft w:val="0"/>
      <w:marRight w:val="0"/>
      <w:marTop w:val="0"/>
      <w:marBottom w:val="0"/>
      <w:divBdr>
        <w:top w:val="none" w:sz="0" w:space="0" w:color="auto"/>
        <w:left w:val="none" w:sz="0" w:space="0" w:color="auto"/>
        <w:bottom w:val="none" w:sz="0" w:space="0" w:color="auto"/>
        <w:right w:val="none" w:sz="0" w:space="0" w:color="auto"/>
      </w:divBdr>
      <w:divsChild>
        <w:div w:id="150963564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972DEDE5D9848A0821D08CE34438B" ma:contentTypeVersion="7" ma:contentTypeDescription="Create a new document." ma:contentTypeScope="" ma:versionID="8461cf9908602207bac21291d66c2496">
  <xsd:schema xmlns:xsd="http://www.w3.org/2001/XMLSchema" xmlns:xs="http://www.w3.org/2001/XMLSchema" xmlns:p="http://schemas.microsoft.com/office/2006/metadata/properties" xmlns:ns2="7e1e8e20-5cc4-481b-9beb-70c72b26c56b" xmlns:ns3="6ec60af1-6d1e-4575-bf73-1b6e791fcd10" targetNamespace="http://schemas.microsoft.com/office/2006/metadata/properties" ma:root="true" ma:fieldsID="b0629fbc86a63f15e06745f7866ddd4b" ns2:_="" ns3:_="">
    <xsd:import namespace="7e1e8e20-5cc4-481b-9beb-70c72b26c56b"/>
    <xsd:import namespace="6ec60af1-6d1e-4575-bf73-1b6e791fcd10"/>
    <xsd:element name="properties">
      <xsd:complexType>
        <xsd:sequence>
          <xsd:element name="documentManagement">
            <xsd:complexType>
              <xsd:all>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e8e20-5cc4-481b-9beb-70c72b26c56b" elementFormDefault="qualified">
    <xsd:import namespace="http://schemas.microsoft.com/office/2006/documentManagement/types"/>
    <xsd:import namespace="http://schemas.microsoft.com/office/infopath/2007/PartnerControls"/>
    <xsd:element name="Type_x0020_of_x0020_document" ma:index="4" nillable="true" ma:displayName="Type of document" ma:internalName="Type_x0020_of_x0020_docum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_x0020_of_x0020_document xmlns="7e1e8e20-5cc4-481b-9beb-70c72b26c56b" xsi:nil="true"/>
  </documentManagement>
</p:properties>
</file>

<file path=customXml/itemProps1.xml><?xml version="1.0" encoding="utf-8"?>
<ds:datastoreItem xmlns:ds="http://schemas.openxmlformats.org/officeDocument/2006/customXml" ds:itemID="{30595D47-AA37-44B3-A753-B7F8EA2F4802}">
  <ds:schemaRefs>
    <ds:schemaRef ds:uri="http://schemas.openxmlformats.org/officeDocument/2006/bibliography"/>
  </ds:schemaRefs>
</ds:datastoreItem>
</file>

<file path=customXml/itemProps2.xml><?xml version="1.0" encoding="utf-8"?>
<ds:datastoreItem xmlns:ds="http://schemas.openxmlformats.org/officeDocument/2006/customXml" ds:itemID="{D1894EE9-2B08-4513-A198-553FFB64B75E}"/>
</file>

<file path=customXml/itemProps3.xml><?xml version="1.0" encoding="utf-8"?>
<ds:datastoreItem xmlns:ds="http://schemas.openxmlformats.org/officeDocument/2006/customXml" ds:itemID="{6AC42933-339E-4D0B-9E25-202D13A18B47}"/>
</file>

<file path=customXml/itemProps4.xml><?xml version="1.0" encoding="utf-8"?>
<ds:datastoreItem xmlns:ds="http://schemas.openxmlformats.org/officeDocument/2006/customXml" ds:itemID="{85F530BB-F5B8-4AA5-9818-D0D3E16EB7AC}"/>
</file>

<file path=docProps/app.xml><?xml version="1.0" encoding="utf-8"?>
<Properties xmlns="http://schemas.openxmlformats.org/officeDocument/2006/extended-properties" xmlns:vt="http://schemas.openxmlformats.org/officeDocument/2006/docPropsVTypes">
  <Template>Normal.dotm</Template>
  <TotalTime>0</TotalTime>
  <Pages>2</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New Technologies evaluation</vt:lpstr>
    </vt:vector>
  </TitlesOfParts>
  <Company>Oregon Department of Transportation</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Technologies evaluation</dc:title>
  <dc:creator>BOCK Maureen</dc:creator>
  <cp:lastModifiedBy>GODFREY Michelle D</cp:lastModifiedBy>
  <cp:revision>1</cp:revision>
  <cp:lastPrinted>2019-06-27T18:18:00Z</cp:lastPrinted>
  <dcterms:created xsi:type="dcterms:W3CDTF">2022-02-10T20:29:00Z</dcterms:created>
  <dcterms:modified xsi:type="dcterms:W3CDTF">2022-02-10T20:29:00Z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0x0101000E7972DEDE5D9848A0821D08CE34438B</vt:lpwstr>
  </property>
</Properties>
</file>