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48C7" w14:textId="0CDD9A1D" w:rsidR="00051C8D" w:rsidRDefault="00360406" w:rsidP="00176200">
      <w:pPr>
        <w:pStyle w:val="DivisionName"/>
      </w:pPr>
      <w:r w:rsidRPr="00E90B39">
        <w:rPr>
          <w:noProof/>
        </w:rPr>
        <mc:AlternateContent>
          <mc:Choice Requires="wps">
            <w:drawing>
              <wp:anchor distT="0" distB="0" distL="114300" distR="114300" simplePos="0" relativeHeight="251661312" behindDoc="1" locked="0" layoutInCell="1" allowOverlap="1" wp14:anchorId="79BD56DC" wp14:editId="24E83580">
                <wp:simplePos x="0" y="0"/>
                <wp:positionH relativeFrom="margin">
                  <wp:posOffset>9525</wp:posOffset>
                </wp:positionH>
                <wp:positionV relativeFrom="paragraph">
                  <wp:posOffset>304800</wp:posOffset>
                </wp:positionV>
                <wp:extent cx="6172200" cy="266700"/>
                <wp:effectExtent l="0" t="0" r="0" b="0"/>
                <wp:wrapNone/>
                <wp:docPr id="384185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2667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FEAD8" id="Rectangle 1" o:spid="_x0000_s1026" alt="&quot;&quot;" style="position:absolute;margin-left:.75pt;margin-top:24pt;width:486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" fillcolor="#064276 [3200]" stroked="f" strokeweight="1pt">
                <w10:wrap anchorx="margin"/>
              </v:rect>
            </w:pict>
          </mc:Fallback>
        </mc:AlternateContent>
      </w:r>
      <w:r w:rsidR="0070751C">
        <w:t>Health Policy and Analytics</w:t>
      </w:r>
    </w:p>
    <w:p w14:paraId="7732D7CD" w14:textId="4287BFEA" w:rsidR="00DE11EC" w:rsidRPr="00C81E16" w:rsidRDefault="0070751C" w:rsidP="00D07BCA">
      <w:pPr>
        <w:pStyle w:val="ProgramName"/>
      </w:pPr>
      <w:r w:rsidRPr="0070751C">
        <w:rPr>
          <w:b/>
          <w:bCs/>
          <w:color w:val="FFFFFF"/>
        </w:rPr>
        <w:t>All Payer All Claims (APAC) Reporting Program</w:t>
      </w:r>
    </w:p>
    <w:p w14:paraId="748DC7AF" w14:textId="77777777" w:rsidR="00CA6BFD" w:rsidRDefault="004E14A1" w:rsidP="008C3A9A">
      <w:pPr>
        <w:pStyle w:val="LogoStyle"/>
        <w:sectPr w:rsidR="00CA6BFD" w:rsidSect="002C164F">
          <w:footerReference w:type="default" r:id="rId11"/>
          <w:footerReference w:type="first" r:id="rId12"/>
          <w:type w:val="continuous"/>
          <w:pgSz w:w="12240" w:h="15840" w:code="1"/>
          <w:pgMar w:top="576" w:right="634" w:bottom="720" w:left="720" w:header="576" w:footer="576" w:gutter="0"/>
          <w:cols w:num="2" w:space="0" w:equalWidth="0">
            <w:col w:w="8010" w:space="2"/>
            <w:col w:w="2874"/>
          </w:cols>
          <w:titlePg/>
          <w:docGrid w:linePitch="360"/>
        </w:sectPr>
      </w:pPr>
      <w:r w:rsidRPr="008C3A9A">
        <w:drawing>
          <wp:inline distT="0" distB="0" distL="0" distR="0" wp14:anchorId="7A89ACDD" wp14:editId="132FDAE4">
            <wp:extent cx="1819275" cy="643478"/>
            <wp:effectExtent l="0" t="0" r="0" b="4445"/>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rotWithShape="1">
                    <a:blip r:embed="rId13" cstate="print">
                      <a:extLst>
                        <a:ext uri="{28A0092B-C50C-407E-A947-70E740481C1C}">
                          <a14:useLocalDpi xmlns:a14="http://schemas.microsoft.com/office/drawing/2010/main" val="0"/>
                        </a:ext>
                      </a:extLst>
                    </a:blip>
                    <a:srcRect l="-997" t="8700" r="997" b="8700"/>
                    <a:stretch/>
                  </pic:blipFill>
                  <pic:spPr bwMode="auto">
                    <a:xfrm>
                      <a:off x="0" y="0"/>
                      <a:ext cx="1834689" cy="648930"/>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p>
    <w:p w14:paraId="7E327A48" w14:textId="77777777" w:rsidR="00606C15" w:rsidRPr="00A13963" w:rsidRDefault="00606C15" w:rsidP="00A13963">
      <w:pPr>
        <w:pStyle w:val="AltStatementHeading"/>
      </w:pPr>
      <w:r w:rsidRPr="00D07BCA">
        <w:t>Other formats and languages</w:t>
      </w:r>
    </w:p>
    <w:p w14:paraId="718A2A25" w14:textId="4E1177F6" w:rsidR="00606C15" w:rsidRPr="00D07BCA" w:rsidRDefault="00606C15" w:rsidP="00A13963">
      <w:pPr>
        <w:pStyle w:val="AltStatement"/>
      </w:pPr>
      <w:r w:rsidRPr="00D07BCA">
        <w:t xml:space="preserve">You can get this document in other </w:t>
      </w:r>
      <w:r w:rsidRPr="00A13963">
        <w:t>languages</w:t>
      </w:r>
      <w:r w:rsidRPr="00D07BCA">
        <w:t xml:space="preserve">, large print, braille or a format you prefer free of charge. Contact </w:t>
      </w:r>
      <w:r w:rsidR="0070751C">
        <w:t>APAC</w:t>
      </w:r>
      <w:r w:rsidR="0070751C" w:rsidRPr="00D07BCA">
        <w:t xml:space="preserve"> at </w:t>
      </w:r>
      <w:r w:rsidR="0070751C">
        <w:t>apac.admin@odhsoha.oregon.gov</w:t>
      </w:r>
      <w:r w:rsidR="0070751C" w:rsidRPr="00D07BCA">
        <w:t xml:space="preserve"> or </w:t>
      </w:r>
      <w:r w:rsidR="0070751C">
        <w:t>971-283-8972</w:t>
      </w:r>
      <w:r w:rsidR="0070751C" w:rsidRPr="00D07BCA">
        <w:t xml:space="preserve"> </w:t>
      </w:r>
      <w:r w:rsidRPr="00D07BCA">
        <w:t>(voice/text). We accept all relay calls.</w:t>
      </w:r>
    </w:p>
    <w:p w14:paraId="5C7FAF5F" w14:textId="2D678A12" w:rsidR="007B6AFF" w:rsidRPr="00A51D09" w:rsidRDefault="0070751C" w:rsidP="00542DB7">
      <w:pPr>
        <w:pStyle w:val="Heading1"/>
      </w:pPr>
      <w:bookmarkStart w:id="0" w:name="Title"/>
      <w:bookmarkEnd w:id="0"/>
      <w:r>
        <w:t>Primary Care Spending in Oregon: Methodology and Glossary</w:t>
      </w:r>
    </w:p>
    <w:p w14:paraId="70FE9877" w14:textId="26569093" w:rsidR="0050179B" w:rsidRDefault="00E46A3D" w:rsidP="0070751C">
      <w:pPr>
        <w:ind w:left="187"/>
      </w:pPr>
      <w:r>
        <w:rPr>
          <w:rStyle w:val="Strong"/>
        </w:rPr>
        <w:t>September</w:t>
      </w:r>
      <w:r w:rsidR="0070751C">
        <w:rPr>
          <w:rStyle w:val="Strong"/>
        </w:rPr>
        <w:t xml:space="preserve"> 2025</w:t>
      </w:r>
    </w:p>
    <w:p w14:paraId="1D01049C" w14:textId="062BEEBE" w:rsidR="00BA45E1" w:rsidRPr="00BA45E1" w:rsidRDefault="005F3845" w:rsidP="004D085F">
      <w:pPr>
        <w:pStyle w:val="Heading2"/>
      </w:pPr>
      <w:bookmarkStart w:id="1" w:name="Methodology"/>
      <w:bookmarkEnd w:id="1"/>
      <w:r>
        <w:t>Methodology</w:t>
      </w:r>
    </w:p>
    <w:p w14:paraId="4B1AA3DF" w14:textId="4E801CC0" w:rsidR="0097454A" w:rsidRDefault="005F3845" w:rsidP="00AD41CE">
      <w:pPr>
        <w:pStyle w:val="Heading3"/>
      </w:pPr>
      <w:bookmarkStart w:id="2" w:name="WhatIsIncluded"/>
      <w:bookmarkEnd w:id="2"/>
      <w:r>
        <w:t xml:space="preserve">What’s included in total medical spending and primary care spending? </w:t>
      </w:r>
    </w:p>
    <w:p w14:paraId="580D7BA0" w14:textId="24819EAF" w:rsidR="00097644" w:rsidRPr="00BA45E1" w:rsidRDefault="004D085F" w:rsidP="00097644">
      <w:r w:rsidRPr="004D085F">
        <w:t>Medical and primary care spending in this report are calculated from claims and non-claims payments to health care providers and provider organizations.</w:t>
      </w:r>
    </w:p>
    <w:p w14:paraId="59219E12" w14:textId="20AEAE5D" w:rsidR="005F3845" w:rsidRDefault="005F3845" w:rsidP="005F3845">
      <w:pPr>
        <w:pStyle w:val="Heading4"/>
      </w:pPr>
      <w:bookmarkStart w:id="3" w:name="ClaimsPayments"/>
      <w:bookmarkEnd w:id="3"/>
      <w:r>
        <w:t>Claims payments</w:t>
      </w:r>
    </w:p>
    <w:p w14:paraId="5C15C2D1" w14:textId="1B54F50D" w:rsidR="004D085F" w:rsidRDefault="004D085F" w:rsidP="004D085F">
      <w:r>
        <w:t>These include payments to health care providers and organizations as reported in health care claims data. Total medical spending and primary care spending from claims payments were identified using information about the rendering or billing provider and the service rendered on the claim. Information about claims payments was obtained from OHA’s All Payer All Claims (APAC) Data Reporting Program. APAC collects information about health care claims and encounters from all health care payers covered by primary care reporting statutes (SB 231 and HB 4017). This includes:</w:t>
      </w:r>
    </w:p>
    <w:p w14:paraId="3485D34B" w14:textId="77777777" w:rsidR="002B3DC5" w:rsidRDefault="002B3DC5" w:rsidP="002B3DC5">
      <w:pPr>
        <w:pStyle w:val="ListBullet"/>
      </w:pPr>
      <w:r>
        <w:t>Prominent carriers</w:t>
      </w:r>
    </w:p>
    <w:p w14:paraId="2FC40156" w14:textId="77777777" w:rsidR="002B3DC5" w:rsidRDefault="002B3DC5" w:rsidP="002B3DC5">
      <w:pPr>
        <w:pStyle w:val="ListBullet"/>
      </w:pPr>
      <w:r>
        <w:t>Medicaid CCOs</w:t>
      </w:r>
    </w:p>
    <w:p w14:paraId="17CF9DAB" w14:textId="77777777" w:rsidR="002B3DC5" w:rsidRDefault="002B3DC5" w:rsidP="002B3DC5">
      <w:pPr>
        <w:pStyle w:val="ListBullet"/>
      </w:pPr>
      <w:r>
        <w:t>PEBB</w:t>
      </w:r>
    </w:p>
    <w:p w14:paraId="344B6D0E" w14:textId="55271A1B" w:rsidR="007169AC" w:rsidRDefault="002B3DC5" w:rsidP="002B3DC5">
      <w:pPr>
        <w:pStyle w:val="ListBullet"/>
      </w:pPr>
      <w:r>
        <w:t>OEBB</w:t>
      </w:r>
    </w:p>
    <w:p w14:paraId="32F31D5F" w14:textId="77777777" w:rsidR="004D085F" w:rsidRDefault="004D085F" w:rsidP="004D085F">
      <w:r>
        <w:t>APAC also collects information from entities below, which are not covered by primary care reporting statutes:</w:t>
      </w:r>
    </w:p>
    <w:p w14:paraId="2352A773" w14:textId="77777777" w:rsidR="002B3DC5" w:rsidRDefault="002B3DC5" w:rsidP="002B3DC5">
      <w:pPr>
        <w:pStyle w:val="ListBullet"/>
      </w:pPr>
      <w:r>
        <w:t>Medicaid fee-for-service</w:t>
      </w:r>
    </w:p>
    <w:p w14:paraId="53876621" w14:textId="17DD6404" w:rsidR="007169AC" w:rsidRDefault="002B3DC5" w:rsidP="002B3DC5">
      <w:pPr>
        <w:pStyle w:val="ListBullet"/>
      </w:pPr>
      <w:r>
        <w:t>Medicare fee-for-service</w:t>
      </w:r>
    </w:p>
    <w:p w14:paraId="42733F18" w14:textId="77777777" w:rsidR="007169AC" w:rsidRDefault="007169AC" w:rsidP="004D085F"/>
    <w:p w14:paraId="5FBCACE6" w14:textId="77777777" w:rsidR="004D085F" w:rsidRDefault="004D085F" w:rsidP="004D085F">
      <w:r>
        <w:lastRenderedPageBreak/>
        <w:t>APAC does not collect information from:</w:t>
      </w:r>
    </w:p>
    <w:p w14:paraId="002F2F25" w14:textId="77777777" w:rsidR="002B3DC5" w:rsidRDefault="002B3DC5" w:rsidP="002B3DC5">
      <w:pPr>
        <w:pStyle w:val="ListBullet"/>
      </w:pPr>
      <w:r>
        <w:t>Carriers with fewer than 5,000 members in Oregon</w:t>
      </w:r>
    </w:p>
    <w:p w14:paraId="322AF164" w14:textId="77777777" w:rsidR="002B3DC5" w:rsidRDefault="002B3DC5" w:rsidP="002B3DC5">
      <w:pPr>
        <w:pStyle w:val="ListBullet"/>
      </w:pPr>
      <w:r>
        <w:t>ERISA self-insured employers</w:t>
      </w:r>
    </w:p>
    <w:p w14:paraId="79B29BA8" w14:textId="77777777" w:rsidR="002B3DC5" w:rsidRDefault="002B3DC5" w:rsidP="002B3DC5">
      <w:pPr>
        <w:pStyle w:val="ListBullet"/>
      </w:pPr>
      <w:r>
        <w:t>Some types of commercial health plans</w:t>
      </w:r>
    </w:p>
    <w:p w14:paraId="5A5B191F" w14:textId="66D65E6A" w:rsidR="00B529B8" w:rsidRDefault="002B3DC5" w:rsidP="002B3DC5">
      <w:pPr>
        <w:pStyle w:val="ListBullet"/>
      </w:pPr>
      <w:r>
        <w:t>Some types of public health care coverage</w:t>
      </w:r>
    </w:p>
    <w:p w14:paraId="083F110A" w14:textId="6C6DD72D" w:rsidR="005F3845" w:rsidRPr="005F3845" w:rsidRDefault="004D085F" w:rsidP="004D085F">
      <w:r>
        <w:t xml:space="preserve">In addition, APAC does not collect information about health care received by people who pay out-of-pocket. This includes people without insurance. APAC data are refreshed quarterly so carriers and CCOs can adjust and finalize claims. </w:t>
      </w:r>
      <w:r w:rsidR="00163D61">
        <w:t>T</w:t>
      </w:r>
      <w:r>
        <w:t xml:space="preserve">he data in this report </w:t>
      </w:r>
      <w:r w:rsidR="00163D61">
        <w:t>has</w:t>
      </w:r>
      <w:r>
        <w:t xml:space="preserve"> been refreshed four times, which is the maximum. In other words, there has been ample time to adjust any claims data used to generate this report.</w:t>
      </w:r>
    </w:p>
    <w:p w14:paraId="133E70AF" w14:textId="1ED66CE2" w:rsidR="005F3845" w:rsidRDefault="005F3845" w:rsidP="005F3845">
      <w:pPr>
        <w:pStyle w:val="Heading4"/>
      </w:pPr>
      <w:bookmarkStart w:id="4" w:name="NonClaimsPayments"/>
      <w:bookmarkEnd w:id="4"/>
      <w:r>
        <w:t>Non-claims payments</w:t>
      </w:r>
    </w:p>
    <w:p w14:paraId="0274DDE8" w14:textId="4CE4C4CB" w:rsidR="004D085F" w:rsidRDefault="004D085F" w:rsidP="004D085F">
      <w:r>
        <w:t>These payments go to health care providers and provider organizations to</w:t>
      </w:r>
    </w:p>
    <w:p w14:paraId="3408E2A2" w14:textId="77777777" w:rsidR="002B3DC5" w:rsidRDefault="002B3DC5" w:rsidP="002B3DC5">
      <w:pPr>
        <w:pStyle w:val="ListBullet"/>
      </w:pPr>
      <w:r>
        <w:t>Motivate efficient care delivery</w:t>
      </w:r>
    </w:p>
    <w:p w14:paraId="01DE4DFC" w14:textId="77777777" w:rsidR="002B3DC5" w:rsidRDefault="002B3DC5" w:rsidP="002B3DC5">
      <w:pPr>
        <w:pStyle w:val="ListBullet"/>
      </w:pPr>
      <w:r>
        <w:t>Reward achievement of quality or cost-savings goals</w:t>
      </w:r>
    </w:p>
    <w:p w14:paraId="36678DE9" w14:textId="7C34287D" w:rsidR="00B529B8" w:rsidRDefault="002B3DC5" w:rsidP="002B3DC5">
      <w:pPr>
        <w:pStyle w:val="ListBullet"/>
      </w:pPr>
      <w:r>
        <w:t>Build health care capacity</w:t>
      </w:r>
    </w:p>
    <w:p w14:paraId="267F1BE9" w14:textId="6B211272" w:rsidR="004D085F" w:rsidRDefault="004D085F" w:rsidP="004D085F">
      <w:r>
        <w:t>Non-claims payments are separate from payments made using claims. However, some types of non-claims-based payments may be based on analysis of claims data (e.g., payments to reward providers for achieving quality or cost savings based on quality measures calculated from claims data).</w:t>
      </w:r>
    </w:p>
    <w:p w14:paraId="2E23B532" w14:textId="26AE6A0B" w:rsidR="00220A3C" w:rsidRDefault="004D085F" w:rsidP="004D085F">
      <w:r>
        <w:t xml:space="preserve">Information about non-claims payments is collected by the OHA APAC Program. In addition to claims data, APAC collects Payment Arrangement File (PAF) data from carriers and CCOs for all contracts sitused (i.e., issued or located) in Oregon. PAF data contain primary care and total health care payments between a carrier or CCO and a health care provider or entity, including hospitals, clinics, and doctors (at the organization level). </w:t>
      </w:r>
    </w:p>
    <w:p w14:paraId="5D759C60" w14:textId="493C6CB8" w:rsidR="005F3845" w:rsidRPr="00BA45E1" w:rsidRDefault="004D085F" w:rsidP="004D085F">
      <w:r>
        <w:t>The payments in PAF are reported by contract and by line of business including Medicaid CCOs, Medicare Advantage, PEBB, OEBB, and commercial. The payments in PAF are also separated by the following payment categories based on the Health Care Payment Learning and Action Network’s (HCP-LAN) Alternative Payment Methodology (APM) Framework with some modifications to better fit with Oregon’s initiatives.</w:t>
      </w:r>
    </w:p>
    <w:p w14:paraId="53CC3AA1" w14:textId="77777777" w:rsidR="00220A3C" w:rsidRDefault="00220A3C">
      <w:pPr>
        <w:spacing w:before="0" w:after="0"/>
        <w:ind w:left="0" w:right="0"/>
        <w:rPr>
          <w:rFonts w:ascii="Noto Sans Bold" w:eastAsiaTheme="majorEastAsia" w:hAnsi="Noto Sans Bold" w:cstheme="majorBidi"/>
          <w:iCs/>
          <w:color w:val="064276" w:themeColor="text1"/>
          <w:szCs w:val="26"/>
        </w:rPr>
      </w:pPr>
      <w:r>
        <w:br w:type="page"/>
      </w:r>
    </w:p>
    <w:p w14:paraId="02DB20D5" w14:textId="353F2DC9" w:rsidR="005F3845" w:rsidRDefault="005F3845" w:rsidP="005F3845">
      <w:pPr>
        <w:pStyle w:val="Heading4"/>
      </w:pPr>
      <w:bookmarkStart w:id="5" w:name="HCPLANcategories"/>
      <w:bookmarkEnd w:id="5"/>
      <w:r>
        <w:lastRenderedPageBreak/>
        <w:t>HCP-LAN categories</w:t>
      </w:r>
    </w:p>
    <w:p w14:paraId="13EB81F2" w14:textId="6ABD8422" w:rsidR="00B529B8" w:rsidRDefault="00B529B8" w:rsidP="00B529B8">
      <w:pPr>
        <w:pStyle w:val="ListBullet"/>
      </w:pPr>
      <w:r>
        <w:t>Fee-for-Service (FFS) &amp; Other Payments – No Link to Quality includes</w:t>
      </w:r>
    </w:p>
    <w:p w14:paraId="555B787B" w14:textId="77777777" w:rsidR="00B529B8" w:rsidRDefault="00B529B8" w:rsidP="00B529B8">
      <w:pPr>
        <w:pStyle w:val="ListBullet2"/>
      </w:pPr>
      <w:r>
        <w:t>1: FFS – No Link to Quality</w:t>
      </w:r>
    </w:p>
    <w:p w14:paraId="066ECFEB" w14:textId="77777777" w:rsidR="00B529B8" w:rsidRDefault="00B529B8" w:rsidP="00B529B8">
      <w:pPr>
        <w:pStyle w:val="ListBullet2"/>
      </w:pPr>
      <w:r>
        <w:t>3N: Risk-Based Payments Not Linked to Quality</w:t>
      </w:r>
    </w:p>
    <w:p w14:paraId="4C767D90" w14:textId="24440B80" w:rsidR="004D085F" w:rsidRDefault="00B529B8" w:rsidP="00B529B8">
      <w:pPr>
        <w:pStyle w:val="ListBullet2"/>
      </w:pPr>
      <w:r>
        <w:t>4N: Capitated Payments Not Linked to Quality</w:t>
      </w:r>
    </w:p>
    <w:p w14:paraId="6230541E" w14:textId="601021C1" w:rsidR="00B529B8" w:rsidRDefault="00B529B8" w:rsidP="00B529B8">
      <w:pPr>
        <w:pStyle w:val="ListBullet"/>
      </w:pPr>
      <w:r>
        <w:t>FFS – Link to Quality includes</w:t>
      </w:r>
    </w:p>
    <w:p w14:paraId="1D309F3F" w14:textId="77777777" w:rsidR="00B529B8" w:rsidRDefault="00B529B8" w:rsidP="00B529B8">
      <w:pPr>
        <w:pStyle w:val="ListBullet2"/>
      </w:pPr>
      <w:r>
        <w:t>1A: FFS – Link to APM payments</w:t>
      </w:r>
    </w:p>
    <w:p w14:paraId="2FC54D29" w14:textId="47A76CB6" w:rsidR="00B529B8" w:rsidRDefault="00B529B8" w:rsidP="00B529B8">
      <w:pPr>
        <w:pStyle w:val="ListBullet2"/>
      </w:pPr>
      <w:r>
        <w:t>2A: Foundational Payments including Patient-Centered Primary Care Home</w:t>
      </w:r>
    </w:p>
    <w:p w14:paraId="617A397C" w14:textId="77777777" w:rsidR="00B529B8" w:rsidRDefault="00B529B8" w:rsidP="00B529B8">
      <w:pPr>
        <w:pStyle w:val="ListBullet2"/>
      </w:pPr>
      <w:r>
        <w:t>2B: Pay for Reporting</w:t>
      </w:r>
    </w:p>
    <w:p w14:paraId="4BFB9895" w14:textId="030E5C0F" w:rsidR="004D085F" w:rsidRDefault="00B529B8" w:rsidP="00B529B8">
      <w:pPr>
        <w:pStyle w:val="ListBullet2"/>
      </w:pPr>
      <w:r>
        <w:t>2C: Pay for Performance</w:t>
      </w:r>
    </w:p>
    <w:p w14:paraId="16E67F37" w14:textId="48802750" w:rsidR="00B529B8" w:rsidRDefault="00B529B8" w:rsidP="00B529B8">
      <w:pPr>
        <w:pStyle w:val="ListBullet"/>
      </w:pPr>
      <w:r>
        <w:t>Shared Savings and/or Risk includes</w:t>
      </w:r>
    </w:p>
    <w:p w14:paraId="6C9E3527" w14:textId="77777777" w:rsidR="00B529B8" w:rsidRDefault="00B529B8" w:rsidP="00B529B8">
      <w:pPr>
        <w:pStyle w:val="ListBullet2"/>
      </w:pPr>
      <w:r>
        <w:t>3A: Shared Savings</w:t>
      </w:r>
    </w:p>
    <w:p w14:paraId="492359D0" w14:textId="7A32D705" w:rsidR="004D085F" w:rsidRDefault="00B529B8" w:rsidP="00B529B8">
      <w:pPr>
        <w:pStyle w:val="ListBullet2"/>
      </w:pPr>
      <w:r>
        <w:t>3B: Shared Savings and Risk</w:t>
      </w:r>
    </w:p>
    <w:p w14:paraId="7159C76C" w14:textId="08554FC9" w:rsidR="00B529B8" w:rsidRDefault="00B529B8" w:rsidP="00B529B8">
      <w:pPr>
        <w:pStyle w:val="ListBullet"/>
      </w:pPr>
      <w:r>
        <w:t>Population-Based Capitation includes</w:t>
      </w:r>
    </w:p>
    <w:p w14:paraId="6BCECCD8" w14:textId="77777777" w:rsidR="00B529B8" w:rsidRDefault="00B529B8" w:rsidP="00B529B8">
      <w:pPr>
        <w:pStyle w:val="ListBullet2"/>
      </w:pPr>
      <w:r>
        <w:t>4A: Condition-Specific Population-Based Payment</w:t>
      </w:r>
    </w:p>
    <w:p w14:paraId="3C310E93" w14:textId="77777777" w:rsidR="00B529B8" w:rsidRDefault="00B529B8" w:rsidP="00B529B8">
      <w:pPr>
        <w:pStyle w:val="ListBullet2"/>
      </w:pPr>
      <w:r>
        <w:t>4B: Comprehensive Population-Based Payment</w:t>
      </w:r>
    </w:p>
    <w:p w14:paraId="1C4460F7" w14:textId="77957832" w:rsidR="00B529B8" w:rsidRDefault="00B529B8" w:rsidP="00B529B8">
      <w:pPr>
        <w:pStyle w:val="ListBullet2"/>
      </w:pPr>
      <w:r>
        <w:t>4C: Integrated Finance &amp; Delivery System</w:t>
      </w:r>
    </w:p>
    <w:p w14:paraId="4CD851FE" w14:textId="7789487E" w:rsidR="004D085F" w:rsidRDefault="002B3DC5" w:rsidP="004D085F">
      <w:r>
        <w:t xml:space="preserve">The HCP-LAN alternative payment model framework is located here: </w:t>
      </w:r>
      <w:hyperlink r:id="rId14" w:history="1">
        <w:r w:rsidRPr="0028373B">
          <w:rPr>
            <w:rStyle w:val="Hyperlink"/>
          </w:rPr>
          <w:t>https://hcp-lan.org/apm-framework/</w:t>
        </w:r>
      </w:hyperlink>
      <w:r>
        <w:t>.</w:t>
      </w:r>
    </w:p>
    <w:p w14:paraId="4F900481" w14:textId="77777777" w:rsidR="00220A3C" w:rsidRDefault="004D085F" w:rsidP="004D085F">
      <w:r>
        <w:t xml:space="preserve">The PAF data are submitted annually in September by carriers and CCOs for services implemented or incurred during the previous calendar year. This report analyzes payments for services provided in calendar year 2023, and payments for dental services are excluded. All the payments in PAF are processed for proration value. </w:t>
      </w:r>
    </w:p>
    <w:p w14:paraId="2B874659" w14:textId="355859C9" w:rsidR="005F3845" w:rsidRPr="00BA45E1" w:rsidRDefault="004D085F" w:rsidP="004D085F">
      <w:r>
        <w:t xml:space="preserve">For example, a contract from July 2022-June 2023 totaling $100 million would be prorated as $50 million for 2023, because </w:t>
      </w:r>
      <w:r w:rsidR="0011447C">
        <w:t>only half</w:t>
      </w:r>
      <w:r>
        <w:t xml:space="preserve"> of the contract was in the reporting year. Some carriers or CCOs may have negative payments for certain payment categories, which means the health care provider paid the carrier or CCO this amount. Carriers and CCOs are also required to report the total months of enrollment for the reporting year in the PAF. This allows for calculation of per-member per-month non-claims spending.</w:t>
      </w:r>
    </w:p>
    <w:p w14:paraId="20E97C26" w14:textId="049DF5AA" w:rsidR="005F3845" w:rsidRDefault="005F3845" w:rsidP="005F3845">
      <w:pPr>
        <w:pStyle w:val="Heading4"/>
      </w:pPr>
      <w:bookmarkStart w:id="6" w:name="Limitations"/>
      <w:bookmarkEnd w:id="6"/>
      <w:r>
        <w:lastRenderedPageBreak/>
        <w:t>Limitations</w:t>
      </w:r>
    </w:p>
    <w:p w14:paraId="297516DA" w14:textId="77777777" w:rsidR="00220A3C" w:rsidRDefault="004D085F" w:rsidP="004D085F">
      <w:r>
        <w:t xml:space="preserve">Prominent carriers and CCOs vary in organizational size, composition of network providers and unique arrangements. Moreover, CCOs are required to provide services, such as nonemergent medical transportation, that commercial carriers do not commonly provide. These differences may affect the results presented in this report. CCOs vary in organizational size, populations and geographic regions served, demographics, available providers, types of providers, plan type and other factors that may influence primary care and total medical spending. </w:t>
      </w:r>
    </w:p>
    <w:p w14:paraId="384C8DC1" w14:textId="4368423B" w:rsidR="005F3845" w:rsidRPr="00BA45E1" w:rsidRDefault="004D085F" w:rsidP="004D085F">
      <w:r>
        <w:t>In some cases, spending amounts for certain services may be outside the control of the CCO. The data used by OHA to determine primary care spending may exclude some primary care</w:t>
      </w:r>
      <w:r w:rsidR="00220A3C">
        <w:t xml:space="preserve"> </w:t>
      </w:r>
      <w:r>
        <w:t xml:space="preserve">spending due to how hospital-affiliated primary care providers bill for services. PAF data </w:t>
      </w:r>
      <w:r w:rsidR="00C7181D">
        <w:t>includes</w:t>
      </w:r>
      <w:r>
        <w:t xml:space="preserve"> both claims and non-claims payments for each contract. Claims </w:t>
      </w:r>
      <w:r w:rsidR="00C7181D">
        <w:t>payments</w:t>
      </w:r>
      <w:r>
        <w:t xml:space="preserve"> for Kaiser Foundation Health Plan of the Northwest are collected from PAF.</w:t>
      </w:r>
    </w:p>
    <w:p w14:paraId="45923B2F" w14:textId="22AA5BE8" w:rsidR="005F3845" w:rsidRDefault="005F3845" w:rsidP="005F3845">
      <w:pPr>
        <w:pStyle w:val="Heading3"/>
      </w:pPr>
      <w:bookmarkStart w:id="7" w:name="WhatIsNotIncluded"/>
      <w:bookmarkEnd w:id="7"/>
      <w:r>
        <w:t xml:space="preserve">What’s not included in this report? </w:t>
      </w:r>
    </w:p>
    <w:p w14:paraId="4E98C7E2" w14:textId="77777777" w:rsidR="005F3845" w:rsidRDefault="005F3845" w:rsidP="005F3845">
      <w:r>
        <w:t>This report includes total health care spending and primary care spending of plans offered by prominent carriers and by CCOs:</w:t>
      </w:r>
    </w:p>
    <w:p w14:paraId="30306254" w14:textId="77777777" w:rsidR="00A87B54" w:rsidRDefault="00A87B54" w:rsidP="00A87B54">
      <w:pPr>
        <w:pStyle w:val="ListParagraph"/>
      </w:pPr>
      <w:r>
        <w:t>Commercial</w:t>
      </w:r>
    </w:p>
    <w:p w14:paraId="1A6793FD" w14:textId="2EF9BFD2" w:rsidR="00A87B54" w:rsidRDefault="00A87B54" w:rsidP="00A87B54">
      <w:pPr>
        <w:pStyle w:val="ListParagraph"/>
      </w:pPr>
      <w:r>
        <w:t>Medicare Advantage</w:t>
      </w:r>
    </w:p>
    <w:p w14:paraId="52FE89D5" w14:textId="290055D7" w:rsidR="007169AC" w:rsidRDefault="007169AC" w:rsidP="00A87B54">
      <w:pPr>
        <w:pStyle w:val="ListParagraph"/>
      </w:pPr>
      <w:r>
        <w:t>Medicaid CCO</w:t>
      </w:r>
    </w:p>
    <w:p w14:paraId="72C57826" w14:textId="77777777" w:rsidR="007169AC" w:rsidRDefault="00A87B54" w:rsidP="00A87B54">
      <w:pPr>
        <w:pStyle w:val="ListParagraph"/>
      </w:pPr>
      <w:r>
        <w:t>PEBB</w:t>
      </w:r>
    </w:p>
    <w:p w14:paraId="1144F274" w14:textId="1C9F503B" w:rsidR="00A87B54" w:rsidRDefault="00A87B54" w:rsidP="00A87B54">
      <w:pPr>
        <w:pStyle w:val="ListParagraph"/>
      </w:pPr>
      <w:r>
        <w:t>OEBB</w:t>
      </w:r>
    </w:p>
    <w:p w14:paraId="1B2266A0" w14:textId="0FF1F479" w:rsidR="005F3845" w:rsidRDefault="005F3845" w:rsidP="005F3845">
      <w:r>
        <w:t>Th</w:t>
      </w:r>
      <w:r w:rsidR="00A87B54">
        <w:t>is</w:t>
      </w:r>
      <w:r>
        <w:t xml:space="preserve"> report excludes spending by the following health care payers:</w:t>
      </w:r>
    </w:p>
    <w:p w14:paraId="0D749FB2" w14:textId="77777777" w:rsidR="00A87B54" w:rsidRDefault="00A87B54" w:rsidP="00A87B54">
      <w:pPr>
        <w:pStyle w:val="ListBullet"/>
      </w:pPr>
      <w:r>
        <w:t>Health insurance carriers with annual health premium income of less than $200 million in 2023</w:t>
      </w:r>
    </w:p>
    <w:p w14:paraId="1A3AFD46" w14:textId="77777777" w:rsidR="00A87B54" w:rsidRDefault="00A87B54" w:rsidP="00A87B54">
      <w:pPr>
        <w:pStyle w:val="ListBullet"/>
      </w:pPr>
      <w:r>
        <w:t>ERISA self-insured employers</w:t>
      </w:r>
    </w:p>
    <w:p w14:paraId="4B2372F9" w14:textId="77777777" w:rsidR="00A87B54" w:rsidRDefault="00A87B54" w:rsidP="00A87B54">
      <w:pPr>
        <w:pStyle w:val="ListBullet"/>
      </w:pPr>
      <w:r>
        <w:t>Medicare fee-for-service</w:t>
      </w:r>
    </w:p>
    <w:p w14:paraId="24869090" w14:textId="77777777" w:rsidR="00A87B54" w:rsidRDefault="00A87B54" w:rsidP="00A87B54">
      <w:pPr>
        <w:pStyle w:val="ListBullet"/>
      </w:pPr>
      <w:r>
        <w:t>Medicaid fee-for-service</w:t>
      </w:r>
    </w:p>
    <w:p w14:paraId="04FD1C97" w14:textId="77777777" w:rsidR="00A87B54" w:rsidRDefault="00A87B54" w:rsidP="00A87B54">
      <w:pPr>
        <w:pStyle w:val="ListBullet"/>
      </w:pPr>
      <w:r>
        <w:t>TRICARE</w:t>
      </w:r>
    </w:p>
    <w:p w14:paraId="62B40434" w14:textId="49DB4B32" w:rsidR="00A87B54" w:rsidRDefault="00203D97" w:rsidP="00A87B54">
      <w:pPr>
        <w:pStyle w:val="ListBullet"/>
      </w:pPr>
      <w:r>
        <w:t>Veterans’</w:t>
      </w:r>
      <w:r w:rsidR="00A87B54">
        <w:t xml:space="preserve"> Health Administration</w:t>
      </w:r>
    </w:p>
    <w:p w14:paraId="174C6559" w14:textId="7D3E8652" w:rsidR="00A87B54" w:rsidRDefault="00A87B54" w:rsidP="00A87B54">
      <w:pPr>
        <w:pStyle w:val="ListBullet"/>
      </w:pPr>
      <w:r>
        <w:t>Indian Health Service.</w:t>
      </w:r>
    </w:p>
    <w:p w14:paraId="4BAD7F5E" w14:textId="499F870A" w:rsidR="00097644" w:rsidRDefault="005F3845" w:rsidP="005F3845">
      <w:r>
        <w:t>In addition, the report excludes information about health care received by people who pay out-of-pocket. This includes people without insurance.</w:t>
      </w:r>
    </w:p>
    <w:p w14:paraId="115C973E" w14:textId="77C15A06" w:rsidR="00A87B54" w:rsidRDefault="00A87B54" w:rsidP="00A87B54">
      <w:pPr>
        <w:pStyle w:val="Heading3"/>
      </w:pPr>
      <w:bookmarkStart w:id="8" w:name="Spending"/>
      <w:bookmarkEnd w:id="8"/>
      <w:r w:rsidRPr="00A87B54">
        <w:lastRenderedPageBreak/>
        <w:t>Identifying total medical spending and primary care spending from claims</w:t>
      </w:r>
      <w:r w:rsidR="00535F98">
        <w:t xml:space="preserve"> and non-claims</w:t>
      </w:r>
      <w:r w:rsidRPr="00A87B54">
        <w:t xml:space="preserve"> payments</w:t>
      </w:r>
    </w:p>
    <w:p w14:paraId="240E96D3" w14:textId="1274DC11" w:rsidR="00A87B54" w:rsidRDefault="00A87B54" w:rsidP="00A87B54">
      <w:pPr>
        <w:pStyle w:val="Heading4"/>
      </w:pPr>
      <w:bookmarkStart w:id="9" w:name="TotalMedicalSpending"/>
      <w:bookmarkEnd w:id="9"/>
      <w:r w:rsidRPr="00A87B54">
        <w:t>Total medical spending</w:t>
      </w:r>
    </w:p>
    <w:p w14:paraId="3FBE3D35" w14:textId="77777777" w:rsidR="00A87B54" w:rsidRDefault="00A87B54" w:rsidP="00A87B54">
      <w:r>
        <w:t>Claims that met the following criteria were used to calculate total medical spending:</w:t>
      </w:r>
    </w:p>
    <w:p w14:paraId="48519F12" w14:textId="18FF047B" w:rsidR="00A87B54" w:rsidRDefault="00661CF8" w:rsidP="00A87B54">
      <w:pPr>
        <w:pStyle w:val="ListBullet"/>
      </w:pPr>
      <w:r>
        <w:t>Claims for medical services rendered in calendar year 2023. Medical claims for provider-administered prescription drugs, sometimes referred to as "medical pharmacy" or "J-codes," and retail pharmacy claims were both excluded.</w:t>
      </w:r>
    </w:p>
    <w:p w14:paraId="76EA1112" w14:textId="257F2FE5" w:rsidR="00661CF8" w:rsidRPr="00A25366" w:rsidRDefault="00661CF8" w:rsidP="00A87B54">
      <w:pPr>
        <w:pStyle w:val="ListBullet"/>
      </w:pPr>
      <w:r>
        <w:t>Services rendered by health care providers or provider organizations with a practice address in Oregon or one of the following border areas:</w:t>
      </w:r>
    </w:p>
    <w:p w14:paraId="7E504B7A" w14:textId="07CCCB4F" w:rsidR="00A87B54" w:rsidRDefault="00661CF8" w:rsidP="00A87B54">
      <w:pPr>
        <w:pStyle w:val="ListBullet2"/>
      </w:pPr>
      <w:r>
        <w:t>In Washington</w:t>
      </w:r>
    </w:p>
    <w:p w14:paraId="7CF4764A" w14:textId="77777777" w:rsidR="00661CF8" w:rsidRDefault="00661CF8" w:rsidP="00661CF8">
      <w:pPr>
        <w:pStyle w:val="ListBullet3"/>
      </w:pPr>
      <w:r>
        <w:t>Longview</w:t>
      </w:r>
    </w:p>
    <w:p w14:paraId="2931C8C1" w14:textId="77777777" w:rsidR="00661CF8" w:rsidRDefault="00661CF8" w:rsidP="00661CF8">
      <w:pPr>
        <w:pStyle w:val="ListBullet3"/>
      </w:pPr>
      <w:r>
        <w:t>Vancouver</w:t>
      </w:r>
    </w:p>
    <w:p w14:paraId="7CD2E163" w14:textId="70C1C287" w:rsidR="00661CF8" w:rsidRDefault="00661CF8" w:rsidP="00661CF8">
      <w:pPr>
        <w:pStyle w:val="ListBullet3"/>
      </w:pPr>
      <w:r>
        <w:t>Battle Ground</w:t>
      </w:r>
    </w:p>
    <w:p w14:paraId="2F7DE3E2" w14:textId="62817140" w:rsidR="00A87B54" w:rsidRDefault="00661CF8" w:rsidP="00661CF8">
      <w:pPr>
        <w:pStyle w:val="ListBullet3"/>
      </w:pPr>
      <w:r>
        <w:t>Walla Walla</w:t>
      </w:r>
    </w:p>
    <w:p w14:paraId="286B63F9" w14:textId="72DE146E" w:rsidR="00661CF8" w:rsidRDefault="00661CF8" w:rsidP="00661CF8">
      <w:pPr>
        <w:pStyle w:val="ListBullet2"/>
      </w:pPr>
      <w:r>
        <w:t>In Idaho</w:t>
      </w:r>
    </w:p>
    <w:p w14:paraId="007D53E3" w14:textId="77777777" w:rsidR="00203D97" w:rsidRDefault="00661CF8" w:rsidP="00E27AB7">
      <w:pPr>
        <w:pStyle w:val="ListBullet3"/>
      </w:pPr>
      <w:r>
        <w:t>Emmett</w:t>
      </w:r>
    </w:p>
    <w:p w14:paraId="4860C540" w14:textId="42097940" w:rsidR="00661CF8" w:rsidRDefault="00661CF8" w:rsidP="00E27AB7">
      <w:pPr>
        <w:pStyle w:val="ListBullet3"/>
      </w:pPr>
      <w:r>
        <w:t>Fruitland</w:t>
      </w:r>
    </w:p>
    <w:p w14:paraId="08465413" w14:textId="77777777" w:rsidR="00661CF8" w:rsidRDefault="00661CF8" w:rsidP="00661CF8">
      <w:pPr>
        <w:pStyle w:val="ListBullet3"/>
      </w:pPr>
      <w:r>
        <w:t>Payette</w:t>
      </w:r>
    </w:p>
    <w:p w14:paraId="54245DA9" w14:textId="3547295C" w:rsidR="00661CF8" w:rsidRDefault="00661CF8" w:rsidP="00661CF8">
      <w:pPr>
        <w:pStyle w:val="ListBullet3"/>
      </w:pPr>
      <w:r>
        <w:t>New Plymouth</w:t>
      </w:r>
    </w:p>
    <w:p w14:paraId="3AE6FFBB" w14:textId="0D140584" w:rsidR="00661CF8" w:rsidRDefault="00661CF8" w:rsidP="00661CF8">
      <w:pPr>
        <w:pStyle w:val="ListBullet3"/>
      </w:pPr>
      <w:r>
        <w:t>Weiser</w:t>
      </w:r>
    </w:p>
    <w:p w14:paraId="5138F805" w14:textId="3D2183BC" w:rsidR="00A87B54" w:rsidRDefault="00A87B54" w:rsidP="00A87B54">
      <w:pPr>
        <w:pStyle w:val="Heading4"/>
      </w:pPr>
      <w:bookmarkStart w:id="10" w:name="PrimaryCareSpending"/>
      <w:bookmarkEnd w:id="10"/>
      <w:r w:rsidRPr="00A87B54">
        <w:t>Primary care spending</w:t>
      </w:r>
    </w:p>
    <w:p w14:paraId="5FA5F513" w14:textId="4275ABDC" w:rsidR="00A87B54" w:rsidRDefault="00C97415" w:rsidP="00A87B54">
      <w:r w:rsidRPr="00C97415">
        <w:t>Primary care spending is a subset of total medical spending. To calculate primary care spending, claims that met the following criteria were selected from claims used to calculate total medical spending:</w:t>
      </w:r>
    </w:p>
    <w:p w14:paraId="00D64D44" w14:textId="5DD6F781" w:rsidR="00C97415" w:rsidRPr="00A25366" w:rsidRDefault="00C97415" w:rsidP="00C97415">
      <w:pPr>
        <w:pStyle w:val="ListBullet"/>
      </w:pPr>
      <w:r w:rsidRPr="00C97415">
        <w:t>Providers or provider organizations that rendered services as primary care providers. A list of provider taxonomy codes used to identify primary care providers was established through review of:</w:t>
      </w:r>
    </w:p>
    <w:p w14:paraId="4BC232AB" w14:textId="77777777" w:rsidR="00C97415" w:rsidRDefault="00C97415" w:rsidP="00C97415">
      <w:pPr>
        <w:pStyle w:val="ListBullet2"/>
      </w:pPr>
      <w:r>
        <w:t>SB 231</w:t>
      </w:r>
    </w:p>
    <w:p w14:paraId="41168EAE" w14:textId="669A2B8A" w:rsidR="00C97415" w:rsidRDefault="00C97415" w:rsidP="00C97415">
      <w:pPr>
        <w:pStyle w:val="ListBullet2"/>
      </w:pPr>
      <w:r>
        <w:t>The National Uniform Claim Committee's Health Care Provider Taxonomy code set</w:t>
      </w:r>
    </w:p>
    <w:p w14:paraId="385ED35D" w14:textId="12848A14" w:rsidR="00C97415" w:rsidRDefault="00C97415" w:rsidP="00C97415">
      <w:pPr>
        <w:pStyle w:val="ListBullet2"/>
      </w:pPr>
      <w:r>
        <w:t>Providers identified as PCPs in OHA's Health Care Work Force data</w:t>
      </w:r>
    </w:p>
    <w:p w14:paraId="230C12C1" w14:textId="4C1D52D3" w:rsidR="00220A3C" w:rsidRDefault="00C97415" w:rsidP="00A87B54">
      <w:r w:rsidRPr="00C97415">
        <w:t xml:space="preserve">The complete list of </w:t>
      </w:r>
      <w:r w:rsidR="00007CF5">
        <w:t xml:space="preserve">provider specialty </w:t>
      </w:r>
      <w:r w:rsidRPr="00C97415">
        <w:t xml:space="preserve">taxonomy codes is on </w:t>
      </w:r>
      <w:r w:rsidRPr="00007CF5">
        <w:t>page 1</w:t>
      </w:r>
      <w:r w:rsidR="00007CF5">
        <w:t>6</w:t>
      </w:r>
      <w:r w:rsidRPr="00C97415">
        <w:t xml:space="preserve">. </w:t>
      </w:r>
    </w:p>
    <w:p w14:paraId="081B186C" w14:textId="77777777" w:rsidR="00220A3C" w:rsidRDefault="00220A3C" w:rsidP="00A87B54"/>
    <w:p w14:paraId="290867C7" w14:textId="21384E28" w:rsidR="00C97415" w:rsidRDefault="00C97415" w:rsidP="00A87B54">
      <w:r w:rsidRPr="00C97415">
        <w:lastRenderedPageBreak/>
        <w:t>The following types of individual providers are included:</w:t>
      </w:r>
    </w:p>
    <w:p w14:paraId="2572492C" w14:textId="2DE88ADC" w:rsidR="00C97415" w:rsidRPr="00A25366" w:rsidRDefault="00C97415" w:rsidP="00C97415">
      <w:pPr>
        <w:pStyle w:val="ListBullet"/>
      </w:pPr>
      <w:r>
        <w:t>P</w:t>
      </w:r>
      <w:r w:rsidRPr="00C97415">
        <w:t>hysicians specializing in:</w:t>
      </w:r>
    </w:p>
    <w:p w14:paraId="3EC8F9E3" w14:textId="77777777" w:rsidR="00C97415" w:rsidRDefault="00C97415" w:rsidP="00C97415">
      <w:pPr>
        <w:pStyle w:val="ListBullet2"/>
      </w:pPr>
      <w:r>
        <w:t>Child and adolescent psychiatry</w:t>
      </w:r>
    </w:p>
    <w:p w14:paraId="63E45B4C" w14:textId="77777777" w:rsidR="00C97415" w:rsidRDefault="00C97415" w:rsidP="00C97415">
      <w:pPr>
        <w:pStyle w:val="ListBullet2"/>
      </w:pPr>
      <w:r>
        <w:t>Family medicine</w:t>
      </w:r>
    </w:p>
    <w:p w14:paraId="79EA019D" w14:textId="051991D3" w:rsidR="00C97415" w:rsidRDefault="00C97415" w:rsidP="00C97415">
      <w:pPr>
        <w:pStyle w:val="ListBullet2"/>
      </w:pPr>
      <w:r>
        <w:t>General internal medicine</w:t>
      </w:r>
    </w:p>
    <w:p w14:paraId="1CDF3907" w14:textId="77777777" w:rsidR="00C97415" w:rsidRDefault="00C97415" w:rsidP="00C97415">
      <w:pPr>
        <w:pStyle w:val="ListBullet2"/>
      </w:pPr>
      <w:r>
        <w:t>General psychiatry</w:t>
      </w:r>
    </w:p>
    <w:p w14:paraId="7A498273" w14:textId="77777777" w:rsidR="00C97415" w:rsidRDefault="00C97415" w:rsidP="00C97415">
      <w:pPr>
        <w:pStyle w:val="ListBullet2"/>
      </w:pPr>
      <w:r>
        <w:t>Geriatric medicine</w:t>
      </w:r>
    </w:p>
    <w:p w14:paraId="36B845EB" w14:textId="77777777" w:rsidR="00C97415" w:rsidRDefault="00C97415" w:rsidP="00C97415">
      <w:pPr>
        <w:pStyle w:val="ListBullet2"/>
      </w:pPr>
      <w:r>
        <w:t>Obstetrics and gynecology</w:t>
      </w:r>
    </w:p>
    <w:p w14:paraId="176EA8CC" w14:textId="77777777" w:rsidR="00C97415" w:rsidRDefault="00C97415" w:rsidP="00C97415">
      <w:pPr>
        <w:pStyle w:val="ListBullet2"/>
      </w:pPr>
      <w:r>
        <w:t>Pediatrics</w:t>
      </w:r>
    </w:p>
    <w:p w14:paraId="5BE96D9F" w14:textId="332EC926" w:rsidR="00C97415" w:rsidRDefault="00C97415" w:rsidP="00C97415">
      <w:pPr>
        <w:pStyle w:val="ListBullet2"/>
      </w:pPr>
      <w:r>
        <w:t>Preventive medicine</w:t>
      </w:r>
    </w:p>
    <w:p w14:paraId="2B27AD9D" w14:textId="1E1AB428" w:rsidR="00C97415" w:rsidRPr="00A25366" w:rsidRDefault="00C97415" w:rsidP="00C97415">
      <w:pPr>
        <w:pStyle w:val="ListBullet"/>
      </w:pPr>
      <w:r>
        <w:t>Nurses</w:t>
      </w:r>
    </w:p>
    <w:p w14:paraId="15B4C8C3" w14:textId="77777777" w:rsidR="00C97415" w:rsidRDefault="00C97415" w:rsidP="00C97415">
      <w:pPr>
        <w:pStyle w:val="ListBullet2"/>
      </w:pPr>
      <w:r>
        <w:t>Nurse practitioners</w:t>
      </w:r>
    </w:p>
    <w:p w14:paraId="6CCF5AC7" w14:textId="77777777" w:rsidR="00C97415" w:rsidRDefault="00C97415" w:rsidP="00C97415">
      <w:pPr>
        <w:pStyle w:val="ListBullet2"/>
      </w:pPr>
      <w:r>
        <w:t>Nurse non-practitioners</w:t>
      </w:r>
    </w:p>
    <w:p w14:paraId="4EE186B9" w14:textId="312B4CC5" w:rsidR="00C97415" w:rsidRDefault="00C97415" w:rsidP="005C0F63">
      <w:pPr>
        <w:pStyle w:val="ListBullet2"/>
      </w:pPr>
      <w:r>
        <w:t>Certified clinical nurse specialists</w:t>
      </w:r>
    </w:p>
    <w:p w14:paraId="06F525F2" w14:textId="42A9B95A" w:rsidR="005C0F63" w:rsidRPr="00AE23DE" w:rsidRDefault="005C0F63" w:rsidP="005C0F63">
      <w:pPr>
        <w:pStyle w:val="ListBullet"/>
        <w:rPr>
          <w:rFonts w:cs="Noto Sans"/>
          <w:szCs w:val="24"/>
        </w:rPr>
      </w:pPr>
      <w:r w:rsidRPr="00AE23DE">
        <w:rPr>
          <w:rFonts w:cs="Noto Sans"/>
          <w:szCs w:val="24"/>
        </w:rPr>
        <w:t>Physicians' assistants (non-surgical)</w:t>
      </w:r>
    </w:p>
    <w:p w14:paraId="370363AB" w14:textId="0D512784" w:rsidR="005C0F63" w:rsidRPr="00AE23DE" w:rsidRDefault="005C0F63" w:rsidP="005C0F63">
      <w:pPr>
        <w:pStyle w:val="ListBullet"/>
        <w:rPr>
          <w:rFonts w:cs="Noto Sans"/>
          <w:szCs w:val="24"/>
        </w:rPr>
      </w:pPr>
      <w:r w:rsidRPr="00AE23DE">
        <w:rPr>
          <w:rFonts w:cs="Noto Sans"/>
          <w:szCs w:val="24"/>
        </w:rPr>
        <w:t>Naturopathic medicine providers</w:t>
      </w:r>
    </w:p>
    <w:p w14:paraId="751156D6" w14:textId="2E576775" w:rsidR="005C0F63" w:rsidRDefault="005C0F63" w:rsidP="005C0F63">
      <w:pPr>
        <w:pStyle w:val="ListBullet"/>
        <w:numPr>
          <w:ilvl w:val="0"/>
          <w:numId w:val="0"/>
        </w:numPr>
        <w:ind w:left="900"/>
      </w:pPr>
      <w:r w:rsidRPr="005C0F63">
        <w:t>The following types of provider organizations were included:</w:t>
      </w:r>
    </w:p>
    <w:p w14:paraId="2F9A775D" w14:textId="3B0522F5" w:rsidR="00AE23DE" w:rsidRDefault="00AE23DE" w:rsidP="005C0F63">
      <w:pPr>
        <w:pStyle w:val="ListBullet"/>
      </w:pPr>
      <w:r>
        <w:t>Patient-Centered Primary Care Homes (PCPCHs)</w:t>
      </w:r>
    </w:p>
    <w:p w14:paraId="1F3A696D" w14:textId="20DFD954" w:rsidR="00AE23DE" w:rsidRDefault="005C0F63" w:rsidP="005C0F63">
      <w:pPr>
        <w:pStyle w:val="ListBullet"/>
      </w:pPr>
      <w:r>
        <w:t>Federally qualified health centers (FQHCs)</w:t>
      </w:r>
    </w:p>
    <w:p w14:paraId="0652279F" w14:textId="049E39CE" w:rsidR="005C0F63" w:rsidRDefault="005C0F63" w:rsidP="005C0F63">
      <w:pPr>
        <w:pStyle w:val="ListBullet"/>
      </w:pPr>
      <w:r>
        <w:t>Rural health centers</w:t>
      </w:r>
    </w:p>
    <w:p w14:paraId="4530B460" w14:textId="6EC4C87B" w:rsidR="005C0F63" w:rsidRDefault="00AE23DE" w:rsidP="005C0F63">
      <w:pPr>
        <w:pStyle w:val="ListBullet"/>
        <w:numPr>
          <w:ilvl w:val="0"/>
          <w:numId w:val="0"/>
        </w:numPr>
        <w:ind w:left="900"/>
      </w:pPr>
      <w:r w:rsidRPr="00AE23DE">
        <w:t xml:space="preserve">Claims for primary care services </w:t>
      </w:r>
      <w:r>
        <w:t>from primary care providers were</w:t>
      </w:r>
      <w:r w:rsidRPr="00AE23DE">
        <w:t xml:space="preserve"> included. A list of Current Procedural Terminology (CPT®) </w:t>
      </w:r>
      <w:r>
        <w:t xml:space="preserve">and </w:t>
      </w:r>
      <w:r w:rsidRPr="00AE23DE">
        <w:t>Healthcare Common Procedure Coding System</w:t>
      </w:r>
      <w:r>
        <w:t xml:space="preserve"> (HCPCS) </w:t>
      </w:r>
      <w:r w:rsidRPr="00AE23DE">
        <w:t xml:space="preserve">codes </w:t>
      </w:r>
      <w:r>
        <w:t xml:space="preserve">was </w:t>
      </w:r>
      <w:r w:rsidRPr="00AE23DE">
        <w:t xml:space="preserve">used to identify primary care </w:t>
      </w:r>
      <w:r w:rsidR="00CB4100">
        <w:t xml:space="preserve">services. </w:t>
      </w:r>
      <w:r w:rsidR="00CB4100" w:rsidRPr="00CB4100">
        <w:t>The following types of services were included:</w:t>
      </w:r>
    </w:p>
    <w:p w14:paraId="56EB515C" w14:textId="77777777" w:rsidR="00CB4100" w:rsidRPr="00700E70" w:rsidRDefault="00CB4100" w:rsidP="00CB4100">
      <w:pPr>
        <w:pStyle w:val="ListBullet"/>
        <w:rPr>
          <w:rFonts w:cs="Noto Sans"/>
          <w:szCs w:val="24"/>
        </w:rPr>
      </w:pPr>
      <w:r w:rsidRPr="00700E70">
        <w:rPr>
          <w:rFonts w:cs="Noto Sans"/>
          <w:szCs w:val="24"/>
        </w:rPr>
        <w:t>Office or home visits</w:t>
      </w:r>
    </w:p>
    <w:p w14:paraId="53994893" w14:textId="77777777" w:rsidR="00CB4100" w:rsidRPr="00700E70" w:rsidRDefault="00CB4100" w:rsidP="00CB4100">
      <w:pPr>
        <w:pStyle w:val="ListBullet"/>
        <w:rPr>
          <w:rFonts w:cs="Noto Sans"/>
          <w:szCs w:val="24"/>
        </w:rPr>
      </w:pPr>
      <w:r w:rsidRPr="00700E70">
        <w:rPr>
          <w:rFonts w:cs="Noto Sans"/>
          <w:szCs w:val="24"/>
        </w:rPr>
        <w:t>General medical exams</w:t>
      </w:r>
    </w:p>
    <w:p w14:paraId="2CD9BC78" w14:textId="77777777" w:rsidR="00CB4100" w:rsidRPr="00700E70" w:rsidRDefault="00CB4100" w:rsidP="00CB4100">
      <w:pPr>
        <w:pStyle w:val="ListBullet"/>
        <w:rPr>
          <w:rFonts w:cs="Noto Sans"/>
          <w:szCs w:val="24"/>
        </w:rPr>
      </w:pPr>
      <w:r w:rsidRPr="00700E70">
        <w:rPr>
          <w:rFonts w:cs="Noto Sans"/>
          <w:szCs w:val="24"/>
        </w:rPr>
        <w:t>Routine medical and child health exams</w:t>
      </w:r>
    </w:p>
    <w:p w14:paraId="40B2D366" w14:textId="77777777" w:rsidR="00CB4100" w:rsidRPr="00700E70" w:rsidRDefault="00CB4100" w:rsidP="00CB4100">
      <w:pPr>
        <w:pStyle w:val="ListBullet"/>
        <w:rPr>
          <w:rFonts w:cs="Noto Sans"/>
          <w:szCs w:val="24"/>
        </w:rPr>
      </w:pPr>
      <w:r w:rsidRPr="00700E70">
        <w:rPr>
          <w:rFonts w:cs="Noto Sans"/>
          <w:szCs w:val="24"/>
        </w:rPr>
        <w:t>Preventive medicine evaluation or counseling</w:t>
      </w:r>
    </w:p>
    <w:p w14:paraId="5E1E44D5" w14:textId="77777777" w:rsidR="00CB4100" w:rsidRPr="00700E70" w:rsidRDefault="00CB4100" w:rsidP="00CB4100">
      <w:pPr>
        <w:pStyle w:val="ListBullet"/>
        <w:rPr>
          <w:rFonts w:cs="Noto Sans"/>
          <w:szCs w:val="24"/>
        </w:rPr>
      </w:pPr>
      <w:r w:rsidRPr="00700E70">
        <w:rPr>
          <w:rFonts w:cs="Noto Sans"/>
          <w:szCs w:val="24"/>
        </w:rPr>
        <w:t>Administration and interpretation of health risk assessments</w:t>
      </w:r>
    </w:p>
    <w:p w14:paraId="19D8E7A8" w14:textId="44709E33" w:rsidR="00CB4100" w:rsidRPr="00700E70" w:rsidRDefault="00CB4100" w:rsidP="00CB4100">
      <w:pPr>
        <w:pStyle w:val="ListBullet"/>
        <w:rPr>
          <w:rFonts w:cs="Noto Sans"/>
          <w:szCs w:val="24"/>
        </w:rPr>
      </w:pPr>
      <w:r w:rsidRPr="00700E70">
        <w:rPr>
          <w:rFonts w:cs="Noto Sans"/>
          <w:szCs w:val="24"/>
        </w:rPr>
        <w:t xml:space="preserve">Routine pre-natal care excluding delivery </w:t>
      </w:r>
    </w:p>
    <w:p w14:paraId="1ACA2323" w14:textId="451C40CB" w:rsidR="00CB4100" w:rsidRPr="00700E70" w:rsidRDefault="00CB4100" w:rsidP="00CB4100">
      <w:pPr>
        <w:pStyle w:val="ListBullet"/>
        <w:rPr>
          <w:rFonts w:cs="Noto Sans"/>
          <w:szCs w:val="24"/>
        </w:rPr>
      </w:pPr>
      <w:r w:rsidRPr="00700E70">
        <w:rPr>
          <w:rFonts w:cs="Noto Sans"/>
          <w:szCs w:val="24"/>
        </w:rPr>
        <w:t>Other preventive medicine</w:t>
      </w:r>
    </w:p>
    <w:p w14:paraId="2FEE6E63" w14:textId="2F05B6E0" w:rsidR="00CB4100" w:rsidRDefault="00CB4100" w:rsidP="005C0F63">
      <w:pPr>
        <w:pStyle w:val="ListBullet"/>
        <w:numPr>
          <w:ilvl w:val="0"/>
          <w:numId w:val="0"/>
        </w:numPr>
        <w:ind w:left="900"/>
      </w:pPr>
      <w:r w:rsidRPr="00CB4100">
        <w:t>The complete list of CPT®</w:t>
      </w:r>
      <w:r w:rsidR="00007CF5">
        <w:t xml:space="preserve"> and HCPCS</w:t>
      </w:r>
      <w:r w:rsidRPr="00CB4100">
        <w:t xml:space="preserve"> codes can be found on </w:t>
      </w:r>
      <w:r w:rsidRPr="009576DF">
        <w:t>page</w:t>
      </w:r>
      <w:r w:rsidR="009576DF">
        <w:t>s 13 to 15</w:t>
      </w:r>
      <w:r w:rsidRPr="00CB4100">
        <w:t>.</w:t>
      </w:r>
    </w:p>
    <w:p w14:paraId="03EB49EC" w14:textId="1B0B413F" w:rsidR="005C0F63" w:rsidRDefault="007169AC" w:rsidP="005C0F63">
      <w:pPr>
        <w:pStyle w:val="ListBullet"/>
        <w:numPr>
          <w:ilvl w:val="0"/>
          <w:numId w:val="0"/>
        </w:numPr>
        <w:ind w:left="900"/>
      </w:pPr>
      <w:r w:rsidRPr="007169AC">
        <w:lastRenderedPageBreak/>
        <w:t>Claims were grouped by carrier and CCO to report primary care spending as a percentage of total medical spending. For carriers, claims were further grouped to report results separately for each type of coverage by:</w:t>
      </w:r>
    </w:p>
    <w:p w14:paraId="364C72A0" w14:textId="77777777" w:rsidR="007169AC" w:rsidRPr="004C738A" w:rsidRDefault="007169AC" w:rsidP="007169AC">
      <w:pPr>
        <w:pStyle w:val="ListBullet"/>
        <w:rPr>
          <w:rFonts w:cs="Noto Sans"/>
          <w:szCs w:val="24"/>
        </w:rPr>
      </w:pPr>
      <w:r w:rsidRPr="004C738A">
        <w:rPr>
          <w:rFonts w:cs="Noto Sans"/>
          <w:szCs w:val="24"/>
        </w:rPr>
        <w:t>Commercial</w:t>
      </w:r>
    </w:p>
    <w:p w14:paraId="0BEC42BF" w14:textId="77777777" w:rsidR="007169AC" w:rsidRPr="004C738A" w:rsidRDefault="007169AC" w:rsidP="007169AC">
      <w:pPr>
        <w:pStyle w:val="ListBullet"/>
        <w:rPr>
          <w:rFonts w:cs="Noto Sans"/>
          <w:szCs w:val="24"/>
        </w:rPr>
      </w:pPr>
      <w:r w:rsidRPr="004C738A">
        <w:rPr>
          <w:rFonts w:cs="Noto Sans"/>
          <w:szCs w:val="24"/>
        </w:rPr>
        <w:t>Medicare Advantage</w:t>
      </w:r>
    </w:p>
    <w:p w14:paraId="63C5DD6C" w14:textId="77777777" w:rsidR="007169AC" w:rsidRPr="004C738A" w:rsidRDefault="007169AC" w:rsidP="007169AC">
      <w:pPr>
        <w:pStyle w:val="ListBullet"/>
        <w:rPr>
          <w:rFonts w:cs="Noto Sans"/>
          <w:szCs w:val="24"/>
        </w:rPr>
      </w:pPr>
      <w:r w:rsidRPr="004C738A">
        <w:rPr>
          <w:rFonts w:cs="Noto Sans"/>
          <w:szCs w:val="24"/>
        </w:rPr>
        <w:t>Medicaid CCO</w:t>
      </w:r>
    </w:p>
    <w:p w14:paraId="1A6DA6BC" w14:textId="77777777" w:rsidR="007169AC" w:rsidRPr="004C738A" w:rsidRDefault="007169AC" w:rsidP="007169AC">
      <w:pPr>
        <w:pStyle w:val="ListBullet"/>
        <w:rPr>
          <w:rFonts w:cs="Noto Sans"/>
          <w:szCs w:val="24"/>
        </w:rPr>
      </w:pPr>
      <w:r w:rsidRPr="004C738A">
        <w:rPr>
          <w:rFonts w:cs="Noto Sans"/>
          <w:szCs w:val="24"/>
        </w:rPr>
        <w:t>PEBB</w:t>
      </w:r>
    </w:p>
    <w:p w14:paraId="74CC9C10" w14:textId="7BA24C31" w:rsidR="007169AC" w:rsidRPr="004C738A" w:rsidRDefault="007169AC" w:rsidP="007169AC">
      <w:pPr>
        <w:pStyle w:val="ListBullet"/>
        <w:rPr>
          <w:rFonts w:cs="Noto Sans"/>
          <w:szCs w:val="24"/>
        </w:rPr>
      </w:pPr>
      <w:r w:rsidRPr="004C738A">
        <w:rPr>
          <w:rFonts w:cs="Noto Sans"/>
          <w:szCs w:val="24"/>
        </w:rPr>
        <w:t>OEBB</w:t>
      </w:r>
    </w:p>
    <w:p w14:paraId="16E614CC" w14:textId="2F5C8815" w:rsidR="007169AC" w:rsidRDefault="004026C8" w:rsidP="006E7914">
      <w:pPr>
        <w:pStyle w:val="Heading4"/>
      </w:pPr>
      <w:bookmarkStart w:id="11" w:name="SpendingByPayer"/>
      <w:bookmarkEnd w:id="11"/>
      <w:r w:rsidRPr="004026C8">
        <w:t>Calculating total medical spending and primary care spending by payer</w:t>
      </w:r>
    </w:p>
    <w:p w14:paraId="0BB7AEFD" w14:textId="0A228735" w:rsidR="004026C8" w:rsidRDefault="004026C8" w:rsidP="005C0F63">
      <w:pPr>
        <w:pStyle w:val="ListBullet"/>
        <w:numPr>
          <w:ilvl w:val="0"/>
          <w:numId w:val="0"/>
        </w:numPr>
        <w:ind w:left="900"/>
      </w:pPr>
      <w:r w:rsidRPr="004026C8">
        <w:t xml:space="preserve">To calculate total medical and primary care spending by prominent carriers and CCOs, the following were summed from </w:t>
      </w:r>
      <w:r w:rsidR="004C738A">
        <w:t>APAC claims and</w:t>
      </w:r>
      <w:r w:rsidRPr="004026C8">
        <w:t xml:space="preserve"> Payment Arrangement File (PAF) data:</w:t>
      </w:r>
    </w:p>
    <w:p w14:paraId="0AD1EF40" w14:textId="77777777" w:rsidR="004C738A" w:rsidRDefault="004026C8" w:rsidP="004026C8">
      <w:pPr>
        <w:pStyle w:val="ListBullet"/>
      </w:pPr>
      <w:r>
        <w:t>Claims</w:t>
      </w:r>
      <w:r w:rsidR="004C738A">
        <w:t xml:space="preserve"> </w:t>
      </w:r>
      <w:r>
        <w:t>payments from APAC</w:t>
      </w:r>
    </w:p>
    <w:p w14:paraId="22E79D31" w14:textId="4EABCF39" w:rsidR="004026C8" w:rsidRDefault="004026C8" w:rsidP="004026C8">
      <w:pPr>
        <w:pStyle w:val="ListBullet"/>
      </w:pPr>
      <w:r>
        <w:t>Non-claims payments</w:t>
      </w:r>
      <w:r w:rsidR="004C738A">
        <w:t xml:space="preserve"> from PAF</w:t>
      </w:r>
    </w:p>
    <w:p w14:paraId="73E1481C" w14:textId="5483C45F" w:rsidR="004026C8" w:rsidRDefault="004C738A" w:rsidP="005C0F63">
      <w:pPr>
        <w:pStyle w:val="ListBullet"/>
        <w:numPr>
          <w:ilvl w:val="0"/>
          <w:numId w:val="0"/>
        </w:numPr>
        <w:ind w:left="900"/>
      </w:pPr>
      <w:r w:rsidRPr="004C738A">
        <w:t xml:space="preserve">For prominent carriers, payments </w:t>
      </w:r>
      <w:r w:rsidR="0062722F">
        <w:t>claims and non-claims payments</w:t>
      </w:r>
      <w:r w:rsidRPr="004C738A">
        <w:t xml:space="preserve"> were summed to report results separately for each type of coverage</w:t>
      </w:r>
      <w:r>
        <w:t xml:space="preserve"> as noted above.</w:t>
      </w:r>
    </w:p>
    <w:p w14:paraId="5AA2D63E" w14:textId="77777777" w:rsidR="0062722F" w:rsidRDefault="004C738A" w:rsidP="0062722F">
      <w:pPr>
        <w:pStyle w:val="Heading4"/>
      </w:pPr>
      <w:bookmarkStart w:id="12" w:name="PMPM"/>
      <w:bookmarkEnd w:id="12"/>
      <w:r w:rsidRPr="004C738A">
        <w:t xml:space="preserve">Calculating per-member per-month (PMPM) spending </w:t>
      </w:r>
    </w:p>
    <w:p w14:paraId="420309B3" w14:textId="5E11597C" w:rsidR="004C738A" w:rsidRDefault="004C738A" w:rsidP="005C0F63">
      <w:pPr>
        <w:pStyle w:val="ListBullet"/>
        <w:numPr>
          <w:ilvl w:val="0"/>
          <w:numId w:val="0"/>
        </w:numPr>
        <w:ind w:left="900"/>
      </w:pPr>
      <w:r w:rsidRPr="004C738A">
        <w:t xml:space="preserve">PMPM spending is defined as total paid by payer divided by member months. To calculate PMPM </w:t>
      </w:r>
      <w:r>
        <w:t xml:space="preserve">for </w:t>
      </w:r>
      <w:r w:rsidRPr="004C738A">
        <w:t>primary care spending and non-primary-care spending, calculations were made separately for claims and non-claims</w:t>
      </w:r>
      <w:r>
        <w:t xml:space="preserve"> </w:t>
      </w:r>
      <w:r w:rsidRPr="004C738A">
        <w:t>payments and summed:</w:t>
      </w:r>
    </w:p>
    <w:p w14:paraId="33FFBCBA" w14:textId="77777777" w:rsidR="004C738A" w:rsidRDefault="004C738A" w:rsidP="004C738A">
      <w:pPr>
        <w:pStyle w:val="ListBullet"/>
      </w:pPr>
      <w:r>
        <w:t>For claims payments, spending by carriers and CCOs were divided by total member months for each payer type from APAC.</w:t>
      </w:r>
    </w:p>
    <w:p w14:paraId="61D70DB4" w14:textId="77777777" w:rsidR="00C518CD" w:rsidRDefault="004C738A" w:rsidP="004C738A">
      <w:pPr>
        <w:pStyle w:val="ListBullet"/>
      </w:pPr>
      <w:r>
        <w:t xml:space="preserve">For non-claims payments, spending by carriers and CCOs from the PAF data were divided by member months from PAF data. </w:t>
      </w:r>
    </w:p>
    <w:p w14:paraId="2FE93036" w14:textId="77777777" w:rsidR="00C518CD" w:rsidRDefault="004C738A" w:rsidP="004C738A">
      <w:pPr>
        <w:pStyle w:val="ListBullet"/>
      </w:pPr>
      <w:r>
        <w:t xml:space="preserve">Results from the above steps were summed to calculate PMPM total medical spending and PMPM primary care spending. </w:t>
      </w:r>
    </w:p>
    <w:p w14:paraId="2ACB6536" w14:textId="0B0694FD" w:rsidR="004C738A" w:rsidRDefault="004C738A" w:rsidP="00C518CD">
      <w:pPr>
        <w:pStyle w:val="ListBullet"/>
      </w:pPr>
      <w:r>
        <w:t>PMPM primary care spending was subtracted from PMPM total medical spending to calculate PMPM nonprimary- care spending.</w:t>
      </w:r>
    </w:p>
    <w:p w14:paraId="65985242" w14:textId="3485EB9D" w:rsidR="00C518CD" w:rsidRDefault="00C518CD" w:rsidP="005C0F63">
      <w:pPr>
        <w:pStyle w:val="ListBullet"/>
        <w:numPr>
          <w:ilvl w:val="0"/>
          <w:numId w:val="0"/>
        </w:numPr>
        <w:ind w:left="900"/>
      </w:pPr>
      <w:r w:rsidRPr="00C518CD">
        <w:t xml:space="preserve">These steps were also used to calculate </w:t>
      </w:r>
      <w:r>
        <w:t xml:space="preserve">statewide </w:t>
      </w:r>
      <w:r w:rsidRPr="00C518CD">
        <w:t>PMP</w:t>
      </w:r>
      <w:r>
        <w:t>M</w:t>
      </w:r>
      <w:r w:rsidRPr="00C518CD">
        <w:t xml:space="preserve"> spending </w:t>
      </w:r>
      <w:r>
        <w:t xml:space="preserve">as well as PMPM spending </w:t>
      </w:r>
      <w:r w:rsidRPr="00C518CD">
        <w:t>for each carrier and CCO.</w:t>
      </w:r>
    </w:p>
    <w:p w14:paraId="6879533A" w14:textId="517E79C1" w:rsidR="00C518CD" w:rsidRDefault="006E7914" w:rsidP="006E7914">
      <w:pPr>
        <w:pStyle w:val="Heading4"/>
      </w:pPr>
      <w:bookmarkStart w:id="13" w:name="Enrollment"/>
      <w:bookmarkEnd w:id="13"/>
      <w:r>
        <w:t>Enrollment</w:t>
      </w:r>
    </w:p>
    <w:p w14:paraId="4AD8C7BA" w14:textId="427FA4DD" w:rsidR="006E7914" w:rsidRDefault="006E7914" w:rsidP="006E7914">
      <w:r w:rsidRPr="006E7914">
        <w:t xml:space="preserve">Enrollment is reported </w:t>
      </w:r>
      <w:r w:rsidR="0062722F">
        <w:t>as the</w:t>
      </w:r>
      <w:r w:rsidRPr="006E7914">
        <w:t xml:space="preserve"> number of unique people with health care coverage in 2023 as reported in APAC. Enrollment is calculated by taking the </w:t>
      </w:r>
      <w:r w:rsidRPr="006E7914">
        <w:lastRenderedPageBreak/>
        <w:t>total member months and dividing by 12. This number is used as the annual enrollment number. A person may be enrolled with more than one health plan at the same time. This means the number of people enrolled with all carriers in this report may sum to more than the total number of actual people enrolled.</w:t>
      </w:r>
    </w:p>
    <w:p w14:paraId="10EE41E7" w14:textId="7D9BDC7C" w:rsidR="006E7914" w:rsidRDefault="006E7914" w:rsidP="006E7914">
      <w:pPr>
        <w:pStyle w:val="Heading4"/>
      </w:pPr>
      <w:bookmarkStart w:id="14" w:name="NonClaimsPercentage"/>
      <w:bookmarkEnd w:id="14"/>
      <w:r w:rsidRPr="006E7914">
        <w:t>Calculating primary care non-claims spending as a percent</w:t>
      </w:r>
      <w:r w:rsidR="0062722F">
        <w:t>age</w:t>
      </w:r>
      <w:r w:rsidRPr="006E7914">
        <w:t xml:space="preserve"> of total primary care spending</w:t>
      </w:r>
    </w:p>
    <w:p w14:paraId="6C2A3507" w14:textId="42CD784F" w:rsidR="006E7914" w:rsidRDefault="006E7914" w:rsidP="006E7914">
      <w:r w:rsidRPr="006E7914">
        <w:t>Primary care spending by most prominent carriers and CCOs consists of both claims and non-claim</w:t>
      </w:r>
      <w:r w:rsidR="004226E5">
        <w:t>s</w:t>
      </w:r>
      <w:r w:rsidRPr="006E7914">
        <w:t xml:space="preserve"> spending. The proportion of primary care spending that a prominent carrier or CCO allocates to non-claims spending is calculated by dividing primary care non-claims spending by total primary care spending.</w:t>
      </w:r>
    </w:p>
    <w:p w14:paraId="57E337F0" w14:textId="77777777" w:rsidR="006E7914" w:rsidRPr="006E7914" w:rsidRDefault="006E7914" w:rsidP="006E7914">
      <w:pPr>
        <w:pStyle w:val="Heading4"/>
      </w:pPr>
      <w:bookmarkStart w:id="15" w:name="VendorChange"/>
      <w:bookmarkEnd w:id="15"/>
      <w:r w:rsidRPr="006E7914">
        <w:t>Vendor change impacts processing and data results</w:t>
      </w:r>
    </w:p>
    <w:p w14:paraId="7DED401C" w14:textId="66DFBD1F" w:rsidR="006E7914" w:rsidRDefault="006E7914" w:rsidP="006E7914">
      <w:r w:rsidRPr="006E7914">
        <w:t>Beginning in 2020, APAC contracted with a new vendor, Human Services Research Institute (HSRI), for the collection, processing and management of APAC data. Since each vendor has different methodologies for data management, such as identifying duplicate claims or application of validation rules, slight variations in reported data will occur. Differences due to vendor processes appear insignificant. However, OHA recommends caution in comparing reports published in 2020 and earlier with reports published in 2021 and later.</w:t>
      </w:r>
    </w:p>
    <w:p w14:paraId="057382AC" w14:textId="07F12910" w:rsidR="006E7914" w:rsidRDefault="006E7914">
      <w:pPr>
        <w:spacing w:before="0" w:after="0"/>
        <w:ind w:left="0" w:right="0"/>
      </w:pPr>
      <w:r>
        <w:br w:type="page"/>
      </w:r>
    </w:p>
    <w:p w14:paraId="59FC0640" w14:textId="59A5EC92" w:rsidR="00A25366" w:rsidRDefault="00C869C1" w:rsidP="00542DB7">
      <w:pPr>
        <w:pStyle w:val="Heading2"/>
      </w:pPr>
      <w:bookmarkStart w:id="16" w:name="Glossary"/>
      <w:bookmarkEnd w:id="16"/>
      <w:r>
        <w:lastRenderedPageBreak/>
        <w:t>Glossary</w:t>
      </w:r>
    </w:p>
    <w:p w14:paraId="1665D658" w14:textId="1B163197" w:rsidR="00C869C1" w:rsidRDefault="00C869C1" w:rsidP="00C869C1">
      <w:r w:rsidRPr="00C869C1">
        <w:rPr>
          <w:b/>
          <w:bCs/>
        </w:rPr>
        <w:t>Capitation payment:</w:t>
      </w:r>
      <w:r>
        <w:t xml:space="preserve"> </w:t>
      </w:r>
      <w:r w:rsidRPr="00C869C1">
        <w:t>Single payment to a health care provider to provide health care services to a health plan member over a defined period of time. Services covered by capitation payments may be broad, such as all outpatient and inpatient services. Conversely, they may be narrow, such as primary care or mental health only. Capitation payments are a type of non-claims payment. They provide financial incentives for providers to manage care efficiently. They also avoid costly complications or expensive services such as emergency department or inpatient admissions.</w:t>
      </w:r>
    </w:p>
    <w:p w14:paraId="6B0F3BF9" w14:textId="77777777" w:rsidR="00C869C1" w:rsidRDefault="00C869C1" w:rsidP="00C869C1">
      <w:r w:rsidRPr="00C869C1">
        <w:rPr>
          <w:b/>
          <w:bCs/>
        </w:rPr>
        <w:t>Claims:</w:t>
      </w:r>
      <w:r>
        <w:t xml:space="preserve"> Communications from health care providers to health care payers requesting payments for services rendered by providers. Claims include information about patient diagnoses, procedures performed by providers, amount payers and patients will pay for services under health insurance plans, and ― in cases of paid claims ― amounts paid by payers.</w:t>
      </w:r>
    </w:p>
    <w:p w14:paraId="427CA523" w14:textId="5895A5FC" w:rsidR="00C869C1" w:rsidRDefault="00C869C1" w:rsidP="00C869C1">
      <w:r w:rsidRPr="00C869C1">
        <w:rPr>
          <w:b/>
          <w:bCs/>
        </w:rPr>
        <w:t>Claims payment</w:t>
      </w:r>
      <w:r w:rsidR="00046FD6">
        <w:rPr>
          <w:b/>
          <w:bCs/>
        </w:rPr>
        <w:t>s</w:t>
      </w:r>
      <w:r w:rsidRPr="00C869C1">
        <w:rPr>
          <w:b/>
          <w:bCs/>
        </w:rPr>
        <w:t>:</w:t>
      </w:r>
      <w:r>
        <w:t xml:space="preserve"> Payments to health care providers for specific services or sets of services rendered by providers and documented on health care claims. This is also known as fee-for-service. Claims-based payment systems may motivate providers to bill health care payers for a high volume of services rather than providing efficient care.</w:t>
      </w:r>
    </w:p>
    <w:p w14:paraId="42D7F5EC" w14:textId="77777777" w:rsidR="00C869C1" w:rsidRDefault="00C869C1" w:rsidP="00C869C1">
      <w:r w:rsidRPr="00C869C1">
        <w:rPr>
          <w:b/>
          <w:bCs/>
        </w:rPr>
        <w:t>Commercial health plans:</w:t>
      </w:r>
      <w:r>
        <w:t xml:space="preserve"> Group or individual health insurance plans offered by health insurance carriers.</w:t>
      </w:r>
    </w:p>
    <w:p w14:paraId="72024023" w14:textId="77777777" w:rsidR="00C869C1" w:rsidRDefault="00C869C1" w:rsidP="00C869C1">
      <w:r w:rsidRPr="00C869C1">
        <w:rPr>
          <w:b/>
          <w:bCs/>
        </w:rPr>
        <w:t>Coordinated care organizations (CCOs):</w:t>
      </w:r>
      <w:r>
        <w:t xml:space="preserve"> Local organizations that provide physical, mental and dental health care using global budgets that grow at a fixed rate. CCOs are accountable for the health outcomes of populations they serve. CCOs are part of Oregon’s Medicaid program, which provides health coverage for low-income Oregonians.</w:t>
      </w:r>
    </w:p>
    <w:p w14:paraId="5B638403" w14:textId="77777777" w:rsidR="00C869C1" w:rsidRDefault="00C869C1" w:rsidP="00C869C1">
      <w:r w:rsidRPr="00994445">
        <w:rPr>
          <w:b/>
          <w:bCs/>
        </w:rPr>
        <w:t>Health care payers:</w:t>
      </w:r>
      <w:r>
        <w:t xml:space="preserve"> Health insurance plans or health coverage programs that pay doctors, hospitals and other health care providers for care and services received by people with health care coverage. Health care payers include:</w:t>
      </w:r>
    </w:p>
    <w:p w14:paraId="47C907CB" w14:textId="77777777" w:rsidR="00121468" w:rsidRDefault="00121468" w:rsidP="00121468">
      <w:pPr>
        <w:pStyle w:val="ListParagraph"/>
      </w:pPr>
      <w:r>
        <w:t>Commercial health insurance plans</w:t>
      </w:r>
    </w:p>
    <w:p w14:paraId="063CD802" w14:textId="77777777" w:rsidR="00121468" w:rsidRDefault="00121468" w:rsidP="00121468">
      <w:pPr>
        <w:pStyle w:val="ListParagraph"/>
      </w:pPr>
      <w:r>
        <w:t>Medicare Advantage plans</w:t>
      </w:r>
    </w:p>
    <w:p w14:paraId="67376F5C" w14:textId="77777777" w:rsidR="00121468" w:rsidRDefault="00121468" w:rsidP="00121468">
      <w:pPr>
        <w:pStyle w:val="ListParagraph"/>
      </w:pPr>
      <w:r>
        <w:t>PEBB and OEBB plans offered by health insurance carriers</w:t>
      </w:r>
    </w:p>
    <w:p w14:paraId="54B803D2" w14:textId="77777777" w:rsidR="00121468" w:rsidRDefault="00121468" w:rsidP="00121468">
      <w:pPr>
        <w:pStyle w:val="ListParagraph"/>
      </w:pPr>
      <w:r>
        <w:t>CCOs that provide and pay for care for Medicaid members</w:t>
      </w:r>
    </w:p>
    <w:p w14:paraId="3277829B" w14:textId="77777777" w:rsidR="00121468" w:rsidRDefault="00121468" w:rsidP="00121468">
      <w:pPr>
        <w:pStyle w:val="ListParagraph"/>
      </w:pPr>
      <w:r>
        <w:t>Medicaid fee-for-service</w:t>
      </w:r>
    </w:p>
    <w:p w14:paraId="2DDA3CB1" w14:textId="77777777" w:rsidR="00121468" w:rsidRDefault="00121468" w:rsidP="00121468">
      <w:pPr>
        <w:pStyle w:val="ListParagraph"/>
      </w:pPr>
      <w:r>
        <w:t>Medicare fee-for-service</w:t>
      </w:r>
    </w:p>
    <w:p w14:paraId="102ADA6D" w14:textId="1CCE1A89" w:rsidR="00121468" w:rsidRDefault="00121468" w:rsidP="00121468">
      <w:pPr>
        <w:pStyle w:val="ListParagraph"/>
      </w:pPr>
      <w:r>
        <w:t>Other state and federal programs</w:t>
      </w:r>
      <w:r w:rsidR="00046FD6">
        <w:t xml:space="preserve"> such as TRICARE, Veterans’ Administration, and Indian Health Service</w:t>
      </w:r>
    </w:p>
    <w:p w14:paraId="2FF2DB1E" w14:textId="77777777" w:rsidR="00C869C1" w:rsidRDefault="00C869C1" w:rsidP="00C869C1">
      <w:r w:rsidRPr="00994445">
        <w:rPr>
          <w:b/>
          <w:bCs/>
        </w:rPr>
        <w:lastRenderedPageBreak/>
        <w:t>Medicaid:</w:t>
      </w:r>
      <w:r>
        <w:t xml:space="preserve"> Health coverage for low-income Oregonians. Medicaid coverage includes:</w:t>
      </w:r>
    </w:p>
    <w:p w14:paraId="323A09A7" w14:textId="77777777" w:rsidR="00046FD6" w:rsidRDefault="00046FD6" w:rsidP="00046FD6">
      <w:pPr>
        <w:pStyle w:val="ListBullet"/>
      </w:pPr>
      <w:r>
        <w:t>CCOs</w:t>
      </w:r>
    </w:p>
    <w:p w14:paraId="11F7B057" w14:textId="4D7F53BE" w:rsidR="00046FD6" w:rsidRDefault="00046FD6" w:rsidP="00046FD6">
      <w:pPr>
        <w:pStyle w:val="ListBullet"/>
      </w:pPr>
      <w:r>
        <w:t>Other Medicaid managed care</w:t>
      </w:r>
    </w:p>
    <w:p w14:paraId="0BFA5342" w14:textId="77910848" w:rsidR="00121468" w:rsidRDefault="00046FD6" w:rsidP="00046FD6">
      <w:pPr>
        <w:pStyle w:val="ListBullet"/>
      </w:pPr>
      <w:r>
        <w:t>Medicaid fee-for-service (FFS)</w:t>
      </w:r>
    </w:p>
    <w:p w14:paraId="276C12C6" w14:textId="77777777" w:rsidR="00C869C1" w:rsidRDefault="00C869C1" w:rsidP="00C869C1">
      <w:r>
        <w:t>Medicaid is funded by a mix of state and federal funds. Since 2014, Oregonians with incomes at or below 138 percent of the federal poverty level have been Medicaid-eligible. The waiting list for the Medicaid program has been eliminated.</w:t>
      </w:r>
    </w:p>
    <w:p w14:paraId="7818F431" w14:textId="77777777" w:rsidR="00C869C1" w:rsidRDefault="00C869C1" w:rsidP="00C869C1">
      <w:r w:rsidRPr="00994445">
        <w:rPr>
          <w:b/>
          <w:bCs/>
        </w:rPr>
        <w:t>Medicaid fee-for-service:</w:t>
      </w:r>
      <w:r>
        <w:t xml:space="preserve"> A payment methodology by which the state directly pays health care providers for services delivered to individuals with Medicaid coverage. Payments are based on claims. Primary care spending by Medicaid fee-for service is not included in this report.</w:t>
      </w:r>
    </w:p>
    <w:p w14:paraId="705CF9D4" w14:textId="77777777" w:rsidR="00C869C1" w:rsidRDefault="00C869C1" w:rsidP="00C869C1">
      <w:r w:rsidRPr="00994445">
        <w:rPr>
          <w:b/>
          <w:bCs/>
        </w:rPr>
        <w:t>Medicare Advantage:</w:t>
      </w:r>
      <w:r>
        <w:t xml:space="preserve"> Health insurance plans offered by health insurance carriers where the federal Medicare program pays part of the premium. This is also known as Medicare Part C. The overwhelming majority of people in Medicare Advantage are age 65 and older.</w:t>
      </w:r>
    </w:p>
    <w:p w14:paraId="39E927F0" w14:textId="77777777" w:rsidR="00C869C1" w:rsidRDefault="00C869C1" w:rsidP="00C869C1">
      <w:r w:rsidRPr="00994445">
        <w:rPr>
          <w:b/>
          <w:bCs/>
        </w:rPr>
        <w:t>Medicare fee-for-service:</w:t>
      </w:r>
      <w:r>
        <w:t xml:space="preserve"> A payment methodology by which the federal Medicare program directly pays health care providers for services to individuals with Medicare coverage. Payments are based on claims. Primary care spending by Medicare fee-for-service is not included in this report.</w:t>
      </w:r>
    </w:p>
    <w:p w14:paraId="40ADE7A5" w14:textId="6D6DF979" w:rsidR="00C869C1" w:rsidRDefault="00C869C1" w:rsidP="00C869C1">
      <w:r w:rsidRPr="00994445">
        <w:rPr>
          <w:b/>
          <w:bCs/>
        </w:rPr>
        <w:t>Member months:</w:t>
      </w:r>
      <w:r>
        <w:t xml:space="preserve"> Total number of months in a given calendar year that the enrolled health insurance plan members have coverage. For example, if one member was enrolled in a plan for all 12 months of 2022 and another member was enrolled for only 10 months, total member months equal 22. To provide a standard measure of spending across types of coverage or insurance plans, total spending is often divided by member months to report per-member per-month (PMPM) spending.</w:t>
      </w:r>
    </w:p>
    <w:p w14:paraId="6A9C8D64" w14:textId="333D7A9D" w:rsidR="00C869C1" w:rsidRDefault="00C869C1" w:rsidP="00C869C1">
      <w:r w:rsidRPr="00994445">
        <w:rPr>
          <w:b/>
          <w:bCs/>
        </w:rPr>
        <w:t>Non-claims payment</w:t>
      </w:r>
      <w:r w:rsidR="00046FD6">
        <w:rPr>
          <w:b/>
          <w:bCs/>
        </w:rPr>
        <w:t>s</w:t>
      </w:r>
      <w:r w:rsidRPr="00994445">
        <w:rPr>
          <w:b/>
          <w:bCs/>
        </w:rPr>
        <w:t>:</w:t>
      </w:r>
      <w:r>
        <w:t xml:space="preserve"> Payments to health care providers intended to:</w:t>
      </w:r>
    </w:p>
    <w:p w14:paraId="58870174" w14:textId="77777777" w:rsidR="00046FD6" w:rsidRDefault="00046FD6" w:rsidP="00046FD6">
      <w:pPr>
        <w:pStyle w:val="ListBullet"/>
      </w:pPr>
      <w:r>
        <w:t>Motivate efficient care delivery</w:t>
      </w:r>
    </w:p>
    <w:p w14:paraId="5EFA435D" w14:textId="77777777" w:rsidR="00046FD6" w:rsidRDefault="00046FD6" w:rsidP="00046FD6">
      <w:pPr>
        <w:pStyle w:val="ListBullet"/>
      </w:pPr>
      <w:r>
        <w:t>Reward achievement of quality or cost-savings goals</w:t>
      </w:r>
    </w:p>
    <w:p w14:paraId="7B6EB137" w14:textId="4E4F9B01" w:rsidR="00121468" w:rsidRDefault="00046FD6" w:rsidP="00046FD6">
      <w:pPr>
        <w:pStyle w:val="ListBullet"/>
      </w:pPr>
      <w:r>
        <w:t>Build health care infrastructure and capacity</w:t>
      </w:r>
    </w:p>
    <w:p w14:paraId="2A9E54EF" w14:textId="38E6ABBE" w:rsidR="00C869C1" w:rsidRDefault="00C869C1" w:rsidP="00C869C1">
      <w:r>
        <w:t xml:space="preserve">Non-claims payments are not payments for specific services rendered by providers and reported on health care claims. However, they may be </w:t>
      </w:r>
      <w:r w:rsidR="00643B76">
        <w:t>pai</w:t>
      </w:r>
      <w:r>
        <w:t xml:space="preserve">d based on information reported on claims. Oregon Administrative Rules 836-053-1500 through 836-053-1510 and 409-027-0010 through 409-027-0030 define seven types of non-claims-based payments for purposes of reporting on </w:t>
      </w:r>
      <w:r>
        <w:lastRenderedPageBreak/>
        <w:t xml:space="preserve">medical spending allocated to primary care under SB 231 (2015). See page </w:t>
      </w:r>
      <w:r w:rsidR="00643B76">
        <w:t>3</w:t>
      </w:r>
      <w:r>
        <w:t xml:space="preserve"> for a list of the categories.</w:t>
      </w:r>
    </w:p>
    <w:p w14:paraId="03F654C4" w14:textId="72269256" w:rsidR="00347E0C" w:rsidRDefault="00347E0C" w:rsidP="00347E0C">
      <w:r w:rsidRPr="00121468">
        <w:rPr>
          <w:b/>
          <w:bCs/>
        </w:rPr>
        <w:t>Oregon Educators Benefit Board (OEBB):</w:t>
      </w:r>
      <w:r>
        <w:t xml:space="preserve"> </w:t>
      </w:r>
      <w:r w:rsidRPr="00347E0C">
        <w:t>works with employers, members, plans, and providers to offer benefits that</w:t>
      </w:r>
      <w:r>
        <w:t xml:space="preserve"> support better health, improve care, and keep costs affordable.</w:t>
      </w:r>
      <w:r w:rsidR="008C59EA">
        <w:t xml:space="preserve"> In 2023, </w:t>
      </w:r>
      <w:r w:rsidR="0071489A">
        <w:t xml:space="preserve">prominent </w:t>
      </w:r>
      <w:r w:rsidR="008C59EA">
        <w:t>OEBB carriers were Kaiser Permanente and M</w:t>
      </w:r>
      <w:r w:rsidR="0071489A">
        <w:t>oda Health</w:t>
      </w:r>
      <w:r w:rsidR="008C59EA">
        <w:t>.</w:t>
      </w:r>
    </w:p>
    <w:p w14:paraId="08D3BD31" w14:textId="77777777" w:rsidR="00C869C1" w:rsidRDefault="00C869C1" w:rsidP="00C869C1">
      <w:r w:rsidRPr="00994445">
        <w:rPr>
          <w:b/>
          <w:bCs/>
        </w:rPr>
        <w:t>Patient-centered primary care homes (PCPCHs):</w:t>
      </w:r>
      <w:r>
        <w:t xml:space="preserve"> Health care clinics recognized by the Oregon Health Authority for the clinics’ commitment to providing high-quality, patient-centered care. A PCPCH must meet quality measures in six core attributes to receive recognition</w:t>
      </w:r>
    </w:p>
    <w:p w14:paraId="3E0DAECF" w14:textId="77777777" w:rsidR="00C869C1" w:rsidRDefault="00C869C1" w:rsidP="00C869C1">
      <w:r w:rsidRPr="00994445">
        <w:rPr>
          <w:b/>
          <w:bCs/>
        </w:rPr>
        <w:t>Per-member per-month (PMPM):</w:t>
      </w:r>
      <w:r>
        <w:t xml:space="preserve"> Spending on care for members of a health plan divided by member months. Dividing spending by member months provides a comparable measure of spending across health plans and payers, regardless of the number of members enrolled.</w:t>
      </w:r>
    </w:p>
    <w:p w14:paraId="2DF802E8" w14:textId="46FAA9D0" w:rsidR="00C869C1" w:rsidRDefault="00C869C1" w:rsidP="00C869C1">
      <w:r w:rsidRPr="00994445">
        <w:rPr>
          <w:b/>
          <w:bCs/>
        </w:rPr>
        <w:t>Primary care:</w:t>
      </w:r>
      <w:r>
        <w:t xml:space="preserve"> </w:t>
      </w:r>
      <w:r w:rsidR="00207353">
        <w:t>Certain h</w:t>
      </w:r>
      <w:r>
        <w:t>ealth care</w:t>
      </w:r>
      <w:r w:rsidR="00207353">
        <w:t xml:space="preserve"> services</w:t>
      </w:r>
      <w:r w:rsidR="00994445">
        <w:t xml:space="preserve"> delivered by a primary care provide</w:t>
      </w:r>
      <w:r w:rsidR="00207353">
        <w:t xml:space="preserve">r. This </w:t>
      </w:r>
      <w:r>
        <w:t>includes</w:t>
      </w:r>
      <w:r w:rsidR="00207353">
        <w:t>:</w:t>
      </w:r>
    </w:p>
    <w:p w14:paraId="2CE4327A" w14:textId="77777777" w:rsidR="00046FD6" w:rsidRDefault="00046FD6" w:rsidP="00046FD6">
      <w:pPr>
        <w:pStyle w:val="ListBullet"/>
      </w:pPr>
      <w:r>
        <w:t>General exams and assessments</w:t>
      </w:r>
    </w:p>
    <w:p w14:paraId="1A61141F" w14:textId="77777777" w:rsidR="00046FD6" w:rsidRDefault="00046FD6" w:rsidP="00046FD6">
      <w:pPr>
        <w:pStyle w:val="ListBullet"/>
      </w:pPr>
      <w:r>
        <w:t>Preventive care</w:t>
      </w:r>
    </w:p>
    <w:p w14:paraId="0D7AE0DD" w14:textId="49714B43" w:rsidR="00121468" w:rsidRDefault="00046FD6" w:rsidP="00046FD6">
      <w:pPr>
        <w:pStyle w:val="ListBullet"/>
      </w:pPr>
      <w:r>
        <w:t>Care coordination</w:t>
      </w:r>
    </w:p>
    <w:p w14:paraId="4A88EA91" w14:textId="72F91B80" w:rsidR="00C869C1" w:rsidRDefault="00C869C1" w:rsidP="00C869C1">
      <w:r w:rsidRPr="00994445">
        <w:rPr>
          <w:b/>
          <w:bCs/>
        </w:rPr>
        <w:t>Primary care providers:</w:t>
      </w:r>
      <w:r w:rsidR="00207353">
        <w:rPr>
          <w:b/>
          <w:bCs/>
        </w:rPr>
        <w:t xml:space="preserve"> </w:t>
      </w:r>
      <w:r w:rsidR="00207353">
        <w:t>specific types of health care providers and practices</w:t>
      </w:r>
      <w:r w:rsidR="00CB1889">
        <w:t xml:space="preserve"> that manage their patients’ health care over time.</w:t>
      </w:r>
      <w:r w:rsidR="000B71D1">
        <w:t xml:space="preserve"> This may include:</w:t>
      </w:r>
    </w:p>
    <w:p w14:paraId="371EA2FB" w14:textId="77777777" w:rsidR="00046FD6" w:rsidRDefault="00046FD6" w:rsidP="00046FD6">
      <w:pPr>
        <w:pStyle w:val="ListBullet"/>
      </w:pPr>
      <w:r>
        <w:t>Responding to new patient needs and undiagnosed conditions</w:t>
      </w:r>
    </w:p>
    <w:p w14:paraId="39C026DD" w14:textId="77777777" w:rsidR="00046FD6" w:rsidRDefault="00046FD6" w:rsidP="00046FD6">
      <w:pPr>
        <w:pStyle w:val="ListBullet"/>
      </w:pPr>
      <w:r>
        <w:t>Helping patients navigate the health system</w:t>
      </w:r>
    </w:p>
    <w:p w14:paraId="4AF9FB1B" w14:textId="241C0EDC" w:rsidR="00121468" w:rsidRDefault="00046FD6" w:rsidP="00046FD6">
      <w:pPr>
        <w:pStyle w:val="ListBullet"/>
      </w:pPr>
      <w:r>
        <w:t>Maintaining relationships with patients over time</w:t>
      </w:r>
    </w:p>
    <w:p w14:paraId="719D0BB8" w14:textId="77777777" w:rsidR="00C869C1" w:rsidRDefault="00C869C1" w:rsidP="00C869C1">
      <w:r w:rsidRPr="00121468">
        <w:rPr>
          <w:b/>
          <w:bCs/>
        </w:rPr>
        <w:t>Prominent carriers:</w:t>
      </w:r>
      <w:r>
        <w:t xml:space="preserve"> Health insurance carriers with annual premium incomes of $200 million or more. Prominent carriers were defined by Oregon Administrative Rules 836-053-1500 through 836-053-1510 for purposes of reporting on medical spending allocated to primary care under SB 231</w:t>
      </w:r>
    </w:p>
    <w:p w14:paraId="2BCB647F" w14:textId="40DACEE2" w:rsidR="00347E0C" w:rsidRPr="00347E0C" w:rsidRDefault="00C869C1" w:rsidP="00C869C1">
      <w:r w:rsidRPr="00121468">
        <w:rPr>
          <w:b/>
          <w:bCs/>
        </w:rPr>
        <w:t>Public Employees’ Benefit Board (PEBB)</w:t>
      </w:r>
      <w:r w:rsidR="00347E0C">
        <w:rPr>
          <w:b/>
          <w:bCs/>
        </w:rPr>
        <w:t>:</w:t>
      </w:r>
      <w:r w:rsidR="00347E0C">
        <w:t xml:space="preserve"> </w:t>
      </w:r>
      <w:r w:rsidR="00347E0C" w:rsidRPr="00347E0C">
        <w:t>oversees benefit programs</w:t>
      </w:r>
      <w:r w:rsidR="00347E0C">
        <w:t xml:space="preserve"> </w:t>
      </w:r>
      <w:r w:rsidR="00347E0C" w:rsidRPr="00347E0C">
        <w:t>to support the health and wellbeing of</w:t>
      </w:r>
      <w:r w:rsidR="00347E0C">
        <w:t xml:space="preserve"> state employees and their families.</w:t>
      </w:r>
      <w:r w:rsidR="008C59EA">
        <w:t xml:space="preserve"> In 2023, </w:t>
      </w:r>
      <w:r w:rsidR="0071489A">
        <w:t xml:space="preserve">prominent </w:t>
      </w:r>
      <w:r w:rsidR="008C59EA">
        <w:t>PEBB carriers were Kaiser Permanente, M</w:t>
      </w:r>
      <w:r w:rsidR="0071489A">
        <w:t>oda Health</w:t>
      </w:r>
      <w:r w:rsidR="008C59EA">
        <w:t>, and Providence Health Plan.</w:t>
      </w:r>
    </w:p>
    <w:p w14:paraId="561B4A0E" w14:textId="77777777" w:rsidR="00C869C1" w:rsidRDefault="00C869C1" w:rsidP="00C869C1">
      <w:r w:rsidRPr="00121468">
        <w:rPr>
          <w:b/>
          <w:bCs/>
        </w:rPr>
        <w:t>Risk-based payments:</w:t>
      </w:r>
      <w:r>
        <w:t xml:space="preserve"> Payments received by health care providers that may be reduced if costs exceed defined targets. In a risk-based payment system, providers may pay a penalty or share in costs that exceed the target.</w:t>
      </w:r>
    </w:p>
    <w:p w14:paraId="5CE59E6A" w14:textId="6FF4E003" w:rsidR="00C869C1" w:rsidRDefault="00C869C1" w:rsidP="00C869C1">
      <w:r w:rsidRPr="00121468">
        <w:rPr>
          <w:b/>
          <w:bCs/>
        </w:rPr>
        <w:t>Self-insured employers:</w:t>
      </w:r>
      <w:r>
        <w:t xml:space="preserve"> Employers that set aside funds to pay for health care expenses of employees, rather than buy a group health insurance plan offered </w:t>
      </w:r>
      <w:r>
        <w:lastRenderedPageBreak/>
        <w:t>by a private insurance company. Primary care spending by ERISA self-insured employers is not included in this report.</w:t>
      </w:r>
    </w:p>
    <w:p w14:paraId="1299C3B3" w14:textId="2FF56645" w:rsidR="0071489A" w:rsidRDefault="0071489A">
      <w:pPr>
        <w:spacing w:before="0" w:after="0"/>
        <w:ind w:left="0" w:right="0"/>
        <w:rPr>
          <w:b/>
          <w:bCs/>
        </w:rPr>
      </w:pPr>
      <w:r>
        <w:rPr>
          <w:b/>
          <w:bCs/>
        </w:rPr>
        <w:br w:type="page"/>
      </w:r>
    </w:p>
    <w:p w14:paraId="1B343E30" w14:textId="19437746" w:rsidR="0071489A" w:rsidRDefault="0071489A" w:rsidP="0071489A">
      <w:pPr>
        <w:pStyle w:val="Heading2"/>
      </w:pPr>
      <w:bookmarkStart w:id="17" w:name="CodeSets"/>
      <w:bookmarkEnd w:id="17"/>
      <w:r>
        <w:lastRenderedPageBreak/>
        <w:t>Code Sets Used to Define Primary Care</w:t>
      </w:r>
    </w:p>
    <w:p w14:paraId="42C553DF" w14:textId="283FCAE8" w:rsidR="0071489A" w:rsidRDefault="00536C82" w:rsidP="00536C82">
      <w:pPr>
        <w:pStyle w:val="Heading3"/>
      </w:pPr>
      <w:bookmarkStart w:id="18" w:name="CPTandHCPCS"/>
      <w:bookmarkEnd w:id="18"/>
      <w:r w:rsidRPr="00536C82">
        <w:t>CPT</w:t>
      </w:r>
      <w:r w:rsidR="00007CF5">
        <w:t>®</w:t>
      </w:r>
      <w:r w:rsidRPr="00536C82">
        <w:t xml:space="preserve"> </w:t>
      </w:r>
      <w:r w:rsidR="00007CF5">
        <w:t xml:space="preserve">and HCPCS </w:t>
      </w:r>
      <w:r w:rsidRPr="00536C82">
        <w:t>Codes</w:t>
      </w:r>
    </w:p>
    <w:tbl>
      <w:tblPr>
        <w:tblStyle w:val="TableGrid"/>
        <w:tblW w:w="0" w:type="auto"/>
        <w:tblInd w:w="900" w:type="dxa"/>
        <w:tblLook w:val="0620" w:firstRow="1" w:lastRow="0" w:firstColumn="0" w:lastColumn="0" w:noHBand="1" w:noVBand="1"/>
        <w:tblCaption w:val="CPT Codes"/>
        <w:tblDescription w:val="A table of CPT codes and their descriptions"/>
      </w:tblPr>
      <w:tblGrid>
        <w:gridCol w:w="3325"/>
        <w:gridCol w:w="6210"/>
      </w:tblGrid>
      <w:tr w:rsidR="00FD6F53" w14:paraId="4BAD1AA1" w14:textId="77777777" w:rsidTr="004A5909">
        <w:trPr>
          <w:cantSplit/>
          <w:tblHeader/>
        </w:trPr>
        <w:tc>
          <w:tcPr>
            <w:tcW w:w="3325" w:type="dxa"/>
          </w:tcPr>
          <w:p w14:paraId="4F69D066" w14:textId="29FBD8E3" w:rsidR="00FD6F53" w:rsidRDefault="00FD6F53" w:rsidP="00FD6F53">
            <w:pPr>
              <w:pStyle w:val="Tableheader"/>
            </w:pPr>
            <w:r w:rsidRPr="00FD6F53">
              <w:t>Code</w:t>
            </w:r>
          </w:p>
        </w:tc>
        <w:tc>
          <w:tcPr>
            <w:tcW w:w="6210" w:type="dxa"/>
          </w:tcPr>
          <w:p w14:paraId="296CBD76" w14:textId="60C5BF4B" w:rsidR="00FD6F53" w:rsidRDefault="00FD6F53" w:rsidP="00FD6F53">
            <w:pPr>
              <w:pStyle w:val="Tableheader"/>
            </w:pPr>
            <w:r w:rsidRPr="00FD6F53">
              <w:t>Description</w:t>
            </w:r>
          </w:p>
        </w:tc>
      </w:tr>
      <w:tr w:rsidR="00FD1EE8" w14:paraId="1BC31DB0" w14:textId="77777777" w:rsidTr="004A5909">
        <w:trPr>
          <w:cantSplit/>
        </w:trPr>
        <w:tc>
          <w:tcPr>
            <w:tcW w:w="3325" w:type="dxa"/>
          </w:tcPr>
          <w:p w14:paraId="4AE36642" w14:textId="5E3F0C83" w:rsidR="00FD1EE8" w:rsidRPr="00FD1EE8" w:rsidRDefault="00FD1EE8" w:rsidP="00FD1EE8">
            <w:pPr>
              <w:ind w:left="0"/>
              <w:rPr>
                <w:rFonts w:cs="Noto Sans"/>
              </w:rPr>
            </w:pPr>
            <w:r w:rsidRPr="00FD1EE8">
              <w:rPr>
                <w:rFonts w:eastAsia="Times New Roman" w:cs="Noto Sans"/>
                <w:color w:val="000000"/>
                <w:szCs w:val="24"/>
              </w:rPr>
              <w:t>59400</w:t>
            </w:r>
          </w:p>
        </w:tc>
        <w:tc>
          <w:tcPr>
            <w:tcW w:w="6210" w:type="dxa"/>
          </w:tcPr>
          <w:p w14:paraId="10D6CEAB" w14:textId="33CFF5B3" w:rsidR="00FD1EE8" w:rsidRPr="00FD1EE8" w:rsidRDefault="00FD1EE8" w:rsidP="00FD1EE8">
            <w:pPr>
              <w:ind w:left="0"/>
              <w:rPr>
                <w:rFonts w:cs="Noto Sans"/>
              </w:rPr>
            </w:pPr>
            <w:r w:rsidRPr="00FD1EE8">
              <w:rPr>
                <w:rFonts w:eastAsia="Times New Roman" w:cs="Noto Sans"/>
                <w:color w:val="000000"/>
                <w:szCs w:val="24"/>
              </w:rPr>
              <w:t>Routine obstetric care including vaginal delivery (global code) - 60 percent of payment for CCOs</w:t>
            </w:r>
          </w:p>
        </w:tc>
      </w:tr>
      <w:tr w:rsidR="00FD1EE8" w14:paraId="4231C359" w14:textId="77777777" w:rsidTr="004A5909">
        <w:trPr>
          <w:cantSplit/>
        </w:trPr>
        <w:tc>
          <w:tcPr>
            <w:tcW w:w="3325" w:type="dxa"/>
          </w:tcPr>
          <w:p w14:paraId="275698D2" w14:textId="4368DD10" w:rsidR="00FD1EE8" w:rsidRDefault="00FD1EE8" w:rsidP="00FD1EE8">
            <w:pPr>
              <w:ind w:left="0"/>
            </w:pPr>
            <w:r w:rsidRPr="008D68A4">
              <w:rPr>
                <w:rFonts w:eastAsia="Times New Roman" w:cs="Noto Sans"/>
                <w:color w:val="000000"/>
                <w:szCs w:val="24"/>
              </w:rPr>
              <w:t>59510</w:t>
            </w:r>
          </w:p>
        </w:tc>
        <w:tc>
          <w:tcPr>
            <w:tcW w:w="6210" w:type="dxa"/>
          </w:tcPr>
          <w:p w14:paraId="40316663" w14:textId="28F57805" w:rsidR="00FD1EE8" w:rsidRDefault="00FD1EE8" w:rsidP="00FD1EE8">
            <w:pPr>
              <w:ind w:left="0"/>
            </w:pPr>
            <w:r w:rsidRPr="008D68A4">
              <w:rPr>
                <w:rFonts w:eastAsia="Times New Roman" w:cs="Noto Sans"/>
                <w:color w:val="000000"/>
                <w:szCs w:val="24"/>
              </w:rPr>
              <w:t>Routine obstetric care including cesarean delivery (global code) - 60 percent of payment for CCOs</w:t>
            </w:r>
          </w:p>
        </w:tc>
      </w:tr>
      <w:tr w:rsidR="00FD1EE8" w14:paraId="0A480FA2" w14:textId="77777777" w:rsidTr="004A5909">
        <w:trPr>
          <w:cantSplit/>
        </w:trPr>
        <w:tc>
          <w:tcPr>
            <w:tcW w:w="3325" w:type="dxa"/>
          </w:tcPr>
          <w:p w14:paraId="0A200FF1" w14:textId="6C0A1D0C" w:rsidR="00FD1EE8" w:rsidRDefault="00FD1EE8" w:rsidP="00FD1EE8">
            <w:pPr>
              <w:ind w:left="0"/>
            </w:pPr>
            <w:r w:rsidRPr="008D68A4">
              <w:rPr>
                <w:rFonts w:eastAsia="Times New Roman" w:cs="Noto Sans"/>
                <w:color w:val="000000"/>
                <w:szCs w:val="24"/>
              </w:rPr>
              <w:t>59610</w:t>
            </w:r>
          </w:p>
        </w:tc>
        <w:tc>
          <w:tcPr>
            <w:tcW w:w="6210" w:type="dxa"/>
          </w:tcPr>
          <w:p w14:paraId="0B104587" w14:textId="5B094F44" w:rsidR="00FD1EE8" w:rsidRDefault="00FD1EE8" w:rsidP="00FD1EE8">
            <w:pPr>
              <w:ind w:left="0"/>
            </w:pPr>
            <w:r w:rsidRPr="008D68A4">
              <w:rPr>
                <w:rFonts w:eastAsia="Times New Roman" w:cs="Noto Sans"/>
                <w:color w:val="000000"/>
                <w:szCs w:val="24"/>
              </w:rPr>
              <w:t>Routine obstetric care including vaginal birth after C-section (VBAC) delivery (global code) - 60 percent of payment for CCOs</w:t>
            </w:r>
          </w:p>
        </w:tc>
      </w:tr>
      <w:tr w:rsidR="00FD1EE8" w14:paraId="64EB7CCA" w14:textId="77777777" w:rsidTr="004A5909">
        <w:trPr>
          <w:cantSplit/>
        </w:trPr>
        <w:tc>
          <w:tcPr>
            <w:tcW w:w="3325" w:type="dxa"/>
          </w:tcPr>
          <w:p w14:paraId="098C6730" w14:textId="0F32D1ED" w:rsidR="00FD1EE8" w:rsidRDefault="00FD1EE8" w:rsidP="00FD1EE8">
            <w:pPr>
              <w:ind w:left="0"/>
            </w:pPr>
            <w:r w:rsidRPr="008D68A4">
              <w:rPr>
                <w:rFonts w:eastAsia="Times New Roman" w:cs="Noto Sans"/>
                <w:color w:val="000000"/>
                <w:szCs w:val="24"/>
              </w:rPr>
              <w:t>59618</w:t>
            </w:r>
          </w:p>
        </w:tc>
        <w:tc>
          <w:tcPr>
            <w:tcW w:w="6210" w:type="dxa"/>
          </w:tcPr>
          <w:p w14:paraId="6A5F4BCA" w14:textId="2BAC2BFE" w:rsidR="00FD1EE8" w:rsidRDefault="00FD1EE8" w:rsidP="00FD1EE8">
            <w:pPr>
              <w:ind w:left="0"/>
            </w:pPr>
            <w:r w:rsidRPr="008D68A4">
              <w:rPr>
                <w:rFonts w:eastAsia="Times New Roman" w:cs="Noto Sans"/>
                <w:color w:val="000000"/>
                <w:szCs w:val="24"/>
              </w:rPr>
              <w:t>Routine obstetric care including attempted VBAC delivery (global code) - 60 percent of payment for   CCOs</w:t>
            </w:r>
          </w:p>
        </w:tc>
      </w:tr>
      <w:tr w:rsidR="00FD1EE8" w14:paraId="46FD6D71" w14:textId="77777777" w:rsidTr="004A5909">
        <w:trPr>
          <w:cantSplit/>
        </w:trPr>
        <w:tc>
          <w:tcPr>
            <w:tcW w:w="3325" w:type="dxa"/>
          </w:tcPr>
          <w:p w14:paraId="391F4D9D" w14:textId="4DA7508C" w:rsidR="00FD1EE8" w:rsidRDefault="00FD1EE8" w:rsidP="00FD1EE8">
            <w:pPr>
              <w:ind w:left="0"/>
            </w:pPr>
            <w:r w:rsidRPr="008D68A4">
              <w:rPr>
                <w:rFonts w:eastAsia="Times New Roman" w:cs="Noto Sans"/>
                <w:color w:val="000000"/>
                <w:szCs w:val="24"/>
              </w:rPr>
              <w:t>90460-90461</w:t>
            </w:r>
          </w:p>
        </w:tc>
        <w:tc>
          <w:tcPr>
            <w:tcW w:w="6210" w:type="dxa"/>
          </w:tcPr>
          <w:p w14:paraId="00F16006" w14:textId="04E5BE79" w:rsidR="00FD1EE8" w:rsidRDefault="00FD1EE8" w:rsidP="00FD1EE8">
            <w:pPr>
              <w:ind w:left="0"/>
            </w:pPr>
            <w:r w:rsidRPr="008D68A4">
              <w:rPr>
                <w:rFonts w:eastAsia="Times New Roman" w:cs="Noto Sans"/>
                <w:color w:val="000000"/>
                <w:szCs w:val="24"/>
              </w:rPr>
              <w:t>Immunization through age 18, including provider consult</w:t>
            </w:r>
          </w:p>
        </w:tc>
      </w:tr>
      <w:tr w:rsidR="00FD1EE8" w14:paraId="4DC4970B" w14:textId="77777777" w:rsidTr="004A5909">
        <w:trPr>
          <w:cantSplit/>
        </w:trPr>
        <w:tc>
          <w:tcPr>
            <w:tcW w:w="3325" w:type="dxa"/>
          </w:tcPr>
          <w:p w14:paraId="035C68CA" w14:textId="7CC8CE8B" w:rsidR="00FD1EE8" w:rsidRDefault="00FD1EE8" w:rsidP="00FD1EE8">
            <w:pPr>
              <w:ind w:left="0"/>
            </w:pPr>
            <w:r w:rsidRPr="008D68A4">
              <w:rPr>
                <w:rFonts w:eastAsia="Times New Roman" w:cs="Noto Sans"/>
                <w:color w:val="000000"/>
                <w:szCs w:val="24"/>
              </w:rPr>
              <w:t>90471-90472</w:t>
            </w:r>
          </w:p>
        </w:tc>
        <w:tc>
          <w:tcPr>
            <w:tcW w:w="6210" w:type="dxa"/>
          </w:tcPr>
          <w:p w14:paraId="0B2CB912" w14:textId="3EA8993E" w:rsidR="00FD1EE8" w:rsidRDefault="00FD1EE8" w:rsidP="00FD1EE8">
            <w:pPr>
              <w:ind w:left="0"/>
            </w:pPr>
            <w:r w:rsidRPr="008D68A4">
              <w:rPr>
                <w:rFonts w:eastAsia="Times New Roman" w:cs="Noto Sans"/>
                <w:color w:val="000000"/>
                <w:szCs w:val="24"/>
              </w:rPr>
              <w:t xml:space="preserve">Immunization by injection </w:t>
            </w:r>
          </w:p>
        </w:tc>
      </w:tr>
      <w:tr w:rsidR="00FD1EE8" w14:paraId="399EC7EF" w14:textId="77777777" w:rsidTr="004A5909">
        <w:trPr>
          <w:cantSplit/>
        </w:trPr>
        <w:tc>
          <w:tcPr>
            <w:tcW w:w="3325" w:type="dxa"/>
          </w:tcPr>
          <w:p w14:paraId="09E360FC" w14:textId="650BA4FB" w:rsidR="00FD1EE8" w:rsidRDefault="00FD1EE8" w:rsidP="00FD1EE8">
            <w:pPr>
              <w:ind w:left="0"/>
            </w:pPr>
            <w:r w:rsidRPr="008D68A4">
              <w:rPr>
                <w:rFonts w:eastAsia="Times New Roman" w:cs="Noto Sans"/>
                <w:color w:val="000000"/>
                <w:szCs w:val="24"/>
              </w:rPr>
              <w:t>90473-90474</w:t>
            </w:r>
          </w:p>
        </w:tc>
        <w:tc>
          <w:tcPr>
            <w:tcW w:w="6210" w:type="dxa"/>
          </w:tcPr>
          <w:p w14:paraId="730C4ACE" w14:textId="0AC519A3" w:rsidR="00FD1EE8" w:rsidRDefault="00FD1EE8" w:rsidP="00FD1EE8">
            <w:pPr>
              <w:ind w:left="0"/>
            </w:pPr>
            <w:r w:rsidRPr="008D68A4">
              <w:rPr>
                <w:rFonts w:eastAsia="Times New Roman" w:cs="Noto Sans"/>
                <w:color w:val="000000"/>
                <w:szCs w:val="24"/>
              </w:rPr>
              <w:t xml:space="preserve">Immunization by oral or intranasal route </w:t>
            </w:r>
          </w:p>
        </w:tc>
      </w:tr>
      <w:tr w:rsidR="00FD1EE8" w14:paraId="2E080D58" w14:textId="77777777" w:rsidTr="004A5909">
        <w:trPr>
          <w:cantSplit/>
        </w:trPr>
        <w:tc>
          <w:tcPr>
            <w:tcW w:w="3325" w:type="dxa"/>
          </w:tcPr>
          <w:p w14:paraId="1B68E27C" w14:textId="46753DA2" w:rsidR="00FD1EE8" w:rsidRDefault="00FD1EE8" w:rsidP="00FD1EE8">
            <w:pPr>
              <w:ind w:left="0"/>
            </w:pPr>
            <w:r w:rsidRPr="008D68A4">
              <w:rPr>
                <w:rFonts w:eastAsia="Times New Roman" w:cs="Noto Sans"/>
                <w:color w:val="000000"/>
                <w:szCs w:val="24"/>
              </w:rPr>
              <w:t>96160-96161</w:t>
            </w:r>
          </w:p>
        </w:tc>
        <w:tc>
          <w:tcPr>
            <w:tcW w:w="6210" w:type="dxa"/>
          </w:tcPr>
          <w:p w14:paraId="21C56D8A" w14:textId="1ACA4B44" w:rsidR="00FD1EE8" w:rsidRDefault="00FD1EE8" w:rsidP="00FD1EE8">
            <w:pPr>
              <w:ind w:left="0"/>
            </w:pPr>
            <w:r w:rsidRPr="008D68A4">
              <w:rPr>
                <w:rFonts w:eastAsia="Times New Roman" w:cs="Noto Sans"/>
                <w:color w:val="000000"/>
                <w:szCs w:val="24"/>
              </w:rPr>
              <w:t xml:space="preserve">Administration of health risk assessment </w:t>
            </w:r>
          </w:p>
        </w:tc>
      </w:tr>
      <w:tr w:rsidR="00FD1EE8" w14:paraId="0F395358" w14:textId="77777777" w:rsidTr="004A5909">
        <w:trPr>
          <w:cantSplit/>
        </w:trPr>
        <w:tc>
          <w:tcPr>
            <w:tcW w:w="3325" w:type="dxa"/>
          </w:tcPr>
          <w:p w14:paraId="05F4A404" w14:textId="5DB63A41" w:rsidR="00FD1EE8" w:rsidRDefault="00FD1EE8" w:rsidP="00FD1EE8">
            <w:pPr>
              <w:ind w:left="0"/>
            </w:pPr>
            <w:r w:rsidRPr="008D68A4">
              <w:rPr>
                <w:rFonts w:eastAsia="Times New Roman" w:cs="Noto Sans"/>
                <w:color w:val="000000"/>
                <w:szCs w:val="24"/>
              </w:rPr>
              <w:t>96372</w:t>
            </w:r>
          </w:p>
        </w:tc>
        <w:tc>
          <w:tcPr>
            <w:tcW w:w="6210" w:type="dxa"/>
          </w:tcPr>
          <w:p w14:paraId="1544E607" w14:textId="32E5C58D" w:rsidR="00FD1EE8" w:rsidRDefault="00FD1EE8" w:rsidP="00FD1EE8">
            <w:pPr>
              <w:ind w:left="0"/>
            </w:pPr>
            <w:r w:rsidRPr="008D68A4">
              <w:rPr>
                <w:rFonts w:eastAsia="Times New Roman" w:cs="Noto Sans"/>
                <w:color w:val="000000"/>
                <w:szCs w:val="24"/>
              </w:rPr>
              <w:t xml:space="preserve">Therapeutic, prophylactic or diagnostic injection </w:t>
            </w:r>
          </w:p>
        </w:tc>
      </w:tr>
      <w:tr w:rsidR="00FD1EE8" w14:paraId="5B88E818" w14:textId="77777777" w:rsidTr="004A5909">
        <w:trPr>
          <w:cantSplit/>
        </w:trPr>
        <w:tc>
          <w:tcPr>
            <w:tcW w:w="3325" w:type="dxa"/>
          </w:tcPr>
          <w:p w14:paraId="253EFE4F" w14:textId="33D88851" w:rsidR="00FD1EE8" w:rsidRDefault="00FD1EE8" w:rsidP="00FD1EE8">
            <w:pPr>
              <w:ind w:left="0"/>
            </w:pPr>
            <w:r w:rsidRPr="008D68A4">
              <w:rPr>
                <w:rFonts w:eastAsia="Times New Roman" w:cs="Noto Sans"/>
                <w:color w:val="000000"/>
                <w:szCs w:val="24"/>
              </w:rPr>
              <w:t>98966-98968</w:t>
            </w:r>
          </w:p>
        </w:tc>
        <w:tc>
          <w:tcPr>
            <w:tcW w:w="6210" w:type="dxa"/>
          </w:tcPr>
          <w:p w14:paraId="7CAEDE09" w14:textId="14F259F4" w:rsidR="00FD1EE8" w:rsidRDefault="00FD1EE8" w:rsidP="00FD1EE8">
            <w:pPr>
              <w:ind w:left="0"/>
            </w:pPr>
            <w:r w:rsidRPr="008D68A4">
              <w:rPr>
                <w:rFonts w:eastAsia="Times New Roman" w:cs="Noto Sans"/>
                <w:color w:val="000000"/>
                <w:szCs w:val="24"/>
              </w:rPr>
              <w:t xml:space="preserve">Non-physician telephone services </w:t>
            </w:r>
          </w:p>
        </w:tc>
      </w:tr>
      <w:tr w:rsidR="00FD1EE8" w14:paraId="4D706B97" w14:textId="77777777" w:rsidTr="004A5909">
        <w:trPr>
          <w:cantSplit/>
        </w:trPr>
        <w:tc>
          <w:tcPr>
            <w:tcW w:w="3325" w:type="dxa"/>
          </w:tcPr>
          <w:p w14:paraId="2E3CBF0E" w14:textId="3071A6E8" w:rsidR="00FD1EE8" w:rsidRDefault="00FD1EE8" w:rsidP="00FD1EE8">
            <w:pPr>
              <w:ind w:left="0"/>
            </w:pPr>
            <w:r w:rsidRPr="008D68A4">
              <w:rPr>
                <w:rFonts w:eastAsia="Times New Roman" w:cs="Noto Sans"/>
                <w:color w:val="000000"/>
                <w:szCs w:val="24"/>
              </w:rPr>
              <w:t>98000-98003</w:t>
            </w:r>
          </w:p>
        </w:tc>
        <w:tc>
          <w:tcPr>
            <w:tcW w:w="6210" w:type="dxa"/>
          </w:tcPr>
          <w:p w14:paraId="6B7A49DC" w14:textId="131CCDC7" w:rsidR="00FD1EE8" w:rsidRDefault="00FD1EE8" w:rsidP="00FD1EE8">
            <w:pPr>
              <w:ind w:left="0"/>
            </w:pPr>
            <w:r w:rsidRPr="008D68A4">
              <w:rPr>
                <w:rFonts w:eastAsia="Times New Roman" w:cs="Noto Sans"/>
                <w:color w:val="000000"/>
                <w:szCs w:val="24"/>
              </w:rPr>
              <w:t>Telehealth visit, new patient</w:t>
            </w:r>
          </w:p>
        </w:tc>
      </w:tr>
      <w:tr w:rsidR="00FD1EE8" w14:paraId="4705C7AB" w14:textId="77777777" w:rsidTr="004A5909">
        <w:trPr>
          <w:cantSplit/>
        </w:trPr>
        <w:tc>
          <w:tcPr>
            <w:tcW w:w="3325" w:type="dxa"/>
          </w:tcPr>
          <w:p w14:paraId="6CDC64A2" w14:textId="530F074F" w:rsidR="00FD1EE8" w:rsidRDefault="00FD1EE8" w:rsidP="00FD1EE8">
            <w:pPr>
              <w:ind w:left="0"/>
            </w:pPr>
            <w:r w:rsidRPr="008D68A4">
              <w:rPr>
                <w:rFonts w:eastAsia="Times New Roman" w:cs="Noto Sans"/>
                <w:color w:val="000000"/>
                <w:szCs w:val="24"/>
              </w:rPr>
              <w:t>98004-98007</w:t>
            </w:r>
          </w:p>
        </w:tc>
        <w:tc>
          <w:tcPr>
            <w:tcW w:w="6210" w:type="dxa"/>
          </w:tcPr>
          <w:p w14:paraId="5E0D8074" w14:textId="02984E80" w:rsidR="00FD1EE8" w:rsidRDefault="00FD1EE8" w:rsidP="00FD1EE8">
            <w:pPr>
              <w:ind w:left="0"/>
            </w:pPr>
            <w:r w:rsidRPr="008D68A4">
              <w:rPr>
                <w:rFonts w:eastAsia="Times New Roman" w:cs="Noto Sans"/>
                <w:color w:val="000000"/>
                <w:szCs w:val="24"/>
              </w:rPr>
              <w:t>Telehealth visit, established patient</w:t>
            </w:r>
          </w:p>
        </w:tc>
      </w:tr>
      <w:tr w:rsidR="00FD1EE8" w14:paraId="6A87DF22" w14:textId="77777777" w:rsidTr="004A5909">
        <w:trPr>
          <w:cantSplit/>
        </w:trPr>
        <w:tc>
          <w:tcPr>
            <w:tcW w:w="3325" w:type="dxa"/>
          </w:tcPr>
          <w:p w14:paraId="43C9C9AE" w14:textId="28082E16" w:rsidR="00FD1EE8" w:rsidRDefault="00FD1EE8" w:rsidP="00FD1EE8">
            <w:pPr>
              <w:ind w:left="0"/>
            </w:pPr>
            <w:r w:rsidRPr="008D68A4">
              <w:rPr>
                <w:rFonts w:eastAsia="Times New Roman" w:cs="Noto Sans"/>
                <w:color w:val="000000"/>
                <w:szCs w:val="24"/>
              </w:rPr>
              <w:t>98972-98974</w:t>
            </w:r>
          </w:p>
        </w:tc>
        <w:tc>
          <w:tcPr>
            <w:tcW w:w="6210" w:type="dxa"/>
          </w:tcPr>
          <w:p w14:paraId="2F4AFAE5" w14:textId="5CDCD490" w:rsidR="00FD1EE8" w:rsidRDefault="00FD1EE8" w:rsidP="00FD1EE8">
            <w:pPr>
              <w:ind w:left="0"/>
            </w:pPr>
            <w:r w:rsidRPr="008D68A4">
              <w:rPr>
                <w:rFonts w:eastAsia="Times New Roman" w:cs="Noto Sans"/>
                <w:color w:val="000000"/>
                <w:szCs w:val="24"/>
              </w:rPr>
              <w:t xml:space="preserve">Online assessment, management services by non-physician </w:t>
            </w:r>
          </w:p>
        </w:tc>
      </w:tr>
      <w:tr w:rsidR="00FD1EE8" w14:paraId="722A6C00" w14:textId="77777777" w:rsidTr="004A5909">
        <w:trPr>
          <w:cantSplit/>
        </w:trPr>
        <w:tc>
          <w:tcPr>
            <w:tcW w:w="3325" w:type="dxa"/>
          </w:tcPr>
          <w:p w14:paraId="7988012D" w14:textId="1ED38F9A" w:rsidR="00FD1EE8" w:rsidRDefault="00FD1EE8" w:rsidP="00FD1EE8">
            <w:pPr>
              <w:ind w:left="0"/>
            </w:pPr>
            <w:r w:rsidRPr="008D68A4">
              <w:rPr>
                <w:rFonts w:eastAsia="Times New Roman" w:cs="Noto Sans"/>
                <w:color w:val="000000"/>
                <w:szCs w:val="24"/>
              </w:rPr>
              <w:t>99202-99205</w:t>
            </w:r>
          </w:p>
        </w:tc>
        <w:tc>
          <w:tcPr>
            <w:tcW w:w="6210" w:type="dxa"/>
          </w:tcPr>
          <w:p w14:paraId="71A215C7" w14:textId="3538C104" w:rsidR="00FD1EE8" w:rsidRDefault="00FD1EE8" w:rsidP="00FD1EE8">
            <w:pPr>
              <w:ind w:left="0"/>
            </w:pPr>
            <w:r w:rsidRPr="008D68A4">
              <w:rPr>
                <w:rFonts w:eastAsia="Times New Roman" w:cs="Noto Sans"/>
                <w:color w:val="000000"/>
                <w:szCs w:val="24"/>
              </w:rPr>
              <w:t xml:space="preserve">Office or outpatient visit for a new patient </w:t>
            </w:r>
          </w:p>
        </w:tc>
      </w:tr>
      <w:tr w:rsidR="00FD1EE8" w14:paraId="0563AA92" w14:textId="77777777" w:rsidTr="004A5909">
        <w:trPr>
          <w:cantSplit/>
        </w:trPr>
        <w:tc>
          <w:tcPr>
            <w:tcW w:w="3325" w:type="dxa"/>
          </w:tcPr>
          <w:p w14:paraId="607E2DD0" w14:textId="5D518786" w:rsidR="00FD1EE8" w:rsidRDefault="00FD1EE8" w:rsidP="00FD1EE8">
            <w:pPr>
              <w:ind w:left="0"/>
            </w:pPr>
            <w:r w:rsidRPr="008D68A4">
              <w:rPr>
                <w:rFonts w:eastAsia="Times New Roman" w:cs="Noto Sans"/>
                <w:color w:val="000000"/>
                <w:szCs w:val="24"/>
              </w:rPr>
              <w:lastRenderedPageBreak/>
              <w:t>99211-99215</w:t>
            </w:r>
          </w:p>
        </w:tc>
        <w:tc>
          <w:tcPr>
            <w:tcW w:w="6210" w:type="dxa"/>
          </w:tcPr>
          <w:p w14:paraId="63B08177" w14:textId="1BC90E0D" w:rsidR="00FD1EE8" w:rsidRDefault="00FD1EE8" w:rsidP="00FD1EE8">
            <w:pPr>
              <w:ind w:left="0"/>
            </w:pPr>
            <w:r w:rsidRPr="008D68A4">
              <w:rPr>
                <w:rFonts w:eastAsia="Times New Roman" w:cs="Noto Sans"/>
                <w:color w:val="000000"/>
                <w:szCs w:val="24"/>
              </w:rPr>
              <w:t xml:space="preserve">Office or outpatient visit for an established patient </w:t>
            </w:r>
          </w:p>
        </w:tc>
      </w:tr>
      <w:tr w:rsidR="00FD1EE8" w14:paraId="3FB68A7A" w14:textId="77777777" w:rsidTr="004A5909">
        <w:trPr>
          <w:cantSplit/>
        </w:trPr>
        <w:tc>
          <w:tcPr>
            <w:tcW w:w="3325" w:type="dxa"/>
          </w:tcPr>
          <w:p w14:paraId="5B934B93" w14:textId="0B2CD18E" w:rsidR="00FD1EE8" w:rsidRDefault="00FD1EE8" w:rsidP="00FD1EE8">
            <w:pPr>
              <w:ind w:left="0"/>
            </w:pPr>
            <w:r w:rsidRPr="008D68A4">
              <w:rPr>
                <w:rFonts w:eastAsia="Times New Roman" w:cs="Noto Sans"/>
                <w:color w:val="000000"/>
                <w:szCs w:val="24"/>
              </w:rPr>
              <w:t>99241-99245</w:t>
            </w:r>
          </w:p>
        </w:tc>
        <w:tc>
          <w:tcPr>
            <w:tcW w:w="6210" w:type="dxa"/>
          </w:tcPr>
          <w:p w14:paraId="3CC72A82" w14:textId="516FFD57" w:rsidR="00FD1EE8" w:rsidRDefault="00FD1EE8" w:rsidP="00FD1EE8">
            <w:pPr>
              <w:ind w:left="0"/>
            </w:pPr>
            <w:r w:rsidRPr="008D68A4">
              <w:rPr>
                <w:rFonts w:eastAsia="Times New Roman" w:cs="Noto Sans"/>
                <w:color w:val="000000"/>
                <w:szCs w:val="24"/>
              </w:rPr>
              <w:t xml:space="preserve">Office or other outpatient consultations </w:t>
            </w:r>
          </w:p>
        </w:tc>
      </w:tr>
      <w:tr w:rsidR="00FD1EE8" w14:paraId="5FB1D4DE" w14:textId="77777777" w:rsidTr="004A5909">
        <w:trPr>
          <w:cantSplit/>
        </w:trPr>
        <w:tc>
          <w:tcPr>
            <w:tcW w:w="3325" w:type="dxa"/>
          </w:tcPr>
          <w:p w14:paraId="58EB4E93" w14:textId="5056DAC1" w:rsidR="00FD1EE8" w:rsidRDefault="00FD1EE8" w:rsidP="00FD1EE8">
            <w:pPr>
              <w:ind w:left="0"/>
            </w:pPr>
            <w:r w:rsidRPr="008D68A4">
              <w:rPr>
                <w:rFonts w:eastAsia="Times New Roman" w:cs="Noto Sans"/>
                <w:color w:val="000000"/>
                <w:szCs w:val="24"/>
              </w:rPr>
              <w:t>99341-99345</w:t>
            </w:r>
          </w:p>
        </w:tc>
        <w:tc>
          <w:tcPr>
            <w:tcW w:w="6210" w:type="dxa"/>
          </w:tcPr>
          <w:p w14:paraId="56323897" w14:textId="2F130A63" w:rsidR="00FD1EE8" w:rsidRDefault="00FD1EE8" w:rsidP="00FD1EE8">
            <w:pPr>
              <w:ind w:left="0"/>
            </w:pPr>
            <w:r w:rsidRPr="008D68A4">
              <w:rPr>
                <w:rFonts w:eastAsia="Times New Roman" w:cs="Noto Sans"/>
                <w:color w:val="000000"/>
                <w:szCs w:val="24"/>
              </w:rPr>
              <w:t xml:space="preserve">Home visit for a new patient </w:t>
            </w:r>
          </w:p>
        </w:tc>
      </w:tr>
      <w:tr w:rsidR="00FD1EE8" w14:paraId="019C7EF6" w14:textId="77777777" w:rsidTr="004A5909">
        <w:trPr>
          <w:cantSplit/>
        </w:trPr>
        <w:tc>
          <w:tcPr>
            <w:tcW w:w="3325" w:type="dxa"/>
          </w:tcPr>
          <w:p w14:paraId="44402496" w14:textId="08823D81" w:rsidR="00FD1EE8" w:rsidRDefault="00FD1EE8" w:rsidP="00FD1EE8">
            <w:pPr>
              <w:ind w:left="0"/>
            </w:pPr>
            <w:r w:rsidRPr="008D68A4">
              <w:rPr>
                <w:rFonts w:eastAsia="Times New Roman" w:cs="Noto Sans"/>
                <w:color w:val="000000"/>
                <w:szCs w:val="24"/>
              </w:rPr>
              <w:t>99347-99350</w:t>
            </w:r>
          </w:p>
        </w:tc>
        <w:tc>
          <w:tcPr>
            <w:tcW w:w="6210" w:type="dxa"/>
          </w:tcPr>
          <w:p w14:paraId="6BC86375" w14:textId="077E208F" w:rsidR="00FD1EE8" w:rsidRDefault="00FD1EE8" w:rsidP="00FD1EE8">
            <w:pPr>
              <w:ind w:left="0"/>
            </w:pPr>
            <w:r w:rsidRPr="008D68A4">
              <w:rPr>
                <w:rFonts w:eastAsia="Times New Roman" w:cs="Noto Sans"/>
                <w:color w:val="000000"/>
                <w:szCs w:val="24"/>
              </w:rPr>
              <w:t xml:space="preserve">Home visit for an established patient </w:t>
            </w:r>
          </w:p>
        </w:tc>
      </w:tr>
      <w:tr w:rsidR="00FD1EE8" w14:paraId="2D7B758A" w14:textId="77777777" w:rsidTr="004A5909">
        <w:trPr>
          <w:cantSplit/>
        </w:trPr>
        <w:tc>
          <w:tcPr>
            <w:tcW w:w="3325" w:type="dxa"/>
          </w:tcPr>
          <w:p w14:paraId="6BBF55CB" w14:textId="0CB3C540" w:rsidR="00FD1EE8" w:rsidRDefault="00FD1EE8" w:rsidP="00FD1EE8">
            <w:pPr>
              <w:ind w:left="0"/>
            </w:pPr>
            <w:r w:rsidRPr="008D68A4">
              <w:rPr>
                <w:rFonts w:eastAsia="Times New Roman" w:cs="Noto Sans"/>
                <w:color w:val="000000"/>
                <w:szCs w:val="24"/>
              </w:rPr>
              <w:t>99381-99387</w:t>
            </w:r>
          </w:p>
        </w:tc>
        <w:tc>
          <w:tcPr>
            <w:tcW w:w="6210" w:type="dxa"/>
          </w:tcPr>
          <w:p w14:paraId="264B2FF4" w14:textId="67A2DDAC" w:rsidR="00FD1EE8" w:rsidRDefault="00FD1EE8" w:rsidP="00FD1EE8">
            <w:pPr>
              <w:ind w:left="0"/>
            </w:pPr>
            <w:r w:rsidRPr="008D68A4">
              <w:rPr>
                <w:rFonts w:eastAsia="Times New Roman" w:cs="Noto Sans"/>
                <w:color w:val="000000"/>
                <w:szCs w:val="24"/>
              </w:rPr>
              <w:t>Well-baby visits for infants &lt; 1 year old</w:t>
            </w:r>
          </w:p>
        </w:tc>
      </w:tr>
      <w:tr w:rsidR="00FD1EE8" w14:paraId="06669197" w14:textId="77777777" w:rsidTr="004A5909">
        <w:trPr>
          <w:cantSplit/>
        </w:trPr>
        <w:tc>
          <w:tcPr>
            <w:tcW w:w="3325" w:type="dxa"/>
          </w:tcPr>
          <w:p w14:paraId="7458F710" w14:textId="6E1EFCE1" w:rsidR="00FD1EE8" w:rsidRDefault="00FD1EE8" w:rsidP="00FD1EE8">
            <w:pPr>
              <w:ind w:left="0"/>
            </w:pPr>
            <w:r w:rsidRPr="008D68A4">
              <w:rPr>
                <w:rFonts w:eastAsia="Times New Roman" w:cs="Noto Sans"/>
                <w:color w:val="000000"/>
                <w:szCs w:val="24"/>
              </w:rPr>
              <w:t>99391-99397</w:t>
            </w:r>
          </w:p>
        </w:tc>
        <w:tc>
          <w:tcPr>
            <w:tcW w:w="6210" w:type="dxa"/>
          </w:tcPr>
          <w:p w14:paraId="140B090A" w14:textId="35D82512" w:rsidR="00FD1EE8" w:rsidRDefault="00FD1EE8" w:rsidP="00FD1EE8">
            <w:pPr>
              <w:ind w:left="0"/>
            </w:pPr>
            <w:r w:rsidRPr="008D68A4">
              <w:rPr>
                <w:rFonts w:eastAsia="Times New Roman" w:cs="Noto Sans"/>
                <w:color w:val="000000"/>
                <w:szCs w:val="24"/>
              </w:rPr>
              <w:t xml:space="preserve">Preventive medicine periodic reevaluation </w:t>
            </w:r>
          </w:p>
        </w:tc>
      </w:tr>
      <w:tr w:rsidR="00FD1EE8" w14:paraId="3471F917" w14:textId="77777777" w:rsidTr="004A5909">
        <w:trPr>
          <w:cantSplit/>
        </w:trPr>
        <w:tc>
          <w:tcPr>
            <w:tcW w:w="3325" w:type="dxa"/>
          </w:tcPr>
          <w:p w14:paraId="27EBEFE0" w14:textId="4012FB95" w:rsidR="00FD1EE8" w:rsidRDefault="00FD1EE8" w:rsidP="00FD1EE8">
            <w:pPr>
              <w:ind w:left="0"/>
            </w:pPr>
            <w:r w:rsidRPr="008D68A4">
              <w:rPr>
                <w:rFonts w:eastAsia="Times New Roman" w:cs="Noto Sans"/>
                <w:color w:val="000000"/>
                <w:szCs w:val="24"/>
              </w:rPr>
              <w:t>99401-99404</w:t>
            </w:r>
          </w:p>
        </w:tc>
        <w:tc>
          <w:tcPr>
            <w:tcW w:w="6210" w:type="dxa"/>
          </w:tcPr>
          <w:p w14:paraId="215E29B0" w14:textId="334A4704" w:rsidR="00FD1EE8" w:rsidRDefault="00FD1EE8" w:rsidP="00FD1EE8">
            <w:pPr>
              <w:ind w:left="0"/>
            </w:pPr>
            <w:r w:rsidRPr="008D68A4">
              <w:rPr>
                <w:rFonts w:eastAsia="Times New Roman" w:cs="Noto Sans"/>
                <w:color w:val="000000"/>
                <w:szCs w:val="24"/>
              </w:rPr>
              <w:t xml:space="preserve">Preventive medicine counseling or risk reduction intervention </w:t>
            </w:r>
          </w:p>
        </w:tc>
      </w:tr>
      <w:tr w:rsidR="00FD1EE8" w14:paraId="3B86B77F" w14:textId="77777777" w:rsidTr="004A5909">
        <w:trPr>
          <w:cantSplit/>
        </w:trPr>
        <w:tc>
          <w:tcPr>
            <w:tcW w:w="3325" w:type="dxa"/>
          </w:tcPr>
          <w:p w14:paraId="136DAB05" w14:textId="43932DA8" w:rsidR="00FD1EE8" w:rsidRDefault="00FD1EE8" w:rsidP="00FD1EE8">
            <w:pPr>
              <w:ind w:left="0"/>
            </w:pPr>
            <w:r w:rsidRPr="008D68A4">
              <w:rPr>
                <w:rFonts w:eastAsia="Times New Roman" w:cs="Noto Sans"/>
                <w:color w:val="000000"/>
                <w:szCs w:val="24"/>
              </w:rPr>
              <w:t>99406-99407</w:t>
            </w:r>
          </w:p>
        </w:tc>
        <w:tc>
          <w:tcPr>
            <w:tcW w:w="6210" w:type="dxa"/>
          </w:tcPr>
          <w:p w14:paraId="7146931D" w14:textId="004B71A2" w:rsidR="00FD1EE8" w:rsidRDefault="00FD1EE8" w:rsidP="00FD1EE8">
            <w:pPr>
              <w:ind w:left="0"/>
            </w:pPr>
            <w:r w:rsidRPr="008D68A4">
              <w:rPr>
                <w:rFonts w:eastAsia="Times New Roman" w:cs="Noto Sans"/>
                <w:color w:val="000000"/>
                <w:szCs w:val="24"/>
              </w:rPr>
              <w:t xml:space="preserve">Smoking and tobacco use cessation counseling visit </w:t>
            </w:r>
          </w:p>
        </w:tc>
      </w:tr>
      <w:tr w:rsidR="00FD1EE8" w14:paraId="2DDD95E1" w14:textId="77777777" w:rsidTr="004A5909">
        <w:trPr>
          <w:cantSplit/>
        </w:trPr>
        <w:tc>
          <w:tcPr>
            <w:tcW w:w="3325" w:type="dxa"/>
          </w:tcPr>
          <w:p w14:paraId="3A3A55A2" w14:textId="69530108" w:rsidR="00FD1EE8" w:rsidRDefault="00FD1EE8" w:rsidP="00FD1EE8">
            <w:pPr>
              <w:ind w:left="0"/>
            </w:pPr>
            <w:r w:rsidRPr="008D68A4">
              <w:rPr>
                <w:rFonts w:eastAsia="Times New Roman" w:cs="Noto Sans"/>
                <w:color w:val="000000"/>
                <w:szCs w:val="24"/>
              </w:rPr>
              <w:t>99408-99409</w:t>
            </w:r>
          </w:p>
        </w:tc>
        <w:tc>
          <w:tcPr>
            <w:tcW w:w="6210" w:type="dxa"/>
          </w:tcPr>
          <w:p w14:paraId="6AF4012A" w14:textId="305B7E0E" w:rsidR="00FD1EE8" w:rsidRDefault="00FD1EE8" w:rsidP="00FD1EE8">
            <w:pPr>
              <w:ind w:left="0"/>
            </w:pPr>
            <w:r w:rsidRPr="008D68A4">
              <w:rPr>
                <w:rFonts w:eastAsia="Times New Roman" w:cs="Noto Sans"/>
                <w:color w:val="000000"/>
                <w:szCs w:val="24"/>
              </w:rPr>
              <w:t xml:space="preserve">Alcohol or substance abuse screening and brief intervention </w:t>
            </w:r>
          </w:p>
        </w:tc>
      </w:tr>
      <w:tr w:rsidR="00FD1EE8" w14:paraId="04B86D83" w14:textId="77777777" w:rsidTr="004A5909">
        <w:trPr>
          <w:cantSplit/>
        </w:trPr>
        <w:tc>
          <w:tcPr>
            <w:tcW w:w="3325" w:type="dxa"/>
          </w:tcPr>
          <w:p w14:paraId="28CBA8B0" w14:textId="40FFA166" w:rsidR="00FD1EE8" w:rsidRDefault="00FD1EE8" w:rsidP="00FD1EE8">
            <w:pPr>
              <w:ind w:left="0"/>
            </w:pPr>
            <w:r w:rsidRPr="008D68A4">
              <w:rPr>
                <w:rFonts w:eastAsia="Times New Roman" w:cs="Noto Sans"/>
                <w:color w:val="000000"/>
                <w:szCs w:val="24"/>
              </w:rPr>
              <w:t>99411-99412</w:t>
            </w:r>
          </w:p>
        </w:tc>
        <w:tc>
          <w:tcPr>
            <w:tcW w:w="6210" w:type="dxa"/>
          </w:tcPr>
          <w:p w14:paraId="28133A83" w14:textId="29DF9661" w:rsidR="00FD1EE8" w:rsidRDefault="00FD1EE8" w:rsidP="00FD1EE8">
            <w:pPr>
              <w:ind w:left="0"/>
            </w:pPr>
            <w:r w:rsidRPr="008D68A4">
              <w:rPr>
                <w:rFonts w:eastAsia="Times New Roman" w:cs="Noto Sans"/>
                <w:color w:val="000000"/>
                <w:szCs w:val="24"/>
              </w:rPr>
              <w:t xml:space="preserve">Group preventive medicine counseling or risk reduction intervention </w:t>
            </w:r>
          </w:p>
        </w:tc>
      </w:tr>
      <w:tr w:rsidR="00FD1EE8" w14:paraId="58F2785E" w14:textId="77777777" w:rsidTr="004A5909">
        <w:trPr>
          <w:cantSplit/>
        </w:trPr>
        <w:tc>
          <w:tcPr>
            <w:tcW w:w="3325" w:type="dxa"/>
          </w:tcPr>
          <w:p w14:paraId="324DFDBA" w14:textId="0198D64B" w:rsidR="00FD1EE8" w:rsidRDefault="00FD1EE8" w:rsidP="00FD1EE8">
            <w:pPr>
              <w:ind w:left="0"/>
            </w:pPr>
            <w:r w:rsidRPr="008D68A4">
              <w:rPr>
                <w:rFonts w:eastAsia="Times New Roman" w:cs="Noto Sans"/>
                <w:color w:val="000000"/>
                <w:szCs w:val="24"/>
              </w:rPr>
              <w:t>99421-99423</w:t>
            </w:r>
          </w:p>
        </w:tc>
        <w:tc>
          <w:tcPr>
            <w:tcW w:w="6210" w:type="dxa"/>
          </w:tcPr>
          <w:p w14:paraId="750B98D1" w14:textId="5F61A08F" w:rsidR="00FD1EE8" w:rsidRDefault="00FD1EE8" w:rsidP="00FD1EE8">
            <w:pPr>
              <w:ind w:left="0"/>
            </w:pPr>
            <w:r w:rsidRPr="008D68A4">
              <w:rPr>
                <w:rFonts w:eastAsia="Times New Roman" w:cs="Noto Sans"/>
                <w:color w:val="000000"/>
                <w:szCs w:val="24"/>
              </w:rPr>
              <w:t>Online medical evaluation by a physician or other qualified health professional</w:t>
            </w:r>
          </w:p>
        </w:tc>
      </w:tr>
      <w:tr w:rsidR="00FD1EE8" w14:paraId="42ED49F8" w14:textId="77777777" w:rsidTr="004A5909">
        <w:trPr>
          <w:cantSplit/>
        </w:trPr>
        <w:tc>
          <w:tcPr>
            <w:tcW w:w="3325" w:type="dxa"/>
          </w:tcPr>
          <w:p w14:paraId="6900A475" w14:textId="3F597953" w:rsidR="00FD1EE8" w:rsidRDefault="00FD1EE8" w:rsidP="00FD1EE8">
            <w:pPr>
              <w:ind w:left="0"/>
            </w:pPr>
            <w:r w:rsidRPr="008D68A4">
              <w:rPr>
                <w:rFonts w:eastAsia="Times New Roman" w:cs="Noto Sans"/>
                <w:color w:val="000000"/>
                <w:szCs w:val="24"/>
              </w:rPr>
              <w:t>99429</w:t>
            </w:r>
          </w:p>
        </w:tc>
        <w:tc>
          <w:tcPr>
            <w:tcW w:w="6210" w:type="dxa"/>
          </w:tcPr>
          <w:p w14:paraId="58B21570" w14:textId="66902F41" w:rsidR="00FD1EE8" w:rsidRDefault="00FD1EE8" w:rsidP="00FD1EE8">
            <w:pPr>
              <w:ind w:left="0"/>
            </w:pPr>
            <w:r w:rsidRPr="008D68A4">
              <w:rPr>
                <w:rFonts w:eastAsia="Times New Roman" w:cs="Noto Sans"/>
                <w:color w:val="000000"/>
                <w:szCs w:val="24"/>
              </w:rPr>
              <w:t xml:space="preserve">Unlisted preventive medicine service </w:t>
            </w:r>
          </w:p>
        </w:tc>
      </w:tr>
      <w:tr w:rsidR="00FD1EE8" w14:paraId="1978F6AD" w14:textId="77777777" w:rsidTr="004A5909">
        <w:trPr>
          <w:cantSplit/>
        </w:trPr>
        <w:tc>
          <w:tcPr>
            <w:tcW w:w="3325" w:type="dxa"/>
          </w:tcPr>
          <w:p w14:paraId="243B9898" w14:textId="4471C31B" w:rsidR="00FD1EE8" w:rsidRDefault="00FD1EE8" w:rsidP="00FD1EE8">
            <w:pPr>
              <w:ind w:left="0"/>
            </w:pPr>
            <w:r w:rsidRPr="008D68A4">
              <w:rPr>
                <w:rFonts w:eastAsia="Times New Roman" w:cs="Noto Sans"/>
                <w:color w:val="000000"/>
                <w:szCs w:val="24"/>
              </w:rPr>
              <w:t>99441-99443</w:t>
            </w:r>
          </w:p>
        </w:tc>
        <w:tc>
          <w:tcPr>
            <w:tcW w:w="6210" w:type="dxa"/>
          </w:tcPr>
          <w:p w14:paraId="1D59CF78" w14:textId="5B56AB43" w:rsidR="00FD1EE8" w:rsidRDefault="00FD1EE8" w:rsidP="00FD1EE8">
            <w:pPr>
              <w:ind w:left="0"/>
            </w:pPr>
            <w:r w:rsidRPr="008D68A4">
              <w:rPr>
                <w:rFonts w:eastAsia="Times New Roman" w:cs="Noto Sans"/>
                <w:color w:val="000000"/>
                <w:szCs w:val="24"/>
              </w:rPr>
              <w:t xml:space="preserve">Telephone calls for patient management </w:t>
            </w:r>
          </w:p>
        </w:tc>
      </w:tr>
      <w:tr w:rsidR="00FD1EE8" w14:paraId="7DF7DDB6" w14:textId="77777777" w:rsidTr="004A5909">
        <w:trPr>
          <w:cantSplit/>
        </w:trPr>
        <w:tc>
          <w:tcPr>
            <w:tcW w:w="3325" w:type="dxa"/>
          </w:tcPr>
          <w:p w14:paraId="509C1AA5" w14:textId="26F51BFB" w:rsidR="00FD1EE8" w:rsidRDefault="00FD1EE8" w:rsidP="00FD1EE8">
            <w:pPr>
              <w:ind w:left="0"/>
            </w:pPr>
            <w:r w:rsidRPr="008D68A4">
              <w:rPr>
                <w:rFonts w:eastAsia="Times New Roman" w:cs="Noto Sans"/>
                <w:color w:val="000000"/>
                <w:szCs w:val="24"/>
              </w:rPr>
              <w:t>99483</w:t>
            </w:r>
          </w:p>
        </w:tc>
        <w:tc>
          <w:tcPr>
            <w:tcW w:w="6210" w:type="dxa"/>
          </w:tcPr>
          <w:p w14:paraId="0FB716F1" w14:textId="243F4294" w:rsidR="00FD1EE8" w:rsidRDefault="00FD1EE8" w:rsidP="00FD1EE8">
            <w:pPr>
              <w:ind w:left="0"/>
            </w:pPr>
            <w:r w:rsidRPr="008D68A4">
              <w:rPr>
                <w:rFonts w:eastAsia="Times New Roman" w:cs="Noto Sans"/>
                <w:color w:val="000000"/>
                <w:szCs w:val="24"/>
              </w:rPr>
              <w:t xml:space="preserve">Cognition and functional assessment </w:t>
            </w:r>
          </w:p>
        </w:tc>
      </w:tr>
      <w:tr w:rsidR="00FD1EE8" w14:paraId="62F9E638" w14:textId="77777777" w:rsidTr="004A5909">
        <w:trPr>
          <w:cantSplit/>
        </w:trPr>
        <w:tc>
          <w:tcPr>
            <w:tcW w:w="3325" w:type="dxa"/>
          </w:tcPr>
          <w:p w14:paraId="290177DE" w14:textId="29E9EBCD" w:rsidR="00FD1EE8" w:rsidRDefault="00FD1EE8" w:rsidP="00FD1EE8">
            <w:pPr>
              <w:ind w:left="0"/>
            </w:pPr>
            <w:r w:rsidRPr="008D68A4">
              <w:rPr>
                <w:rFonts w:eastAsia="Times New Roman" w:cs="Noto Sans"/>
                <w:color w:val="000000"/>
                <w:szCs w:val="24"/>
              </w:rPr>
              <w:t>99484</w:t>
            </w:r>
          </w:p>
        </w:tc>
        <w:tc>
          <w:tcPr>
            <w:tcW w:w="6210" w:type="dxa"/>
          </w:tcPr>
          <w:p w14:paraId="38605717" w14:textId="0E07EE9E" w:rsidR="00FD1EE8" w:rsidRDefault="00FD1EE8" w:rsidP="00FD1EE8">
            <w:pPr>
              <w:ind w:left="0"/>
            </w:pPr>
            <w:r w:rsidRPr="008D68A4">
              <w:rPr>
                <w:rFonts w:eastAsia="Times New Roman" w:cs="Noto Sans"/>
                <w:color w:val="000000"/>
                <w:szCs w:val="24"/>
              </w:rPr>
              <w:t>Care management services for behavioral health conditions</w:t>
            </w:r>
          </w:p>
        </w:tc>
      </w:tr>
      <w:tr w:rsidR="00FD1EE8" w14:paraId="3D03BCF1" w14:textId="77777777" w:rsidTr="004A5909">
        <w:trPr>
          <w:cantSplit/>
        </w:trPr>
        <w:tc>
          <w:tcPr>
            <w:tcW w:w="3325" w:type="dxa"/>
          </w:tcPr>
          <w:p w14:paraId="2801DC85" w14:textId="6159E063" w:rsidR="00FD1EE8" w:rsidRDefault="00FD1EE8" w:rsidP="00FD1EE8">
            <w:pPr>
              <w:ind w:left="0"/>
            </w:pPr>
            <w:r w:rsidRPr="008D68A4">
              <w:rPr>
                <w:rFonts w:eastAsia="Times New Roman" w:cs="Noto Sans"/>
                <w:color w:val="000000"/>
                <w:szCs w:val="24"/>
              </w:rPr>
              <w:t>99492</w:t>
            </w:r>
          </w:p>
        </w:tc>
        <w:tc>
          <w:tcPr>
            <w:tcW w:w="6210" w:type="dxa"/>
          </w:tcPr>
          <w:p w14:paraId="6A759C8D" w14:textId="5002309F" w:rsidR="00FD1EE8" w:rsidRDefault="00FD1EE8" w:rsidP="00FD1EE8">
            <w:pPr>
              <w:ind w:left="0"/>
            </w:pPr>
            <w:r w:rsidRPr="008D68A4">
              <w:rPr>
                <w:rFonts w:eastAsia="Times New Roman" w:cs="Noto Sans"/>
                <w:color w:val="000000"/>
                <w:szCs w:val="24"/>
              </w:rPr>
              <w:t xml:space="preserve">Initial psychiatric collaborative care management </w:t>
            </w:r>
          </w:p>
        </w:tc>
      </w:tr>
      <w:tr w:rsidR="00FD1EE8" w14:paraId="16FF7A20" w14:textId="77777777" w:rsidTr="004A5909">
        <w:trPr>
          <w:cantSplit/>
        </w:trPr>
        <w:tc>
          <w:tcPr>
            <w:tcW w:w="3325" w:type="dxa"/>
          </w:tcPr>
          <w:p w14:paraId="53743CB8" w14:textId="7F102ADC" w:rsidR="00FD1EE8" w:rsidRDefault="00FD1EE8" w:rsidP="00FD1EE8">
            <w:pPr>
              <w:ind w:left="0"/>
            </w:pPr>
            <w:r w:rsidRPr="008D68A4">
              <w:rPr>
                <w:rFonts w:eastAsia="Times New Roman" w:cs="Noto Sans"/>
                <w:color w:val="000000"/>
                <w:szCs w:val="24"/>
              </w:rPr>
              <w:t>99493</w:t>
            </w:r>
          </w:p>
        </w:tc>
        <w:tc>
          <w:tcPr>
            <w:tcW w:w="6210" w:type="dxa"/>
          </w:tcPr>
          <w:p w14:paraId="2D4A5083" w14:textId="2A4937BA" w:rsidR="00FD1EE8" w:rsidRDefault="00FD1EE8" w:rsidP="00FD1EE8">
            <w:pPr>
              <w:ind w:left="0"/>
            </w:pPr>
            <w:r w:rsidRPr="008D68A4">
              <w:rPr>
                <w:rFonts w:eastAsia="Times New Roman" w:cs="Noto Sans"/>
                <w:color w:val="000000"/>
                <w:szCs w:val="24"/>
              </w:rPr>
              <w:t xml:space="preserve">Subsequent psychiatric collaborative care management </w:t>
            </w:r>
          </w:p>
        </w:tc>
      </w:tr>
      <w:tr w:rsidR="00FD1EE8" w14:paraId="07E685EA" w14:textId="77777777" w:rsidTr="004A5909">
        <w:trPr>
          <w:cantSplit/>
        </w:trPr>
        <w:tc>
          <w:tcPr>
            <w:tcW w:w="3325" w:type="dxa"/>
          </w:tcPr>
          <w:p w14:paraId="61FCCA81" w14:textId="55EBB382" w:rsidR="00FD1EE8" w:rsidRDefault="00FD1EE8" w:rsidP="00FD1EE8">
            <w:pPr>
              <w:ind w:left="0"/>
            </w:pPr>
            <w:r w:rsidRPr="008D68A4">
              <w:rPr>
                <w:rFonts w:eastAsia="Times New Roman" w:cs="Noto Sans"/>
                <w:color w:val="000000"/>
                <w:szCs w:val="24"/>
              </w:rPr>
              <w:lastRenderedPageBreak/>
              <w:t>99494</w:t>
            </w:r>
          </w:p>
        </w:tc>
        <w:tc>
          <w:tcPr>
            <w:tcW w:w="6210" w:type="dxa"/>
          </w:tcPr>
          <w:p w14:paraId="39F1AF80" w14:textId="4E52735E" w:rsidR="00FD1EE8" w:rsidRDefault="00FD1EE8" w:rsidP="00FD1EE8">
            <w:pPr>
              <w:ind w:left="0"/>
            </w:pPr>
            <w:r w:rsidRPr="008D68A4">
              <w:rPr>
                <w:rFonts w:eastAsia="Times New Roman" w:cs="Noto Sans"/>
                <w:color w:val="000000"/>
                <w:szCs w:val="24"/>
              </w:rPr>
              <w:t xml:space="preserve">Initial or subsequent psychiatric collaborative care management </w:t>
            </w:r>
          </w:p>
        </w:tc>
      </w:tr>
      <w:tr w:rsidR="00FD1EE8" w14:paraId="147DA250" w14:textId="77777777" w:rsidTr="004A5909">
        <w:trPr>
          <w:cantSplit/>
        </w:trPr>
        <w:tc>
          <w:tcPr>
            <w:tcW w:w="3325" w:type="dxa"/>
          </w:tcPr>
          <w:p w14:paraId="31AC0F44" w14:textId="4C20C1A0" w:rsidR="00FD1EE8" w:rsidRDefault="00FD1EE8" w:rsidP="00FD1EE8">
            <w:pPr>
              <w:ind w:left="0"/>
            </w:pPr>
            <w:r w:rsidRPr="008D68A4">
              <w:rPr>
                <w:rFonts w:eastAsia="Times New Roman" w:cs="Noto Sans"/>
                <w:color w:val="000000"/>
                <w:szCs w:val="24"/>
              </w:rPr>
              <w:t>99495-99496</w:t>
            </w:r>
          </w:p>
        </w:tc>
        <w:tc>
          <w:tcPr>
            <w:tcW w:w="6210" w:type="dxa"/>
          </w:tcPr>
          <w:p w14:paraId="30D27274" w14:textId="1FB10738" w:rsidR="00FD1EE8" w:rsidRDefault="00FD1EE8" w:rsidP="00FD1EE8">
            <w:pPr>
              <w:ind w:left="0"/>
            </w:pPr>
            <w:r w:rsidRPr="008D68A4">
              <w:rPr>
                <w:rFonts w:eastAsia="Times New Roman" w:cs="Noto Sans"/>
                <w:color w:val="000000"/>
                <w:szCs w:val="24"/>
              </w:rPr>
              <w:t>Transitional care management services</w:t>
            </w:r>
          </w:p>
        </w:tc>
      </w:tr>
      <w:tr w:rsidR="00FD1EE8" w14:paraId="56933791" w14:textId="77777777" w:rsidTr="004A5909">
        <w:trPr>
          <w:cantSplit/>
        </w:trPr>
        <w:tc>
          <w:tcPr>
            <w:tcW w:w="3325" w:type="dxa"/>
          </w:tcPr>
          <w:p w14:paraId="32C88632" w14:textId="656EBEFE" w:rsidR="00FD1EE8" w:rsidRDefault="00FD1EE8" w:rsidP="00FD1EE8">
            <w:pPr>
              <w:ind w:left="0"/>
            </w:pPr>
            <w:r w:rsidRPr="008D68A4">
              <w:rPr>
                <w:rFonts w:eastAsia="Times New Roman" w:cs="Noto Sans"/>
                <w:color w:val="000000"/>
                <w:szCs w:val="24"/>
              </w:rPr>
              <w:t xml:space="preserve">G0008-G0010  </w:t>
            </w:r>
          </w:p>
        </w:tc>
        <w:tc>
          <w:tcPr>
            <w:tcW w:w="6210" w:type="dxa"/>
          </w:tcPr>
          <w:p w14:paraId="51D0E94E" w14:textId="64A1F355" w:rsidR="00FD1EE8" w:rsidRDefault="00FD1EE8" w:rsidP="00FD1EE8">
            <w:pPr>
              <w:ind w:left="0"/>
            </w:pPr>
            <w:r w:rsidRPr="008D68A4">
              <w:rPr>
                <w:rFonts w:eastAsia="Times New Roman" w:cs="Noto Sans"/>
                <w:color w:val="000000"/>
                <w:szCs w:val="24"/>
              </w:rPr>
              <w:t xml:space="preserve">Administration of influenza virus, pneumococcal, hepatitis B vaccine </w:t>
            </w:r>
          </w:p>
        </w:tc>
      </w:tr>
      <w:tr w:rsidR="00FD1EE8" w14:paraId="73626630" w14:textId="77777777" w:rsidTr="004A5909">
        <w:trPr>
          <w:cantSplit/>
        </w:trPr>
        <w:tc>
          <w:tcPr>
            <w:tcW w:w="3325" w:type="dxa"/>
          </w:tcPr>
          <w:p w14:paraId="68C79488" w14:textId="3400F4A6" w:rsidR="00FD1EE8" w:rsidRDefault="00FD1EE8" w:rsidP="00FD1EE8">
            <w:pPr>
              <w:ind w:left="0"/>
            </w:pPr>
            <w:r w:rsidRPr="008D68A4">
              <w:rPr>
                <w:rFonts w:eastAsia="Times New Roman" w:cs="Noto Sans"/>
                <w:color w:val="000000"/>
                <w:szCs w:val="24"/>
              </w:rPr>
              <w:t xml:space="preserve">G0396-G0397  </w:t>
            </w:r>
          </w:p>
        </w:tc>
        <w:tc>
          <w:tcPr>
            <w:tcW w:w="6210" w:type="dxa"/>
          </w:tcPr>
          <w:p w14:paraId="4B9A23F6" w14:textId="23B645F2" w:rsidR="00FD1EE8" w:rsidRDefault="00FD1EE8" w:rsidP="00FD1EE8">
            <w:pPr>
              <w:ind w:left="0"/>
            </w:pPr>
            <w:r w:rsidRPr="008D68A4">
              <w:rPr>
                <w:rFonts w:eastAsia="Times New Roman" w:cs="Noto Sans"/>
                <w:color w:val="000000"/>
                <w:szCs w:val="24"/>
              </w:rPr>
              <w:t xml:space="preserve">Alcohol or substance abuse assessment </w:t>
            </w:r>
          </w:p>
        </w:tc>
      </w:tr>
      <w:tr w:rsidR="00FD1EE8" w14:paraId="6DFF24CF" w14:textId="77777777" w:rsidTr="004A5909">
        <w:trPr>
          <w:cantSplit/>
        </w:trPr>
        <w:tc>
          <w:tcPr>
            <w:tcW w:w="3325" w:type="dxa"/>
          </w:tcPr>
          <w:p w14:paraId="20F726C4" w14:textId="22A60CE3" w:rsidR="00FD1EE8" w:rsidRDefault="00FD1EE8" w:rsidP="00FD1EE8">
            <w:pPr>
              <w:ind w:left="0"/>
            </w:pPr>
            <w:r w:rsidRPr="008D68A4">
              <w:rPr>
                <w:rFonts w:eastAsia="Times New Roman" w:cs="Noto Sans"/>
                <w:color w:val="000000"/>
                <w:szCs w:val="24"/>
              </w:rPr>
              <w:t xml:space="preserve">G0438-G0439  </w:t>
            </w:r>
          </w:p>
        </w:tc>
        <w:tc>
          <w:tcPr>
            <w:tcW w:w="6210" w:type="dxa"/>
          </w:tcPr>
          <w:p w14:paraId="4496F343" w14:textId="57492E3D" w:rsidR="00FD1EE8" w:rsidRDefault="00FD1EE8" w:rsidP="00FD1EE8">
            <w:pPr>
              <w:ind w:left="0"/>
            </w:pPr>
            <w:r w:rsidRPr="008D68A4">
              <w:rPr>
                <w:rFonts w:eastAsia="Times New Roman" w:cs="Noto Sans"/>
                <w:color w:val="000000"/>
                <w:szCs w:val="24"/>
              </w:rPr>
              <w:t>Medicare annual wellness visit</w:t>
            </w:r>
          </w:p>
        </w:tc>
      </w:tr>
      <w:tr w:rsidR="00FD1EE8" w14:paraId="7C7B4235" w14:textId="77777777" w:rsidTr="004A5909">
        <w:trPr>
          <w:cantSplit/>
        </w:trPr>
        <w:tc>
          <w:tcPr>
            <w:tcW w:w="3325" w:type="dxa"/>
          </w:tcPr>
          <w:p w14:paraId="7034005F" w14:textId="2D7FC8D5" w:rsidR="00FD1EE8" w:rsidRDefault="00FD1EE8" w:rsidP="00FD1EE8">
            <w:pPr>
              <w:ind w:left="0"/>
            </w:pPr>
            <w:r w:rsidRPr="008D68A4">
              <w:rPr>
                <w:rFonts w:eastAsia="Times New Roman" w:cs="Noto Sans"/>
                <w:color w:val="000000"/>
                <w:szCs w:val="24"/>
              </w:rPr>
              <w:t xml:space="preserve">G0442 </w:t>
            </w:r>
          </w:p>
        </w:tc>
        <w:tc>
          <w:tcPr>
            <w:tcW w:w="6210" w:type="dxa"/>
          </w:tcPr>
          <w:p w14:paraId="15FF415D" w14:textId="1A4851B9" w:rsidR="00FD1EE8" w:rsidRDefault="00FD1EE8" w:rsidP="00FD1EE8">
            <w:pPr>
              <w:ind w:left="0"/>
            </w:pPr>
            <w:r w:rsidRPr="008D68A4">
              <w:rPr>
                <w:rFonts w:eastAsia="Times New Roman" w:cs="Noto Sans"/>
                <w:color w:val="000000"/>
                <w:szCs w:val="24"/>
              </w:rPr>
              <w:t xml:space="preserve">Annual alcohol screening </w:t>
            </w:r>
          </w:p>
        </w:tc>
      </w:tr>
      <w:tr w:rsidR="00FD1EE8" w14:paraId="7FC2FA2D" w14:textId="77777777" w:rsidTr="004A5909">
        <w:trPr>
          <w:cantSplit/>
        </w:trPr>
        <w:tc>
          <w:tcPr>
            <w:tcW w:w="3325" w:type="dxa"/>
          </w:tcPr>
          <w:p w14:paraId="1FA7D8A7" w14:textId="6373DE7A" w:rsidR="00FD1EE8" w:rsidRDefault="00FD1EE8" w:rsidP="00FD1EE8">
            <w:pPr>
              <w:ind w:left="0"/>
            </w:pPr>
            <w:r w:rsidRPr="008D68A4">
              <w:rPr>
                <w:rFonts w:eastAsia="Times New Roman" w:cs="Noto Sans"/>
                <w:color w:val="000000"/>
                <w:szCs w:val="24"/>
              </w:rPr>
              <w:t xml:space="preserve">G0443 </w:t>
            </w:r>
          </w:p>
        </w:tc>
        <w:tc>
          <w:tcPr>
            <w:tcW w:w="6210" w:type="dxa"/>
          </w:tcPr>
          <w:p w14:paraId="052F39A4" w14:textId="6F2AD7F7" w:rsidR="00FD1EE8" w:rsidRDefault="00FD1EE8" w:rsidP="00FD1EE8">
            <w:pPr>
              <w:ind w:left="0"/>
            </w:pPr>
            <w:r w:rsidRPr="008D68A4">
              <w:rPr>
                <w:rFonts w:eastAsia="Times New Roman" w:cs="Noto Sans"/>
                <w:color w:val="000000"/>
                <w:szCs w:val="24"/>
              </w:rPr>
              <w:t xml:space="preserve">Brief behavioral counseling for alcohol misuse </w:t>
            </w:r>
          </w:p>
        </w:tc>
      </w:tr>
      <w:tr w:rsidR="00FD1EE8" w14:paraId="3F0022C0" w14:textId="77777777" w:rsidTr="004A5909">
        <w:trPr>
          <w:cantSplit/>
        </w:trPr>
        <w:tc>
          <w:tcPr>
            <w:tcW w:w="3325" w:type="dxa"/>
          </w:tcPr>
          <w:p w14:paraId="760499FD" w14:textId="59AC2347" w:rsidR="00FD1EE8" w:rsidRDefault="00FD1EE8" w:rsidP="00FD1EE8">
            <w:pPr>
              <w:ind w:left="0"/>
            </w:pPr>
            <w:r w:rsidRPr="008D68A4">
              <w:rPr>
                <w:rFonts w:eastAsia="Times New Roman" w:cs="Noto Sans"/>
                <w:color w:val="000000"/>
                <w:szCs w:val="24"/>
              </w:rPr>
              <w:t xml:space="preserve">G0444 </w:t>
            </w:r>
          </w:p>
        </w:tc>
        <w:tc>
          <w:tcPr>
            <w:tcW w:w="6210" w:type="dxa"/>
          </w:tcPr>
          <w:p w14:paraId="299472AD" w14:textId="3BD24112" w:rsidR="00FD1EE8" w:rsidRDefault="00FD1EE8" w:rsidP="00FD1EE8">
            <w:pPr>
              <w:ind w:left="0"/>
            </w:pPr>
            <w:r w:rsidRPr="008D68A4">
              <w:rPr>
                <w:rFonts w:eastAsia="Times New Roman" w:cs="Noto Sans"/>
                <w:color w:val="000000"/>
                <w:szCs w:val="24"/>
              </w:rPr>
              <w:t xml:space="preserve">Annual depression screening </w:t>
            </w:r>
          </w:p>
        </w:tc>
      </w:tr>
      <w:tr w:rsidR="00FD1EE8" w14:paraId="32D56954" w14:textId="77777777" w:rsidTr="004A5909">
        <w:trPr>
          <w:cantSplit/>
        </w:trPr>
        <w:tc>
          <w:tcPr>
            <w:tcW w:w="3325" w:type="dxa"/>
          </w:tcPr>
          <w:p w14:paraId="0341F9AB" w14:textId="0C17270F" w:rsidR="00FD1EE8" w:rsidRDefault="00FD1EE8" w:rsidP="00FD1EE8">
            <w:pPr>
              <w:ind w:left="0"/>
            </w:pPr>
            <w:r w:rsidRPr="008D68A4">
              <w:rPr>
                <w:rFonts w:eastAsia="Times New Roman" w:cs="Noto Sans"/>
                <w:color w:val="000000"/>
                <w:szCs w:val="24"/>
              </w:rPr>
              <w:t xml:space="preserve">G0506 </w:t>
            </w:r>
          </w:p>
        </w:tc>
        <w:tc>
          <w:tcPr>
            <w:tcW w:w="6210" w:type="dxa"/>
          </w:tcPr>
          <w:p w14:paraId="1513C767" w14:textId="6F4223EB" w:rsidR="00FD1EE8" w:rsidRDefault="00FD1EE8" w:rsidP="00FD1EE8">
            <w:pPr>
              <w:ind w:left="0"/>
            </w:pPr>
            <w:r w:rsidRPr="008D68A4">
              <w:rPr>
                <w:rFonts w:eastAsia="Times New Roman" w:cs="Noto Sans"/>
                <w:color w:val="000000"/>
                <w:szCs w:val="24"/>
              </w:rPr>
              <w:t xml:space="preserve">Comprehensive assessment of and care planning for patients requiring chronic care management services </w:t>
            </w:r>
          </w:p>
        </w:tc>
      </w:tr>
      <w:tr w:rsidR="00FD1EE8" w14:paraId="57342923" w14:textId="77777777" w:rsidTr="004A5909">
        <w:trPr>
          <w:cantSplit/>
        </w:trPr>
        <w:tc>
          <w:tcPr>
            <w:tcW w:w="3325" w:type="dxa"/>
          </w:tcPr>
          <w:p w14:paraId="40367AC1" w14:textId="5768D46C" w:rsidR="00FD1EE8" w:rsidRDefault="00FD1EE8" w:rsidP="00FD1EE8">
            <w:pPr>
              <w:ind w:left="0"/>
            </w:pPr>
            <w:r w:rsidRPr="008D68A4">
              <w:rPr>
                <w:rFonts w:eastAsia="Times New Roman" w:cs="Noto Sans"/>
                <w:color w:val="000000"/>
                <w:szCs w:val="24"/>
              </w:rPr>
              <w:t xml:space="preserve">G0513-G0514  </w:t>
            </w:r>
          </w:p>
        </w:tc>
        <w:tc>
          <w:tcPr>
            <w:tcW w:w="6210" w:type="dxa"/>
          </w:tcPr>
          <w:p w14:paraId="051023A5" w14:textId="6BAA1C5B" w:rsidR="00FD1EE8" w:rsidRDefault="00FD1EE8" w:rsidP="00FD1EE8">
            <w:pPr>
              <w:ind w:left="0"/>
            </w:pPr>
            <w:r w:rsidRPr="008D68A4">
              <w:rPr>
                <w:rFonts w:eastAsia="Times New Roman" w:cs="Noto Sans"/>
                <w:color w:val="000000"/>
                <w:szCs w:val="24"/>
              </w:rPr>
              <w:t xml:space="preserve">Prolonged preventive service </w:t>
            </w:r>
          </w:p>
        </w:tc>
      </w:tr>
    </w:tbl>
    <w:p w14:paraId="57AA74E6" w14:textId="77777777" w:rsidR="00536C82" w:rsidRPr="00536C82" w:rsidRDefault="00536C82" w:rsidP="00536C82"/>
    <w:p w14:paraId="79EF3DEA" w14:textId="77777777" w:rsidR="008B5437" w:rsidRDefault="008B5437">
      <w:pPr>
        <w:spacing w:before="0" w:after="0"/>
        <w:ind w:left="0" w:right="0"/>
        <w:rPr>
          <w:rFonts w:ascii="Noto Sans Bold" w:eastAsiaTheme="majorEastAsia" w:hAnsi="Noto Sans Bold" w:cstheme="majorBidi"/>
          <w:color w:val="064276"/>
          <w:sz w:val="30"/>
          <w:szCs w:val="24"/>
        </w:rPr>
      </w:pPr>
      <w:r>
        <w:br w:type="page"/>
      </w:r>
    </w:p>
    <w:p w14:paraId="758BED85" w14:textId="3D94ECAF" w:rsidR="00536C82" w:rsidRDefault="004A5909" w:rsidP="00536C82">
      <w:pPr>
        <w:pStyle w:val="Heading3"/>
      </w:pPr>
      <w:bookmarkStart w:id="19" w:name="TaxonomyCodes"/>
      <w:bookmarkEnd w:id="19"/>
      <w:r>
        <w:lastRenderedPageBreak/>
        <w:t xml:space="preserve">Provider </w:t>
      </w:r>
      <w:r w:rsidR="00536C82">
        <w:t>Specialty Taxonomy Codes</w:t>
      </w:r>
    </w:p>
    <w:tbl>
      <w:tblPr>
        <w:tblStyle w:val="TableGrid"/>
        <w:tblW w:w="0" w:type="auto"/>
        <w:tblInd w:w="900" w:type="dxa"/>
        <w:tblLayout w:type="fixed"/>
        <w:tblLook w:val="04A0" w:firstRow="1" w:lastRow="0" w:firstColumn="1" w:lastColumn="0" w:noHBand="0" w:noVBand="1"/>
        <w:tblCaption w:val="Provider Taxonomy Codes"/>
        <w:tblDescription w:val="A table of provider specialty taxonomy codes and their descriptions"/>
      </w:tblPr>
      <w:tblGrid>
        <w:gridCol w:w="3055"/>
        <w:gridCol w:w="6300"/>
      </w:tblGrid>
      <w:tr w:rsidR="008B5437" w14:paraId="6192182C" w14:textId="77777777" w:rsidTr="004A5909">
        <w:trPr>
          <w:cantSplit/>
          <w:tblHeader/>
        </w:trPr>
        <w:tc>
          <w:tcPr>
            <w:tcW w:w="3055" w:type="dxa"/>
          </w:tcPr>
          <w:p w14:paraId="72E3E6F3" w14:textId="3DBC5422" w:rsidR="008B5437" w:rsidRDefault="008B5437" w:rsidP="006F0A9F">
            <w:pPr>
              <w:pStyle w:val="Tableheader"/>
            </w:pPr>
            <w:r>
              <w:t>Code</w:t>
            </w:r>
          </w:p>
        </w:tc>
        <w:tc>
          <w:tcPr>
            <w:tcW w:w="6300" w:type="dxa"/>
          </w:tcPr>
          <w:p w14:paraId="2C1FF8A2" w14:textId="72458701" w:rsidR="008B5437" w:rsidRDefault="008B5437" w:rsidP="006F0A9F">
            <w:pPr>
              <w:pStyle w:val="Tableheader"/>
            </w:pPr>
            <w:r>
              <w:t>Description</w:t>
            </w:r>
          </w:p>
        </w:tc>
      </w:tr>
      <w:tr w:rsidR="004A5909" w14:paraId="68D5A70E" w14:textId="77777777" w:rsidTr="004A5909">
        <w:trPr>
          <w:cantSplit/>
        </w:trPr>
        <w:tc>
          <w:tcPr>
            <w:tcW w:w="3055" w:type="dxa"/>
          </w:tcPr>
          <w:p w14:paraId="3CB6281A" w14:textId="174C9246" w:rsidR="006F0A9F" w:rsidRPr="006F0A9F" w:rsidRDefault="006F0A9F" w:rsidP="006F0A9F">
            <w:pPr>
              <w:ind w:left="0"/>
              <w:rPr>
                <w:rFonts w:cs="Noto Sans"/>
                <w:szCs w:val="24"/>
              </w:rPr>
            </w:pPr>
            <w:r w:rsidRPr="006F0A9F">
              <w:rPr>
                <w:rFonts w:eastAsia="Times New Roman" w:cs="Noto Sans"/>
                <w:szCs w:val="24"/>
              </w:rPr>
              <w:t>261QF0400X</w:t>
            </w:r>
          </w:p>
        </w:tc>
        <w:tc>
          <w:tcPr>
            <w:tcW w:w="6300" w:type="dxa"/>
          </w:tcPr>
          <w:p w14:paraId="332D384D" w14:textId="6F9434E9" w:rsidR="006F0A9F" w:rsidRPr="006F0A9F" w:rsidRDefault="006F0A9F" w:rsidP="006F0A9F">
            <w:pPr>
              <w:ind w:left="0"/>
              <w:rPr>
                <w:rFonts w:cs="Noto Sans"/>
                <w:szCs w:val="24"/>
              </w:rPr>
            </w:pPr>
            <w:r w:rsidRPr="006F0A9F">
              <w:rPr>
                <w:rFonts w:eastAsia="Times New Roman" w:cs="Noto Sans"/>
                <w:szCs w:val="24"/>
              </w:rPr>
              <w:t>Federally qualified health center</w:t>
            </w:r>
          </w:p>
        </w:tc>
      </w:tr>
      <w:tr w:rsidR="004A5909" w14:paraId="57F19E7F" w14:textId="77777777" w:rsidTr="004A5909">
        <w:trPr>
          <w:cantSplit/>
        </w:trPr>
        <w:tc>
          <w:tcPr>
            <w:tcW w:w="3055" w:type="dxa"/>
          </w:tcPr>
          <w:p w14:paraId="6776B00E" w14:textId="23BEB24D" w:rsidR="006F0A9F" w:rsidRPr="006F0A9F" w:rsidRDefault="006F0A9F" w:rsidP="006F0A9F">
            <w:pPr>
              <w:ind w:left="0"/>
              <w:rPr>
                <w:rFonts w:cs="Noto Sans"/>
                <w:szCs w:val="24"/>
              </w:rPr>
            </w:pPr>
            <w:r w:rsidRPr="006F0A9F">
              <w:rPr>
                <w:rFonts w:eastAsia="Times New Roman" w:cs="Noto Sans"/>
                <w:szCs w:val="24"/>
              </w:rPr>
              <w:t>261QP2300X</w:t>
            </w:r>
          </w:p>
        </w:tc>
        <w:tc>
          <w:tcPr>
            <w:tcW w:w="6300" w:type="dxa"/>
          </w:tcPr>
          <w:p w14:paraId="4F4CFF79" w14:textId="65CAFDED" w:rsidR="006F0A9F" w:rsidRPr="006F0A9F" w:rsidRDefault="006F0A9F" w:rsidP="006F0A9F">
            <w:pPr>
              <w:ind w:left="0"/>
              <w:rPr>
                <w:rFonts w:cs="Noto Sans"/>
                <w:szCs w:val="24"/>
              </w:rPr>
            </w:pPr>
            <w:r w:rsidRPr="006F0A9F">
              <w:rPr>
                <w:rFonts w:eastAsia="Times New Roman" w:cs="Noto Sans"/>
                <w:szCs w:val="24"/>
              </w:rPr>
              <w:t>Primary care clinic</w:t>
            </w:r>
          </w:p>
        </w:tc>
      </w:tr>
      <w:tr w:rsidR="004A5909" w14:paraId="36E774D9" w14:textId="77777777" w:rsidTr="004A5909">
        <w:trPr>
          <w:cantSplit/>
        </w:trPr>
        <w:tc>
          <w:tcPr>
            <w:tcW w:w="3055" w:type="dxa"/>
          </w:tcPr>
          <w:p w14:paraId="6B5A4A4C" w14:textId="377C51A7" w:rsidR="006F0A9F" w:rsidRPr="006F0A9F" w:rsidRDefault="006F0A9F" w:rsidP="006F0A9F">
            <w:pPr>
              <w:ind w:left="0"/>
              <w:rPr>
                <w:rFonts w:cs="Noto Sans"/>
                <w:szCs w:val="24"/>
              </w:rPr>
            </w:pPr>
            <w:r w:rsidRPr="006F0A9F">
              <w:rPr>
                <w:rFonts w:eastAsia="Times New Roman" w:cs="Noto Sans"/>
                <w:szCs w:val="24"/>
              </w:rPr>
              <w:t>261QR1300X</w:t>
            </w:r>
          </w:p>
        </w:tc>
        <w:tc>
          <w:tcPr>
            <w:tcW w:w="6300" w:type="dxa"/>
          </w:tcPr>
          <w:p w14:paraId="01E12F7D" w14:textId="3755445E" w:rsidR="006F0A9F" w:rsidRPr="006F0A9F" w:rsidRDefault="006F0A9F" w:rsidP="006F0A9F">
            <w:pPr>
              <w:ind w:left="0"/>
              <w:rPr>
                <w:rFonts w:cs="Noto Sans"/>
                <w:szCs w:val="24"/>
              </w:rPr>
            </w:pPr>
            <w:r w:rsidRPr="006F0A9F">
              <w:rPr>
                <w:rFonts w:eastAsia="Times New Roman" w:cs="Noto Sans"/>
                <w:szCs w:val="24"/>
              </w:rPr>
              <w:t>Rural health-clinic</w:t>
            </w:r>
          </w:p>
        </w:tc>
      </w:tr>
      <w:tr w:rsidR="004A5909" w14:paraId="3DD9120D" w14:textId="77777777" w:rsidTr="004A5909">
        <w:trPr>
          <w:cantSplit/>
        </w:trPr>
        <w:tc>
          <w:tcPr>
            <w:tcW w:w="3055" w:type="dxa"/>
          </w:tcPr>
          <w:p w14:paraId="687A89A4" w14:textId="5D2C95AD" w:rsidR="006F0A9F" w:rsidRPr="006F0A9F" w:rsidRDefault="006F0A9F" w:rsidP="006F0A9F">
            <w:pPr>
              <w:ind w:left="0"/>
              <w:rPr>
                <w:rFonts w:cs="Noto Sans"/>
                <w:szCs w:val="24"/>
              </w:rPr>
            </w:pPr>
            <w:r w:rsidRPr="006F0A9F">
              <w:rPr>
                <w:rFonts w:eastAsia="Times New Roman" w:cs="Noto Sans"/>
                <w:szCs w:val="24"/>
              </w:rPr>
              <w:t>207Q00000X</w:t>
            </w:r>
          </w:p>
        </w:tc>
        <w:tc>
          <w:tcPr>
            <w:tcW w:w="6300" w:type="dxa"/>
          </w:tcPr>
          <w:p w14:paraId="3FFF3D22" w14:textId="1276EB49" w:rsidR="006F0A9F" w:rsidRPr="006F0A9F" w:rsidRDefault="006F0A9F" w:rsidP="006F0A9F">
            <w:pPr>
              <w:ind w:left="0"/>
              <w:rPr>
                <w:rFonts w:cs="Noto Sans"/>
                <w:szCs w:val="24"/>
              </w:rPr>
            </w:pPr>
            <w:r w:rsidRPr="006F0A9F">
              <w:rPr>
                <w:rFonts w:eastAsia="Times New Roman" w:cs="Noto Sans"/>
                <w:szCs w:val="24"/>
              </w:rPr>
              <w:t>Physician, family medicine</w:t>
            </w:r>
          </w:p>
        </w:tc>
      </w:tr>
      <w:tr w:rsidR="004A5909" w14:paraId="4BADD2D2" w14:textId="77777777" w:rsidTr="004A5909">
        <w:trPr>
          <w:cantSplit/>
        </w:trPr>
        <w:tc>
          <w:tcPr>
            <w:tcW w:w="3055" w:type="dxa"/>
          </w:tcPr>
          <w:p w14:paraId="4B964840" w14:textId="772D1666" w:rsidR="006F0A9F" w:rsidRPr="006F0A9F" w:rsidRDefault="006F0A9F" w:rsidP="006F0A9F">
            <w:pPr>
              <w:ind w:left="0"/>
              <w:rPr>
                <w:rFonts w:cs="Noto Sans"/>
                <w:szCs w:val="24"/>
              </w:rPr>
            </w:pPr>
            <w:r w:rsidRPr="006F0A9F">
              <w:rPr>
                <w:rFonts w:eastAsia="Times New Roman" w:cs="Noto Sans"/>
                <w:szCs w:val="24"/>
              </w:rPr>
              <w:t>207R00000X</w:t>
            </w:r>
          </w:p>
        </w:tc>
        <w:tc>
          <w:tcPr>
            <w:tcW w:w="6300" w:type="dxa"/>
          </w:tcPr>
          <w:p w14:paraId="5F5E9CAF" w14:textId="17C140D1" w:rsidR="006F0A9F" w:rsidRPr="006F0A9F" w:rsidRDefault="006F0A9F" w:rsidP="006F0A9F">
            <w:pPr>
              <w:ind w:left="0"/>
              <w:rPr>
                <w:rFonts w:cs="Noto Sans"/>
                <w:szCs w:val="24"/>
              </w:rPr>
            </w:pPr>
            <w:r w:rsidRPr="006F0A9F">
              <w:rPr>
                <w:rFonts w:eastAsia="Times New Roman" w:cs="Noto Sans"/>
                <w:szCs w:val="24"/>
              </w:rPr>
              <w:t>Physician, general internal medicine</w:t>
            </w:r>
          </w:p>
        </w:tc>
      </w:tr>
      <w:tr w:rsidR="004A5909" w14:paraId="20AFED30" w14:textId="77777777" w:rsidTr="004A5909">
        <w:trPr>
          <w:cantSplit/>
        </w:trPr>
        <w:tc>
          <w:tcPr>
            <w:tcW w:w="3055" w:type="dxa"/>
          </w:tcPr>
          <w:p w14:paraId="667D95AF" w14:textId="6BE04BD8" w:rsidR="006F0A9F" w:rsidRPr="006F0A9F" w:rsidRDefault="006F0A9F" w:rsidP="006F0A9F">
            <w:pPr>
              <w:ind w:left="0"/>
              <w:rPr>
                <w:rFonts w:cs="Noto Sans"/>
                <w:szCs w:val="24"/>
              </w:rPr>
            </w:pPr>
            <w:r w:rsidRPr="006F0A9F">
              <w:rPr>
                <w:rFonts w:eastAsia="Times New Roman" w:cs="Noto Sans"/>
                <w:szCs w:val="24"/>
              </w:rPr>
              <w:t>175F00000X</w:t>
            </w:r>
          </w:p>
        </w:tc>
        <w:tc>
          <w:tcPr>
            <w:tcW w:w="6300" w:type="dxa"/>
          </w:tcPr>
          <w:p w14:paraId="7AE43AC7" w14:textId="16CA86F8" w:rsidR="006F0A9F" w:rsidRPr="006F0A9F" w:rsidRDefault="006F0A9F" w:rsidP="006F0A9F">
            <w:pPr>
              <w:ind w:left="0"/>
              <w:rPr>
                <w:rFonts w:cs="Noto Sans"/>
                <w:szCs w:val="24"/>
              </w:rPr>
            </w:pPr>
            <w:r w:rsidRPr="006F0A9F">
              <w:rPr>
                <w:rFonts w:eastAsia="Times New Roman" w:cs="Noto Sans"/>
                <w:szCs w:val="24"/>
              </w:rPr>
              <w:t>Naturopathic medicine</w:t>
            </w:r>
          </w:p>
        </w:tc>
      </w:tr>
      <w:tr w:rsidR="004A5909" w14:paraId="19A7AB7F" w14:textId="77777777" w:rsidTr="004A5909">
        <w:trPr>
          <w:cantSplit/>
        </w:trPr>
        <w:tc>
          <w:tcPr>
            <w:tcW w:w="3055" w:type="dxa"/>
          </w:tcPr>
          <w:p w14:paraId="182B1EE2" w14:textId="72A8A857" w:rsidR="006F0A9F" w:rsidRPr="006F0A9F" w:rsidRDefault="006F0A9F" w:rsidP="006F0A9F">
            <w:pPr>
              <w:ind w:left="0"/>
              <w:rPr>
                <w:rFonts w:cs="Noto Sans"/>
                <w:szCs w:val="24"/>
              </w:rPr>
            </w:pPr>
            <w:r w:rsidRPr="006F0A9F">
              <w:rPr>
                <w:rFonts w:eastAsia="Times New Roman" w:cs="Noto Sans"/>
                <w:szCs w:val="24"/>
              </w:rPr>
              <w:t>208000000X</w:t>
            </w:r>
          </w:p>
        </w:tc>
        <w:tc>
          <w:tcPr>
            <w:tcW w:w="6300" w:type="dxa"/>
          </w:tcPr>
          <w:p w14:paraId="494C92C7" w14:textId="4B4F000D" w:rsidR="006F0A9F" w:rsidRPr="006F0A9F" w:rsidRDefault="006F0A9F" w:rsidP="006F0A9F">
            <w:pPr>
              <w:ind w:left="0"/>
              <w:rPr>
                <w:rFonts w:cs="Noto Sans"/>
                <w:szCs w:val="24"/>
              </w:rPr>
            </w:pPr>
            <w:r w:rsidRPr="006F0A9F">
              <w:rPr>
                <w:rFonts w:eastAsia="Times New Roman" w:cs="Noto Sans"/>
                <w:szCs w:val="24"/>
              </w:rPr>
              <w:t>Physician, pediatrics</w:t>
            </w:r>
          </w:p>
        </w:tc>
      </w:tr>
      <w:tr w:rsidR="004A5909" w14:paraId="3E6FDD79" w14:textId="77777777" w:rsidTr="004A5909">
        <w:trPr>
          <w:cantSplit/>
        </w:trPr>
        <w:tc>
          <w:tcPr>
            <w:tcW w:w="3055" w:type="dxa"/>
          </w:tcPr>
          <w:p w14:paraId="506ADA63" w14:textId="30C1C2AC" w:rsidR="006F0A9F" w:rsidRPr="006F0A9F" w:rsidRDefault="006F0A9F" w:rsidP="006F0A9F">
            <w:pPr>
              <w:ind w:left="0"/>
              <w:rPr>
                <w:rFonts w:cs="Noto Sans"/>
                <w:szCs w:val="24"/>
              </w:rPr>
            </w:pPr>
            <w:r w:rsidRPr="006F0A9F">
              <w:rPr>
                <w:rFonts w:eastAsia="Times New Roman" w:cs="Noto Sans"/>
                <w:szCs w:val="24"/>
              </w:rPr>
              <w:t>2084P0800X</w:t>
            </w:r>
          </w:p>
        </w:tc>
        <w:tc>
          <w:tcPr>
            <w:tcW w:w="6300" w:type="dxa"/>
          </w:tcPr>
          <w:p w14:paraId="2E48EB19" w14:textId="1456130F" w:rsidR="006F0A9F" w:rsidRPr="006F0A9F" w:rsidRDefault="006F0A9F" w:rsidP="006F0A9F">
            <w:pPr>
              <w:ind w:left="0"/>
              <w:rPr>
                <w:rFonts w:cs="Noto Sans"/>
                <w:szCs w:val="24"/>
              </w:rPr>
            </w:pPr>
            <w:r w:rsidRPr="006F0A9F">
              <w:rPr>
                <w:rFonts w:eastAsia="Times New Roman" w:cs="Noto Sans"/>
                <w:szCs w:val="24"/>
              </w:rPr>
              <w:t>Physician, general psychiatry</w:t>
            </w:r>
          </w:p>
        </w:tc>
      </w:tr>
      <w:tr w:rsidR="004A5909" w14:paraId="6356DBA2" w14:textId="77777777" w:rsidTr="004A5909">
        <w:trPr>
          <w:cantSplit/>
        </w:trPr>
        <w:tc>
          <w:tcPr>
            <w:tcW w:w="3055" w:type="dxa"/>
          </w:tcPr>
          <w:p w14:paraId="6490380E" w14:textId="4525E05E" w:rsidR="006F0A9F" w:rsidRPr="006F0A9F" w:rsidRDefault="006F0A9F" w:rsidP="006F0A9F">
            <w:pPr>
              <w:ind w:left="0"/>
              <w:rPr>
                <w:rFonts w:cs="Noto Sans"/>
                <w:szCs w:val="24"/>
              </w:rPr>
            </w:pPr>
            <w:r w:rsidRPr="006F0A9F">
              <w:rPr>
                <w:rFonts w:eastAsia="Times New Roman" w:cs="Noto Sans"/>
                <w:szCs w:val="24"/>
              </w:rPr>
              <w:t>2084P0804X</w:t>
            </w:r>
          </w:p>
        </w:tc>
        <w:tc>
          <w:tcPr>
            <w:tcW w:w="6300" w:type="dxa"/>
          </w:tcPr>
          <w:p w14:paraId="0BC36DC5" w14:textId="591D5FA5" w:rsidR="006F0A9F" w:rsidRPr="006F0A9F" w:rsidRDefault="006F0A9F" w:rsidP="006F0A9F">
            <w:pPr>
              <w:ind w:left="0"/>
              <w:rPr>
                <w:rFonts w:cs="Noto Sans"/>
                <w:szCs w:val="24"/>
              </w:rPr>
            </w:pPr>
            <w:r w:rsidRPr="006F0A9F">
              <w:rPr>
                <w:rFonts w:eastAsia="Times New Roman" w:cs="Noto Sans"/>
                <w:szCs w:val="24"/>
              </w:rPr>
              <w:t>Physician, child and adolescent psychiatry</w:t>
            </w:r>
          </w:p>
        </w:tc>
      </w:tr>
      <w:tr w:rsidR="004A5909" w14:paraId="643107C4" w14:textId="77777777" w:rsidTr="004A5909">
        <w:trPr>
          <w:cantSplit/>
        </w:trPr>
        <w:tc>
          <w:tcPr>
            <w:tcW w:w="3055" w:type="dxa"/>
          </w:tcPr>
          <w:p w14:paraId="1634B11E" w14:textId="56EB338D" w:rsidR="006F0A9F" w:rsidRPr="006F0A9F" w:rsidRDefault="006F0A9F" w:rsidP="006F0A9F">
            <w:pPr>
              <w:ind w:left="0"/>
              <w:rPr>
                <w:rFonts w:cs="Noto Sans"/>
                <w:szCs w:val="24"/>
              </w:rPr>
            </w:pPr>
            <w:r w:rsidRPr="006F0A9F">
              <w:rPr>
                <w:rFonts w:eastAsia="Times New Roman" w:cs="Noto Sans"/>
                <w:szCs w:val="24"/>
              </w:rPr>
              <w:t>207V00000X</w:t>
            </w:r>
          </w:p>
        </w:tc>
        <w:tc>
          <w:tcPr>
            <w:tcW w:w="6300" w:type="dxa"/>
          </w:tcPr>
          <w:p w14:paraId="7E7B8883" w14:textId="182596AB" w:rsidR="006F0A9F" w:rsidRPr="006F0A9F" w:rsidRDefault="006F0A9F" w:rsidP="006F0A9F">
            <w:pPr>
              <w:ind w:left="0"/>
              <w:rPr>
                <w:rFonts w:cs="Noto Sans"/>
                <w:szCs w:val="24"/>
              </w:rPr>
            </w:pPr>
            <w:r w:rsidRPr="006F0A9F">
              <w:rPr>
                <w:rFonts w:eastAsia="Times New Roman" w:cs="Noto Sans"/>
                <w:szCs w:val="24"/>
              </w:rPr>
              <w:t>Physician, obstetrics and gynecology</w:t>
            </w:r>
          </w:p>
        </w:tc>
      </w:tr>
      <w:tr w:rsidR="004A5909" w14:paraId="580D8F17" w14:textId="77777777" w:rsidTr="004A5909">
        <w:trPr>
          <w:cantSplit/>
        </w:trPr>
        <w:tc>
          <w:tcPr>
            <w:tcW w:w="3055" w:type="dxa"/>
          </w:tcPr>
          <w:p w14:paraId="4803E5E9" w14:textId="7511EDEB" w:rsidR="006F0A9F" w:rsidRPr="006F0A9F" w:rsidRDefault="006F0A9F" w:rsidP="006F0A9F">
            <w:pPr>
              <w:ind w:left="0"/>
              <w:rPr>
                <w:rFonts w:cs="Noto Sans"/>
                <w:szCs w:val="24"/>
              </w:rPr>
            </w:pPr>
            <w:r w:rsidRPr="006F0A9F">
              <w:rPr>
                <w:rFonts w:eastAsia="Times New Roman" w:cs="Noto Sans"/>
                <w:szCs w:val="24"/>
              </w:rPr>
              <w:t>207VG0400X</w:t>
            </w:r>
          </w:p>
        </w:tc>
        <w:tc>
          <w:tcPr>
            <w:tcW w:w="6300" w:type="dxa"/>
          </w:tcPr>
          <w:p w14:paraId="5897F136" w14:textId="4BE13B5E" w:rsidR="006F0A9F" w:rsidRPr="006F0A9F" w:rsidRDefault="006F0A9F" w:rsidP="006F0A9F">
            <w:pPr>
              <w:ind w:left="0"/>
              <w:rPr>
                <w:rFonts w:cs="Noto Sans"/>
                <w:szCs w:val="24"/>
              </w:rPr>
            </w:pPr>
            <w:r w:rsidRPr="006F0A9F">
              <w:rPr>
                <w:rFonts w:eastAsia="Times New Roman" w:cs="Noto Sans"/>
                <w:szCs w:val="24"/>
              </w:rPr>
              <w:t>Physician, gynecology</w:t>
            </w:r>
          </w:p>
        </w:tc>
      </w:tr>
      <w:tr w:rsidR="004A5909" w14:paraId="2BD8A8E7" w14:textId="77777777" w:rsidTr="004A5909">
        <w:trPr>
          <w:cantSplit/>
        </w:trPr>
        <w:tc>
          <w:tcPr>
            <w:tcW w:w="3055" w:type="dxa"/>
          </w:tcPr>
          <w:p w14:paraId="1B374378" w14:textId="1AAF6DAD" w:rsidR="006F0A9F" w:rsidRPr="006F0A9F" w:rsidRDefault="006F0A9F" w:rsidP="006F0A9F">
            <w:pPr>
              <w:ind w:left="0"/>
              <w:rPr>
                <w:rFonts w:cs="Noto Sans"/>
                <w:szCs w:val="24"/>
              </w:rPr>
            </w:pPr>
            <w:r w:rsidRPr="006F0A9F">
              <w:rPr>
                <w:rFonts w:eastAsia="Times New Roman" w:cs="Noto Sans"/>
                <w:szCs w:val="24"/>
              </w:rPr>
              <w:t>208D00000X</w:t>
            </w:r>
          </w:p>
        </w:tc>
        <w:tc>
          <w:tcPr>
            <w:tcW w:w="6300" w:type="dxa"/>
          </w:tcPr>
          <w:p w14:paraId="32240B77" w14:textId="570F483C" w:rsidR="006F0A9F" w:rsidRPr="006F0A9F" w:rsidRDefault="006F0A9F" w:rsidP="006F0A9F">
            <w:pPr>
              <w:ind w:left="0"/>
              <w:rPr>
                <w:rFonts w:cs="Noto Sans"/>
                <w:szCs w:val="24"/>
              </w:rPr>
            </w:pPr>
            <w:r w:rsidRPr="006F0A9F">
              <w:rPr>
                <w:rFonts w:eastAsia="Times New Roman" w:cs="Noto Sans"/>
                <w:szCs w:val="24"/>
              </w:rPr>
              <w:t>Physician, general practice</w:t>
            </w:r>
          </w:p>
        </w:tc>
      </w:tr>
      <w:tr w:rsidR="004A5909" w14:paraId="66AB13F5" w14:textId="77777777" w:rsidTr="004A5909">
        <w:trPr>
          <w:cantSplit/>
        </w:trPr>
        <w:tc>
          <w:tcPr>
            <w:tcW w:w="3055" w:type="dxa"/>
          </w:tcPr>
          <w:p w14:paraId="31D46323" w14:textId="0052FD18" w:rsidR="006F0A9F" w:rsidRPr="006F0A9F" w:rsidRDefault="006F0A9F" w:rsidP="006F0A9F">
            <w:pPr>
              <w:ind w:left="0"/>
              <w:rPr>
                <w:rFonts w:cs="Noto Sans"/>
                <w:szCs w:val="24"/>
              </w:rPr>
            </w:pPr>
            <w:r w:rsidRPr="006F0A9F">
              <w:rPr>
                <w:rFonts w:eastAsia="Times New Roman" w:cs="Noto Sans"/>
                <w:szCs w:val="24"/>
              </w:rPr>
              <w:t>363L00000X</w:t>
            </w:r>
          </w:p>
        </w:tc>
        <w:tc>
          <w:tcPr>
            <w:tcW w:w="6300" w:type="dxa"/>
          </w:tcPr>
          <w:p w14:paraId="3BEBF88D" w14:textId="0AC4264A" w:rsidR="006F0A9F" w:rsidRPr="006F0A9F" w:rsidRDefault="006F0A9F" w:rsidP="006F0A9F">
            <w:pPr>
              <w:ind w:left="0"/>
              <w:rPr>
                <w:rFonts w:cs="Noto Sans"/>
                <w:szCs w:val="24"/>
              </w:rPr>
            </w:pPr>
            <w:r w:rsidRPr="006F0A9F">
              <w:rPr>
                <w:rFonts w:eastAsia="Times New Roman" w:cs="Noto Sans"/>
                <w:szCs w:val="24"/>
              </w:rPr>
              <w:t>Nurse practitioner</w:t>
            </w:r>
          </w:p>
        </w:tc>
      </w:tr>
      <w:tr w:rsidR="004A5909" w14:paraId="1C2CDD59" w14:textId="77777777" w:rsidTr="004A5909">
        <w:trPr>
          <w:cantSplit/>
        </w:trPr>
        <w:tc>
          <w:tcPr>
            <w:tcW w:w="3055" w:type="dxa"/>
          </w:tcPr>
          <w:p w14:paraId="4C299CEF" w14:textId="21FD8A93" w:rsidR="006F0A9F" w:rsidRPr="006F0A9F" w:rsidRDefault="006F0A9F" w:rsidP="006F0A9F">
            <w:pPr>
              <w:ind w:left="0"/>
              <w:rPr>
                <w:rFonts w:cs="Noto Sans"/>
                <w:szCs w:val="24"/>
              </w:rPr>
            </w:pPr>
            <w:r w:rsidRPr="006F0A9F">
              <w:rPr>
                <w:rFonts w:eastAsia="Times New Roman" w:cs="Noto Sans"/>
                <w:szCs w:val="24"/>
              </w:rPr>
              <w:t>363LA2200X</w:t>
            </w:r>
          </w:p>
        </w:tc>
        <w:tc>
          <w:tcPr>
            <w:tcW w:w="6300" w:type="dxa"/>
          </w:tcPr>
          <w:p w14:paraId="73764B1F" w14:textId="16B9F945" w:rsidR="006F0A9F" w:rsidRPr="006F0A9F" w:rsidRDefault="006F0A9F" w:rsidP="006F0A9F">
            <w:pPr>
              <w:ind w:left="0"/>
              <w:rPr>
                <w:rFonts w:cs="Noto Sans"/>
                <w:szCs w:val="24"/>
              </w:rPr>
            </w:pPr>
            <w:r w:rsidRPr="006F0A9F">
              <w:rPr>
                <w:rFonts w:eastAsia="Times New Roman" w:cs="Noto Sans"/>
                <w:szCs w:val="24"/>
              </w:rPr>
              <w:t>Nurse practitioner, adult health</w:t>
            </w:r>
          </w:p>
        </w:tc>
      </w:tr>
      <w:tr w:rsidR="004A5909" w14:paraId="1E4DE6AA" w14:textId="77777777" w:rsidTr="004A5909">
        <w:trPr>
          <w:cantSplit/>
        </w:trPr>
        <w:tc>
          <w:tcPr>
            <w:tcW w:w="3055" w:type="dxa"/>
          </w:tcPr>
          <w:p w14:paraId="00346731" w14:textId="779C886B" w:rsidR="006F0A9F" w:rsidRPr="006F0A9F" w:rsidRDefault="006F0A9F" w:rsidP="006F0A9F">
            <w:pPr>
              <w:ind w:left="0"/>
              <w:rPr>
                <w:rFonts w:cs="Noto Sans"/>
                <w:szCs w:val="24"/>
              </w:rPr>
            </w:pPr>
            <w:r w:rsidRPr="006F0A9F">
              <w:rPr>
                <w:rFonts w:eastAsia="Times New Roman" w:cs="Noto Sans"/>
                <w:szCs w:val="24"/>
              </w:rPr>
              <w:t>363LF0000X</w:t>
            </w:r>
          </w:p>
        </w:tc>
        <w:tc>
          <w:tcPr>
            <w:tcW w:w="6300" w:type="dxa"/>
          </w:tcPr>
          <w:p w14:paraId="75677DB1" w14:textId="4B2A69D8" w:rsidR="006F0A9F" w:rsidRPr="006F0A9F" w:rsidRDefault="006F0A9F" w:rsidP="006F0A9F">
            <w:pPr>
              <w:ind w:left="0"/>
              <w:rPr>
                <w:rFonts w:cs="Noto Sans"/>
                <w:szCs w:val="24"/>
              </w:rPr>
            </w:pPr>
            <w:r w:rsidRPr="006F0A9F">
              <w:rPr>
                <w:rFonts w:eastAsia="Times New Roman" w:cs="Noto Sans"/>
                <w:szCs w:val="24"/>
              </w:rPr>
              <w:t>Nurse practitioner, family</w:t>
            </w:r>
          </w:p>
        </w:tc>
      </w:tr>
      <w:tr w:rsidR="004A5909" w14:paraId="620B8E17" w14:textId="77777777" w:rsidTr="004A5909">
        <w:trPr>
          <w:cantSplit/>
        </w:trPr>
        <w:tc>
          <w:tcPr>
            <w:tcW w:w="3055" w:type="dxa"/>
          </w:tcPr>
          <w:p w14:paraId="2D96D742" w14:textId="352B542B" w:rsidR="006F0A9F" w:rsidRPr="006F0A9F" w:rsidRDefault="006F0A9F" w:rsidP="006F0A9F">
            <w:pPr>
              <w:ind w:left="0"/>
              <w:rPr>
                <w:rFonts w:cs="Noto Sans"/>
                <w:szCs w:val="24"/>
              </w:rPr>
            </w:pPr>
            <w:r w:rsidRPr="006F0A9F">
              <w:rPr>
                <w:rFonts w:eastAsia="Times New Roman" w:cs="Noto Sans"/>
                <w:szCs w:val="24"/>
              </w:rPr>
              <w:t>363LP0200X</w:t>
            </w:r>
          </w:p>
        </w:tc>
        <w:tc>
          <w:tcPr>
            <w:tcW w:w="6300" w:type="dxa"/>
          </w:tcPr>
          <w:p w14:paraId="0ECCCE1B" w14:textId="18250355" w:rsidR="006F0A9F" w:rsidRPr="006F0A9F" w:rsidRDefault="006F0A9F" w:rsidP="006F0A9F">
            <w:pPr>
              <w:ind w:left="0"/>
              <w:rPr>
                <w:rFonts w:cs="Noto Sans"/>
                <w:szCs w:val="24"/>
              </w:rPr>
            </w:pPr>
            <w:r w:rsidRPr="006F0A9F">
              <w:rPr>
                <w:rFonts w:eastAsia="Times New Roman" w:cs="Noto Sans"/>
                <w:szCs w:val="24"/>
              </w:rPr>
              <w:t>Nurse practitioner,</w:t>
            </w:r>
            <w:r>
              <w:rPr>
                <w:rFonts w:eastAsia="Times New Roman" w:cs="Noto Sans"/>
                <w:szCs w:val="24"/>
              </w:rPr>
              <w:t xml:space="preserve"> </w:t>
            </w:r>
            <w:r w:rsidRPr="006F0A9F">
              <w:rPr>
                <w:rFonts w:eastAsia="Times New Roman" w:cs="Noto Sans"/>
                <w:szCs w:val="24"/>
              </w:rPr>
              <w:t>pediatric</w:t>
            </w:r>
          </w:p>
        </w:tc>
      </w:tr>
      <w:tr w:rsidR="004A5909" w14:paraId="07951AA4" w14:textId="77777777" w:rsidTr="004A5909">
        <w:trPr>
          <w:cantSplit/>
        </w:trPr>
        <w:tc>
          <w:tcPr>
            <w:tcW w:w="3055" w:type="dxa"/>
          </w:tcPr>
          <w:p w14:paraId="7056EF9B" w14:textId="3426AC3E" w:rsidR="006F0A9F" w:rsidRPr="006F0A9F" w:rsidRDefault="006F0A9F" w:rsidP="006F0A9F">
            <w:pPr>
              <w:ind w:left="0"/>
              <w:rPr>
                <w:rFonts w:cs="Noto Sans"/>
                <w:szCs w:val="24"/>
              </w:rPr>
            </w:pPr>
            <w:r w:rsidRPr="006F0A9F">
              <w:rPr>
                <w:rFonts w:eastAsia="Times New Roman" w:cs="Noto Sans"/>
                <w:szCs w:val="24"/>
              </w:rPr>
              <w:t>363LP0808X</w:t>
            </w:r>
          </w:p>
        </w:tc>
        <w:tc>
          <w:tcPr>
            <w:tcW w:w="6300" w:type="dxa"/>
          </w:tcPr>
          <w:p w14:paraId="5232F2B0" w14:textId="41380CFF" w:rsidR="006F0A9F" w:rsidRPr="006F0A9F" w:rsidRDefault="006F0A9F" w:rsidP="006F0A9F">
            <w:pPr>
              <w:ind w:left="0"/>
              <w:rPr>
                <w:rFonts w:cs="Noto Sans"/>
                <w:szCs w:val="24"/>
              </w:rPr>
            </w:pPr>
            <w:r w:rsidRPr="006F0A9F">
              <w:rPr>
                <w:rFonts w:eastAsia="Times New Roman" w:cs="Noto Sans"/>
                <w:szCs w:val="24"/>
              </w:rPr>
              <w:t>Nurse practitioner,</w:t>
            </w:r>
            <w:r>
              <w:rPr>
                <w:rFonts w:eastAsia="Times New Roman" w:cs="Noto Sans"/>
                <w:szCs w:val="24"/>
              </w:rPr>
              <w:t xml:space="preserve"> </w:t>
            </w:r>
            <w:r w:rsidRPr="006F0A9F">
              <w:rPr>
                <w:rFonts w:eastAsia="Times New Roman" w:cs="Noto Sans"/>
                <w:szCs w:val="24"/>
              </w:rPr>
              <w:t>psychiatric</w:t>
            </w:r>
          </w:p>
        </w:tc>
      </w:tr>
      <w:tr w:rsidR="004A5909" w14:paraId="3EB12DD3" w14:textId="77777777" w:rsidTr="004A5909">
        <w:trPr>
          <w:cantSplit/>
        </w:trPr>
        <w:tc>
          <w:tcPr>
            <w:tcW w:w="3055" w:type="dxa"/>
          </w:tcPr>
          <w:p w14:paraId="7E2BAABD" w14:textId="0BFFA22E" w:rsidR="006F0A9F" w:rsidRPr="006F0A9F" w:rsidRDefault="006F0A9F" w:rsidP="006F0A9F">
            <w:pPr>
              <w:ind w:left="0"/>
              <w:rPr>
                <w:rFonts w:cs="Noto Sans"/>
                <w:szCs w:val="24"/>
              </w:rPr>
            </w:pPr>
            <w:r w:rsidRPr="006F0A9F">
              <w:rPr>
                <w:rFonts w:eastAsia="Times New Roman" w:cs="Noto Sans"/>
                <w:szCs w:val="24"/>
              </w:rPr>
              <w:t>363LP2300X</w:t>
            </w:r>
          </w:p>
        </w:tc>
        <w:tc>
          <w:tcPr>
            <w:tcW w:w="6300" w:type="dxa"/>
          </w:tcPr>
          <w:p w14:paraId="6C421875" w14:textId="68FD788E" w:rsidR="006F0A9F" w:rsidRPr="006F0A9F" w:rsidRDefault="006F0A9F" w:rsidP="006F0A9F">
            <w:pPr>
              <w:ind w:left="0"/>
              <w:rPr>
                <w:rFonts w:cs="Noto Sans"/>
                <w:szCs w:val="24"/>
              </w:rPr>
            </w:pPr>
            <w:r w:rsidRPr="006F0A9F">
              <w:rPr>
                <w:rFonts w:eastAsia="Times New Roman" w:cs="Noto Sans"/>
                <w:szCs w:val="24"/>
              </w:rPr>
              <w:t>Nurse practitioner, primary care</w:t>
            </w:r>
          </w:p>
        </w:tc>
      </w:tr>
      <w:tr w:rsidR="004A5909" w14:paraId="0A875DEF" w14:textId="77777777" w:rsidTr="004A5909">
        <w:trPr>
          <w:cantSplit/>
        </w:trPr>
        <w:tc>
          <w:tcPr>
            <w:tcW w:w="3055" w:type="dxa"/>
          </w:tcPr>
          <w:p w14:paraId="2E37D218" w14:textId="5F06C21D" w:rsidR="006F0A9F" w:rsidRPr="006F0A9F" w:rsidRDefault="006F0A9F" w:rsidP="006F0A9F">
            <w:pPr>
              <w:ind w:left="0"/>
              <w:rPr>
                <w:rFonts w:cs="Noto Sans"/>
                <w:szCs w:val="24"/>
              </w:rPr>
            </w:pPr>
            <w:r w:rsidRPr="006F0A9F">
              <w:rPr>
                <w:rFonts w:eastAsia="Times New Roman" w:cs="Noto Sans"/>
                <w:szCs w:val="24"/>
              </w:rPr>
              <w:t>363LW0102X</w:t>
            </w:r>
          </w:p>
        </w:tc>
        <w:tc>
          <w:tcPr>
            <w:tcW w:w="6300" w:type="dxa"/>
          </w:tcPr>
          <w:p w14:paraId="2E839F69" w14:textId="18B8CF37" w:rsidR="006F0A9F" w:rsidRPr="006F0A9F" w:rsidRDefault="006F0A9F" w:rsidP="006F0A9F">
            <w:pPr>
              <w:ind w:left="0"/>
              <w:rPr>
                <w:rFonts w:cs="Noto Sans"/>
                <w:szCs w:val="24"/>
              </w:rPr>
            </w:pPr>
            <w:r w:rsidRPr="006F0A9F">
              <w:rPr>
                <w:rFonts w:eastAsia="Times New Roman" w:cs="Noto Sans"/>
                <w:szCs w:val="24"/>
              </w:rPr>
              <w:t>Nurse practitioner,</w:t>
            </w:r>
            <w:r>
              <w:rPr>
                <w:rFonts w:eastAsia="Times New Roman" w:cs="Noto Sans"/>
                <w:szCs w:val="24"/>
              </w:rPr>
              <w:t xml:space="preserve"> </w:t>
            </w:r>
            <w:r w:rsidRPr="006F0A9F">
              <w:rPr>
                <w:rFonts w:eastAsia="Times New Roman" w:cs="Noto Sans"/>
                <w:szCs w:val="24"/>
              </w:rPr>
              <w:t>women's health</w:t>
            </w:r>
          </w:p>
        </w:tc>
      </w:tr>
      <w:tr w:rsidR="004A5909" w14:paraId="49B785E8" w14:textId="77777777" w:rsidTr="004A5909">
        <w:trPr>
          <w:cantSplit/>
        </w:trPr>
        <w:tc>
          <w:tcPr>
            <w:tcW w:w="3055" w:type="dxa"/>
          </w:tcPr>
          <w:p w14:paraId="062B44B0" w14:textId="5A3C97C6" w:rsidR="006F0A9F" w:rsidRPr="006F0A9F" w:rsidRDefault="006F0A9F" w:rsidP="006F0A9F">
            <w:pPr>
              <w:ind w:left="0"/>
              <w:rPr>
                <w:rFonts w:cs="Noto Sans"/>
                <w:szCs w:val="24"/>
              </w:rPr>
            </w:pPr>
            <w:r w:rsidRPr="006F0A9F">
              <w:rPr>
                <w:rFonts w:eastAsia="Times New Roman" w:cs="Noto Sans"/>
                <w:szCs w:val="24"/>
              </w:rPr>
              <w:t>363LX0001X</w:t>
            </w:r>
          </w:p>
        </w:tc>
        <w:tc>
          <w:tcPr>
            <w:tcW w:w="6300" w:type="dxa"/>
          </w:tcPr>
          <w:p w14:paraId="44F6C384" w14:textId="61975A40" w:rsidR="006F0A9F" w:rsidRPr="006F0A9F" w:rsidRDefault="006F0A9F" w:rsidP="006F0A9F">
            <w:pPr>
              <w:ind w:left="0"/>
              <w:rPr>
                <w:rFonts w:cs="Noto Sans"/>
                <w:szCs w:val="24"/>
              </w:rPr>
            </w:pPr>
            <w:r w:rsidRPr="006F0A9F">
              <w:rPr>
                <w:rFonts w:eastAsia="Times New Roman" w:cs="Noto Sans"/>
                <w:szCs w:val="24"/>
              </w:rPr>
              <w:t>Nurse practitioner, obstetrics and gynecology</w:t>
            </w:r>
          </w:p>
        </w:tc>
      </w:tr>
      <w:tr w:rsidR="004A5909" w14:paraId="719D030C" w14:textId="77777777" w:rsidTr="004A5909">
        <w:trPr>
          <w:cantSplit/>
        </w:trPr>
        <w:tc>
          <w:tcPr>
            <w:tcW w:w="3055" w:type="dxa"/>
          </w:tcPr>
          <w:p w14:paraId="2098DECA" w14:textId="066E227E" w:rsidR="006F0A9F" w:rsidRPr="006F0A9F" w:rsidRDefault="006F0A9F" w:rsidP="006F0A9F">
            <w:pPr>
              <w:ind w:left="0"/>
              <w:rPr>
                <w:rFonts w:cs="Noto Sans"/>
                <w:szCs w:val="24"/>
              </w:rPr>
            </w:pPr>
            <w:r w:rsidRPr="006F0A9F">
              <w:rPr>
                <w:rFonts w:eastAsia="Times New Roman" w:cs="Noto Sans"/>
                <w:szCs w:val="24"/>
              </w:rPr>
              <w:t>363A00000X</w:t>
            </w:r>
          </w:p>
        </w:tc>
        <w:tc>
          <w:tcPr>
            <w:tcW w:w="6300" w:type="dxa"/>
          </w:tcPr>
          <w:p w14:paraId="23A7A621" w14:textId="4A2DFC10" w:rsidR="006F0A9F" w:rsidRPr="006F0A9F" w:rsidRDefault="006F0A9F" w:rsidP="006F0A9F">
            <w:pPr>
              <w:ind w:left="0"/>
              <w:rPr>
                <w:rFonts w:cs="Noto Sans"/>
                <w:szCs w:val="24"/>
              </w:rPr>
            </w:pPr>
            <w:r w:rsidRPr="006F0A9F">
              <w:rPr>
                <w:rFonts w:eastAsia="Times New Roman" w:cs="Noto Sans"/>
                <w:szCs w:val="24"/>
              </w:rPr>
              <w:t>Physician's assistant</w:t>
            </w:r>
          </w:p>
        </w:tc>
      </w:tr>
      <w:tr w:rsidR="004A5909" w14:paraId="198EDED8" w14:textId="77777777" w:rsidTr="004A5909">
        <w:trPr>
          <w:cantSplit/>
        </w:trPr>
        <w:tc>
          <w:tcPr>
            <w:tcW w:w="3055" w:type="dxa"/>
          </w:tcPr>
          <w:p w14:paraId="2F8AD301" w14:textId="612BC5CE" w:rsidR="006F0A9F" w:rsidRPr="006F0A9F" w:rsidRDefault="006F0A9F" w:rsidP="006F0A9F">
            <w:pPr>
              <w:ind w:left="0"/>
              <w:rPr>
                <w:rFonts w:cs="Noto Sans"/>
                <w:szCs w:val="24"/>
              </w:rPr>
            </w:pPr>
            <w:r w:rsidRPr="006F0A9F">
              <w:rPr>
                <w:rFonts w:eastAsia="Times New Roman" w:cs="Noto Sans"/>
                <w:szCs w:val="24"/>
              </w:rPr>
              <w:t>363AM0700X</w:t>
            </w:r>
          </w:p>
        </w:tc>
        <w:tc>
          <w:tcPr>
            <w:tcW w:w="6300" w:type="dxa"/>
          </w:tcPr>
          <w:p w14:paraId="7BCD99B6" w14:textId="6750616D" w:rsidR="006F0A9F" w:rsidRPr="006F0A9F" w:rsidRDefault="006F0A9F" w:rsidP="006F0A9F">
            <w:pPr>
              <w:ind w:left="0"/>
              <w:rPr>
                <w:rFonts w:cs="Noto Sans"/>
                <w:szCs w:val="24"/>
              </w:rPr>
            </w:pPr>
            <w:r w:rsidRPr="006F0A9F">
              <w:rPr>
                <w:rFonts w:eastAsia="Times New Roman" w:cs="Noto Sans"/>
                <w:szCs w:val="24"/>
              </w:rPr>
              <w:t>Physician's assistant, medical</w:t>
            </w:r>
          </w:p>
        </w:tc>
      </w:tr>
      <w:tr w:rsidR="004A5909" w14:paraId="05752184" w14:textId="77777777" w:rsidTr="004A5909">
        <w:trPr>
          <w:cantSplit/>
        </w:trPr>
        <w:tc>
          <w:tcPr>
            <w:tcW w:w="3055" w:type="dxa"/>
          </w:tcPr>
          <w:p w14:paraId="1907C489" w14:textId="11B67A87" w:rsidR="006F0A9F" w:rsidRPr="006F0A9F" w:rsidRDefault="006F0A9F" w:rsidP="006F0A9F">
            <w:pPr>
              <w:ind w:left="0"/>
              <w:rPr>
                <w:rFonts w:cs="Noto Sans"/>
                <w:szCs w:val="24"/>
              </w:rPr>
            </w:pPr>
            <w:r w:rsidRPr="006F0A9F">
              <w:rPr>
                <w:rFonts w:eastAsia="Times New Roman" w:cs="Noto Sans"/>
                <w:szCs w:val="24"/>
              </w:rPr>
              <w:lastRenderedPageBreak/>
              <w:t>207RG0300X</w:t>
            </w:r>
          </w:p>
        </w:tc>
        <w:tc>
          <w:tcPr>
            <w:tcW w:w="6300" w:type="dxa"/>
          </w:tcPr>
          <w:p w14:paraId="5A0B7ADC" w14:textId="20873E0C" w:rsidR="006F0A9F" w:rsidRPr="006F0A9F" w:rsidRDefault="006F0A9F" w:rsidP="006F0A9F">
            <w:pPr>
              <w:ind w:left="0"/>
              <w:rPr>
                <w:rFonts w:cs="Noto Sans"/>
                <w:szCs w:val="24"/>
              </w:rPr>
            </w:pPr>
            <w:r w:rsidRPr="006F0A9F">
              <w:rPr>
                <w:rFonts w:eastAsia="Times New Roman" w:cs="Noto Sans"/>
                <w:szCs w:val="24"/>
              </w:rPr>
              <w:t>Physician, geriatric medicine</w:t>
            </w:r>
          </w:p>
        </w:tc>
      </w:tr>
      <w:tr w:rsidR="004A5909" w14:paraId="302EE067" w14:textId="77777777" w:rsidTr="004A5909">
        <w:trPr>
          <w:cantSplit/>
        </w:trPr>
        <w:tc>
          <w:tcPr>
            <w:tcW w:w="3055" w:type="dxa"/>
          </w:tcPr>
          <w:p w14:paraId="79938563" w14:textId="7F642441" w:rsidR="006F0A9F" w:rsidRPr="006F0A9F" w:rsidRDefault="006F0A9F" w:rsidP="006F0A9F">
            <w:pPr>
              <w:ind w:left="0"/>
              <w:rPr>
                <w:rFonts w:cs="Noto Sans"/>
                <w:szCs w:val="24"/>
              </w:rPr>
            </w:pPr>
            <w:r w:rsidRPr="006F0A9F">
              <w:rPr>
                <w:rFonts w:eastAsia="Times New Roman" w:cs="Noto Sans"/>
                <w:szCs w:val="24"/>
              </w:rPr>
              <w:t>175L00000X</w:t>
            </w:r>
          </w:p>
        </w:tc>
        <w:tc>
          <w:tcPr>
            <w:tcW w:w="6300" w:type="dxa"/>
          </w:tcPr>
          <w:p w14:paraId="2B712F43" w14:textId="3FCFBFE8" w:rsidR="006F0A9F" w:rsidRPr="006F0A9F" w:rsidRDefault="006F0A9F" w:rsidP="006F0A9F">
            <w:pPr>
              <w:ind w:left="0"/>
              <w:rPr>
                <w:rFonts w:cs="Noto Sans"/>
                <w:szCs w:val="24"/>
              </w:rPr>
            </w:pPr>
            <w:r w:rsidRPr="006F0A9F">
              <w:rPr>
                <w:rFonts w:eastAsia="Times New Roman" w:cs="Noto Sans"/>
                <w:szCs w:val="24"/>
              </w:rPr>
              <w:t>Homeopathic medicine</w:t>
            </w:r>
          </w:p>
        </w:tc>
      </w:tr>
      <w:tr w:rsidR="004A5909" w14:paraId="707EC1DB" w14:textId="77777777" w:rsidTr="004A5909">
        <w:trPr>
          <w:cantSplit/>
        </w:trPr>
        <w:tc>
          <w:tcPr>
            <w:tcW w:w="3055" w:type="dxa"/>
          </w:tcPr>
          <w:p w14:paraId="116398B3" w14:textId="20020F82" w:rsidR="006F0A9F" w:rsidRPr="006F0A9F" w:rsidRDefault="006F0A9F" w:rsidP="006F0A9F">
            <w:pPr>
              <w:ind w:left="0"/>
              <w:rPr>
                <w:rFonts w:cs="Noto Sans"/>
                <w:szCs w:val="24"/>
              </w:rPr>
            </w:pPr>
            <w:r w:rsidRPr="006F0A9F">
              <w:rPr>
                <w:rFonts w:eastAsia="Times New Roman" w:cs="Noto Sans"/>
                <w:szCs w:val="24"/>
              </w:rPr>
              <w:t>2083P0500X</w:t>
            </w:r>
          </w:p>
        </w:tc>
        <w:tc>
          <w:tcPr>
            <w:tcW w:w="6300" w:type="dxa"/>
          </w:tcPr>
          <w:p w14:paraId="34E5D73B" w14:textId="0A19BB1B" w:rsidR="006F0A9F" w:rsidRPr="006F0A9F" w:rsidRDefault="006F0A9F" w:rsidP="006F0A9F">
            <w:pPr>
              <w:ind w:left="0"/>
              <w:rPr>
                <w:rFonts w:cs="Noto Sans"/>
                <w:szCs w:val="24"/>
              </w:rPr>
            </w:pPr>
            <w:r w:rsidRPr="006F0A9F">
              <w:rPr>
                <w:rFonts w:eastAsia="Times New Roman" w:cs="Noto Sans"/>
                <w:szCs w:val="24"/>
              </w:rPr>
              <w:t>Physician, preventive medicine</w:t>
            </w:r>
          </w:p>
        </w:tc>
      </w:tr>
      <w:tr w:rsidR="004A5909" w14:paraId="73833CA7" w14:textId="77777777" w:rsidTr="004A5909">
        <w:trPr>
          <w:cantSplit/>
        </w:trPr>
        <w:tc>
          <w:tcPr>
            <w:tcW w:w="3055" w:type="dxa"/>
          </w:tcPr>
          <w:p w14:paraId="49DFDD14" w14:textId="182BBC39" w:rsidR="006F0A9F" w:rsidRPr="006F0A9F" w:rsidRDefault="006F0A9F" w:rsidP="006F0A9F">
            <w:pPr>
              <w:ind w:left="0"/>
              <w:rPr>
                <w:rFonts w:cs="Noto Sans"/>
                <w:szCs w:val="24"/>
              </w:rPr>
            </w:pPr>
            <w:r w:rsidRPr="006F0A9F">
              <w:rPr>
                <w:rFonts w:eastAsia="Times New Roman" w:cs="Noto Sans"/>
                <w:szCs w:val="24"/>
              </w:rPr>
              <w:t>364S00000X</w:t>
            </w:r>
          </w:p>
        </w:tc>
        <w:tc>
          <w:tcPr>
            <w:tcW w:w="6300" w:type="dxa"/>
          </w:tcPr>
          <w:p w14:paraId="2C311F1C" w14:textId="60E0A023" w:rsidR="006F0A9F" w:rsidRPr="006F0A9F" w:rsidRDefault="006F0A9F" w:rsidP="006F0A9F">
            <w:pPr>
              <w:ind w:left="0"/>
              <w:rPr>
                <w:rFonts w:cs="Noto Sans"/>
                <w:szCs w:val="24"/>
              </w:rPr>
            </w:pPr>
            <w:r w:rsidRPr="006F0A9F">
              <w:rPr>
                <w:rFonts w:eastAsia="Times New Roman" w:cs="Noto Sans"/>
                <w:szCs w:val="24"/>
              </w:rPr>
              <w:t>Certified clinical nurse specialist</w:t>
            </w:r>
          </w:p>
        </w:tc>
      </w:tr>
      <w:tr w:rsidR="004A5909" w14:paraId="48EB3CDA" w14:textId="77777777" w:rsidTr="004A5909">
        <w:trPr>
          <w:cantSplit/>
        </w:trPr>
        <w:tc>
          <w:tcPr>
            <w:tcW w:w="3055" w:type="dxa"/>
          </w:tcPr>
          <w:p w14:paraId="0CBAB773" w14:textId="246C38DB" w:rsidR="006F0A9F" w:rsidRPr="006F0A9F" w:rsidRDefault="006F0A9F" w:rsidP="006F0A9F">
            <w:pPr>
              <w:ind w:left="0"/>
              <w:rPr>
                <w:rFonts w:cs="Noto Sans"/>
                <w:szCs w:val="24"/>
              </w:rPr>
            </w:pPr>
            <w:r w:rsidRPr="006F0A9F">
              <w:rPr>
                <w:rFonts w:eastAsia="Times New Roman" w:cs="Noto Sans"/>
                <w:szCs w:val="24"/>
              </w:rPr>
              <w:t>163W00000X</w:t>
            </w:r>
          </w:p>
        </w:tc>
        <w:tc>
          <w:tcPr>
            <w:tcW w:w="6300" w:type="dxa"/>
          </w:tcPr>
          <w:p w14:paraId="721C7617" w14:textId="66CDF0BD" w:rsidR="006F0A9F" w:rsidRPr="006F0A9F" w:rsidRDefault="006F0A9F" w:rsidP="006F0A9F">
            <w:pPr>
              <w:ind w:left="0"/>
              <w:rPr>
                <w:rFonts w:cs="Noto Sans"/>
                <w:szCs w:val="24"/>
              </w:rPr>
            </w:pPr>
            <w:r w:rsidRPr="006F0A9F">
              <w:rPr>
                <w:rFonts w:eastAsia="Times New Roman" w:cs="Noto Sans"/>
                <w:szCs w:val="24"/>
              </w:rPr>
              <w:t>Nurse, non-practitioner</w:t>
            </w:r>
          </w:p>
        </w:tc>
      </w:tr>
    </w:tbl>
    <w:p w14:paraId="3DF31C84" w14:textId="77777777" w:rsidR="00536C82" w:rsidRPr="00536C82" w:rsidRDefault="00536C82" w:rsidP="00536C82"/>
    <w:p w14:paraId="6CAA874B" w14:textId="77777777" w:rsidR="008B5437" w:rsidRDefault="008B5437">
      <w:pPr>
        <w:spacing w:before="0" w:after="0"/>
        <w:ind w:left="0" w:right="0"/>
        <w:rPr>
          <w:rFonts w:ascii="Noto Sans Bold" w:eastAsiaTheme="majorEastAsia" w:hAnsi="Noto Sans Bold" w:cstheme="majorBidi"/>
          <w:color w:val="064276"/>
          <w:sz w:val="30"/>
          <w:szCs w:val="24"/>
        </w:rPr>
      </w:pPr>
      <w:r>
        <w:br w:type="page"/>
      </w:r>
    </w:p>
    <w:p w14:paraId="5681108E" w14:textId="4D2FD569" w:rsidR="004A5909" w:rsidRDefault="00536C82" w:rsidP="004A5909">
      <w:pPr>
        <w:pStyle w:val="Heading3"/>
      </w:pPr>
      <w:bookmarkStart w:id="20" w:name="ICD10CM"/>
      <w:bookmarkEnd w:id="20"/>
      <w:r>
        <w:lastRenderedPageBreak/>
        <w:t>ICD-10-CM Codes</w:t>
      </w:r>
    </w:p>
    <w:tbl>
      <w:tblPr>
        <w:tblStyle w:val="TableGrid"/>
        <w:tblW w:w="0" w:type="auto"/>
        <w:tblInd w:w="900" w:type="dxa"/>
        <w:tblLook w:val="04A0" w:firstRow="1" w:lastRow="0" w:firstColumn="1" w:lastColumn="0" w:noHBand="0" w:noVBand="1"/>
      </w:tblPr>
      <w:tblGrid>
        <w:gridCol w:w="3235"/>
        <w:gridCol w:w="6655"/>
      </w:tblGrid>
      <w:tr w:rsidR="004A5909" w14:paraId="0D0AEBAF" w14:textId="77777777" w:rsidTr="004A5909">
        <w:tc>
          <w:tcPr>
            <w:tcW w:w="3235" w:type="dxa"/>
          </w:tcPr>
          <w:p w14:paraId="084B6BA5" w14:textId="7CF463C1" w:rsidR="004A5909" w:rsidRDefault="004A5909" w:rsidP="004A5909">
            <w:pPr>
              <w:pStyle w:val="Tableheader"/>
            </w:pPr>
            <w:r>
              <w:t>Code</w:t>
            </w:r>
          </w:p>
        </w:tc>
        <w:tc>
          <w:tcPr>
            <w:tcW w:w="6655" w:type="dxa"/>
          </w:tcPr>
          <w:p w14:paraId="506D52B6" w14:textId="13021C71" w:rsidR="004A5909" w:rsidRDefault="004A5909" w:rsidP="004A5909">
            <w:pPr>
              <w:pStyle w:val="Tableheader"/>
            </w:pPr>
            <w:r>
              <w:t>Description</w:t>
            </w:r>
          </w:p>
        </w:tc>
      </w:tr>
      <w:tr w:rsidR="004A5909" w14:paraId="3AF56A0D" w14:textId="77777777" w:rsidTr="004A5909">
        <w:tc>
          <w:tcPr>
            <w:tcW w:w="3235" w:type="dxa"/>
          </w:tcPr>
          <w:p w14:paraId="77004AB3" w14:textId="4DB155C0" w:rsidR="004A5909" w:rsidRDefault="004A5909" w:rsidP="004A5909">
            <w:pPr>
              <w:ind w:left="0"/>
            </w:pPr>
            <w:r w:rsidRPr="00147205">
              <w:rPr>
                <w:rFonts w:eastAsia="Times New Roman" w:cs="Noto Sans"/>
                <w:color w:val="000000"/>
                <w:szCs w:val="24"/>
              </w:rPr>
              <w:t>Z00</w:t>
            </w:r>
          </w:p>
        </w:tc>
        <w:tc>
          <w:tcPr>
            <w:tcW w:w="6655" w:type="dxa"/>
          </w:tcPr>
          <w:p w14:paraId="613EA2B8" w14:textId="27338071" w:rsidR="004A5909" w:rsidRDefault="004A5909" w:rsidP="004A5909">
            <w:pPr>
              <w:ind w:left="0"/>
            </w:pPr>
            <w:r w:rsidRPr="00147205">
              <w:rPr>
                <w:rFonts w:eastAsia="Times New Roman" w:cs="Noto Sans"/>
                <w:color w:val="000000"/>
                <w:szCs w:val="24"/>
              </w:rPr>
              <w:t>Encounter for general exam without complaint</w:t>
            </w:r>
          </w:p>
        </w:tc>
      </w:tr>
      <w:tr w:rsidR="004A5909" w14:paraId="272134CD" w14:textId="77777777" w:rsidTr="004A5909">
        <w:tc>
          <w:tcPr>
            <w:tcW w:w="3235" w:type="dxa"/>
          </w:tcPr>
          <w:p w14:paraId="73F23C34" w14:textId="7DD332C8" w:rsidR="004A5909" w:rsidRDefault="004A5909" w:rsidP="004A5909">
            <w:pPr>
              <w:ind w:left="0"/>
            </w:pPr>
            <w:r w:rsidRPr="00147205">
              <w:rPr>
                <w:rFonts w:eastAsia="Times New Roman" w:cs="Noto Sans"/>
                <w:color w:val="000000"/>
                <w:szCs w:val="24"/>
              </w:rPr>
              <w:t>Z000</w:t>
            </w:r>
          </w:p>
        </w:tc>
        <w:tc>
          <w:tcPr>
            <w:tcW w:w="6655" w:type="dxa"/>
          </w:tcPr>
          <w:p w14:paraId="2EFC7BAC" w14:textId="2A502AA7" w:rsidR="004A5909" w:rsidRDefault="004A5909" w:rsidP="004A5909">
            <w:pPr>
              <w:ind w:left="0"/>
            </w:pPr>
            <w:r w:rsidRPr="00147205">
              <w:rPr>
                <w:rFonts w:eastAsia="Times New Roman" w:cs="Noto Sans"/>
                <w:color w:val="000000"/>
                <w:szCs w:val="24"/>
              </w:rPr>
              <w:t>Encounter for general adult medical examination</w:t>
            </w:r>
          </w:p>
        </w:tc>
      </w:tr>
      <w:tr w:rsidR="004A5909" w14:paraId="55AEB871" w14:textId="77777777" w:rsidTr="004A5909">
        <w:tc>
          <w:tcPr>
            <w:tcW w:w="3235" w:type="dxa"/>
          </w:tcPr>
          <w:p w14:paraId="3FF3629B" w14:textId="60811638" w:rsidR="004A5909" w:rsidRDefault="004A5909" w:rsidP="004A5909">
            <w:pPr>
              <w:ind w:left="0"/>
            </w:pPr>
            <w:r w:rsidRPr="00147205">
              <w:rPr>
                <w:rFonts w:eastAsia="Times New Roman" w:cs="Noto Sans"/>
                <w:color w:val="000000"/>
                <w:szCs w:val="24"/>
              </w:rPr>
              <w:t>Z0000</w:t>
            </w:r>
          </w:p>
        </w:tc>
        <w:tc>
          <w:tcPr>
            <w:tcW w:w="6655" w:type="dxa"/>
          </w:tcPr>
          <w:p w14:paraId="771AAEBE" w14:textId="533E3C1B" w:rsidR="004A5909" w:rsidRDefault="004A5909" w:rsidP="004A5909">
            <w:pPr>
              <w:ind w:left="0"/>
            </w:pPr>
            <w:r w:rsidRPr="00147205">
              <w:rPr>
                <w:rFonts w:eastAsia="Times New Roman" w:cs="Noto Sans"/>
                <w:color w:val="000000"/>
                <w:szCs w:val="24"/>
              </w:rPr>
              <w:t>Encounter for general adult medical exam without abnormal findings</w:t>
            </w:r>
          </w:p>
        </w:tc>
      </w:tr>
      <w:tr w:rsidR="004A5909" w14:paraId="12815475" w14:textId="77777777" w:rsidTr="004A5909">
        <w:tc>
          <w:tcPr>
            <w:tcW w:w="3235" w:type="dxa"/>
          </w:tcPr>
          <w:p w14:paraId="2AE6A5FD" w14:textId="1594C8E1" w:rsidR="004A5909" w:rsidRDefault="004A5909" w:rsidP="004A5909">
            <w:pPr>
              <w:ind w:left="0"/>
            </w:pPr>
            <w:r w:rsidRPr="00147205">
              <w:rPr>
                <w:rFonts w:eastAsia="Times New Roman" w:cs="Noto Sans"/>
                <w:color w:val="000000"/>
                <w:szCs w:val="24"/>
              </w:rPr>
              <w:t>Z0001</w:t>
            </w:r>
          </w:p>
        </w:tc>
        <w:tc>
          <w:tcPr>
            <w:tcW w:w="6655" w:type="dxa"/>
          </w:tcPr>
          <w:p w14:paraId="6D7A93B4" w14:textId="07EB16E4" w:rsidR="004A5909" w:rsidRDefault="004A5909" w:rsidP="004A5909">
            <w:pPr>
              <w:ind w:left="0"/>
            </w:pPr>
            <w:r w:rsidRPr="00147205">
              <w:rPr>
                <w:rFonts w:eastAsia="Times New Roman" w:cs="Noto Sans"/>
                <w:color w:val="000000"/>
                <w:szCs w:val="24"/>
              </w:rPr>
              <w:t>Encounter for general adult medical exam with abnormal findings</w:t>
            </w:r>
          </w:p>
        </w:tc>
      </w:tr>
      <w:tr w:rsidR="004A5909" w14:paraId="5B6E879C" w14:textId="77777777" w:rsidTr="004A5909">
        <w:tc>
          <w:tcPr>
            <w:tcW w:w="3235" w:type="dxa"/>
          </w:tcPr>
          <w:p w14:paraId="0691CDEC" w14:textId="60D9D050" w:rsidR="004A5909" w:rsidRDefault="004A5909" w:rsidP="004A5909">
            <w:pPr>
              <w:ind w:left="0"/>
            </w:pPr>
            <w:r w:rsidRPr="00147205">
              <w:rPr>
                <w:rFonts w:eastAsia="Times New Roman" w:cs="Noto Sans"/>
                <w:color w:val="000000"/>
                <w:szCs w:val="24"/>
              </w:rPr>
              <w:t>Z001</w:t>
            </w:r>
          </w:p>
        </w:tc>
        <w:tc>
          <w:tcPr>
            <w:tcW w:w="6655" w:type="dxa"/>
          </w:tcPr>
          <w:p w14:paraId="229579CE" w14:textId="1F1982B4" w:rsidR="004A5909" w:rsidRDefault="004A5909" w:rsidP="004A5909">
            <w:pPr>
              <w:ind w:left="0"/>
            </w:pPr>
            <w:r w:rsidRPr="00147205">
              <w:rPr>
                <w:rFonts w:eastAsia="Times New Roman" w:cs="Noto Sans"/>
                <w:color w:val="000000"/>
                <w:szCs w:val="24"/>
              </w:rPr>
              <w:t>Encounter for newborn, infant and child health examinations</w:t>
            </w:r>
          </w:p>
        </w:tc>
      </w:tr>
      <w:tr w:rsidR="004A5909" w14:paraId="4D2DA0F9" w14:textId="77777777" w:rsidTr="004A5909">
        <w:tc>
          <w:tcPr>
            <w:tcW w:w="3235" w:type="dxa"/>
          </w:tcPr>
          <w:p w14:paraId="3A555938" w14:textId="30B7ED9C" w:rsidR="004A5909" w:rsidRDefault="004A5909" w:rsidP="004A5909">
            <w:pPr>
              <w:ind w:left="0"/>
            </w:pPr>
            <w:r w:rsidRPr="00147205">
              <w:rPr>
                <w:rFonts w:eastAsia="Times New Roman" w:cs="Noto Sans"/>
                <w:color w:val="000000"/>
                <w:szCs w:val="24"/>
              </w:rPr>
              <w:t>Z0011</w:t>
            </w:r>
          </w:p>
        </w:tc>
        <w:tc>
          <w:tcPr>
            <w:tcW w:w="6655" w:type="dxa"/>
          </w:tcPr>
          <w:p w14:paraId="774C823F" w14:textId="1B2358AF" w:rsidR="004A5909" w:rsidRDefault="004A5909" w:rsidP="004A5909">
            <w:pPr>
              <w:ind w:left="0"/>
            </w:pPr>
            <w:r w:rsidRPr="00147205">
              <w:rPr>
                <w:rFonts w:eastAsia="Times New Roman" w:cs="Noto Sans"/>
                <w:color w:val="000000"/>
                <w:szCs w:val="24"/>
              </w:rPr>
              <w:t>Newborn health examination</w:t>
            </w:r>
          </w:p>
        </w:tc>
      </w:tr>
      <w:tr w:rsidR="004A5909" w14:paraId="60723FAD" w14:textId="77777777" w:rsidTr="004A5909">
        <w:tc>
          <w:tcPr>
            <w:tcW w:w="3235" w:type="dxa"/>
          </w:tcPr>
          <w:p w14:paraId="6A85547C" w14:textId="360DF157" w:rsidR="004A5909" w:rsidRDefault="004A5909" w:rsidP="004A5909">
            <w:pPr>
              <w:ind w:left="0"/>
            </w:pPr>
            <w:r w:rsidRPr="00147205">
              <w:rPr>
                <w:rFonts w:eastAsia="Times New Roman" w:cs="Noto Sans"/>
                <w:color w:val="000000"/>
                <w:szCs w:val="24"/>
              </w:rPr>
              <w:t>Z00110</w:t>
            </w:r>
          </w:p>
        </w:tc>
        <w:tc>
          <w:tcPr>
            <w:tcW w:w="6655" w:type="dxa"/>
          </w:tcPr>
          <w:p w14:paraId="180705B2" w14:textId="4FF0602F" w:rsidR="004A5909" w:rsidRDefault="004A5909" w:rsidP="004A5909">
            <w:pPr>
              <w:ind w:left="0"/>
            </w:pPr>
            <w:r w:rsidRPr="00147205">
              <w:rPr>
                <w:rFonts w:eastAsia="Times New Roman" w:cs="Noto Sans"/>
                <w:color w:val="000000"/>
                <w:szCs w:val="24"/>
              </w:rPr>
              <w:t>Health examination for newborn under 8 days old</w:t>
            </w:r>
          </w:p>
        </w:tc>
      </w:tr>
      <w:tr w:rsidR="004A5909" w14:paraId="1F4D18A4" w14:textId="77777777" w:rsidTr="004A5909">
        <w:tc>
          <w:tcPr>
            <w:tcW w:w="3235" w:type="dxa"/>
          </w:tcPr>
          <w:p w14:paraId="1A01AAAA" w14:textId="53A6D326" w:rsidR="004A5909" w:rsidRDefault="004A5909" w:rsidP="004A5909">
            <w:pPr>
              <w:ind w:left="0"/>
            </w:pPr>
            <w:r w:rsidRPr="00147205">
              <w:rPr>
                <w:rFonts w:eastAsia="Times New Roman" w:cs="Noto Sans"/>
                <w:color w:val="000000"/>
                <w:szCs w:val="24"/>
              </w:rPr>
              <w:t>Z00111</w:t>
            </w:r>
          </w:p>
        </w:tc>
        <w:tc>
          <w:tcPr>
            <w:tcW w:w="6655" w:type="dxa"/>
          </w:tcPr>
          <w:p w14:paraId="4CFCF4ED" w14:textId="41FF3E1C" w:rsidR="004A5909" w:rsidRDefault="004A5909" w:rsidP="004A5909">
            <w:pPr>
              <w:ind w:left="0"/>
            </w:pPr>
            <w:r w:rsidRPr="00147205">
              <w:rPr>
                <w:rFonts w:eastAsia="Times New Roman" w:cs="Noto Sans"/>
                <w:color w:val="000000"/>
                <w:szCs w:val="24"/>
              </w:rPr>
              <w:t>Health examination for newborn 8 to 28 days old</w:t>
            </w:r>
          </w:p>
        </w:tc>
      </w:tr>
      <w:tr w:rsidR="004A5909" w14:paraId="5C54B2B9" w14:textId="77777777" w:rsidTr="004A5909">
        <w:tc>
          <w:tcPr>
            <w:tcW w:w="3235" w:type="dxa"/>
          </w:tcPr>
          <w:p w14:paraId="6BB71EAC" w14:textId="77FE81D3" w:rsidR="004A5909" w:rsidRDefault="004A5909" w:rsidP="004A5909">
            <w:pPr>
              <w:ind w:left="0"/>
            </w:pPr>
            <w:r w:rsidRPr="00147205">
              <w:rPr>
                <w:rFonts w:eastAsia="Times New Roman" w:cs="Noto Sans"/>
                <w:color w:val="000000"/>
                <w:szCs w:val="24"/>
              </w:rPr>
              <w:t>Z0012</w:t>
            </w:r>
          </w:p>
        </w:tc>
        <w:tc>
          <w:tcPr>
            <w:tcW w:w="6655" w:type="dxa"/>
          </w:tcPr>
          <w:p w14:paraId="6B20972E" w14:textId="79C76AB1" w:rsidR="004A5909" w:rsidRDefault="004A5909" w:rsidP="004A5909">
            <w:pPr>
              <w:ind w:left="0"/>
            </w:pPr>
            <w:r w:rsidRPr="00147205">
              <w:rPr>
                <w:rFonts w:eastAsia="Times New Roman" w:cs="Noto Sans"/>
                <w:color w:val="000000"/>
                <w:szCs w:val="24"/>
              </w:rPr>
              <w:t>Encounter for routine child health examination</w:t>
            </w:r>
          </w:p>
        </w:tc>
      </w:tr>
      <w:tr w:rsidR="004A5909" w14:paraId="29711160" w14:textId="77777777" w:rsidTr="004A5909">
        <w:tc>
          <w:tcPr>
            <w:tcW w:w="3235" w:type="dxa"/>
          </w:tcPr>
          <w:p w14:paraId="38595C84" w14:textId="72550FFE" w:rsidR="004A5909" w:rsidRDefault="004A5909" w:rsidP="004A5909">
            <w:pPr>
              <w:ind w:left="0"/>
            </w:pPr>
            <w:r w:rsidRPr="00147205">
              <w:rPr>
                <w:rFonts w:eastAsia="Times New Roman" w:cs="Noto Sans"/>
                <w:color w:val="000000"/>
                <w:szCs w:val="24"/>
              </w:rPr>
              <w:t>Z00121</w:t>
            </w:r>
          </w:p>
        </w:tc>
        <w:tc>
          <w:tcPr>
            <w:tcW w:w="6655" w:type="dxa"/>
          </w:tcPr>
          <w:p w14:paraId="573F10B7" w14:textId="445381AD" w:rsidR="004A5909" w:rsidRDefault="004A5909" w:rsidP="004A5909">
            <w:pPr>
              <w:ind w:left="0"/>
            </w:pPr>
            <w:r w:rsidRPr="00147205">
              <w:rPr>
                <w:rFonts w:eastAsia="Times New Roman" w:cs="Noto Sans"/>
                <w:color w:val="000000"/>
                <w:szCs w:val="24"/>
              </w:rPr>
              <w:t>Encounter for routine child health exam with abnormal findings</w:t>
            </w:r>
          </w:p>
        </w:tc>
      </w:tr>
      <w:tr w:rsidR="004A5909" w14:paraId="62BC0DE4" w14:textId="77777777" w:rsidTr="004A5909">
        <w:tc>
          <w:tcPr>
            <w:tcW w:w="3235" w:type="dxa"/>
          </w:tcPr>
          <w:p w14:paraId="71B461FE" w14:textId="52A2B42C" w:rsidR="004A5909" w:rsidRDefault="004A5909" w:rsidP="004A5909">
            <w:pPr>
              <w:ind w:left="0"/>
            </w:pPr>
            <w:r w:rsidRPr="00147205">
              <w:rPr>
                <w:rFonts w:eastAsia="Times New Roman" w:cs="Noto Sans"/>
                <w:color w:val="000000"/>
                <w:szCs w:val="24"/>
              </w:rPr>
              <w:t>Z00129</w:t>
            </w:r>
          </w:p>
        </w:tc>
        <w:tc>
          <w:tcPr>
            <w:tcW w:w="6655" w:type="dxa"/>
          </w:tcPr>
          <w:p w14:paraId="30205079" w14:textId="46E6CC28" w:rsidR="004A5909" w:rsidRDefault="004A5909" w:rsidP="004A5909">
            <w:pPr>
              <w:ind w:left="0"/>
            </w:pPr>
            <w:r w:rsidRPr="00147205">
              <w:rPr>
                <w:rFonts w:eastAsia="Times New Roman" w:cs="Noto Sans"/>
                <w:color w:val="000000"/>
                <w:szCs w:val="24"/>
              </w:rPr>
              <w:t xml:space="preserve"> Encounter for routine child health exam without abnormal findings</w:t>
            </w:r>
          </w:p>
        </w:tc>
      </w:tr>
      <w:tr w:rsidR="004A5909" w14:paraId="528D9C43" w14:textId="77777777" w:rsidTr="004A5909">
        <w:tc>
          <w:tcPr>
            <w:tcW w:w="3235" w:type="dxa"/>
          </w:tcPr>
          <w:p w14:paraId="636DDF29" w14:textId="1F330202" w:rsidR="004A5909" w:rsidRDefault="004A5909" w:rsidP="004A5909">
            <w:pPr>
              <w:ind w:left="0"/>
            </w:pPr>
            <w:r w:rsidRPr="00147205">
              <w:rPr>
                <w:rFonts w:eastAsia="Times New Roman" w:cs="Noto Sans"/>
                <w:color w:val="000000"/>
                <w:szCs w:val="24"/>
              </w:rPr>
              <w:t>Z008</w:t>
            </w:r>
          </w:p>
        </w:tc>
        <w:tc>
          <w:tcPr>
            <w:tcW w:w="6655" w:type="dxa"/>
          </w:tcPr>
          <w:p w14:paraId="091700FD" w14:textId="02E0DAA6" w:rsidR="004A5909" w:rsidRDefault="004A5909" w:rsidP="004A5909">
            <w:pPr>
              <w:ind w:left="0"/>
            </w:pPr>
            <w:r w:rsidRPr="00147205">
              <w:rPr>
                <w:rFonts w:eastAsia="Times New Roman" w:cs="Noto Sans"/>
                <w:color w:val="000000"/>
                <w:szCs w:val="24"/>
              </w:rPr>
              <w:t>Encounter for other general examination</w:t>
            </w:r>
          </w:p>
        </w:tc>
      </w:tr>
      <w:tr w:rsidR="004A5909" w14:paraId="4106F37E" w14:textId="77777777" w:rsidTr="004A5909">
        <w:tc>
          <w:tcPr>
            <w:tcW w:w="3235" w:type="dxa"/>
          </w:tcPr>
          <w:p w14:paraId="1DB09294" w14:textId="0730D691" w:rsidR="004A5909" w:rsidRDefault="004A5909" w:rsidP="004A5909">
            <w:pPr>
              <w:ind w:left="0"/>
            </w:pPr>
            <w:r w:rsidRPr="00147205">
              <w:rPr>
                <w:rFonts w:eastAsia="Times New Roman" w:cs="Noto Sans"/>
                <w:color w:val="000000"/>
                <w:szCs w:val="24"/>
              </w:rPr>
              <w:t>Z014</w:t>
            </w:r>
          </w:p>
        </w:tc>
        <w:tc>
          <w:tcPr>
            <w:tcW w:w="6655" w:type="dxa"/>
          </w:tcPr>
          <w:p w14:paraId="19F4023F" w14:textId="77A43E5C" w:rsidR="004A5909" w:rsidRDefault="004A5909" w:rsidP="004A5909">
            <w:pPr>
              <w:ind w:left="0"/>
            </w:pPr>
            <w:r w:rsidRPr="00147205">
              <w:rPr>
                <w:rFonts w:eastAsia="Times New Roman" w:cs="Noto Sans"/>
                <w:color w:val="000000"/>
                <w:szCs w:val="24"/>
              </w:rPr>
              <w:t>Encounter for gynecological examination</w:t>
            </w:r>
          </w:p>
        </w:tc>
      </w:tr>
      <w:tr w:rsidR="004A5909" w14:paraId="3DBF9499" w14:textId="77777777" w:rsidTr="004A5909">
        <w:tc>
          <w:tcPr>
            <w:tcW w:w="3235" w:type="dxa"/>
          </w:tcPr>
          <w:p w14:paraId="42B802FD" w14:textId="72F93D68" w:rsidR="004A5909" w:rsidRDefault="004A5909" w:rsidP="004A5909">
            <w:pPr>
              <w:ind w:left="0"/>
            </w:pPr>
            <w:r w:rsidRPr="00147205">
              <w:rPr>
                <w:rFonts w:eastAsia="Times New Roman" w:cs="Noto Sans"/>
                <w:color w:val="000000"/>
                <w:szCs w:val="24"/>
              </w:rPr>
              <w:t>Z0141</w:t>
            </w:r>
          </w:p>
        </w:tc>
        <w:tc>
          <w:tcPr>
            <w:tcW w:w="6655" w:type="dxa"/>
          </w:tcPr>
          <w:p w14:paraId="28577210" w14:textId="5EB5A25C" w:rsidR="004A5909" w:rsidRDefault="004A5909" w:rsidP="004A5909">
            <w:pPr>
              <w:ind w:left="0"/>
            </w:pPr>
            <w:r w:rsidRPr="00147205">
              <w:rPr>
                <w:rFonts w:eastAsia="Times New Roman" w:cs="Noto Sans"/>
                <w:color w:val="000000"/>
                <w:szCs w:val="24"/>
              </w:rPr>
              <w:t>Encounter for routine gynecological examination</w:t>
            </w:r>
          </w:p>
        </w:tc>
      </w:tr>
      <w:tr w:rsidR="004A5909" w14:paraId="5156FAE2" w14:textId="77777777" w:rsidTr="004A5909">
        <w:tc>
          <w:tcPr>
            <w:tcW w:w="3235" w:type="dxa"/>
          </w:tcPr>
          <w:p w14:paraId="79B481AD" w14:textId="79228CB1" w:rsidR="004A5909" w:rsidRDefault="004A5909" w:rsidP="004A5909">
            <w:pPr>
              <w:ind w:left="0"/>
            </w:pPr>
            <w:r w:rsidRPr="00147205">
              <w:rPr>
                <w:rFonts w:eastAsia="Times New Roman" w:cs="Noto Sans"/>
                <w:color w:val="000000"/>
                <w:szCs w:val="24"/>
              </w:rPr>
              <w:t>Z01411</w:t>
            </w:r>
          </w:p>
        </w:tc>
        <w:tc>
          <w:tcPr>
            <w:tcW w:w="6655" w:type="dxa"/>
          </w:tcPr>
          <w:p w14:paraId="1CDFD0B9" w14:textId="3D7C6A5F" w:rsidR="004A5909" w:rsidRDefault="004A5909" w:rsidP="004A5909">
            <w:pPr>
              <w:ind w:left="0"/>
            </w:pPr>
            <w:r w:rsidRPr="00147205">
              <w:rPr>
                <w:rFonts w:eastAsia="Times New Roman" w:cs="Noto Sans"/>
                <w:color w:val="000000"/>
                <w:szCs w:val="24"/>
              </w:rPr>
              <w:t>Encounter for gynecological exam, general, routine with abnormal findings</w:t>
            </w:r>
          </w:p>
        </w:tc>
      </w:tr>
      <w:tr w:rsidR="004A5909" w14:paraId="0B5E5E28" w14:textId="77777777" w:rsidTr="004A5909">
        <w:tc>
          <w:tcPr>
            <w:tcW w:w="3235" w:type="dxa"/>
          </w:tcPr>
          <w:p w14:paraId="10E39A5A" w14:textId="690992F4" w:rsidR="004A5909" w:rsidRDefault="004A5909" w:rsidP="004A5909">
            <w:pPr>
              <w:ind w:left="0"/>
            </w:pPr>
            <w:r w:rsidRPr="00147205">
              <w:rPr>
                <w:rFonts w:eastAsia="Times New Roman" w:cs="Noto Sans"/>
                <w:color w:val="000000"/>
                <w:szCs w:val="24"/>
              </w:rPr>
              <w:t>Z01419</w:t>
            </w:r>
          </w:p>
        </w:tc>
        <w:tc>
          <w:tcPr>
            <w:tcW w:w="6655" w:type="dxa"/>
          </w:tcPr>
          <w:p w14:paraId="06A537E7" w14:textId="2F578FAE" w:rsidR="004A5909" w:rsidRDefault="004A5909" w:rsidP="004A5909">
            <w:pPr>
              <w:ind w:left="0"/>
            </w:pPr>
            <w:r w:rsidRPr="00147205">
              <w:rPr>
                <w:rFonts w:eastAsia="Times New Roman" w:cs="Noto Sans"/>
                <w:color w:val="000000"/>
                <w:szCs w:val="24"/>
              </w:rPr>
              <w:t>Encounter for gynecological exam, general, routine without abnormal findings</w:t>
            </w:r>
          </w:p>
        </w:tc>
      </w:tr>
    </w:tbl>
    <w:p w14:paraId="3E428164" w14:textId="7B98E1A0" w:rsidR="0071489A" w:rsidRDefault="0071489A" w:rsidP="0071489A"/>
    <w:p w14:paraId="74614067" w14:textId="77777777" w:rsidR="0071489A" w:rsidRPr="00C869C1" w:rsidRDefault="0071489A" w:rsidP="0071489A">
      <w:pPr>
        <w:ind w:left="0"/>
      </w:pPr>
    </w:p>
    <w:p w14:paraId="1D24143B" w14:textId="5BC70B61" w:rsidR="00E726E1" w:rsidRPr="00D86A75" w:rsidRDefault="00BF4E4F" w:rsidP="005D3C47">
      <w:pPr>
        <w:pStyle w:val="BlueInfoBoxHeading"/>
      </w:pPr>
      <w:r w:rsidRPr="00D86A75">
        <w:lastRenderedPageBreak/>
        <w:drawing>
          <wp:anchor distT="0" distB="0" distL="114300" distR="114300" simplePos="0" relativeHeight="251660288" behindDoc="0" locked="0" layoutInCell="1" allowOverlap="1" wp14:anchorId="32F23ED1" wp14:editId="2903EF5E">
            <wp:simplePos x="0" y="0"/>
            <wp:positionH relativeFrom="margin">
              <wp:posOffset>5136515</wp:posOffset>
            </wp:positionH>
            <wp:positionV relativeFrom="paragraph">
              <wp:posOffset>217805</wp:posOffset>
            </wp:positionV>
            <wp:extent cx="1604645" cy="5207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a:ext>
                      </a:extLst>
                    </a:blip>
                    <a:stretch>
                      <a:fillRect/>
                    </a:stretch>
                  </pic:blipFill>
                  <pic:spPr>
                    <a:xfrm>
                      <a:off x="0" y="0"/>
                      <a:ext cx="1604645" cy="520700"/>
                    </a:xfrm>
                    <a:prstGeom prst="rect">
                      <a:avLst/>
                    </a:prstGeom>
                  </pic:spPr>
                </pic:pic>
              </a:graphicData>
            </a:graphic>
            <wp14:sizeRelV relativeFrom="margin">
              <wp14:pctHeight>0</wp14:pctHeight>
            </wp14:sizeRelV>
          </wp:anchor>
        </w:drawing>
      </w:r>
      <w:r w:rsidR="004A5909">
        <w:t>Health Policy and Analytics</w:t>
      </w:r>
    </w:p>
    <w:p w14:paraId="0C28ECE2" w14:textId="39EA1320" w:rsidR="005F438F" w:rsidRDefault="004A5909" w:rsidP="005D3C47">
      <w:pPr>
        <w:pStyle w:val="BlueInfoBox"/>
      </w:pPr>
      <w:r>
        <w:t>All Payer All Claims Reporting Program</w:t>
      </w:r>
    </w:p>
    <w:p w14:paraId="130DE0ED" w14:textId="77777777" w:rsidR="00A54A82" w:rsidRPr="00A54A82" w:rsidRDefault="00A54A82" w:rsidP="00A54A82">
      <w:pPr>
        <w:pStyle w:val="BlueInfoBox"/>
      </w:pPr>
      <w:r w:rsidRPr="00A54A82">
        <w:t>800 NE Oregon Street</w:t>
      </w:r>
    </w:p>
    <w:p w14:paraId="167AAD9B" w14:textId="77777777" w:rsidR="00A54A82" w:rsidRPr="00A54A82" w:rsidRDefault="00A54A82" w:rsidP="00A54A82">
      <w:pPr>
        <w:pStyle w:val="BlueInfoBox"/>
      </w:pPr>
      <w:r w:rsidRPr="00A54A82">
        <w:t>Portland, OR  97232</w:t>
      </w:r>
    </w:p>
    <w:p w14:paraId="7DD57D84" w14:textId="0250A865" w:rsidR="004C1C12" w:rsidRDefault="003144D4" w:rsidP="005D3C47">
      <w:pPr>
        <w:pStyle w:val="BlueInfoBox"/>
        <w:rPr>
          <w:noProof w:val="0"/>
          <w:color w:val="auto"/>
        </w:rPr>
      </w:pPr>
      <w:r>
        <w:t>apac.admin@odhsoha.oregon.gov</w:t>
      </w:r>
    </w:p>
    <w:p w14:paraId="023D294B" w14:textId="66849009" w:rsidR="00571C08" w:rsidRPr="009576DF" w:rsidRDefault="009576DF" w:rsidP="005D3C47">
      <w:pPr>
        <w:pStyle w:val="BlueInfoBox"/>
      </w:pPr>
      <w:hyperlink r:id="rId16" w:history="1">
        <w:r w:rsidRPr="009576DF">
          <w:rPr>
            <w:rStyle w:val="Hyperlink"/>
            <w:noProof w:val="0"/>
            <w:color w:val="FFFFFF" w:themeColor="background1"/>
            <w:szCs w:val="28"/>
          </w:rPr>
          <w:t>https://www.oregon.gov/oha/hpa/analytics/pages/all-payer-all-claims.aspx</w:t>
        </w:r>
      </w:hyperlink>
    </w:p>
    <w:sectPr w:rsidR="00571C08" w:rsidRPr="009576DF" w:rsidSect="00DF29E1">
      <w:type w:val="continuous"/>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0953" w14:textId="77777777" w:rsidR="002E6DCE" w:rsidRDefault="002E6DCE" w:rsidP="00D07BCA">
      <w:r>
        <w:separator/>
      </w:r>
    </w:p>
    <w:p w14:paraId="44517E82" w14:textId="77777777" w:rsidR="002E6DCE" w:rsidRDefault="002E6DCE" w:rsidP="00D07BCA"/>
  </w:endnote>
  <w:endnote w:type="continuationSeparator" w:id="0">
    <w:p w14:paraId="116E585C" w14:textId="77777777" w:rsidR="002E6DCE" w:rsidRDefault="002E6DCE" w:rsidP="00D07BCA">
      <w:r>
        <w:continuationSeparator/>
      </w:r>
    </w:p>
    <w:p w14:paraId="514089F4" w14:textId="77777777" w:rsidR="002E6DCE" w:rsidRDefault="002E6DCE" w:rsidP="00D07BCA"/>
  </w:endnote>
  <w:endnote w:type="continuationNotice" w:id="1">
    <w:p w14:paraId="78A25EBC" w14:textId="77777777" w:rsidR="002E6DCE" w:rsidRDefault="002E6DCE" w:rsidP="00D07BCA"/>
    <w:p w14:paraId="08193D13" w14:textId="77777777" w:rsidR="002E6DCE" w:rsidRDefault="002E6DCE" w:rsidP="00D0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erif">
    <w:panose1 w:val="02020502060505020204"/>
    <w:charset w:val="00"/>
    <w:family w:val="roman"/>
    <w:pitch w:val="variable"/>
    <w:sig w:usb0="E00002FF" w:usb1="5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F068" w14:textId="77777777" w:rsidR="000A5682" w:rsidRDefault="000A5682" w:rsidP="00D07BCA">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3E18" w14:textId="15176B9C" w:rsidR="00F77C55" w:rsidRPr="0085433C" w:rsidRDefault="00ED7D59" w:rsidP="00D07BCA">
    <w:pPr>
      <w:pStyle w:val="Footer"/>
    </w:pPr>
    <w:fldSimple w:instr=" STYLEREF  &quot;Heading 1&quot;  \* MERGEFORMAT ">
      <w:r w:rsidR="00A54A82">
        <w:rPr>
          <w:noProof/>
        </w:rPr>
        <w:t>Primary Care Spending in Oregon: Methodology and Glossary</w:t>
      </w:r>
    </w:fldSimple>
    <w:r w:rsidR="00F77C55" w:rsidRPr="00AE51D3">
      <w:tab/>
    </w:r>
    <w:r w:rsidR="00F77C55" w:rsidRPr="00A52E85">
      <w:fldChar w:fldCharType="begin"/>
    </w:r>
    <w:r w:rsidR="00F77C55" w:rsidRPr="00A52E85">
      <w:instrText xml:space="preserve"> PAGE   \* MERGEFORMAT </w:instrText>
    </w:r>
    <w:r w:rsidR="00F77C55" w:rsidRPr="00A52E85">
      <w:fldChar w:fldCharType="separate"/>
    </w:r>
    <w:r w:rsidR="00F77C55">
      <w:t>2</w:t>
    </w:r>
    <w:r w:rsidR="00F77C55" w:rsidRPr="00A52E85">
      <w:fldChar w:fldCharType="end"/>
    </w:r>
    <w:r w:rsidR="00F77C55" w:rsidRPr="00A52E85">
      <w:t xml:space="preserve"> of </w:t>
    </w:r>
    <w:fldSimple w:instr=" NUMPAGES  \* Arabic  \* MERGEFORMAT ">
      <w:r w:rsidR="00F77C55">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231D" w14:textId="77777777" w:rsidR="002E6DCE" w:rsidRDefault="002E6DCE" w:rsidP="00D07BCA">
      <w:r>
        <w:separator/>
      </w:r>
    </w:p>
    <w:p w14:paraId="2C32F55D" w14:textId="77777777" w:rsidR="002E6DCE" w:rsidRDefault="002E6DCE" w:rsidP="00D07BCA"/>
  </w:footnote>
  <w:footnote w:type="continuationSeparator" w:id="0">
    <w:p w14:paraId="0ABBD7C2" w14:textId="77777777" w:rsidR="002E6DCE" w:rsidRDefault="002E6DCE" w:rsidP="00D07BCA">
      <w:r>
        <w:continuationSeparator/>
      </w:r>
    </w:p>
    <w:p w14:paraId="6350EAEA" w14:textId="77777777" w:rsidR="002E6DCE" w:rsidRDefault="002E6DCE" w:rsidP="00D07BCA"/>
  </w:footnote>
  <w:footnote w:type="continuationNotice" w:id="1">
    <w:p w14:paraId="6B0A53E8" w14:textId="77777777" w:rsidR="002E6DCE" w:rsidRDefault="002E6DCE" w:rsidP="00D07BCA"/>
    <w:p w14:paraId="0641EB56" w14:textId="77777777" w:rsidR="002E6DCE" w:rsidRDefault="002E6DCE" w:rsidP="00D07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D8229A"/>
    <w:lvl w:ilvl="0">
      <w:start w:val="1"/>
      <w:numFmt w:val="decimal"/>
      <w:pStyle w:val="ListNumber4"/>
      <w:lvlText w:val="(%1)"/>
      <w:lvlJc w:val="left"/>
      <w:pPr>
        <w:ind w:left="2340" w:hanging="360"/>
      </w:pPr>
      <w:rPr>
        <w:rFonts w:ascii="Noto Sans" w:hAnsi="Noto Sans" w:hint="default"/>
        <w:color w:val="064276" w:themeColor="text1"/>
      </w:rPr>
    </w:lvl>
  </w:abstractNum>
  <w:abstractNum w:abstractNumId="2" w15:restartNumberingAfterBreak="0">
    <w:nsid w:val="FFFFFF7E"/>
    <w:multiLevelType w:val="singleLevel"/>
    <w:tmpl w:val="60482158"/>
    <w:lvl w:ilvl="0">
      <w:start w:val="1"/>
      <w:numFmt w:val="lowerRoman"/>
      <w:pStyle w:val="ListNumber3"/>
      <w:lvlText w:val="%1)"/>
      <w:lvlJc w:val="left"/>
      <w:pPr>
        <w:ind w:left="1980" w:hanging="360"/>
      </w:pPr>
      <w:rPr>
        <w:rFonts w:hint="default"/>
        <w:color w:val="064276" w:themeColor="text1"/>
      </w:r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52F36C"/>
    <w:lvl w:ilvl="0">
      <w:start w:val="1"/>
      <w:numFmt w:val="bullet"/>
      <w:pStyle w:val="ListBullet4"/>
      <w:lvlText w:val=""/>
      <w:lvlJc w:val="left"/>
      <w:pPr>
        <w:ind w:left="1440" w:hanging="360"/>
      </w:pPr>
      <w:rPr>
        <w:rFonts w:ascii="Wingdings" w:hAnsi="Wingdings" w:hint="default"/>
        <w:color w:val="064276" w:themeColor="text1"/>
      </w:rPr>
    </w:lvl>
  </w:abstractNum>
  <w:abstractNum w:abstractNumId="6" w15:restartNumberingAfterBreak="0">
    <w:nsid w:val="FFFFFF82"/>
    <w:multiLevelType w:val="singleLevel"/>
    <w:tmpl w:val="BA68CF06"/>
    <w:lvl w:ilvl="0">
      <w:start w:val="1"/>
      <w:numFmt w:val="bullet"/>
      <w:pStyle w:val="ListBullet3"/>
      <w:lvlText w:val="▪"/>
      <w:lvlJc w:val="left"/>
      <w:pPr>
        <w:ind w:left="1080" w:hanging="360"/>
      </w:pPr>
      <w:rPr>
        <w:rFonts w:ascii="Noto Serif" w:hAnsi="Noto Serif" w:hint="default"/>
        <w:color w:val="064276" w:themeColor="text1"/>
      </w:rPr>
    </w:lvl>
  </w:abstractNum>
  <w:abstractNum w:abstractNumId="7" w15:restartNumberingAfterBreak="0">
    <w:nsid w:val="FFFFFF83"/>
    <w:multiLevelType w:val="singleLevel"/>
    <w:tmpl w:val="F774A724"/>
    <w:lvl w:ilvl="0">
      <w:start w:val="1"/>
      <w:numFmt w:val="bullet"/>
      <w:pStyle w:val="ListBullet2"/>
      <w:lvlText w:val="⸰"/>
      <w:lvlJc w:val="left"/>
      <w:pPr>
        <w:ind w:left="720" w:hanging="360"/>
      </w:pPr>
      <w:rPr>
        <w:rFonts w:ascii="Noto Sans" w:hAnsi="Noto Sans" w:hint="default"/>
        <w:color w:val="064276" w:themeColor="text1"/>
      </w:rPr>
    </w:lvl>
  </w:abstractNum>
  <w:abstractNum w:abstractNumId="8" w15:restartNumberingAfterBreak="0">
    <w:nsid w:val="FFFFFF88"/>
    <w:multiLevelType w:val="singleLevel"/>
    <w:tmpl w:val="628CF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9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BA34D02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7554E"/>
    <w:multiLevelType w:val="hybridMultilevel"/>
    <w:tmpl w:val="6B46DAF6"/>
    <w:lvl w:ilvl="0" w:tplc="B79662AE">
      <w:start w:val="1"/>
      <w:numFmt w:val="lowerLetter"/>
      <w:pStyle w:val="ListNumber2"/>
      <w:lvlText w:val="%1)"/>
      <w:lvlJc w:val="left"/>
      <w:pPr>
        <w:ind w:left="2520" w:hanging="360"/>
      </w:pPr>
      <w:rPr>
        <w:rFonts w:hint="default"/>
        <w:color w:val="064276"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B7DE57B2"/>
    <w:lvl w:ilvl="0" w:tplc="C8FE30E8">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A5A5E2F"/>
    <w:multiLevelType w:val="hybridMultilevel"/>
    <w:tmpl w:val="1D360AF8"/>
    <w:lvl w:ilvl="0" w:tplc="11DA5F26">
      <w:start w:val="1"/>
      <w:numFmt w:val="decimal"/>
      <w:pStyle w:val="ListNumber"/>
      <w:lvlText w:val="%1)"/>
      <w:lvlJc w:val="left"/>
      <w:pPr>
        <w:ind w:left="2160" w:hanging="360"/>
      </w:pPr>
      <w:rPr>
        <w:rFonts w:hint="default"/>
        <w:color w:val="064276"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1E31B9"/>
    <w:multiLevelType w:val="multilevel"/>
    <w:tmpl w:val="FD24F246"/>
    <w:numStyleLink w:val="Style1"/>
  </w:abstractNum>
  <w:abstractNum w:abstractNumId="38"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6"/>
  </w:num>
  <w:num w:numId="15" w16cid:durableId="1128282644">
    <w:abstractNumId w:val="19"/>
  </w:num>
  <w:num w:numId="16" w16cid:durableId="819227236">
    <w:abstractNumId w:val="28"/>
  </w:num>
  <w:num w:numId="17" w16cid:durableId="619459301">
    <w:abstractNumId w:val="20"/>
  </w:num>
  <w:num w:numId="18" w16cid:durableId="1077097201">
    <w:abstractNumId w:val="11"/>
  </w:num>
  <w:num w:numId="19" w16cid:durableId="266429244">
    <w:abstractNumId w:val="23"/>
  </w:num>
  <w:num w:numId="20" w16cid:durableId="579490002">
    <w:abstractNumId w:val="21"/>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8"/>
  </w:num>
  <w:num w:numId="34" w16cid:durableId="1540703377">
    <w:abstractNumId w:val="15"/>
  </w:num>
  <w:num w:numId="35" w16cid:durableId="513344337">
    <w:abstractNumId w:val="37"/>
  </w:num>
  <w:num w:numId="36" w16cid:durableId="1651709551">
    <w:abstractNumId w:val="24"/>
  </w:num>
  <w:num w:numId="37" w16cid:durableId="128473793">
    <w:abstractNumId w:val="31"/>
  </w:num>
  <w:num w:numId="38" w16cid:durableId="914314731">
    <w:abstractNumId w:val="35"/>
  </w:num>
  <w:num w:numId="39" w16cid:durableId="268438679">
    <w:abstractNumId w:val="22"/>
  </w:num>
  <w:num w:numId="40" w16cid:durableId="782192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FC04FE"/>
    <w:rsid w:val="00000E68"/>
    <w:rsid w:val="00007CF5"/>
    <w:rsid w:val="000171AD"/>
    <w:rsid w:val="00017BFA"/>
    <w:rsid w:val="00023303"/>
    <w:rsid w:val="000243B1"/>
    <w:rsid w:val="00024B42"/>
    <w:rsid w:val="00025097"/>
    <w:rsid w:val="00032BEC"/>
    <w:rsid w:val="0004263D"/>
    <w:rsid w:val="00046FD6"/>
    <w:rsid w:val="00051C8D"/>
    <w:rsid w:val="0005373E"/>
    <w:rsid w:val="00055FCA"/>
    <w:rsid w:val="00057801"/>
    <w:rsid w:val="00062A55"/>
    <w:rsid w:val="00067B31"/>
    <w:rsid w:val="0007343F"/>
    <w:rsid w:val="00074916"/>
    <w:rsid w:val="000751D4"/>
    <w:rsid w:val="00082E0B"/>
    <w:rsid w:val="00083487"/>
    <w:rsid w:val="00090664"/>
    <w:rsid w:val="000947A0"/>
    <w:rsid w:val="00097644"/>
    <w:rsid w:val="000A0FB4"/>
    <w:rsid w:val="000A5682"/>
    <w:rsid w:val="000B3B40"/>
    <w:rsid w:val="000B4489"/>
    <w:rsid w:val="000B4880"/>
    <w:rsid w:val="000B71D1"/>
    <w:rsid w:val="000B778A"/>
    <w:rsid w:val="000C0439"/>
    <w:rsid w:val="000C1471"/>
    <w:rsid w:val="000C1C28"/>
    <w:rsid w:val="000D0AF2"/>
    <w:rsid w:val="000D1229"/>
    <w:rsid w:val="000D48C8"/>
    <w:rsid w:val="000D5656"/>
    <w:rsid w:val="000D729E"/>
    <w:rsid w:val="000E247B"/>
    <w:rsid w:val="000E7379"/>
    <w:rsid w:val="000F4D85"/>
    <w:rsid w:val="000F7324"/>
    <w:rsid w:val="0011447C"/>
    <w:rsid w:val="0011683D"/>
    <w:rsid w:val="00120ED5"/>
    <w:rsid w:val="00121468"/>
    <w:rsid w:val="00122691"/>
    <w:rsid w:val="001255B3"/>
    <w:rsid w:val="0012719F"/>
    <w:rsid w:val="00127EE2"/>
    <w:rsid w:val="0014263E"/>
    <w:rsid w:val="0016149E"/>
    <w:rsid w:val="00163D61"/>
    <w:rsid w:val="0016454B"/>
    <w:rsid w:val="0016510F"/>
    <w:rsid w:val="00167142"/>
    <w:rsid w:val="00172EE2"/>
    <w:rsid w:val="00174E6B"/>
    <w:rsid w:val="0017534F"/>
    <w:rsid w:val="00176200"/>
    <w:rsid w:val="00180D46"/>
    <w:rsid w:val="00183693"/>
    <w:rsid w:val="00184D6B"/>
    <w:rsid w:val="001859E7"/>
    <w:rsid w:val="00187453"/>
    <w:rsid w:val="00195F6C"/>
    <w:rsid w:val="001A4271"/>
    <w:rsid w:val="001B0202"/>
    <w:rsid w:val="001B0E80"/>
    <w:rsid w:val="001B20BA"/>
    <w:rsid w:val="001B556A"/>
    <w:rsid w:val="001C3665"/>
    <w:rsid w:val="001C695B"/>
    <w:rsid w:val="001D1227"/>
    <w:rsid w:val="001D1E2F"/>
    <w:rsid w:val="001D4ACC"/>
    <w:rsid w:val="001E15D1"/>
    <w:rsid w:val="001F1838"/>
    <w:rsid w:val="001F7E21"/>
    <w:rsid w:val="00200103"/>
    <w:rsid w:val="00200C6E"/>
    <w:rsid w:val="00203D97"/>
    <w:rsid w:val="00206274"/>
    <w:rsid w:val="00207353"/>
    <w:rsid w:val="002119D7"/>
    <w:rsid w:val="00216C13"/>
    <w:rsid w:val="00216C3F"/>
    <w:rsid w:val="002204E2"/>
    <w:rsid w:val="00220A3C"/>
    <w:rsid w:val="00225B46"/>
    <w:rsid w:val="0022769A"/>
    <w:rsid w:val="00233B19"/>
    <w:rsid w:val="0024591C"/>
    <w:rsid w:val="00245A55"/>
    <w:rsid w:val="00251F1E"/>
    <w:rsid w:val="00252794"/>
    <w:rsid w:val="002542C4"/>
    <w:rsid w:val="00262BF1"/>
    <w:rsid w:val="00264AA8"/>
    <w:rsid w:val="0026554E"/>
    <w:rsid w:val="00267DD0"/>
    <w:rsid w:val="00271D57"/>
    <w:rsid w:val="00273925"/>
    <w:rsid w:val="00277519"/>
    <w:rsid w:val="00277C0B"/>
    <w:rsid w:val="00280857"/>
    <w:rsid w:val="0028357F"/>
    <w:rsid w:val="002A4003"/>
    <w:rsid w:val="002A4F33"/>
    <w:rsid w:val="002A68DE"/>
    <w:rsid w:val="002B3DC5"/>
    <w:rsid w:val="002B6ADD"/>
    <w:rsid w:val="002B7EE7"/>
    <w:rsid w:val="002C164F"/>
    <w:rsid w:val="002C7B2F"/>
    <w:rsid w:val="002D0733"/>
    <w:rsid w:val="002D5A91"/>
    <w:rsid w:val="002E16F7"/>
    <w:rsid w:val="002E37B6"/>
    <w:rsid w:val="002E5587"/>
    <w:rsid w:val="002E6DCE"/>
    <w:rsid w:val="002F15C4"/>
    <w:rsid w:val="002F3F4C"/>
    <w:rsid w:val="002F55BB"/>
    <w:rsid w:val="002F7E40"/>
    <w:rsid w:val="00300BD0"/>
    <w:rsid w:val="00306346"/>
    <w:rsid w:val="00311741"/>
    <w:rsid w:val="003144D4"/>
    <w:rsid w:val="00325CF6"/>
    <w:rsid w:val="00326440"/>
    <w:rsid w:val="00327B04"/>
    <w:rsid w:val="00332EC7"/>
    <w:rsid w:val="00335453"/>
    <w:rsid w:val="00335A4C"/>
    <w:rsid w:val="00337A69"/>
    <w:rsid w:val="00342D67"/>
    <w:rsid w:val="00342EF8"/>
    <w:rsid w:val="00347E0C"/>
    <w:rsid w:val="00347FD2"/>
    <w:rsid w:val="00350FBE"/>
    <w:rsid w:val="00355B3E"/>
    <w:rsid w:val="00360406"/>
    <w:rsid w:val="00360B9D"/>
    <w:rsid w:val="003618A4"/>
    <w:rsid w:val="003668DF"/>
    <w:rsid w:val="00366DE6"/>
    <w:rsid w:val="00372705"/>
    <w:rsid w:val="00380520"/>
    <w:rsid w:val="0038134F"/>
    <w:rsid w:val="0038439F"/>
    <w:rsid w:val="0039075B"/>
    <w:rsid w:val="003911ED"/>
    <w:rsid w:val="00396D07"/>
    <w:rsid w:val="003B64E8"/>
    <w:rsid w:val="003C1977"/>
    <w:rsid w:val="003C4792"/>
    <w:rsid w:val="003D3C7D"/>
    <w:rsid w:val="003D6495"/>
    <w:rsid w:val="003D72CA"/>
    <w:rsid w:val="003D7E6A"/>
    <w:rsid w:val="003E1832"/>
    <w:rsid w:val="003E3249"/>
    <w:rsid w:val="003E6195"/>
    <w:rsid w:val="003F5FEE"/>
    <w:rsid w:val="00401C75"/>
    <w:rsid w:val="004026C8"/>
    <w:rsid w:val="004100F8"/>
    <w:rsid w:val="004106AE"/>
    <w:rsid w:val="00417B83"/>
    <w:rsid w:val="00420671"/>
    <w:rsid w:val="004226E5"/>
    <w:rsid w:val="00423D71"/>
    <w:rsid w:val="0042628D"/>
    <w:rsid w:val="004316F6"/>
    <w:rsid w:val="004321E2"/>
    <w:rsid w:val="00432549"/>
    <w:rsid w:val="004339F3"/>
    <w:rsid w:val="00435106"/>
    <w:rsid w:val="00437835"/>
    <w:rsid w:val="004442F2"/>
    <w:rsid w:val="0045478B"/>
    <w:rsid w:val="00455C82"/>
    <w:rsid w:val="00457049"/>
    <w:rsid w:val="00457F62"/>
    <w:rsid w:val="00461921"/>
    <w:rsid w:val="00463D31"/>
    <w:rsid w:val="00470EC2"/>
    <w:rsid w:val="00471C48"/>
    <w:rsid w:val="00471D48"/>
    <w:rsid w:val="00476F25"/>
    <w:rsid w:val="00484CAF"/>
    <w:rsid w:val="004869DA"/>
    <w:rsid w:val="00487120"/>
    <w:rsid w:val="00491EBB"/>
    <w:rsid w:val="004956EA"/>
    <w:rsid w:val="0049637E"/>
    <w:rsid w:val="004A0164"/>
    <w:rsid w:val="004A3C46"/>
    <w:rsid w:val="004A4AC0"/>
    <w:rsid w:val="004A4F94"/>
    <w:rsid w:val="004A5909"/>
    <w:rsid w:val="004C1AC2"/>
    <w:rsid w:val="004C1C12"/>
    <w:rsid w:val="004C7316"/>
    <w:rsid w:val="004C738A"/>
    <w:rsid w:val="004D085F"/>
    <w:rsid w:val="004D3011"/>
    <w:rsid w:val="004D41B6"/>
    <w:rsid w:val="004D73D1"/>
    <w:rsid w:val="004E1088"/>
    <w:rsid w:val="004E14A1"/>
    <w:rsid w:val="004E3870"/>
    <w:rsid w:val="004F2FCA"/>
    <w:rsid w:val="004F7326"/>
    <w:rsid w:val="00501009"/>
    <w:rsid w:val="0050179B"/>
    <w:rsid w:val="0050222D"/>
    <w:rsid w:val="005032E0"/>
    <w:rsid w:val="0050661C"/>
    <w:rsid w:val="005076AA"/>
    <w:rsid w:val="00513BBC"/>
    <w:rsid w:val="005171C8"/>
    <w:rsid w:val="0052283E"/>
    <w:rsid w:val="00526BB2"/>
    <w:rsid w:val="00527915"/>
    <w:rsid w:val="00530583"/>
    <w:rsid w:val="005323F7"/>
    <w:rsid w:val="00535F98"/>
    <w:rsid w:val="00536C82"/>
    <w:rsid w:val="00537F8D"/>
    <w:rsid w:val="00542DB7"/>
    <w:rsid w:val="005539D6"/>
    <w:rsid w:val="00557A95"/>
    <w:rsid w:val="005632F9"/>
    <w:rsid w:val="00571C08"/>
    <w:rsid w:val="00572485"/>
    <w:rsid w:val="00580F22"/>
    <w:rsid w:val="00583F43"/>
    <w:rsid w:val="0058410B"/>
    <w:rsid w:val="0059472C"/>
    <w:rsid w:val="00594A6A"/>
    <w:rsid w:val="00595C43"/>
    <w:rsid w:val="005B3504"/>
    <w:rsid w:val="005B5AD4"/>
    <w:rsid w:val="005B7083"/>
    <w:rsid w:val="005C0F63"/>
    <w:rsid w:val="005C1D91"/>
    <w:rsid w:val="005C222A"/>
    <w:rsid w:val="005C55FC"/>
    <w:rsid w:val="005D3C47"/>
    <w:rsid w:val="005E301A"/>
    <w:rsid w:val="005E3EB7"/>
    <w:rsid w:val="005F3008"/>
    <w:rsid w:val="005F3845"/>
    <w:rsid w:val="005F3ECF"/>
    <w:rsid w:val="005F438F"/>
    <w:rsid w:val="005F55ED"/>
    <w:rsid w:val="005F705D"/>
    <w:rsid w:val="00603262"/>
    <w:rsid w:val="00606C15"/>
    <w:rsid w:val="00610603"/>
    <w:rsid w:val="00611B53"/>
    <w:rsid w:val="00612615"/>
    <w:rsid w:val="00621224"/>
    <w:rsid w:val="006218E4"/>
    <w:rsid w:val="0062722F"/>
    <w:rsid w:val="006341AA"/>
    <w:rsid w:val="00643B76"/>
    <w:rsid w:val="00660405"/>
    <w:rsid w:val="00660751"/>
    <w:rsid w:val="00661CF8"/>
    <w:rsid w:val="006626BA"/>
    <w:rsid w:val="006767DA"/>
    <w:rsid w:val="00683762"/>
    <w:rsid w:val="00690A3D"/>
    <w:rsid w:val="00691495"/>
    <w:rsid w:val="00692210"/>
    <w:rsid w:val="006A5547"/>
    <w:rsid w:val="006A7AA5"/>
    <w:rsid w:val="006B2FA0"/>
    <w:rsid w:val="006C09EE"/>
    <w:rsid w:val="006C73BB"/>
    <w:rsid w:val="006D1633"/>
    <w:rsid w:val="006D5875"/>
    <w:rsid w:val="006D7693"/>
    <w:rsid w:val="006E612C"/>
    <w:rsid w:val="006E7914"/>
    <w:rsid w:val="006E79BE"/>
    <w:rsid w:val="006F048A"/>
    <w:rsid w:val="006F0A9F"/>
    <w:rsid w:val="006F3C71"/>
    <w:rsid w:val="006F74C3"/>
    <w:rsid w:val="00700E70"/>
    <w:rsid w:val="00701583"/>
    <w:rsid w:val="0070357D"/>
    <w:rsid w:val="0070751C"/>
    <w:rsid w:val="00707F23"/>
    <w:rsid w:val="0071489A"/>
    <w:rsid w:val="007169AC"/>
    <w:rsid w:val="007214BD"/>
    <w:rsid w:val="007227D1"/>
    <w:rsid w:val="00724C94"/>
    <w:rsid w:val="00727646"/>
    <w:rsid w:val="00735108"/>
    <w:rsid w:val="0074003D"/>
    <w:rsid w:val="00740483"/>
    <w:rsid w:val="007448CA"/>
    <w:rsid w:val="007465F8"/>
    <w:rsid w:val="00747BC1"/>
    <w:rsid w:val="00752C8C"/>
    <w:rsid w:val="00757E4B"/>
    <w:rsid w:val="00761EFB"/>
    <w:rsid w:val="007654BE"/>
    <w:rsid w:val="00771A05"/>
    <w:rsid w:val="007743DD"/>
    <w:rsid w:val="00775A96"/>
    <w:rsid w:val="00776350"/>
    <w:rsid w:val="00777B0A"/>
    <w:rsid w:val="00782D79"/>
    <w:rsid w:val="0078355B"/>
    <w:rsid w:val="00783F23"/>
    <w:rsid w:val="0078490F"/>
    <w:rsid w:val="00786B50"/>
    <w:rsid w:val="00793A06"/>
    <w:rsid w:val="007957CF"/>
    <w:rsid w:val="00795837"/>
    <w:rsid w:val="00796C2B"/>
    <w:rsid w:val="00797C0E"/>
    <w:rsid w:val="007A673D"/>
    <w:rsid w:val="007B6885"/>
    <w:rsid w:val="007B6A1E"/>
    <w:rsid w:val="007B6AFF"/>
    <w:rsid w:val="007C11B1"/>
    <w:rsid w:val="007C54C1"/>
    <w:rsid w:val="007F656B"/>
    <w:rsid w:val="00801A05"/>
    <w:rsid w:val="00804F15"/>
    <w:rsid w:val="008060A9"/>
    <w:rsid w:val="008137F7"/>
    <w:rsid w:val="00813982"/>
    <w:rsid w:val="00814719"/>
    <w:rsid w:val="00822D8F"/>
    <w:rsid w:val="00825D9E"/>
    <w:rsid w:val="00831996"/>
    <w:rsid w:val="008329F5"/>
    <w:rsid w:val="00832A66"/>
    <w:rsid w:val="00835F1B"/>
    <w:rsid w:val="0083611B"/>
    <w:rsid w:val="00845DAF"/>
    <w:rsid w:val="0085433C"/>
    <w:rsid w:val="00863F52"/>
    <w:rsid w:val="0086404A"/>
    <w:rsid w:val="00866966"/>
    <w:rsid w:val="008704E3"/>
    <w:rsid w:val="00872AC8"/>
    <w:rsid w:val="00882382"/>
    <w:rsid w:val="00883FA1"/>
    <w:rsid w:val="00885D0C"/>
    <w:rsid w:val="00886500"/>
    <w:rsid w:val="00887DBC"/>
    <w:rsid w:val="00887F78"/>
    <w:rsid w:val="00890E98"/>
    <w:rsid w:val="00891EF1"/>
    <w:rsid w:val="0089201D"/>
    <w:rsid w:val="00897E34"/>
    <w:rsid w:val="008B488F"/>
    <w:rsid w:val="008B5437"/>
    <w:rsid w:val="008B7B88"/>
    <w:rsid w:val="008C2A07"/>
    <w:rsid w:val="008C3A9A"/>
    <w:rsid w:val="008C3F60"/>
    <w:rsid w:val="008C59EA"/>
    <w:rsid w:val="008D26F1"/>
    <w:rsid w:val="008D4D79"/>
    <w:rsid w:val="008D59F3"/>
    <w:rsid w:val="008E1E1B"/>
    <w:rsid w:val="008E2F39"/>
    <w:rsid w:val="008F58CA"/>
    <w:rsid w:val="008F621C"/>
    <w:rsid w:val="008F76C3"/>
    <w:rsid w:val="009046BC"/>
    <w:rsid w:val="00923F81"/>
    <w:rsid w:val="00936F17"/>
    <w:rsid w:val="009371AD"/>
    <w:rsid w:val="009465F3"/>
    <w:rsid w:val="009576DF"/>
    <w:rsid w:val="00961095"/>
    <w:rsid w:val="00961449"/>
    <w:rsid w:val="0096698E"/>
    <w:rsid w:val="0097248F"/>
    <w:rsid w:val="009724A4"/>
    <w:rsid w:val="00972B98"/>
    <w:rsid w:val="0097454A"/>
    <w:rsid w:val="00975BBB"/>
    <w:rsid w:val="00992456"/>
    <w:rsid w:val="00994445"/>
    <w:rsid w:val="00997781"/>
    <w:rsid w:val="009A180F"/>
    <w:rsid w:val="009A788A"/>
    <w:rsid w:val="009B0544"/>
    <w:rsid w:val="009C27B0"/>
    <w:rsid w:val="009D75A0"/>
    <w:rsid w:val="009E1FE2"/>
    <w:rsid w:val="009E43F8"/>
    <w:rsid w:val="009E4554"/>
    <w:rsid w:val="009E6DCF"/>
    <w:rsid w:val="009F11A5"/>
    <w:rsid w:val="009F72BE"/>
    <w:rsid w:val="00A007AF"/>
    <w:rsid w:val="00A02DDE"/>
    <w:rsid w:val="00A0338B"/>
    <w:rsid w:val="00A03EF0"/>
    <w:rsid w:val="00A1226E"/>
    <w:rsid w:val="00A13963"/>
    <w:rsid w:val="00A16AFD"/>
    <w:rsid w:val="00A17C82"/>
    <w:rsid w:val="00A23BAB"/>
    <w:rsid w:val="00A25366"/>
    <w:rsid w:val="00A31687"/>
    <w:rsid w:val="00A43BD8"/>
    <w:rsid w:val="00A51D09"/>
    <w:rsid w:val="00A52332"/>
    <w:rsid w:val="00A52E85"/>
    <w:rsid w:val="00A54A82"/>
    <w:rsid w:val="00A63B93"/>
    <w:rsid w:val="00A71B8E"/>
    <w:rsid w:val="00A759FA"/>
    <w:rsid w:val="00A86907"/>
    <w:rsid w:val="00A87B54"/>
    <w:rsid w:val="00A93C94"/>
    <w:rsid w:val="00A96155"/>
    <w:rsid w:val="00A96532"/>
    <w:rsid w:val="00AA1584"/>
    <w:rsid w:val="00AA5A18"/>
    <w:rsid w:val="00AA74F3"/>
    <w:rsid w:val="00AB36E2"/>
    <w:rsid w:val="00AB3C19"/>
    <w:rsid w:val="00AC4CC9"/>
    <w:rsid w:val="00AD41CE"/>
    <w:rsid w:val="00AD554A"/>
    <w:rsid w:val="00AD6C3D"/>
    <w:rsid w:val="00AE0041"/>
    <w:rsid w:val="00AE23DE"/>
    <w:rsid w:val="00AE51D3"/>
    <w:rsid w:val="00AE5B1C"/>
    <w:rsid w:val="00AE5E14"/>
    <w:rsid w:val="00AF63E4"/>
    <w:rsid w:val="00AF6E2F"/>
    <w:rsid w:val="00B049E6"/>
    <w:rsid w:val="00B052D0"/>
    <w:rsid w:val="00B0584A"/>
    <w:rsid w:val="00B15AC0"/>
    <w:rsid w:val="00B20B03"/>
    <w:rsid w:val="00B20E49"/>
    <w:rsid w:val="00B2317D"/>
    <w:rsid w:val="00B2370E"/>
    <w:rsid w:val="00B2771A"/>
    <w:rsid w:val="00B31224"/>
    <w:rsid w:val="00B33886"/>
    <w:rsid w:val="00B33CB6"/>
    <w:rsid w:val="00B36D10"/>
    <w:rsid w:val="00B403BB"/>
    <w:rsid w:val="00B41836"/>
    <w:rsid w:val="00B42AC3"/>
    <w:rsid w:val="00B44561"/>
    <w:rsid w:val="00B529B8"/>
    <w:rsid w:val="00B53CD1"/>
    <w:rsid w:val="00B54E89"/>
    <w:rsid w:val="00B56E9B"/>
    <w:rsid w:val="00B57086"/>
    <w:rsid w:val="00B64B92"/>
    <w:rsid w:val="00B67F6F"/>
    <w:rsid w:val="00B73DE6"/>
    <w:rsid w:val="00B7549D"/>
    <w:rsid w:val="00B76336"/>
    <w:rsid w:val="00B91672"/>
    <w:rsid w:val="00B918C1"/>
    <w:rsid w:val="00B93FAB"/>
    <w:rsid w:val="00B97046"/>
    <w:rsid w:val="00BA1D29"/>
    <w:rsid w:val="00BA2CF1"/>
    <w:rsid w:val="00BA3DD1"/>
    <w:rsid w:val="00BA45E1"/>
    <w:rsid w:val="00BA6A3F"/>
    <w:rsid w:val="00BC5007"/>
    <w:rsid w:val="00BC5CFE"/>
    <w:rsid w:val="00BD093C"/>
    <w:rsid w:val="00BD25AB"/>
    <w:rsid w:val="00BD2918"/>
    <w:rsid w:val="00BD418A"/>
    <w:rsid w:val="00BE5F29"/>
    <w:rsid w:val="00BE670E"/>
    <w:rsid w:val="00BF325E"/>
    <w:rsid w:val="00BF3496"/>
    <w:rsid w:val="00BF4E4F"/>
    <w:rsid w:val="00BF4FEB"/>
    <w:rsid w:val="00BF511A"/>
    <w:rsid w:val="00C014A0"/>
    <w:rsid w:val="00C03DC1"/>
    <w:rsid w:val="00C0463D"/>
    <w:rsid w:val="00C060C9"/>
    <w:rsid w:val="00C06473"/>
    <w:rsid w:val="00C06E8F"/>
    <w:rsid w:val="00C22541"/>
    <w:rsid w:val="00C3036C"/>
    <w:rsid w:val="00C33903"/>
    <w:rsid w:val="00C345B7"/>
    <w:rsid w:val="00C35B30"/>
    <w:rsid w:val="00C368A1"/>
    <w:rsid w:val="00C44588"/>
    <w:rsid w:val="00C46448"/>
    <w:rsid w:val="00C50648"/>
    <w:rsid w:val="00C518CD"/>
    <w:rsid w:val="00C56595"/>
    <w:rsid w:val="00C56DD5"/>
    <w:rsid w:val="00C57B08"/>
    <w:rsid w:val="00C63B06"/>
    <w:rsid w:val="00C7181D"/>
    <w:rsid w:val="00C73549"/>
    <w:rsid w:val="00C7612A"/>
    <w:rsid w:val="00C76DB5"/>
    <w:rsid w:val="00C8118F"/>
    <w:rsid w:val="00C81472"/>
    <w:rsid w:val="00C81E16"/>
    <w:rsid w:val="00C840A5"/>
    <w:rsid w:val="00C869C1"/>
    <w:rsid w:val="00C86B38"/>
    <w:rsid w:val="00C92C92"/>
    <w:rsid w:val="00C93A46"/>
    <w:rsid w:val="00C97415"/>
    <w:rsid w:val="00CA04BD"/>
    <w:rsid w:val="00CA6BFD"/>
    <w:rsid w:val="00CB1889"/>
    <w:rsid w:val="00CB4100"/>
    <w:rsid w:val="00CC0BAE"/>
    <w:rsid w:val="00CC2B4B"/>
    <w:rsid w:val="00CC601E"/>
    <w:rsid w:val="00CC6C55"/>
    <w:rsid w:val="00CD00AC"/>
    <w:rsid w:val="00CD424D"/>
    <w:rsid w:val="00CD7692"/>
    <w:rsid w:val="00CF0249"/>
    <w:rsid w:val="00D02CAD"/>
    <w:rsid w:val="00D06120"/>
    <w:rsid w:val="00D0629C"/>
    <w:rsid w:val="00D07BCA"/>
    <w:rsid w:val="00D12057"/>
    <w:rsid w:val="00D130D2"/>
    <w:rsid w:val="00D15845"/>
    <w:rsid w:val="00D15E09"/>
    <w:rsid w:val="00D175E0"/>
    <w:rsid w:val="00D224E6"/>
    <w:rsid w:val="00D22CE8"/>
    <w:rsid w:val="00D26795"/>
    <w:rsid w:val="00D33557"/>
    <w:rsid w:val="00D37241"/>
    <w:rsid w:val="00D3782B"/>
    <w:rsid w:val="00D448DF"/>
    <w:rsid w:val="00D51F48"/>
    <w:rsid w:val="00D57768"/>
    <w:rsid w:val="00D609F2"/>
    <w:rsid w:val="00D64DE1"/>
    <w:rsid w:val="00D75E62"/>
    <w:rsid w:val="00D81AE9"/>
    <w:rsid w:val="00D86A75"/>
    <w:rsid w:val="00D92626"/>
    <w:rsid w:val="00D94D21"/>
    <w:rsid w:val="00DA12F7"/>
    <w:rsid w:val="00DA16C3"/>
    <w:rsid w:val="00DA1883"/>
    <w:rsid w:val="00DA289D"/>
    <w:rsid w:val="00DA38A2"/>
    <w:rsid w:val="00DA7866"/>
    <w:rsid w:val="00DA7CBA"/>
    <w:rsid w:val="00DA7DEC"/>
    <w:rsid w:val="00DB6030"/>
    <w:rsid w:val="00DC47B8"/>
    <w:rsid w:val="00DC6BE4"/>
    <w:rsid w:val="00DD2B74"/>
    <w:rsid w:val="00DD53B2"/>
    <w:rsid w:val="00DD5685"/>
    <w:rsid w:val="00DD7DA8"/>
    <w:rsid w:val="00DE11EC"/>
    <w:rsid w:val="00DE3BDC"/>
    <w:rsid w:val="00DE4137"/>
    <w:rsid w:val="00DE7E96"/>
    <w:rsid w:val="00DF29E1"/>
    <w:rsid w:val="00DF3D2D"/>
    <w:rsid w:val="00DF43E5"/>
    <w:rsid w:val="00DF47DB"/>
    <w:rsid w:val="00DF6F1D"/>
    <w:rsid w:val="00DF73DE"/>
    <w:rsid w:val="00E05248"/>
    <w:rsid w:val="00E0586D"/>
    <w:rsid w:val="00E103E7"/>
    <w:rsid w:val="00E122AC"/>
    <w:rsid w:val="00E13409"/>
    <w:rsid w:val="00E273B3"/>
    <w:rsid w:val="00E4479E"/>
    <w:rsid w:val="00E46A3D"/>
    <w:rsid w:val="00E511CD"/>
    <w:rsid w:val="00E55C69"/>
    <w:rsid w:val="00E567DB"/>
    <w:rsid w:val="00E65B4D"/>
    <w:rsid w:val="00E676EC"/>
    <w:rsid w:val="00E70FCD"/>
    <w:rsid w:val="00E726E1"/>
    <w:rsid w:val="00E727C5"/>
    <w:rsid w:val="00E76056"/>
    <w:rsid w:val="00E8737E"/>
    <w:rsid w:val="00E90B39"/>
    <w:rsid w:val="00E936D2"/>
    <w:rsid w:val="00E956AF"/>
    <w:rsid w:val="00E96CDF"/>
    <w:rsid w:val="00EA40B8"/>
    <w:rsid w:val="00EA69B3"/>
    <w:rsid w:val="00EA69BD"/>
    <w:rsid w:val="00EA7D5C"/>
    <w:rsid w:val="00EB0F9A"/>
    <w:rsid w:val="00EB791B"/>
    <w:rsid w:val="00EC321B"/>
    <w:rsid w:val="00EC57E7"/>
    <w:rsid w:val="00ED56AD"/>
    <w:rsid w:val="00ED59ED"/>
    <w:rsid w:val="00ED672A"/>
    <w:rsid w:val="00ED7D59"/>
    <w:rsid w:val="00EE7607"/>
    <w:rsid w:val="00EF5383"/>
    <w:rsid w:val="00EF5F50"/>
    <w:rsid w:val="00EF7C28"/>
    <w:rsid w:val="00EF7CCD"/>
    <w:rsid w:val="00F01266"/>
    <w:rsid w:val="00F05D28"/>
    <w:rsid w:val="00F11D4E"/>
    <w:rsid w:val="00F22BBB"/>
    <w:rsid w:val="00F25ED6"/>
    <w:rsid w:val="00F26B35"/>
    <w:rsid w:val="00F26C63"/>
    <w:rsid w:val="00F35613"/>
    <w:rsid w:val="00F358F0"/>
    <w:rsid w:val="00F3625F"/>
    <w:rsid w:val="00F407DD"/>
    <w:rsid w:val="00F413E9"/>
    <w:rsid w:val="00F43D8B"/>
    <w:rsid w:val="00F503B5"/>
    <w:rsid w:val="00F66547"/>
    <w:rsid w:val="00F67A2E"/>
    <w:rsid w:val="00F7608F"/>
    <w:rsid w:val="00F77C55"/>
    <w:rsid w:val="00F8096E"/>
    <w:rsid w:val="00F85945"/>
    <w:rsid w:val="00F923F6"/>
    <w:rsid w:val="00F9272A"/>
    <w:rsid w:val="00FB6CC5"/>
    <w:rsid w:val="00FB7F24"/>
    <w:rsid w:val="00FC01F8"/>
    <w:rsid w:val="00FC04FE"/>
    <w:rsid w:val="00FC2CE9"/>
    <w:rsid w:val="00FC58B9"/>
    <w:rsid w:val="00FD0AE5"/>
    <w:rsid w:val="00FD1EE8"/>
    <w:rsid w:val="00FD25C6"/>
    <w:rsid w:val="00FD44C0"/>
    <w:rsid w:val="00FD6F53"/>
    <w:rsid w:val="00FE0DB3"/>
    <w:rsid w:val="00FE110B"/>
    <w:rsid w:val="00FE36E8"/>
    <w:rsid w:val="00FE4351"/>
    <w:rsid w:val="00FE5AF5"/>
    <w:rsid w:val="00FF09B4"/>
    <w:rsid w:val="00FF13CD"/>
    <w:rsid w:val="00FF2990"/>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C0FE4"/>
  <w15:docId w15:val="{3B91F1D6-2F65-4993-81AD-F319CB3D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046FD6"/>
    <w:pPr>
      <w:spacing w:before="120" w:after="120"/>
      <w:ind w:left="900" w:right="900"/>
    </w:pPr>
    <w:rPr>
      <w:rFonts w:ascii="Noto Sans" w:hAnsi="Noto Sans" w:cs="Arial"/>
      <w:sz w:val="24"/>
      <w:szCs w:val="28"/>
    </w:rPr>
  </w:style>
  <w:style w:type="paragraph" w:styleId="Heading1">
    <w:name w:val="heading 1"/>
    <w:next w:val="Normal"/>
    <w:link w:val="Heading1Char"/>
    <w:uiPriority w:val="2"/>
    <w:rsid w:val="00D07BCA"/>
    <w:pPr>
      <w:keepNext/>
      <w:keepLines/>
      <w:shd w:val="clear" w:color="004982" w:fill="auto"/>
      <w:spacing w:after="120"/>
      <w:ind w:left="187" w:right="187"/>
      <w:outlineLvl w:val="0"/>
    </w:pPr>
    <w:rPr>
      <w:rFonts w:ascii="Noto Sans Bold" w:eastAsiaTheme="majorEastAsia" w:hAnsi="Noto Sans Bold" w:cstheme="majorBidi"/>
      <w:color w:val="EC5A24" w:themeColor="accent1"/>
      <w:sz w:val="46"/>
      <w:szCs w:val="26"/>
    </w:rPr>
  </w:style>
  <w:style w:type="paragraph" w:styleId="Heading2">
    <w:name w:val="heading 2"/>
    <w:next w:val="Normal"/>
    <w:link w:val="Heading2Char"/>
    <w:uiPriority w:val="2"/>
    <w:rsid w:val="00097644"/>
    <w:pPr>
      <w:keepNext/>
      <w:spacing w:before="240" w:after="120"/>
      <w:ind w:left="187" w:right="187"/>
      <w:outlineLvl w:val="1"/>
    </w:pPr>
    <w:rPr>
      <w:rFonts w:ascii="Noto Sans Bold" w:eastAsiaTheme="majorEastAsia" w:hAnsi="Noto Sans Bold" w:cstheme="majorBidi"/>
      <w:color w:val="064276"/>
      <w:sz w:val="34"/>
      <w:szCs w:val="24"/>
    </w:rPr>
  </w:style>
  <w:style w:type="paragraph" w:styleId="Heading3">
    <w:name w:val="heading 3"/>
    <w:next w:val="Normal"/>
    <w:link w:val="Heading3Char"/>
    <w:uiPriority w:val="2"/>
    <w:qFormat/>
    <w:rsid w:val="00097644"/>
    <w:pPr>
      <w:keepNext/>
      <w:spacing w:before="240" w:after="120"/>
      <w:ind w:left="907" w:right="907"/>
      <w:outlineLvl w:val="2"/>
    </w:pPr>
    <w:rPr>
      <w:rFonts w:ascii="Noto Sans Bold" w:eastAsiaTheme="majorEastAsia" w:hAnsi="Noto Sans Bold" w:cstheme="majorBidi"/>
      <w:color w:val="064276"/>
      <w:sz w:val="30"/>
      <w:szCs w:val="24"/>
    </w:rPr>
  </w:style>
  <w:style w:type="paragraph" w:styleId="Heading4">
    <w:name w:val="heading 4"/>
    <w:next w:val="Normal"/>
    <w:link w:val="Heading4Char"/>
    <w:uiPriority w:val="2"/>
    <w:qFormat/>
    <w:rsid w:val="00AD41CE"/>
    <w:pPr>
      <w:keepNext/>
      <w:keepLines/>
      <w:spacing w:before="240" w:after="120"/>
      <w:ind w:left="900" w:right="900"/>
      <w:outlineLvl w:val="3"/>
    </w:pPr>
    <w:rPr>
      <w:rFonts w:ascii="Noto Sans Bold" w:eastAsiaTheme="majorEastAsia" w:hAnsi="Noto Sans Bold" w:cstheme="majorBidi"/>
      <w:iCs/>
      <w:color w:val="064276" w:themeColor="text1"/>
      <w:sz w:val="24"/>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
    <w:unhideWhenUsed/>
    <w:rsid w:val="0085433C"/>
    <w:pPr>
      <w:pBdr>
        <w:top w:val="single" w:sz="8" w:space="4" w:color="004982"/>
      </w:pBdr>
      <w:shd w:val="clear" w:color="004982" w:fill="auto"/>
      <w:tabs>
        <w:tab w:val="right" w:pos="10800"/>
      </w:tabs>
      <w:spacing w:before="0"/>
      <w:ind w:left="0" w:right="0"/>
    </w:pPr>
    <w:rPr>
      <w:color w:val="064276" w:themeColor="text1"/>
      <w:sz w:val="22"/>
    </w:rPr>
  </w:style>
  <w:style w:type="character" w:customStyle="1" w:styleId="FooterChar">
    <w:name w:val="Footer Char"/>
    <w:basedOn w:val="DefaultParagraphFont"/>
    <w:link w:val="Footer"/>
    <w:uiPriority w:val="9"/>
    <w:rsid w:val="00A13963"/>
    <w:rPr>
      <w:rFonts w:ascii="Noto Sans" w:hAnsi="Noto Sans" w:cs="Arial"/>
      <w:color w:val="064276" w:themeColor="text1"/>
      <w:sz w:val="22"/>
      <w:szCs w:val="28"/>
      <w:shd w:val="clear" w:color="004982" w:fill="auto"/>
    </w:rPr>
  </w:style>
  <w:style w:type="paragraph" w:styleId="BalloonText">
    <w:name w:val="Balloon Text"/>
    <w:basedOn w:val="Normal"/>
    <w:link w:val="BalloonTextChar"/>
    <w:uiPriority w:val="99"/>
    <w:semiHidden/>
    <w:unhideWhenUsed/>
    <w:rsid w:val="00216C13"/>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2"/>
    <w:rsid w:val="00A13963"/>
    <w:rPr>
      <w:rFonts w:ascii="Noto Sans Bold" w:eastAsiaTheme="majorEastAsia" w:hAnsi="Noto Sans Bold" w:cstheme="majorBidi"/>
      <w:color w:val="064276"/>
      <w:sz w:val="34"/>
      <w:szCs w:val="24"/>
    </w:rPr>
  </w:style>
  <w:style w:type="character" w:customStyle="1" w:styleId="Heading3Char">
    <w:name w:val="Heading 3 Char"/>
    <w:basedOn w:val="DefaultParagraphFont"/>
    <w:link w:val="Heading3"/>
    <w:uiPriority w:val="2"/>
    <w:rsid w:val="00A13963"/>
    <w:rPr>
      <w:rFonts w:ascii="Noto Sans Bold" w:eastAsiaTheme="majorEastAsia" w:hAnsi="Noto Sans Bold" w:cstheme="majorBidi"/>
      <w:color w:val="064276"/>
      <w:sz w:val="30"/>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4"/>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2"/>
    <w:rsid w:val="00A13963"/>
    <w:rPr>
      <w:rFonts w:ascii="Noto Sans Bold" w:eastAsiaTheme="majorEastAsia" w:hAnsi="Noto Sans Bold" w:cstheme="majorBidi"/>
      <w:iCs/>
      <w:color w:val="064276" w:themeColor="text1"/>
      <w:sz w:val="24"/>
      <w:szCs w:val="26"/>
    </w:rPr>
  </w:style>
  <w:style w:type="character" w:customStyle="1" w:styleId="Heading1Char">
    <w:name w:val="Heading 1 Char"/>
    <w:link w:val="Heading1"/>
    <w:uiPriority w:val="2"/>
    <w:rsid w:val="00A13963"/>
    <w:rPr>
      <w:rFonts w:ascii="Noto Sans Bold" w:eastAsiaTheme="majorEastAsia" w:hAnsi="Noto Sans Bold" w:cstheme="majorBidi"/>
      <w:color w:val="EC5A24" w:themeColor="accent1"/>
      <w:sz w:val="46"/>
      <w:szCs w:val="26"/>
      <w:shd w:val="clear" w:color="004982" w:fill="auto"/>
    </w:rPr>
  </w:style>
  <w:style w:type="paragraph" w:styleId="ListParagraph">
    <w:name w:val="List Paragraph"/>
    <w:basedOn w:val="Normal"/>
    <w:link w:val="ListParagraphChar"/>
    <w:uiPriority w:val="11"/>
    <w:semiHidden/>
    <w:rsid w:val="005C55FC"/>
    <w:pPr>
      <w:numPr>
        <w:numId w:val="34"/>
      </w:numPr>
    </w:pPr>
  </w:style>
  <w:style w:type="character" w:styleId="Hyperlink">
    <w:name w:val="Hyperlink"/>
    <w:uiPriority w:val="10"/>
    <w:qFormat/>
    <w:rsid w:val="00C35B30"/>
    <w:rPr>
      <w:color w:val="064276"/>
      <w:u w:val="single"/>
    </w:rPr>
  </w:style>
  <w:style w:type="character" w:customStyle="1" w:styleId="ListParagraphChar">
    <w:name w:val="List Paragraph Char"/>
    <w:link w:val="ListParagraph"/>
    <w:uiPriority w:val="11"/>
    <w:semiHidden/>
    <w:rsid w:val="00A13963"/>
    <w:rPr>
      <w:rFonts w:ascii="Noto Sans" w:hAnsi="Noto Sans" w:cs="Arial"/>
      <w:sz w:val="24"/>
      <w:szCs w:val="28"/>
    </w:rPr>
  </w:style>
  <w:style w:type="character" w:styleId="Emphasis">
    <w:name w:val="Emphasis"/>
    <w:basedOn w:val="DefaultParagraphFont"/>
    <w:uiPriority w:val="11"/>
    <w:rsid w:val="00D33557"/>
    <w:rPr>
      <w:i/>
      <w:iCs/>
    </w:rPr>
  </w:style>
  <w:style w:type="character" w:styleId="Strong">
    <w:name w:val="Strong"/>
    <w:basedOn w:val="DefaultParagraphFont"/>
    <w:uiPriority w:val="11"/>
    <w:rsid w:val="00D33557"/>
    <w:rPr>
      <w:b/>
      <w:bCs/>
    </w:rPr>
  </w:style>
  <w:style w:type="paragraph" w:styleId="TOC1">
    <w:name w:val="toc 1"/>
    <w:basedOn w:val="Normal"/>
    <w:next w:val="Normal"/>
    <w:autoRedefine/>
    <w:uiPriority w:val="39"/>
    <w:rsid w:val="00542DB7"/>
    <w:pPr>
      <w:tabs>
        <w:tab w:val="right" w:leader="dot" w:pos="10620"/>
      </w:tabs>
      <w:ind w:left="180" w:right="180"/>
    </w:pPr>
    <w:rPr>
      <w:b/>
    </w:rPr>
  </w:style>
  <w:style w:type="paragraph" w:styleId="TOC2">
    <w:name w:val="toc 2"/>
    <w:basedOn w:val="Normal"/>
    <w:next w:val="Normal"/>
    <w:autoRedefine/>
    <w:uiPriority w:val="39"/>
    <w:rsid w:val="00AD41CE"/>
    <w:pPr>
      <w:tabs>
        <w:tab w:val="right" w:leader="dot" w:pos="10620"/>
      </w:tabs>
      <w:spacing w:after="100"/>
      <w:ind w:right="180"/>
    </w:pPr>
    <w:rPr>
      <w:noProof/>
    </w:rPr>
  </w:style>
  <w:style w:type="paragraph" w:styleId="TOC3">
    <w:name w:val="toc 3"/>
    <w:basedOn w:val="Normal"/>
    <w:next w:val="Normal"/>
    <w:autoRedefine/>
    <w:uiPriority w:val="39"/>
    <w:rsid w:val="00AD41CE"/>
    <w:pPr>
      <w:tabs>
        <w:tab w:val="right" w:leader="dot" w:pos="10620"/>
      </w:tabs>
      <w:spacing w:after="100"/>
      <w:ind w:left="1260" w:right="180"/>
    </w:pPr>
    <w:rPr>
      <w:noProof/>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qFormat/>
    <w:rsid w:val="00176200"/>
    <w:pPr>
      <w:spacing w:before="100" w:after="60"/>
      <w:ind w:left="187" w:right="-86"/>
    </w:pPr>
    <w:rPr>
      <w:rFonts w:ascii="Noto Sans Bold" w:hAnsi="Noto Sans Bold" w:cs="Arial"/>
      <w:color w:val="004982"/>
      <w:sz w:val="24"/>
      <w:szCs w:val="26"/>
    </w:rPr>
  </w:style>
  <w:style w:type="paragraph" w:customStyle="1" w:styleId="ProgramName">
    <w:name w:val="Program Name"/>
    <w:basedOn w:val="Normal"/>
    <w:autoRedefine/>
    <w:qFormat/>
    <w:rsid w:val="00ED7D59"/>
    <w:pPr>
      <w:shd w:val="clear" w:color="auto" w:fill="064276" w:themeFill="text1"/>
      <w:spacing w:before="100"/>
      <w:ind w:left="180" w:right="-965"/>
    </w:pPr>
    <w:rPr>
      <w:color w:val="FFFFFF" w:themeColor="background1"/>
      <w:sz w:val="22"/>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10"/>
    <w:semiHidden/>
    <w:qFormat/>
    <w:rsid w:val="00961095"/>
    <w:pPr>
      <w:pBdr>
        <w:top w:val="single" w:sz="8" w:space="1" w:color="0070C0"/>
      </w:pBdr>
      <w:jc w:val="right"/>
    </w:pPr>
  </w:style>
  <w:style w:type="paragraph" w:customStyle="1" w:styleId="BlueInfoBoxHeading">
    <w:name w:val="Blue Info Box Heading"/>
    <w:uiPriority w:val="8"/>
    <w:qFormat/>
    <w:rsid w:val="005D3C47"/>
    <w:pPr>
      <w:pBdr>
        <w:top w:val="single" w:sz="48" w:space="7" w:color="004982"/>
        <w:left w:val="single" w:sz="48" w:space="8" w:color="004982"/>
        <w:bottom w:val="single" w:sz="48" w:space="10" w:color="004982"/>
        <w:right w:val="single" w:sz="48" w:space="8" w:color="004982"/>
      </w:pBdr>
      <w:shd w:val="solid" w:color="004982" w:fill="auto"/>
      <w:spacing w:before="240"/>
      <w:ind w:left="216" w:right="144"/>
    </w:pPr>
    <w:rPr>
      <w:rFonts w:ascii="Noto Sans Bold" w:hAnsi="Noto Sans Bold" w:cs="Arial"/>
      <w:noProof/>
      <w:color w:val="FFFFFF" w:themeColor="background1"/>
      <w:sz w:val="26"/>
      <w:szCs w:val="26"/>
    </w:rPr>
  </w:style>
  <w:style w:type="character" w:customStyle="1" w:styleId="Hyperlink-White">
    <w:name w:val="Hyperlink-White"/>
    <w:basedOn w:val="DefaultParagraphFont"/>
    <w:uiPriority w:val="10"/>
    <w:qFormat/>
    <w:rsid w:val="00611B53"/>
    <w:rPr>
      <w:color w:val="FFFFFF" w:themeColor="background1"/>
      <w:u w:val="single"/>
    </w:rPr>
  </w:style>
  <w:style w:type="paragraph" w:customStyle="1" w:styleId="AltStatement">
    <w:name w:val="Alt Statement"/>
    <w:basedOn w:val="Normal"/>
    <w:uiPriority w:val="8"/>
    <w:qFormat/>
    <w:rsid w:val="00A13963"/>
    <w:pPr>
      <w:keepLines/>
      <w:pBdr>
        <w:left w:val="single" w:sz="4" w:space="6" w:color="D9D9D9" w:themeColor="background1" w:themeShade="D9"/>
        <w:bottom w:val="single" w:sz="4" w:space="6" w:color="D9D9D9" w:themeColor="background1" w:themeShade="D9"/>
        <w:right w:val="single" w:sz="4" w:space="6" w:color="D9D9D9" w:themeColor="background1" w:themeShade="D9"/>
      </w:pBdr>
      <w:spacing w:before="0"/>
      <w:ind w:left="907" w:right="907"/>
    </w:pPr>
    <w:rPr>
      <w:color w:val="5F5F5F"/>
      <w:sz w:val="22"/>
      <w:szCs w:val="22"/>
    </w:rPr>
  </w:style>
  <w:style w:type="paragraph" w:styleId="TOCHeading">
    <w:name w:val="TOC Heading"/>
    <w:basedOn w:val="Heading2"/>
    <w:next w:val="Normal"/>
    <w:link w:val="TOCHeadingChar"/>
    <w:uiPriority w:val="38"/>
    <w:qFormat/>
    <w:rsid w:val="00542DB7"/>
    <w:pPr>
      <w:spacing w:after="0"/>
      <w:outlineLvl w:val="9"/>
    </w:pPr>
    <w:rPr>
      <w:color w:val="064276" w:themeColor="text1"/>
      <w:szCs w:val="32"/>
    </w:rPr>
  </w:style>
  <w:style w:type="character" w:customStyle="1" w:styleId="TOCHeadingChar">
    <w:name w:val="TOC Heading Char"/>
    <w:basedOn w:val="Heading1Char"/>
    <w:link w:val="TOCHeading"/>
    <w:uiPriority w:val="38"/>
    <w:rsid w:val="00A13963"/>
    <w:rPr>
      <w:rFonts w:ascii="Noto Sans Bold" w:eastAsiaTheme="majorEastAsia" w:hAnsi="Noto Sans Bold" w:cstheme="majorBidi"/>
      <w:color w:val="064276" w:themeColor="text1"/>
      <w:sz w:val="34"/>
      <w:szCs w:val="32"/>
      <w:shd w:val="clear" w:color="004982" w:fill="auto"/>
    </w:rPr>
  </w:style>
  <w:style w:type="paragraph" w:customStyle="1" w:styleId="LogoStyle">
    <w:name w:val="Logo Style"/>
    <w:uiPriority w:val="1"/>
    <w:qFormat/>
    <w:rsid w:val="00D07BCA"/>
    <w:pPr>
      <w:tabs>
        <w:tab w:val="right" w:pos="10800"/>
      </w:tabs>
      <w:spacing w:after="120"/>
    </w:pPr>
    <w:rPr>
      <w:rFonts w:ascii="Arial" w:hAnsi="Arial" w:cs="Arial"/>
      <w:noProof/>
      <w:sz w:val="26"/>
      <w:szCs w:val="26"/>
    </w:rPr>
  </w:style>
  <w:style w:type="paragraph" w:customStyle="1" w:styleId="AltStatementHeading">
    <w:name w:val="Alt Statement Heading"/>
    <w:uiPriority w:val="7"/>
    <w:qFormat/>
    <w:rsid w:val="00A13963"/>
    <w:pPr>
      <w:keepNext/>
      <w:keepLines/>
      <w:pBdr>
        <w:top w:val="single" w:sz="4" w:space="4" w:color="D9D9D9" w:themeColor="background1" w:themeShade="D9"/>
        <w:left w:val="single" w:sz="4" w:space="6" w:color="D9D9D9" w:themeColor="background1" w:themeShade="D9"/>
        <w:right w:val="single" w:sz="4" w:space="6" w:color="D9D9D9" w:themeColor="background1" w:themeShade="D9"/>
      </w:pBdr>
      <w:ind w:left="900" w:right="900"/>
    </w:pPr>
    <w:rPr>
      <w:rFonts w:ascii="Noto Sans Bold" w:hAnsi="Noto Sans Bold" w:cs="Arial"/>
      <w:bCs/>
      <w:color w:val="5F5F5F"/>
      <w:sz w:val="22"/>
      <w:szCs w:val="22"/>
    </w:rPr>
  </w:style>
  <w:style w:type="paragraph" w:styleId="ListBullet2">
    <w:name w:val="List Bullet 2"/>
    <w:basedOn w:val="Normal"/>
    <w:uiPriority w:val="99"/>
    <w:rsid w:val="005D3C47"/>
    <w:pPr>
      <w:numPr>
        <w:numId w:val="4"/>
      </w:numPr>
      <w:ind w:left="1890" w:right="1267"/>
    </w:pPr>
  </w:style>
  <w:style w:type="paragraph" w:styleId="ListBullet">
    <w:name w:val="List Bullet"/>
    <w:basedOn w:val="ListParagraph"/>
    <w:uiPriority w:val="99"/>
    <w:rsid w:val="005D3C47"/>
    <w:pPr>
      <w:ind w:left="1440" w:hanging="360"/>
    </w:pPr>
  </w:style>
  <w:style w:type="paragraph" w:styleId="ListBullet3">
    <w:name w:val="List Bullet 3"/>
    <w:basedOn w:val="Normal"/>
    <w:uiPriority w:val="99"/>
    <w:rsid w:val="005D3C47"/>
    <w:pPr>
      <w:numPr>
        <w:numId w:val="5"/>
      </w:numPr>
      <w:ind w:left="2340"/>
      <w:contextualSpacing/>
    </w:pPr>
  </w:style>
  <w:style w:type="paragraph" w:styleId="ListBullet4">
    <w:name w:val="List Bullet 4"/>
    <w:basedOn w:val="Normal"/>
    <w:uiPriority w:val="99"/>
    <w:rsid w:val="005D3C47"/>
    <w:pPr>
      <w:numPr>
        <w:numId w:val="6"/>
      </w:numPr>
      <w:ind w:left="2880"/>
      <w:contextualSpacing/>
    </w:pPr>
  </w:style>
  <w:style w:type="paragraph" w:styleId="ListNumber">
    <w:name w:val="List Number"/>
    <w:basedOn w:val="Normal"/>
    <w:uiPriority w:val="99"/>
    <w:rsid w:val="005D3C47"/>
    <w:pPr>
      <w:numPr>
        <w:numId w:val="38"/>
      </w:numPr>
      <w:ind w:left="1530" w:right="1267" w:hanging="450"/>
    </w:pPr>
  </w:style>
  <w:style w:type="paragraph" w:styleId="ListNumber2">
    <w:name w:val="List Number 2"/>
    <w:basedOn w:val="Normal"/>
    <w:uiPriority w:val="99"/>
    <w:rsid w:val="005D3C47"/>
    <w:pPr>
      <w:numPr>
        <w:numId w:val="39"/>
      </w:numPr>
      <w:ind w:left="1980" w:hanging="450"/>
      <w:contextualSpacing/>
    </w:pPr>
  </w:style>
  <w:style w:type="paragraph" w:styleId="ListNumber3">
    <w:name w:val="List Number 3"/>
    <w:basedOn w:val="Normal"/>
    <w:uiPriority w:val="99"/>
    <w:rsid w:val="005D3C47"/>
    <w:pPr>
      <w:numPr>
        <w:numId w:val="10"/>
      </w:numPr>
      <w:ind w:left="2430" w:right="1267" w:hanging="450"/>
      <w:contextualSpacing/>
    </w:pPr>
  </w:style>
  <w:style w:type="paragraph" w:styleId="ListNumber4">
    <w:name w:val="List Number 4"/>
    <w:basedOn w:val="Normal"/>
    <w:uiPriority w:val="99"/>
    <w:rsid w:val="005D3C47"/>
    <w:pPr>
      <w:numPr>
        <w:numId w:val="11"/>
      </w:numPr>
      <w:ind w:left="2970" w:right="1267" w:hanging="540"/>
      <w:contextualSpacing/>
    </w:pPr>
  </w:style>
  <w:style w:type="paragraph" w:styleId="ListNumber5">
    <w:name w:val="List Number 5"/>
    <w:basedOn w:val="Normal"/>
    <w:uiPriority w:val="99"/>
    <w:semiHidden/>
    <w:rsid w:val="00423D71"/>
    <w:pPr>
      <w:ind w:left="3240" w:right="1267" w:hanging="360"/>
      <w:contextualSpacing/>
    </w:pPr>
    <w:rPr>
      <w:sz w:val="22"/>
    </w:rPr>
  </w:style>
  <w:style w:type="paragraph" w:styleId="Header">
    <w:name w:val="header"/>
    <w:basedOn w:val="Normal"/>
    <w:link w:val="HeaderChar"/>
    <w:uiPriority w:val="99"/>
    <w:semiHidden/>
    <w:rsid w:val="00F22BBB"/>
    <w:pPr>
      <w:tabs>
        <w:tab w:val="center" w:pos="4680"/>
        <w:tab w:val="right" w:pos="9360"/>
      </w:tabs>
      <w:spacing w:before="0" w:after="0"/>
    </w:pPr>
  </w:style>
  <w:style w:type="character" w:customStyle="1" w:styleId="HeaderChar">
    <w:name w:val="Header Char"/>
    <w:basedOn w:val="DefaultParagraphFont"/>
    <w:link w:val="Header"/>
    <w:uiPriority w:val="99"/>
    <w:semiHidden/>
    <w:rsid w:val="00A13963"/>
    <w:rPr>
      <w:rFonts w:ascii="Noto Sans" w:hAnsi="Noto Sans" w:cs="Arial"/>
      <w:sz w:val="24"/>
      <w:szCs w:val="28"/>
    </w:rPr>
  </w:style>
  <w:style w:type="paragraph" w:customStyle="1" w:styleId="BlueInfoBox">
    <w:name w:val="Blue Info Box"/>
    <w:basedOn w:val="BlueInfoBoxHeading"/>
    <w:uiPriority w:val="9"/>
    <w:qFormat/>
    <w:rsid w:val="004E1088"/>
    <w:pPr>
      <w:spacing w:before="0"/>
    </w:pPr>
    <w:rPr>
      <w:rFonts w:ascii="Noto Sans" w:hAnsi="Noto Sans"/>
      <w:sz w:val="24"/>
    </w:rPr>
  </w:style>
  <w:style w:type="table" w:styleId="TableGrid">
    <w:name w:val="Table Grid"/>
    <w:basedOn w:val="TableNormal"/>
    <w:uiPriority w:val="59"/>
    <w:rsid w:val="00FD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uiPriority w:val="3"/>
    <w:qFormat/>
    <w:rsid w:val="00FD6F53"/>
    <w:pPr>
      <w:ind w:left="0"/>
    </w:pPr>
    <w:rPr>
      <w:b/>
      <w:color w:val="064276" w:themeColor="text1"/>
    </w:rPr>
  </w:style>
  <w:style w:type="character" w:customStyle="1" w:styleId="TableheaderChar">
    <w:name w:val="Table header Char"/>
    <w:basedOn w:val="DefaultParagraphFont"/>
    <w:link w:val="Tableheader"/>
    <w:uiPriority w:val="3"/>
    <w:rsid w:val="00FD6F53"/>
    <w:rPr>
      <w:rFonts w:ascii="Noto Sans" w:hAnsi="Noto Sans" w:cs="Arial"/>
      <w:b/>
      <w:color w:val="064276"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908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pa/analytics/pages/all-payer-all-clai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p-lan.org/apm-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60100\Downloads\OHA%20Templates\le0197.dotx"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tentionPeriodDate xmlns="34b74753-36bf-4d40-84e0-3557ee93d260" xsi:nil="true"/>
    <DocumentExpirationDate xmlns="59da1016-2a1b-4f8a-9768-d7a4932f6f16" xsi:nil="true"/>
    <IATopic xmlns="59da1016-2a1b-4f8a-9768-d7a4932f6f16" xsi:nil="true"/>
    <DocumentLocale xmlns="34b74753-36bf-4d40-84e0-3557ee93d260">en</DocumentLocale>
    <IASubtopic xmlns="59da1016-2a1b-4f8a-9768-d7a4932f6f16" xsi:nil="true"/>
    <URL xmlns="http://schemas.microsoft.com/sharepoint/v3">
      <Url>https://www-auth.oregon.gov/oha/HPA/ANALYTICS/Pages/APAC-Dashboards.aspx</Url>
      <Description>https://www.oregon.gov/oha/HPA/ANALYTICS/Pages/APAC-Dashboards.aspx</Description>
    </URL>
    <Meta_x0020_Description xmlns="34b74753-36bf-4d40-84e0-3557ee93d260" xsi:nil="true"/>
    <CopyToStateLib xmlns="34b74753-36bf-4d40-84e0-3557ee93d260">false</CopyToStateLib>
    <Metadata xmlns="34b74753-36bf-4d40-84e0-3557ee93d260" xsi:nil="true"/>
    <RoutingRuleDescription xmlns="http://schemas.microsoft.com/sharepoint/v3">Primary Care Spending Report 2025 Methods and Glossary</RoutingRuleDescription>
    <Meta_x0020_Keywords xmlns="34b74753-36bf-4d40-84e0-3557ee93d260" xsi:nil="true"/>
    <Category xmlns="34b74753-36bf-4d40-84e0-3557ee93d26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F5B6C9A3BBD4F8B506BBC14051DCA" ma:contentTypeVersion="20" ma:contentTypeDescription="Create a new document." ma:contentTypeScope="" ma:versionID="220c24e85ec1b33c93cdcbb01216a407">
  <xsd:schema xmlns:xsd="http://www.w3.org/2001/XMLSchema" xmlns:xs="http://www.w3.org/2001/XMLSchema" xmlns:p="http://schemas.microsoft.com/office/2006/metadata/properties" xmlns:ns1="http://schemas.microsoft.com/sharepoint/v3" xmlns:ns2="34b74753-36bf-4d40-84e0-3557ee93d260" xmlns:ns4="59da1016-2a1b-4f8a-9768-d7a4932f6f16" targetNamespace="http://schemas.microsoft.com/office/2006/metadata/properties" ma:root="true" ma:fieldsID="9065dacdcec072c4efe58db085534750" ns1:_="" ns2:_="" ns4:_="">
    <xsd:import namespace="http://schemas.microsoft.com/sharepoint/v3"/>
    <xsd:import namespace="34b74753-36bf-4d40-84e0-3557ee93d260"/>
    <xsd:import namespace="59da1016-2a1b-4f8a-9768-d7a4932f6f16"/>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element ref="ns4:IACategory" minOccurs="0"/>
                <xsd:element ref="ns4:IATopic" minOccurs="0"/>
                <xsd:element ref="ns4:IASubtopic" minOccurs="0"/>
                <xsd:element ref="ns4:DocumentExpirationDate" minOccurs="0"/>
                <xsd:element ref="ns2:Meta_x0020_Description" minOccurs="0"/>
                <xsd:element ref="ns2:Meta_x0020_Keywords" minOccurs="0"/>
                <xsd:element ref="ns1:URL" minOccurs="0"/>
                <xsd:element ref="ns4: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74753-36bf-4d40-84e0-3557ee93d260" elementFormDefault="qualified">
    <xsd:import namespace="http://schemas.microsoft.com/office/2006/documentManagement/types"/>
    <xsd:import namespace="http://schemas.microsoft.com/office/infopath/2007/PartnerControls"/>
    <xsd:element name="CopyToStateLib" ma:index="4"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5" nillable="true" ma:displayName="Locale" ma:default="en" ma:internalName="DocumentLocale" ma:readOnly="false">
      <xsd:simpleType>
        <xsd:restriction base="dms:Text">
          <xsd:maxLength value="10"/>
        </xsd:restriction>
      </xsd:simpleType>
    </xsd:element>
    <xsd:element name="Metadata" ma:index="6" nillable="true" ma:displayName="Metadata" ma:internalName="Metadata" ma:readOnly="false">
      <xsd:simpleType>
        <xsd:restriction base="dms:Note"/>
      </xsd:simpleType>
    </xsd:element>
    <xsd:element name="RetentionPeriodDate" ma:index="7" nillable="true" ma:displayName="Retention Period Date" ma:format="DateOnly" ma:internalName="RetentionPeriodDate" ma:readOnly="false">
      <xsd:simpleType>
        <xsd:restriction base="dms:DateTime"/>
      </xsd:simpleType>
    </xsd:element>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gory" ma:index="22" nillable="true" ma:displayName="Category" ma:default="DRC" ma:internalName="Category">
      <xsd:complexType>
        <xsd:complexContent>
          <xsd:extension base="dms:MultiChoice">
            <xsd:sequence>
              <xsd:element name="Value" maxOccurs="unbounded" minOccurs="0" nillable="true">
                <xsd:simpleType>
                  <xsd:restriction base="dms:Choice">
                    <xsd:enumeration value="DRC"/>
                    <xsd:enumeration value="TA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3.xml><?xml version="1.0" encoding="utf-8"?>
<ds:datastoreItem xmlns:ds="http://schemas.openxmlformats.org/officeDocument/2006/customXml" ds:itemID="{0D1D14D2-2541-4CA7-9237-87089B561B06}"/>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le0197</Template>
  <TotalTime>285</TotalTime>
  <Pages>19</Pages>
  <Words>3422</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Spending Report 2025 Methods and Glossary</dc:title>
  <dc:subject>200-624400_1 OHA 0197 8.5 x 11 Basic Publication Template</dc:subject>
  <dc:creator>OLIVER James</dc:creator>
  <cp:keywords/>
  <dc:description>200-624400_1 OHA 0197 8.5 x 11 Basic Publication Template</dc:description>
  <cp:lastModifiedBy>OLIVER James</cp:lastModifiedBy>
  <cp:revision>19</cp:revision>
  <cp:lastPrinted>2026-04-02T19:17:00Z</cp:lastPrinted>
  <dcterms:created xsi:type="dcterms:W3CDTF">2026-04-08T23:47:00Z</dcterms:created>
  <dcterms:modified xsi:type="dcterms:W3CDTF">2026-04-20T17:57:00Z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0x01010040DF5B6C9A3BBD4F8B506BBC14051DCA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