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3.xml" ContentType="application/vnd.openxmlformats-officedocument.wordprocessingml.header+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1.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2.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header4.xml" ContentType="application/vnd.openxmlformats-officedocument.wordprocessingml.header+xml"/>
  <Override PartName="/word/footer3.xml" ContentType="application/vnd.openxmlformats-officedocument.wordprocessingml.footer+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header5.xml" ContentType="application/vnd.openxmlformats-officedocument.wordprocessingml.header+xml"/>
  <Override PartName="/word/charts/chart25.xml" ContentType="application/vnd.openxmlformats-officedocument.drawingml.chart+xml"/>
  <Override PartName="/word/charts/chart26.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7577E" w14:textId="70CA2538" w:rsidR="00ED698D" w:rsidRDefault="00ED698D" w:rsidP="00ED698D">
      <w:pPr>
        <w:pStyle w:val="DivisionName"/>
        <w:spacing w:before="4000"/>
      </w:pPr>
      <w:r w:rsidRPr="00200C6E">
        <w:rPr>
          <w:noProof/>
        </w:rPr>
        <w:drawing>
          <wp:anchor distT="0" distB="0" distL="114300" distR="114300" simplePos="0" relativeHeight="251658240" behindDoc="0" locked="0" layoutInCell="1" allowOverlap="1" wp14:anchorId="0E0F2877" wp14:editId="60F135A9">
            <wp:simplePos x="0" y="0"/>
            <wp:positionH relativeFrom="column">
              <wp:posOffset>4114800</wp:posOffset>
            </wp:positionH>
            <wp:positionV relativeFrom="margin">
              <wp:posOffset>2387792</wp:posOffset>
            </wp:positionV>
            <wp:extent cx="2081354" cy="927748"/>
            <wp:effectExtent l="0" t="0" r="0" b="571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t>Health Policy and Analytics Division</w:t>
      </w:r>
      <w:permStart w:id="2048617115" w:edGrp="everyone"/>
      <w:permEnd w:id="2048617115"/>
    </w:p>
    <w:p w14:paraId="28544874" w14:textId="77777777" w:rsidR="00ED698D" w:rsidRPr="00CD1AE2" w:rsidRDefault="00ED698D" w:rsidP="00ED698D">
      <w:pPr>
        <w:pStyle w:val="ProgramName"/>
        <w:ind w:right="72"/>
        <w:rPr>
          <w:b/>
          <w:bCs/>
        </w:rPr>
      </w:pPr>
      <w:r w:rsidRPr="00CD1AE2">
        <w:rPr>
          <w:b/>
          <w:bCs/>
        </w:rPr>
        <w:t>CCO Quality Incentive Program</w:t>
      </w:r>
    </w:p>
    <w:p w14:paraId="223FCAC0" w14:textId="77777777" w:rsidR="008F4FBD" w:rsidRDefault="00ED698D" w:rsidP="003D70C6">
      <w:pPr>
        <w:spacing w:before="240"/>
        <w:rPr>
          <w:b/>
          <w:bCs/>
          <w:color w:val="004982"/>
          <w:sz w:val="72"/>
          <w:szCs w:val="72"/>
        </w:rPr>
        <w:sectPr w:rsidR="008F4FBD" w:rsidSect="00CD7CAC">
          <w:footerReference w:type="default" r:id="rId12"/>
          <w:footerReference w:type="first" r:id="rId13"/>
          <w:footnotePr>
            <w:numFmt w:val="lowerLetter"/>
          </w:footnotePr>
          <w:pgSz w:w="12240" w:h="15840"/>
          <w:pgMar w:top="1440" w:right="1440" w:bottom="1440" w:left="1440" w:header="720" w:footer="720" w:gutter="0"/>
          <w:pgNumType w:fmt="lowerRoman" w:start="1"/>
          <w:cols w:space="720"/>
          <w:titlePg/>
          <w:docGrid w:linePitch="360"/>
        </w:sectPr>
      </w:pPr>
      <w:r>
        <w:rPr>
          <w:b/>
          <w:bCs/>
          <w:color w:val="004982"/>
          <w:sz w:val="72"/>
          <w:szCs w:val="72"/>
        </w:rPr>
        <w:t>CCO Metrics 2025 Final Report</w:t>
      </w:r>
    </w:p>
    <w:p w14:paraId="2CA2C519" w14:textId="260AF236" w:rsidR="006E0242" w:rsidRPr="003D70C6" w:rsidRDefault="006E0242" w:rsidP="006E0242">
      <w:pPr>
        <w:pStyle w:val="Heading1"/>
        <w:rPr>
          <w:rStyle w:val="Heading1Char"/>
        </w:rPr>
      </w:pPr>
      <w:bookmarkStart w:id="0" w:name="_Toc235090752"/>
      <w:r>
        <w:rPr>
          <w:rStyle w:val="Heading1Char"/>
        </w:rPr>
        <w:lastRenderedPageBreak/>
        <w:t>Executive summary</w:t>
      </w:r>
      <w:bookmarkEnd w:id="0"/>
    </w:p>
    <w:p w14:paraId="626DB3FC" w14:textId="759CE3BC" w:rsidR="00E600A7" w:rsidRPr="007F3207" w:rsidRDefault="00E600A7" w:rsidP="00AE264A">
      <w:pPr>
        <w:pStyle w:val="Heading3"/>
      </w:pPr>
      <w:r w:rsidRPr="007F3207">
        <w:t>For 2025, Oregon’s Coordinated Care Organizations (CCOs) collectively earned over $238 million through the CCO Quality Incentive Program, a pay-for-performance program that rewards quality of care.</w:t>
      </w:r>
    </w:p>
    <w:p w14:paraId="0642AA42" w14:textId="347AFD7E" w:rsidR="00E600A7" w:rsidRDefault="00E600A7" w:rsidP="00E600A7">
      <w:r>
        <w:t xml:space="preserve">The goal of the CCO Quality Incentive Program is to improve the quality of care for Oregon Health Plan (OHP) members. To earn bonuses from the CCO Quality Incentive Program, CCOs must provide better care each year. </w:t>
      </w:r>
      <w:r w:rsidRPr="00DE7686">
        <w:t>Bonuses are on top of monthly payments that cover the cost of care</w:t>
      </w:r>
      <w:r>
        <w:t>, called per-member per-month (PMPM)</w:t>
      </w:r>
      <w:r w:rsidR="007F3207">
        <w:t xml:space="preserve"> or capitation</w:t>
      </w:r>
      <w:r w:rsidR="3BE0A5C8">
        <w:t xml:space="preserve"> rates</w:t>
      </w:r>
      <w:r w:rsidR="5B0BAF13">
        <w:t xml:space="preserve">. </w:t>
      </w:r>
    </w:p>
    <w:p w14:paraId="5E475D76" w14:textId="7FF4A0B8" w:rsidR="00E600A7" w:rsidRDefault="5D830F9E" w:rsidP="250ABE58">
      <w:r>
        <w:t>In 2025, the total CCO Quality Incentive Pool was set at 3</w:t>
      </w:r>
      <w:r w:rsidR="3F5809B6">
        <w:t xml:space="preserve"> percent</w:t>
      </w:r>
      <w:r>
        <w:t xml:space="preserve"> of that year’s aggregate PMPM to CCOs. </w:t>
      </w:r>
      <w:r w:rsidR="5189E295">
        <w:t xml:space="preserve">Although this </w:t>
      </w:r>
      <w:r w:rsidR="5C855F5F">
        <w:t xml:space="preserve">percentage </w:t>
      </w:r>
      <w:r>
        <w:t>was a decrease from prior years</w:t>
      </w:r>
      <w:r w:rsidR="5189E295">
        <w:t>,</w:t>
      </w:r>
      <w:r>
        <w:t xml:space="preserve"> </w:t>
      </w:r>
      <w:r w:rsidR="5189E295">
        <w:t>it</w:t>
      </w:r>
      <w:r>
        <w:t xml:space="preserve"> was more total dollars than some earlier years of the program. The decrease in percentage was </w:t>
      </w:r>
      <w:r w:rsidR="6F6A5DC6">
        <w:t>made partially to offset</w:t>
      </w:r>
      <w:r>
        <w:t xml:space="preserve"> far higher than budgeted </w:t>
      </w:r>
      <w:r w:rsidR="6F6A5DC6">
        <w:t>capitation rate increases for 2026</w:t>
      </w:r>
      <w:r>
        <w:t>.</w:t>
      </w:r>
    </w:p>
    <w:p w14:paraId="14BCB6DB" w14:textId="1641A820" w:rsidR="00E600A7" w:rsidRPr="007F3207" w:rsidRDefault="007F3207" w:rsidP="00AE264A">
      <w:pPr>
        <w:pStyle w:val="Heading3"/>
      </w:pPr>
      <w:r w:rsidRPr="007F3207">
        <w:t>CCO</w:t>
      </w:r>
      <w:r w:rsidR="00A96A09">
        <w:t xml:space="preserve"> </w:t>
      </w:r>
      <w:r w:rsidRPr="007F3207">
        <w:t>s</w:t>
      </w:r>
      <w:r w:rsidR="00A96A09">
        <w:t>tatewide performance</w:t>
      </w:r>
      <w:r w:rsidRPr="007F3207">
        <w:t xml:space="preserve"> </w:t>
      </w:r>
      <w:r w:rsidR="00AD4550">
        <w:t>held steady</w:t>
      </w:r>
      <w:r w:rsidR="00E96C89">
        <w:t xml:space="preserve"> or </w:t>
      </w:r>
      <w:r w:rsidR="001128EA" w:rsidRPr="007F3207">
        <w:t>improve</w:t>
      </w:r>
      <w:r w:rsidR="001128EA">
        <w:t>d</w:t>
      </w:r>
      <w:r w:rsidR="001128EA" w:rsidRPr="007F3207">
        <w:t xml:space="preserve"> </w:t>
      </w:r>
      <w:r w:rsidRPr="007F3207">
        <w:t>on all incentive measures</w:t>
      </w:r>
      <w:r w:rsidR="0084197A">
        <w:t xml:space="preserve"> from 2024 to 2025</w:t>
      </w:r>
      <w:r w:rsidRPr="007F3207">
        <w:t>.</w:t>
      </w:r>
    </w:p>
    <w:p w14:paraId="346C0745" w14:textId="3E343534" w:rsidR="00E600A7" w:rsidRDefault="007F3207" w:rsidP="00516119">
      <w:r w:rsidRPr="00516119">
        <w:t xml:space="preserve">CCOs most improved on </w:t>
      </w:r>
      <w:r w:rsidR="00E96C89">
        <w:t>the</w:t>
      </w:r>
      <w:r>
        <w:t xml:space="preserve"> </w:t>
      </w:r>
      <w:r w:rsidRPr="00516119">
        <w:t>Meaningful Language Access (Health Equity)</w:t>
      </w:r>
      <w:r w:rsidR="00E96C89">
        <w:t xml:space="preserve"> measure</w:t>
      </w:r>
      <w:r w:rsidR="00F25CE1">
        <w:t>, which is intended to increase the use of high-quality language services for members with interpreter needs</w:t>
      </w:r>
      <w:r w:rsidRPr="00516119">
        <w:t>. CCO</w:t>
      </w:r>
      <w:r w:rsidR="00E96C89">
        <w:t>s</w:t>
      </w:r>
      <w:r w:rsidRPr="00516119">
        <w:t xml:space="preserve"> statewide increased </w:t>
      </w:r>
      <w:r w:rsidR="0084197A">
        <w:t>qualifying</w:t>
      </w:r>
      <w:r w:rsidR="00E96C89">
        <w:t xml:space="preserve"> language services from</w:t>
      </w:r>
      <w:r w:rsidRPr="00516119">
        <w:t xml:space="preserve"> 14.4</w:t>
      </w:r>
      <w:r w:rsidR="00E96C89">
        <w:t xml:space="preserve"> percent</w:t>
      </w:r>
      <w:r w:rsidR="0084197A">
        <w:t xml:space="preserve"> of visits</w:t>
      </w:r>
      <w:r w:rsidR="00E96C89">
        <w:t xml:space="preserve"> in 2024</w:t>
      </w:r>
      <w:r w:rsidRPr="00516119">
        <w:t xml:space="preserve"> to 16.9</w:t>
      </w:r>
      <w:r w:rsidR="00E96C89">
        <w:t xml:space="preserve"> percent</w:t>
      </w:r>
      <w:r w:rsidR="0084197A">
        <w:t xml:space="preserve"> </w:t>
      </w:r>
      <w:r w:rsidR="00887AF9">
        <w:t>in</w:t>
      </w:r>
      <w:r w:rsidR="00E96C89">
        <w:t xml:space="preserve"> 2025</w:t>
      </w:r>
      <w:r w:rsidRPr="00516119">
        <w:t xml:space="preserve">. However, </w:t>
      </w:r>
      <w:r w:rsidR="009B0A1C">
        <w:t>Meaningful Language Access (Health Equity)</w:t>
      </w:r>
      <w:r w:rsidR="00552F21">
        <w:t xml:space="preserve"> ha</w:t>
      </w:r>
      <w:r w:rsidR="00AD5B73">
        <w:t>d</w:t>
      </w:r>
      <w:r w:rsidR="00552F21">
        <w:t xml:space="preserve"> some of the</w:t>
      </w:r>
      <w:r w:rsidR="002E1C72">
        <w:t xml:space="preserve"> lowest </w:t>
      </w:r>
      <w:r w:rsidR="009B0A1C">
        <w:t xml:space="preserve">CCO </w:t>
      </w:r>
      <w:r w:rsidR="00653AC9">
        <w:t>performance when compared to other incentive measures</w:t>
      </w:r>
      <w:r w:rsidR="0084197A">
        <w:t>.</w:t>
      </w:r>
    </w:p>
    <w:p w14:paraId="7AA24263" w14:textId="1DC18FEF" w:rsidR="00562540" w:rsidRDefault="001C6BEC" w:rsidP="005F575C">
      <w:r>
        <w:t>CCO</w:t>
      </w:r>
      <w:r w:rsidR="00A64DC3">
        <w:t xml:space="preserve"> </w:t>
      </w:r>
      <w:r>
        <w:t>s</w:t>
      </w:r>
      <w:r w:rsidR="00A64DC3">
        <w:t>tatewide rates</w:t>
      </w:r>
      <w:r>
        <w:t xml:space="preserve"> reached pre-pandemic </w:t>
      </w:r>
      <w:r w:rsidR="00562540">
        <w:t>levels for the first time on two measures:</w:t>
      </w:r>
    </w:p>
    <w:p w14:paraId="3D095A55" w14:textId="7716E674" w:rsidR="001C6BEC" w:rsidRDefault="00562540" w:rsidP="00562540">
      <w:pPr>
        <w:pStyle w:val="ListParagraph"/>
        <w:numPr>
          <w:ilvl w:val="0"/>
          <w:numId w:val="16"/>
        </w:numPr>
      </w:pPr>
      <w:r w:rsidRPr="00977067">
        <w:t>Diabetes Care: Hemoglobin A1c (HbA1c) Poor Control</w:t>
      </w:r>
    </w:p>
    <w:p w14:paraId="767BBF8C" w14:textId="57F5BE75" w:rsidR="00562540" w:rsidRDefault="00562540" w:rsidP="00562540">
      <w:pPr>
        <w:pStyle w:val="ListParagraph"/>
        <w:numPr>
          <w:ilvl w:val="0"/>
          <w:numId w:val="16"/>
        </w:numPr>
      </w:pPr>
      <w:r>
        <w:t>Immunizations for Adolescents</w:t>
      </w:r>
      <w:r w:rsidR="00956915">
        <w:t xml:space="preserve">: </w:t>
      </w:r>
      <w:r>
        <w:t>Combo 2</w:t>
      </w:r>
    </w:p>
    <w:p w14:paraId="4957838B" w14:textId="753B92CC" w:rsidR="00562540" w:rsidRPr="00977067" w:rsidRDefault="00977067" w:rsidP="005F575C">
      <w:r w:rsidRPr="00977067">
        <w:t>CCOs made notable gains on Diabetes Care: Hemoglobin A1c (HbA1c) Poor Control</w:t>
      </w:r>
      <w:r w:rsidR="00562540">
        <w:t>.</w:t>
      </w:r>
      <w:r w:rsidR="005F575C">
        <w:t xml:space="preserve"> </w:t>
      </w:r>
      <w:r w:rsidR="0086440B">
        <w:t xml:space="preserve">2025 had the </w:t>
      </w:r>
      <w:r w:rsidR="005F575C" w:rsidRPr="00895442">
        <w:t>best CCO</w:t>
      </w:r>
      <w:r w:rsidR="0086440B">
        <w:t xml:space="preserve"> statewide</w:t>
      </w:r>
      <w:r w:rsidR="005F575C" w:rsidRPr="00895442">
        <w:t xml:space="preserve"> </w:t>
      </w:r>
      <w:r w:rsidR="0086440B">
        <w:t>performance since this</w:t>
      </w:r>
      <w:r w:rsidR="005F575C" w:rsidRPr="00895442">
        <w:t xml:space="preserve"> measure was first incentivized in 2014.</w:t>
      </w:r>
      <w:r w:rsidR="0054165C">
        <w:t xml:space="preserve"> </w:t>
      </w:r>
    </w:p>
    <w:p w14:paraId="7AE6F95E" w14:textId="4981BBC9" w:rsidR="00977067" w:rsidRPr="001C6BEC" w:rsidRDefault="001C6BEC" w:rsidP="00AE264A">
      <w:pPr>
        <w:pStyle w:val="Heading3"/>
      </w:pPr>
      <w:r w:rsidRPr="001C6BEC">
        <w:t>CCOs have</w:t>
      </w:r>
      <w:r w:rsidR="00CB77DA">
        <w:t xml:space="preserve"> continued</w:t>
      </w:r>
      <w:r w:rsidRPr="001C6BEC">
        <w:t xml:space="preserve"> </w:t>
      </w:r>
      <w:r>
        <w:t>r</w:t>
      </w:r>
      <w:r w:rsidRPr="001C6BEC">
        <w:t xml:space="preserve">oom for improvement on </w:t>
      </w:r>
      <w:r w:rsidR="00CB77DA">
        <w:t>f</w:t>
      </w:r>
      <w:r w:rsidR="008E58D1">
        <w:t>ive</w:t>
      </w:r>
      <w:r w:rsidR="00CB77DA">
        <w:t xml:space="preserve"> measures.</w:t>
      </w:r>
    </w:p>
    <w:p w14:paraId="6DE7658F" w14:textId="4E0EB7D2" w:rsidR="00AD548B" w:rsidRDefault="00CB77DA" w:rsidP="00CB77DA">
      <w:r>
        <w:t>Out of all incentive measures</w:t>
      </w:r>
      <w:r w:rsidR="003321CC">
        <w:t xml:space="preserve"> in the program prior to 2020</w:t>
      </w:r>
      <w:r>
        <w:t xml:space="preserve">, two have yet to </w:t>
      </w:r>
      <w:r w:rsidR="008057E8">
        <w:t>reach pre-</w:t>
      </w:r>
      <w:r>
        <w:t>pandemic</w:t>
      </w:r>
      <w:r w:rsidR="008057E8">
        <w:t xml:space="preserve"> levels</w:t>
      </w:r>
      <w:r w:rsidR="00E81B5E">
        <w:t>:</w:t>
      </w:r>
      <w:r w:rsidR="00AD548B">
        <w:t xml:space="preserve"> </w:t>
      </w:r>
    </w:p>
    <w:p w14:paraId="2599918A" w14:textId="77777777" w:rsidR="00AD548B" w:rsidRDefault="00AD548B" w:rsidP="00AD548B">
      <w:pPr>
        <w:pStyle w:val="ListParagraph"/>
        <w:numPr>
          <w:ilvl w:val="0"/>
          <w:numId w:val="13"/>
        </w:numPr>
      </w:pPr>
      <w:r>
        <w:t>Preventive Dental or Oral Health Services (Ages 6-14)</w:t>
      </w:r>
    </w:p>
    <w:p w14:paraId="099EA12B" w14:textId="45C43780" w:rsidR="00AD548B" w:rsidRDefault="00AD548B" w:rsidP="00CB77DA">
      <w:pPr>
        <w:pStyle w:val="ListParagraph"/>
        <w:numPr>
          <w:ilvl w:val="0"/>
          <w:numId w:val="13"/>
        </w:numPr>
      </w:pPr>
      <w:r>
        <w:t>Adults with Diabetes – Oral Evaluation</w:t>
      </w:r>
    </w:p>
    <w:p w14:paraId="45E1D192" w14:textId="195CF151" w:rsidR="00CB77DA" w:rsidRDefault="00AD548B" w:rsidP="00CB77DA">
      <w:r>
        <w:t>Both are related to dental services, which were hit hardest</w:t>
      </w:r>
      <w:r w:rsidR="00E81B5E">
        <w:t xml:space="preserve"> during the</w:t>
      </w:r>
      <w:r w:rsidR="00FE6F5A">
        <w:t xml:space="preserve"> COVID-19</w:t>
      </w:r>
      <w:r w:rsidR="00E81B5E">
        <w:t xml:space="preserve"> pandemic</w:t>
      </w:r>
      <w:r>
        <w:t xml:space="preserve">. </w:t>
      </w:r>
      <w:r w:rsidR="00136A94">
        <w:t>I</w:t>
      </w:r>
      <w:r w:rsidR="00E81B5E">
        <w:t>n 2025</w:t>
      </w:r>
      <w:r w:rsidR="00136A94">
        <w:t>,</w:t>
      </w:r>
      <w:r>
        <w:t xml:space="preserve"> CCO statewide rates were </w:t>
      </w:r>
      <w:r w:rsidR="00E81B5E">
        <w:t>only slightly below</w:t>
      </w:r>
      <w:r>
        <w:t xml:space="preserve"> pre-pandemic levels.</w:t>
      </w:r>
    </w:p>
    <w:p w14:paraId="3F11D686" w14:textId="0B6666D3" w:rsidR="00516119" w:rsidRDefault="00FE6F5A" w:rsidP="003D70C6">
      <w:r>
        <w:lastRenderedPageBreak/>
        <w:t xml:space="preserve">While above pre-pandemic rates, </w:t>
      </w:r>
      <w:r w:rsidR="00BD6EE9">
        <w:t>Childhood Immunization Status</w:t>
      </w:r>
      <w:r w:rsidR="00956915">
        <w:t xml:space="preserve">: </w:t>
      </w:r>
      <w:r w:rsidR="00BD6EE9">
        <w:t>Combo 3 did not see the same gains as Immunizations for Adolescents</w:t>
      </w:r>
      <w:r w:rsidR="00956915">
        <w:t>: Combo 2</w:t>
      </w:r>
      <w:r>
        <w:t xml:space="preserve"> from 2024 to 2025</w:t>
      </w:r>
      <w:r w:rsidR="00BD6EE9">
        <w:t xml:space="preserve">. Similarly, </w:t>
      </w:r>
      <w:r w:rsidR="00641FB1">
        <w:t xml:space="preserve">for </w:t>
      </w:r>
      <w:r w:rsidR="00BD6EE9">
        <w:t xml:space="preserve">Initiation </w:t>
      </w:r>
      <w:r w:rsidR="00641FB1">
        <w:t xml:space="preserve">and Engagement </w:t>
      </w:r>
      <w:r w:rsidR="00BD6EE9">
        <w:t>of Substance Use Disorder (SUD) Treatment</w:t>
      </w:r>
      <w:r w:rsidR="00641FB1">
        <w:t>, initiation</w:t>
      </w:r>
      <w:r w:rsidR="00BD6EE9">
        <w:t xml:space="preserve"> </w:t>
      </w:r>
      <w:r w:rsidR="00641FB1">
        <w:t xml:space="preserve">rates </w:t>
      </w:r>
      <w:r w:rsidR="00BD6EE9">
        <w:t xml:space="preserve">held steady and did not have the same relative improvements as </w:t>
      </w:r>
      <w:r w:rsidR="00641FB1">
        <w:t>e</w:t>
      </w:r>
      <w:r w:rsidR="00BD6EE9">
        <w:t>ngagement</w:t>
      </w:r>
      <w:r w:rsidR="00641FB1">
        <w:t xml:space="preserve"> rates</w:t>
      </w:r>
      <w:r w:rsidR="00E81B5E">
        <w:t>.</w:t>
      </w:r>
    </w:p>
    <w:p w14:paraId="723E9956" w14:textId="025C2E68" w:rsidR="008E58D1" w:rsidRDefault="008E58D1" w:rsidP="003D70C6">
      <w:r>
        <w:t>Lastly, while seeing the most improvement from 2024 to 2025, Meaningful Language Access (Health Equity) remains an area for improvement.</w:t>
      </w:r>
    </w:p>
    <w:p w14:paraId="2FA5893F" w14:textId="43AB94D3" w:rsidR="009F42F7" w:rsidRPr="008A7693" w:rsidRDefault="00F3167E" w:rsidP="00AE264A">
      <w:pPr>
        <w:pStyle w:val="Heading3"/>
      </w:pPr>
      <w:r>
        <w:t>OHA and CCOs</w:t>
      </w:r>
      <w:r w:rsidR="009F42F7">
        <w:t xml:space="preserve"> continue to build on Upstream measures that address the social determinants of health.</w:t>
      </w:r>
    </w:p>
    <w:p w14:paraId="6EE75014" w14:textId="3FEB1F9D" w:rsidR="00575C51" w:rsidRDefault="009F42F7" w:rsidP="003D70C6">
      <w:r>
        <w:t xml:space="preserve">2025 was the first </w:t>
      </w:r>
      <w:r w:rsidR="00B37C47">
        <w:t>incentive year for</w:t>
      </w:r>
      <w:r w:rsidR="00B37C47" w:rsidRPr="00B37C47">
        <w:t xml:space="preserve"> Young Children Receiving Social-Emotional Issue-Focused Intervention/Treatment Services</w:t>
      </w:r>
      <w:r w:rsidR="00B37C47">
        <w:t>, replacing the system-level measure.</w:t>
      </w:r>
      <w:r w:rsidR="004F22E3">
        <w:t xml:space="preserve"> For young children, </w:t>
      </w:r>
      <w:r w:rsidR="00B37C47">
        <w:t>CCOs statewide increased brief interventions and treatment services from 5.0</w:t>
      </w:r>
      <w:r w:rsidR="004F22E3">
        <w:t xml:space="preserve"> percent </w:t>
      </w:r>
      <w:r w:rsidR="00B37C47">
        <w:t>in 2024 to 6.3</w:t>
      </w:r>
      <w:r w:rsidR="004F22E3">
        <w:t xml:space="preserve"> percent</w:t>
      </w:r>
      <w:r w:rsidR="00B37C47">
        <w:t xml:space="preserve"> of in 2025.</w:t>
      </w:r>
      <w:r w:rsidR="004F22E3">
        <w:t xml:space="preserve"> </w:t>
      </w:r>
      <w:r w:rsidR="00CC3E5E">
        <w:t>Since not all children will have social-emotional issues, we expect rates to be lower compared with other measures.</w:t>
      </w:r>
    </w:p>
    <w:p w14:paraId="16FD64C1" w14:textId="49AC37D9" w:rsidR="004F22E3" w:rsidRDefault="004F22E3" w:rsidP="003D70C6">
      <w:r>
        <w:t>2025 was also the first year of sample reporting for Social Determinants of Health (SDOH): Social Needs Screening and Referrals, which focuses on members’ housing insecurity, food insecurity and transportation needs.</w:t>
      </w:r>
    </w:p>
    <w:p w14:paraId="2FA68F3D" w14:textId="77777777" w:rsidR="004F22E3" w:rsidRDefault="004F22E3" w:rsidP="004F22E3">
      <w:r>
        <w:t xml:space="preserve">Lastly, </w:t>
      </w:r>
      <w:r w:rsidRPr="008A7693">
        <w:t xml:space="preserve">OHA worked with CCOs on changes to the Meaningful Language Access </w:t>
      </w:r>
      <w:r>
        <w:t xml:space="preserve">(Health Equity) </w:t>
      </w:r>
      <w:r w:rsidRPr="008A7693">
        <w:t>measure</w:t>
      </w:r>
      <w:r>
        <w:t>. Changes included:</w:t>
      </w:r>
    </w:p>
    <w:p w14:paraId="68753A08" w14:textId="0B945FCF" w:rsidR="004F22E3" w:rsidRDefault="004F22E3" w:rsidP="004F22E3">
      <w:pPr>
        <w:pStyle w:val="ListParagraph"/>
        <w:numPr>
          <w:ilvl w:val="0"/>
          <w:numId w:val="17"/>
        </w:numPr>
      </w:pPr>
      <w:r>
        <w:t>Expanding the definition of who qualifies as an in-language provider.</w:t>
      </w:r>
    </w:p>
    <w:p w14:paraId="5D4A6F15" w14:textId="274C3FAE" w:rsidR="004F22E3" w:rsidRDefault="004F22E3" w:rsidP="004F22E3">
      <w:pPr>
        <w:pStyle w:val="ListParagraph"/>
        <w:numPr>
          <w:ilvl w:val="0"/>
          <w:numId w:val="17"/>
        </w:numPr>
      </w:pPr>
      <w:r>
        <w:t xml:space="preserve">Removing </w:t>
      </w:r>
      <w:r w:rsidR="00462E0F">
        <w:t>the</w:t>
      </w:r>
      <w:r>
        <w:t xml:space="preserve"> requirement for retesting language proficiency.</w:t>
      </w:r>
    </w:p>
    <w:p w14:paraId="4F23C54F" w14:textId="00138BE6" w:rsidR="004F22E3" w:rsidRDefault="004F22E3" w:rsidP="004F22E3">
      <w:pPr>
        <w:pStyle w:val="ListParagraph"/>
        <w:numPr>
          <w:ilvl w:val="0"/>
          <w:numId w:val="17"/>
        </w:numPr>
      </w:pPr>
      <w:r>
        <w:t xml:space="preserve">Allowing CCOs to exclude visits where a member refused an interpreter. This does not exclude other visits by the same member. </w:t>
      </w:r>
    </w:p>
    <w:p w14:paraId="1501E663" w14:textId="45CBA71D" w:rsidR="004F22E3" w:rsidRPr="007C29A8" w:rsidRDefault="004F22E3" w:rsidP="003D70C6">
      <w:pPr>
        <w:sectPr w:rsidR="004F22E3" w:rsidRPr="007C29A8" w:rsidSect="00CD7CAC">
          <w:footnotePr>
            <w:numFmt w:val="lowerLetter"/>
          </w:footnotePr>
          <w:pgSz w:w="12240" w:h="15840"/>
          <w:pgMar w:top="1440" w:right="1440" w:bottom="1440" w:left="1440" w:header="720" w:footer="720" w:gutter="0"/>
          <w:pgNumType w:fmt="lowerRoman" w:start="1"/>
          <w:cols w:space="720"/>
          <w:titlePg/>
          <w:docGrid w:linePitch="360"/>
        </w:sectPr>
      </w:pPr>
      <w:r>
        <w:t>OHA is committed to ensuring resources are directed where they have the greatest impact</w:t>
      </w:r>
      <w:r w:rsidR="00B17194">
        <w:t>,</w:t>
      </w:r>
      <w:r>
        <w:t xml:space="preserve"> and </w:t>
      </w:r>
      <w:r w:rsidR="00B17194">
        <w:t xml:space="preserve">that </w:t>
      </w:r>
      <w:r w:rsidR="00462E0F">
        <w:t>Oregon Health Plan</w:t>
      </w:r>
      <w:r>
        <w:t xml:space="preserve"> members receive high-quality language interpretation.</w:t>
      </w:r>
    </w:p>
    <w:sdt>
      <w:sdtPr>
        <w:rPr>
          <w:rFonts w:eastAsiaTheme="minorEastAsia"/>
          <w:b/>
          <w:bCs/>
          <w:sz w:val="22"/>
        </w:rPr>
        <w:id w:val="350692084"/>
        <w:docPartObj>
          <w:docPartGallery w:val="Table of Contents"/>
          <w:docPartUnique/>
        </w:docPartObj>
      </w:sdtPr>
      <w:sdtEndPr>
        <w:rPr>
          <w:b w:val="0"/>
          <w:bCs w:val="0"/>
          <w:sz w:val="24"/>
          <w:szCs w:val="24"/>
        </w:rPr>
      </w:sdtEndPr>
      <w:sdtContent>
        <w:p w14:paraId="538D5E58" w14:textId="46C01525" w:rsidR="00ED698D" w:rsidRPr="00F468E8" w:rsidRDefault="00ED698D" w:rsidP="003D70C6">
          <w:pPr>
            <w:rPr>
              <w:rStyle w:val="Heading1Char"/>
              <w:b/>
              <w:bCs/>
            </w:rPr>
          </w:pPr>
          <w:r w:rsidRPr="00F468E8">
            <w:rPr>
              <w:rStyle w:val="Heading1Char"/>
              <w:bCs/>
            </w:rPr>
            <w:t>Table of Contents</w:t>
          </w:r>
        </w:p>
        <w:p w14:paraId="2E77E4B0" w14:textId="7F9208CA" w:rsidR="00294F6B" w:rsidRDefault="00ED698D">
          <w:pPr>
            <w:pStyle w:val="TOC1"/>
            <w:tabs>
              <w:tab w:val="right" w:leader="dot" w:pos="9350"/>
            </w:tabs>
            <w:rPr>
              <w:rFonts w:eastAsiaTheme="minorEastAsia"/>
              <w:noProof/>
              <w:szCs w:val="24"/>
            </w:rPr>
          </w:pPr>
          <w:r>
            <w:fldChar w:fldCharType="begin"/>
          </w:r>
          <w:r>
            <w:instrText xml:space="preserve"> TOC \o "1-2" \h \z \u </w:instrText>
          </w:r>
          <w:r>
            <w:fldChar w:fldCharType="separate"/>
          </w:r>
          <w:hyperlink w:anchor="_Toc235090752" w:history="1">
            <w:r w:rsidR="00294F6B" w:rsidRPr="000C3225">
              <w:rPr>
                <w:rStyle w:val="Hyperlink"/>
                <w:noProof/>
              </w:rPr>
              <w:t>Executive summary</w:t>
            </w:r>
            <w:r w:rsidR="00294F6B">
              <w:rPr>
                <w:noProof/>
                <w:webHidden/>
              </w:rPr>
              <w:tab/>
            </w:r>
            <w:r w:rsidR="00294F6B">
              <w:rPr>
                <w:noProof/>
                <w:webHidden/>
              </w:rPr>
              <w:fldChar w:fldCharType="begin"/>
            </w:r>
            <w:r w:rsidR="00294F6B">
              <w:rPr>
                <w:noProof/>
                <w:webHidden/>
              </w:rPr>
              <w:instrText xml:space="preserve"> PAGEREF _Toc235090752 \h </w:instrText>
            </w:r>
            <w:r w:rsidR="00294F6B">
              <w:rPr>
                <w:noProof/>
                <w:webHidden/>
              </w:rPr>
            </w:r>
            <w:r w:rsidR="00294F6B">
              <w:rPr>
                <w:noProof/>
                <w:webHidden/>
              </w:rPr>
              <w:fldChar w:fldCharType="separate"/>
            </w:r>
            <w:r w:rsidR="00294F6B">
              <w:rPr>
                <w:noProof/>
                <w:webHidden/>
              </w:rPr>
              <w:t>ii</w:t>
            </w:r>
            <w:r w:rsidR="00294F6B">
              <w:rPr>
                <w:noProof/>
                <w:webHidden/>
              </w:rPr>
              <w:fldChar w:fldCharType="end"/>
            </w:r>
          </w:hyperlink>
        </w:p>
        <w:p w14:paraId="488CFE14" w14:textId="5972B0C0" w:rsidR="00294F6B" w:rsidRDefault="00294F6B">
          <w:pPr>
            <w:pStyle w:val="TOC1"/>
            <w:tabs>
              <w:tab w:val="right" w:leader="dot" w:pos="9350"/>
            </w:tabs>
            <w:rPr>
              <w:rFonts w:eastAsiaTheme="minorEastAsia"/>
              <w:noProof/>
              <w:szCs w:val="24"/>
            </w:rPr>
          </w:pPr>
          <w:hyperlink w:anchor="_Toc235090753" w:history="1">
            <w:r w:rsidRPr="000C3225">
              <w:rPr>
                <w:rStyle w:val="Hyperlink"/>
                <w:noProof/>
              </w:rPr>
              <w:t>About this report</w:t>
            </w:r>
            <w:r>
              <w:rPr>
                <w:noProof/>
                <w:webHidden/>
              </w:rPr>
              <w:tab/>
            </w:r>
            <w:r>
              <w:rPr>
                <w:noProof/>
                <w:webHidden/>
              </w:rPr>
              <w:fldChar w:fldCharType="begin"/>
            </w:r>
            <w:r>
              <w:rPr>
                <w:noProof/>
                <w:webHidden/>
              </w:rPr>
              <w:instrText xml:space="preserve"> PAGEREF _Toc235090753 \h </w:instrText>
            </w:r>
            <w:r>
              <w:rPr>
                <w:noProof/>
                <w:webHidden/>
              </w:rPr>
            </w:r>
            <w:r>
              <w:rPr>
                <w:noProof/>
                <w:webHidden/>
              </w:rPr>
              <w:fldChar w:fldCharType="separate"/>
            </w:r>
            <w:r>
              <w:rPr>
                <w:noProof/>
                <w:webHidden/>
              </w:rPr>
              <w:t>1</w:t>
            </w:r>
            <w:r>
              <w:rPr>
                <w:noProof/>
                <w:webHidden/>
              </w:rPr>
              <w:fldChar w:fldCharType="end"/>
            </w:r>
          </w:hyperlink>
        </w:p>
        <w:p w14:paraId="63FC280F" w14:textId="5F67F38D" w:rsidR="00294F6B" w:rsidRDefault="00294F6B">
          <w:pPr>
            <w:pStyle w:val="TOC1"/>
            <w:tabs>
              <w:tab w:val="right" w:leader="dot" w:pos="9350"/>
            </w:tabs>
            <w:rPr>
              <w:rFonts w:eastAsiaTheme="minorEastAsia"/>
              <w:noProof/>
              <w:szCs w:val="24"/>
            </w:rPr>
          </w:pPr>
          <w:hyperlink w:anchor="_Toc235090754" w:history="1">
            <w:r w:rsidRPr="000C3225">
              <w:rPr>
                <w:rStyle w:val="Hyperlink"/>
                <w:noProof/>
              </w:rPr>
              <w:t>Program highlights</w:t>
            </w:r>
            <w:r>
              <w:rPr>
                <w:noProof/>
                <w:webHidden/>
              </w:rPr>
              <w:tab/>
            </w:r>
            <w:r>
              <w:rPr>
                <w:noProof/>
                <w:webHidden/>
              </w:rPr>
              <w:fldChar w:fldCharType="begin"/>
            </w:r>
            <w:r>
              <w:rPr>
                <w:noProof/>
                <w:webHidden/>
              </w:rPr>
              <w:instrText xml:space="preserve"> PAGEREF _Toc235090754 \h </w:instrText>
            </w:r>
            <w:r>
              <w:rPr>
                <w:noProof/>
                <w:webHidden/>
              </w:rPr>
            </w:r>
            <w:r>
              <w:rPr>
                <w:noProof/>
                <w:webHidden/>
              </w:rPr>
              <w:fldChar w:fldCharType="separate"/>
            </w:r>
            <w:r>
              <w:rPr>
                <w:noProof/>
                <w:webHidden/>
              </w:rPr>
              <w:t>2</w:t>
            </w:r>
            <w:r>
              <w:rPr>
                <w:noProof/>
                <w:webHidden/>
              </w:rPr>
              <w:fldChar w:fldCharType="end"/>
            </w:r>
          </w:hyperlink>
        </w:p>
        <w:p w14:paraId="5B99A110" w14:textId="76018DBB" w:rsidR="00294F6B" w:rsidRDefault="00294F6B">
          <w:pPr>
            <w:pStyle w:val="TOC2"/>
            <w:rPr>
              <w:rFonts w:eastAsiaTheme="minorEastAsia"/>
              <w:bCs w:val="0"/>
              <w:szCs w:val="24"/>
            </w:rPr>
          </w:pPr>
          <w:hyperlink w:anchor="_Toc235090755" w:history="1">
            <w:r w:rsidRPr="000C3225">
              <w:rPr>
                <w:rStyle w:val="Hyperlink"/>
              </w:rPr>
              <w:t>At a glance: Change in CCO statewide performance from 2024 to 2025</w:t>
            </w:r>
            <w:r>
              <w:rPr>
                <w:webHidden/>
              </w:rPr>
              <w:tab/>
            </w:r>
            <w:r>
              <w:rPr>
                <w:webHidden/>
              </w:rPr>
              <w:fldChar w:fldCharType="begin"/>
            </w:r>
            <w:r>
              <w:rPr>
                <w:webHidden/>
              </w:rPr>
              <w:instrText xml:space="preserve"> PAGEREF _Toc235090755 \h </w:instrText>
            </w:r>
            <w:r>
              <w:rPr>
                <w:webHidden/>
              </w:rPr>
            </w:r>
            <w:r>
              <w:rPr>
                <w:webHidden/>
              </w:rPr>
              <w:fldChar w:fldCharType="separate"/>
            </w:r>
            <w:r>
              <w:rPr>
                <w:webHidden/>
              </w:rPr>
              <w:t>6</w:t>
            </w:r>
            <w:r>
              <w:rPr>
                <w:webHidden/>
              </w:rPr>
              <w:fldChar w:fldCharType="end"/>
            </w:r>
          </w:hyperlink>
        </w:p>
        <w:p w14:paraId="2FC4C5F2" w14:textId="0E731BF2" w:rsidR="00294F6B" w:rsidRDefault="00294F6B">
          <w:pPr>
            <w:pStyle w:val="TOC1"/>
            <w:tabs>
              <w:tab w:val="right" w:leader="dot" w:pos="9350"/>
            </w:tabs>
            <w:rPr>
              <w:rFonts w:eastAsiaTheme="minorEastAsia"/>
              <w:noProof/>
              <w:szCs w:val="24"/>
            </w:rPr>
          </w:pPr>
          <w:hyperlink w:anchor="_Toc235090756" w:history="1">
            <w:r w:rsidRPr="000C3225">
              <w:rPr>
                <w:rStyle w:val="Hyperlink"/>
                <w:noProof/>
              </w:rPr>
              <w:t>Measure highlights</w:t>
            </w:r>
            <w:r>
              <w:rPr>
                <w:noProof/>
                <w:webHidden/>
              </w:rPr>
              <w:tab/>
            </w:r>
            <w:r>
              <w:rPr>
                <w:noProof/>
                <w:webHidden/>
              </w:rPr>
              <w:fldChar w:fldCharType="begin"/>
            </w:r>
            <w:r>
              <w:rPr>
                <w:noProof/>
                <w:webHidden/>
              </w:rPr>
              <w:instrText xml:space="preserve"> PAGEREF _Toc235090756 \h </w:instrText>
            </w:r>
            <w:r>
              <w:rPr>
                <w:noProof/>
                <w:webHidden/>
              </w:rPr>
            </w:r>
            <w:r>
              <w:rPr>
                <w:noProof/>
                <w:webHidden/>
              </w:rPr>
              <w:fldChar w:fldCharType="separate"/>
            </w:r>
            <w:r>
              <w:rPr>
                <w:noProof/>
                <w:webHidden/>
              </w:rPr>
              <w:t>7</w:t>
            </w:r>
            <w:r>
              <w:rPr>
                <w:noProof/>
                <w:webHidden/>
              </w:rPr>
              <w:fldChar w:fldCharType="end"/>
            </w:r>
          </w:hyperlink>
        </w:p>
        <w:p w14:paraId="2AEA944E" w14:textId="3ACA45E3" w:rsidR="00294F6B" w:rsidRDefault="00294F6B">
          <w:pPr>
            <w:pStyle w:val="TOC2"/>
            <w:rPr>
              <w:rFonts w:eastAsiaTheme="minorEastAsia"/>
              <w:bCs w:val="0"/>
              <w:szCs w:val="24"/>
            </w:rPr>
          </w:pPr>
          <w:hyperlink w:anchor="_Toc235090757" w:history="1">
            <w:r w:rsidRPr="000C3225">
              <w:rPr>
                <w:rStyle w:val="Hyperlink"/>
              </w:rPr>
              <w:t>Upstream</w:t>
            </w:r>
            <w:r>
              <w:rPr>
                <w:webHidden/>
              </w:rPr>
              <w:tab/>
            </w:r>
            <w:r>
              <w:rPr>
                <w:webHidden/>
              </w:rPr>
              <w:fldChar w:fldCharType="begin"/>
            </w:r>
            <w:r>
              <w:rPr>
                <w:webHidden/>
              </w:rPr>
              <w:instrText xml:space="preserve"> PAGEREF _Toc235090757 \h </w:instrText>
            </w:r>
            <w:r>
              <w:rPr>
                <w:webHidden/>
              </w:rPr>
            </w:r>
            <w:r>
              <w:rPr>
                <w:webHidden/>
              </w:rPr>
              <w:fldChar w:fldCharType="separate"/>
            </w:r>
            <w:r>
              <w:rPr>
                <w:webHidden/>
              </w:rPr>
              <w:t>7</w:t>
            </w:r>
            <w:r>
              <w:rPr>
                <w:webHidden/>
              </w:rPr>
              <w:fldChar w:fldCharType="end"/>
            </w:r>
          </w:hyperlink>
        </w:p>
        <w:p w14:paraId="04484171" w14:textId="66A6AE18" w:rsidR="00294F6B" w:rsidRDefault="00294F6B">
          <w:pPr>
            <w:pStyle w:val="TOC2"/>
            <w:rPr>
              <w:rFonts w:eastAsiaTheme="minorEastAsia"/>
              <w:bCs w:val="0"/>
              <w:szCs w:val="24"/>
            </w:rPr>
          </w:pPr>
          <w:hyperlink w:anchor="_Toc235090758" w:history="1">
            <w:r w:rsidRPr="000C3225">
              <w:rPr>
                <w:rStyle w:val="Hyperlink"/>
              </w:rPr>
              <w:t>Primary Care Access and Preventive Care</w:t>
            </w:r>
            <w:r>
              <w:rPr>
                <w:webHidden/>
              </w:rPr>
              <w:tab/>
            </w:r>
            <w:r>
              <w:rPr>
                <w:webHidden/>
              </w:rPr>
              <w:fldChar w:fldCharType="begin"/>
            </w:r>
            <w:r>
              <w:rPr>
                <w:webHidden/>
              </w:rPr>
              <w:instrText xml:space="preserve"> PAGEREF _Toc235090758 \h </w:instrText>
            </w:r>
            <w:r>
              <w:rPr>
                <w:webHidden/>
              </w:rPr>
            </w:r>
            <w:r>
              <w:rPr>
                <w:webHidden/>
              </w:rPr>
              <w:fldChar w:fldCharType="separate"/>
            </w:r>
            <w:r>
              <w:rPr>
                <w:webHidden/>
              </w:rPr>
              <w:t>14</w:t>
            </w:r>
            <w:r>
              <w:rPr>
                <w:webHidden/>
              </w:rPr>
              <w:fldChar w:fldCharType="end"/>
            </w:r>
          </w:hyperlink>
        </w:p>
        <w:p w14:paraId="63033C01" w14:textId="5F1F10C9" w:rsidR="00294F6B" w:rsidRDefault="00294F6B">
          <w:pPr>
            <w:pStyle w:val="TOC2"/>
            <w:rPr>
              <w:rFonts w:eastAsiaTheme="minorEastAsia"/>
              <w:bCs w:val="0"/>
              <w:szCs w:val="24"/>
            </w:rPr>
          </w:pPr>
          <w:hyperlink w:anchor="_Toc235090759" w:history="1">
            <w:r w:rsidRPr="000C3225">
              <w:rPr>
                <w:rStyle w:val="Hyperlink"/>
              </w:rPr>
              <w:t>Maternal and Perinatal Health</w:t>
            </w:r>
            <w:r>
              <w:rPr>
                <w:webHidden/>
              </w:rPr>
              <w:tab/>
            </w:r>
            <w:r>
              <w:rPr>
                <w:webHidden/>
              </w:rPr>
              <w:fldChar w:fldCharType="begin"/>
            </w:r>
            <w:r>
              <w:rPr>
                <w:webHidden/>
              </w:rPr>
              <w:instrText xml:space="preserve"> PAGEREF _Toc235090759 \h </w:instrText>
            </w:r>
            <w:r>
              <w:rPr>
                <w:webHidden/>
              </w:rPr>
            </w:r>
            <w:r>
              <w:rPr>
                <w:webHidden/>
              </w:rPr>
              <w:fldChar w:fldCharType="separate"/>
            </w:r>
            <w:r>
              <w:rPr>
                <w:webHidden/>
              </w:rPr>
              <w:t>18</w:t>
            </w:r>
            <w:r>
              <w:rPr>
                <w:webHidden/>
              </w:rPr>
              <w:fldChar w:fldCharType="end"/>
            </w:r>
          </w:hyperlink>
        </w:p>
        <w:p w14:paraId="0E21D5CC" w14:textId="6B57145D" w:rsidR="00294F6B" w:rsidRDefault="00294F6B">
          <w:pPr>
            <w:pStyle w:val="TOC2"/>
            <w:rPr>
              <w:rFonts w:eastAsiaTheme="minorEastAsia"/>
              <w:bCs w:val="0"/>
              <w:szCs w:val="24"/>
            </w:rPr>
          </w:pPr>
          <w:hyperlink w:anchor="_Toc235090760" w:history="1">
            <w:r w:rsidRPr="000C3225">
              <w:rPr>
                <w:rStyle w:val="Hyperlink"/>
              </w:rPr>
              <w:t>Care of Acute and Chronic Conditions</w:t>
            </w:r>
            <w:r>
              <w:rPr>
                <w:webHidden/>
              </w:rPr>
              <w:tab/>
            </w:r>
            <w:r>
              <w:rPr>
                <w:webHidden/>
              </w:rPr>
              <w:fldChar w:fldCharType="begin"/>
            </w:r>
            <w:r>
              <w:rPr>
                <w:webHidden/>
              </w:rPr>
              <w:instrText xml:space="preserve"> PAGEREF _Toc235090760 \h </w:instrText>
            </w:r>
            <w:r>
              <w:rPr>
                <w:webHidden/>
              </w:rPr>
            </w:r>
            <w:r>
              <w:rPr>
                <w:webHidden/>
              </w:rPr>
              <w:fldChar w:fldCharType="separate"/>
            </w:r>
            <w:r>
              <w:rPr>
                <w:webHidden/>
              </w:rPr>
              <w:t>19</w:t>
            </w:r>
            <w:r>
              <w:rPr>
                <w:webHidden/>
              </w:rPr>
              <w:fldChar w:fldCharType="end"/>
            </w:r>
          </w:hyperlink>
        </w:p>
        <w:p w14:paraId="4313A802" w14:textId="6EEED5CB" w:rsidR="00294F6B" w:rsidRDefault="00294F6B">
          <w:pPr>
            <w:pStyle w:val="TOC2"/>
            <w:rPr>
              <w:rFonts w:eastAsiaTheme="minorEastAsia"/>
              <w:bCs w:val="0"/>
              <w:szCs w:val="24"/>
            </w:rPr>
          </w:pPr>
          <w:hyperlink w:anchor="_Toc235090761" w:history="1">
            <w:r w:rsidRPr="000C3225">
              <w:rPr>
                <w:rStyle w:val="Hyperlink"/>
              </w:rPr>
              <w:t>Behavioral Health Care</w:t>
            </w:r>
            <w:r>
              <w:rPr>
                <w:webHidden/>
              </w:rPr>
              <w:tab/>
            </w:r>
            <w:r>
              <w:rPr>
                <w:webHidden/>
              </w:rPr>
              <w:fldChar w:fldCharType="begin"/>
            </w:r>
            <w:r>
              <w:rPr>
                <w:webHidden/>
              </w:rPr>
              <w:instrText xml:space="preserve"> PAGEREF _Toc235090761 \h </w:instrText>
            </w:r>
            <w:r>
              <w:rPr>
                <w:webHidden/>
              </w:rPr>
            </w:r>
            <w:r>
              <w:rPr>
                <w:webHidden/>
              </w:rPr>
              <w:fldChar w:fldCharType="separate"/>
            </w:r>
            <w:r>
              <w:rPr>
                <w:webHidden/>
              </w:rPr>
              <w:t>20</w:t>
            </w:r>
            <w:r>
              <w:rPr>
                <w:webHidden/>
              </w:rPr>
              <w:fldChar w:fldCharType="end"/>
            </w:r>
          </w:hyperlink>
        </w:p>
        <w:p w14:paraId="642137B4" w14:textId="4403F393" w:rsidR="00294F6B" w:rsidRDefault="00294F6B">
          <w:pPr>
            <w:pStyle w:val="TOC2"/>
            <w:rPr>
              <w:rFonts w:eastAsiaTheme="minorEastAsia"/>
              <w:bCs w:val="0"/>
              <w:szCs w:val="24"/>
            </w:rPr>
          </w:pPr>
          <w:hyperlink w:anchor="_Toc235090762" w:history="1">
            <w:r w:rsidRPr="000C3225">
              <w:rPr>
                <w:rStyle w:val="Hyperlink"/>
              </w:rPr>
              <w:t>Dental and Oral Health Services</w:t>
            </w:r>
            <w:r>
              <w:rPr>
                <w:webHidden/>
              </w:rPr>
              <w:tab/>
            </w:r>
            <w:r>
              <w:rPr>
                <w:webHidden/>
              </w:rPr>
              <w:fldChar w:fldCharType="begin"/>
            </w:r>
            <w:r>
              <w:rPr>
                <w:webHidden/>
              </w:rPr>
              <w:instrText xml:space="preserve"> PAGEREF _Toc235090762 \h </w:instrText>
            </w:r>
            <w:r>
              <w:rPr>
                <w:webHidden/>
              </w:rPr>
            </w:r>
            <w:r>
              <w:rPr>
                <w:webHidden/>
              </w:rPr>
              <w:fldChar w:fldCharType="separate"/>
            </w:r>
            <w:r>
              <w:rPr>
                <w:webHidden/>
              </w:rPr>
              <w:t>22</w:t>
            </w:r>
            <w:r>
              <w:rPr>
                <w:webHidden/>
              </w:rPr>
              <w:fldChar w:fldCharType="end"/>
            </w:r>
          </w:hyperlink>
        </w:p>
        <w:p w14:paraId="6962F291" w14:textId="404FDF3A" w:rsidR="00294F6B" w:rsidRDefault="00294F6B">
          <w:pPr>
            <w:pStyle w:val="TOC2"/>
            <w:rPr>
              <w:rFonts w:eastAsiaTheme="minorEastAsia"/>
              <w:bCs w:val="0"/>
              <w:szCs w:val="24"/>
            </w:rPr>
          </w:pPr>
          <w:hyperlink w:anchor="_Toc235090763" w:history="1">
            <w:r w:rsidRPr="000C3225">
              <w:rPr>
                <w:rStyle w:val="Hyperlink"/>
              </w:rPr>
              <w:t>Kindergarten Readiness</w:t>
            </w:r>
            <w:r>
              <w:rPr>
                <w:webHidden/>
              </w:rPr>
              <w:tab/>
            </w:r>
            <w:r>
              <w:rPr>
                <w:webHidden/>
              </w:rPr>
              <w:fldChar w:fldCharType="begin"/>
            </w:r>
            <w:r>
              <w:rPr>
                <w:webHidden/>
              </w:rPr>
              <w:instrText xml:space="preserve"> PAGEREF _Toc235090763 \h </w:instrText>
            </w:r>
            <w:r>
              <w:rPr>
                <w:webHidden/>
              </w:rPr>
            </w:r>
            <w:r>
              <w:rPr>
                <w:webHidden/>
              </w:rPr>
              <w:fldChar w:fldCharType="separate"/>
            </w:r>
            <w:r>
              <w:rPr>
                <w:webHidden/>
              </w:rPr>
              <w:t>23</w:t>
            </w:r>
            <w:r>
              <w:rPr>
                <w:webHidden/>
              </w:rPr>
              <w:fldChar w:fldCharType="end"/>
            </w:r>
          </w:hyperlink>
        </w:p>
        <w:p w14:paraId="1400A063" w14:textId="789EFA6E" w:rsidR="00294F6B" w:rsidRDefault="00294F6B">
          <w:pPr>
            <w:pStyle w:val="TOC1"/>
            <w:tabs>
              <w:tab w:val="right" w:leader="dot" w:pos="9350"/>
            </w:tabs>
            <w:rPr>
              <w:rFonts w:eastAsiaTheme="minorEastAsia"/>
              <w:noProof/>
              <w:szCs w:val="24"/>
            </w:rPr>
          </w:pPr>
          <w:hyperlink w:anchor="_Toc235090764" w:history="1">
            <w:r w:rsidRPr="000C3225">
              <w:rPr>
                <w:rStyle w:val="Hyperlink"/>
                <w:noProof/>
              </w:rPr>
              <w:t>Incentive payment model</w:t>
            </w:r>
            <w:r>
              <w:rPr>
                <w:noProof/>
                <w:webHidden/>
              </w:rPr>
              <w:tab/>
            </w:r>
            <w:r>
              <w:rPr>
                <w:noProof/>
                <w:webHidden/>
              </w:rPr>
              <w:fldChar w:fldCharType="begin"/>
            </w:r>
            <w:r>
              <w:rPr>
                <w:noProof/>
                <w:webHidden/>
              </w:rPr>
              <w:instrText xml:space="preserve"> PAGEREF _Toc235090764 \h </w:instrText>
            </w:r>
            <w:r>
              <w:rPr>
                <w:noProof/>
                <w:webHidden/>
              </w:rPr>
            </w:r>
            <w:r>
              <w:rPr>
                <w:noProof/>
                <w:webHidden/>
              </w:rPr>
              <w:fldChar w:fldCharType="separate"/>
            </w:r>
            <w:r>
              <w:rPr>
                <w:noProof/>
                <w:webHidden/>
              </w:rPr>
              <w:t>25</w:t>
            </w:r>
            <w:r>
              <w:rPr>
                <w:noProof/>
                <w:webHidden/>
              </w:rPr>
              <w:fldChar w:fldCharType="end"/>
            </w:r>
          </w:hyperlink>
        </w:p>
        <w:p w14:paraId="7715A52B" w14:textId="6D8A1F1B" w:rsidR="00294F6B" w:rsidRDefault="00294F6B">
          <w:pPr>
            <w:pStyle w:val="TOC2"/>
            <w:rPr>
              <w:rFonts w:eastAsiaTheme="minorEastAsia"/>
              <w:bCs w:val="0"/>
              <w:szCs w:val="24"/>
            </w:rPr>
          </w:pPr>
          <w:hyperlink w:anchor="_Toc235090765" w:history="1">
            <w:r w:rsidRPr="000C3225">
              <w:rPr>
                <w:rStyle w:val="Hyperlink"/>
              </w:rPr>
              <w:t>About benchmarks and improvement targets</w:t>
            </w:r>
            <w:r>
              <w:rPr>
                <w:webHidden/>
              </w:rPr>
              <w:tab/>
            </w:r>
            <w:r>
              <w:rPr>
                <w:webHidden/>
              </w:rPr>
              <w:fldChar w:fldCharType="begin"/>
            </w:r>
            <w:r>
              <w:rPr>
                <w:webHidden/>
              </w:rPr>
              <w:instrText xml:space="preserve"> PAGEREF _Toc235090765 \h </w:instrText>
            </w:r>
            <w:r>
              <w:rPr>
                <w:webHidden/>
              </w:rPr>
            </w:r>
            <w:r>
              <w:rPr>
                <w:webHidden/>
              </w:rPr>
              <w:fldChar w:fldCharType="separate"/>
            </w:r>
            <w:r>
              <w:rPr>
                <w:webHidden/>
              </w:rPr>
              <w:t>25</w:t>
            </w:r>
            <w:r>
              <w:rPr>
                <w:webHidden/>
              </w:rPr>
              <w:fldChar w:fldCharType="end"/>
            </w:r>
          </w:hyperlink>
        </w:p>
        <w:p w14:paraId="146E4D19" w14:textId="0F93437F" w:rsidR="00294F6B" w:rsidRDefault="00294F6B">
          <w:pPr>
            <w:pStyle w:val="TOC2"/>
            <w:rPr>
              <w:rFonts w:eastAsiaTheme="minorEastAsia"/>
              <w:bCs w:val="0"/>
              <w:szCs w:val="24"/>
            </w:rPr>
          </w:pPr>
          <w:hyperlink w:anchor="_Toc235090766" w:history="1">
            <w:r w:rsidRPr="000C3225">
              <w:rPr>
                <w:rStyle w:val="Hyperlink"/>
              </w:rPr>
              <w:t>2025 measures met summary (quilt chart)</w:t>
            </w:r>
            <w:r>
              <w:rPr>
                <w:webHidden/>
              </w:rPr>
              <w:tab/>
            </w:r>
            <w:r>
              <w:rPr>
                <w:webHidden/>
              </w:rPr>
              <w:fldChar w:fldCharType="begin"/>
            </w:r>
            <w:r>
              <w:rPr>
                <w:webHidden/>
              </w:rPr>
              <w:instrText xml:space="preserve"> PAGEREF _Toc235090766 \h </w:instrText>
            </w:r>
            <w:r>
              <w:rPr>
                <w:webHidden/>
              </w:rPr>
            </w:r>
            <w:r>
              <w:rPr>
                <w:webHidden/>
              </w:rPr>
              <w:fldChar w:fldCharType="separate"/>
            </w:r>
            <w:r>
              <w:rPr>
                <w:webHidden/>
              </w:rPr>
              <w:t>26</w:t>
            </w:r>
            <w:r>
              <w:rPr>
                <w:webHidden/>
              </w:rPr>
              <w:fldChar w:fldCharType="end"/>
            </w:r>
          </w:hyperlink>
        </w:p>
        <w:p w14:paraId="66906FE7" w14:textId="1EB15E1C" w:rsidR="00294F6B" w:rsidRDefault="00294F6B">
          <w:pPr>
            <w:pStyle w:val="TOC2"/>
            <w:rPr>
              <w:rFonts w:eastAsiaTheme="minorEastAsia"/>
              <w:bCs w:val="0"/>
              <w:szCs w:val="24"/>
            </w:rPr>
          </w:pPr>
          <w:hyperlink w:anchor="_Toc235090767" w:history="1">
            <w:r w:rsidRPr="000C3225">
              <w:rPr>
                <w:rStyle w:val="Hyperlink"/>
              </w:rPr>
              <w:t>About bonus pools</w:t>
            </w:r>
            <w:r>
              <w:rPr>
                <w:webHidden/>
              </w:rPr>
              <w:tab/>
            </w:r>
            <w:r>
              <w:rPr>
                <w:webHidden/>
              </w:rPr>
              <w:fldChar w:fldCharType="begin"/>
            </w:r>
            <w:r>
              <w:rPr>
                <w:webHidden/>
              </w:rPr>
              <w:instrText xml:space="preserve"> PAGEREF _Toc235090767 \h </w:instrText>
            </w:r>
            <w:r>
              <w:rPr>
                <w:webHidden/>
              </w:rPr>
            </w:r>
            <w:r>
              <w:rPr>
                <w:webHidden/>
              </w:rPr>
              <w:fldChar w:fldCharType="separate"/>
            </w:r>
            <w:r>
              <w:rPr>
                <w:webHidden/>
              </w:rPr>
              <w:t>27</w:t>
            </w:r>
            <w:r>
              <w:rPr>
                <w:webHidden/>
              </w:rPr>
              <w:fldChar w:fldCharType="end"/>
            </w:r>
          </w:hyperlink>
        </w:p>
        <w:p w14:paraId="4E21D71F" w14:textId="2350EA0D" w:rsidR="00294F6B" w:rsidRDefault="00294F6B">
          <w:pPr>
            <w:pStyle w:val="TOC2"/>
            <w:rPr>
              <w:rFonts w:eastAsiaTheme="minorEastAsia"/>
              <w:bCs w:val="0"/>
              <w:szCs w:val="24"/>
            </w:rPr>
          </w:pPr>
          <w:hyperlink w:anchor="_Toc235090768" w:history="1">
            <w:r w:rsidRPr="000C3225">
              <w:rPr>
                <w:rStyle w:val="Hyperlink"/>
              </w:rPr>
              <w:t>2025 Quality Pool distribution tables</w:t>
            </w:r>
            <w:r>
              <w:rPr>
                <w:webHidden/>
              </w:rPr>
              <w:tab/>
            </w:r>
            <w:r>
              <w:rPr>
                <w:webHidden/>
              </w:rPr>
              <w:fldChar w:fldCharType="begin"/>
            </w:r>
            <w:r>
              <w:rPr>
                <w:webHidden/>
              </w:rPr>
              <w:instrText xml:space="preserve"> PAGEREF _Toc235090768 \h </w:instrText>
            </w:r>
            <w:r>
              <w:rPr>
                <w:webHidden/>
              </w:rPr>
            </w:r>
            <w:r>
              <w:rPr>
                <w:webHidden/>
              </w:rPr>
              <w:fldChar w:fldCharType="separate"/>
            </w:r>
            <w:r>
              <w:rPr>
                <w:webHidden/>
              </w:rPr>
              <w:t>32</w:t>
            </w:r>
            <w:r>
              <w:rPr>
                <w:webHidden/>
              </w:rPr>
              <w:fldChar w:fldCharType="end"/>
            </w:r>
          </w:hyperlink>
        </w:p>
        <w:p w14:paraId="034690D0" w14:textId="2D1772E0" w:rsidR="00294F6B" w:rsidRDefault="00294F6B">
          <w:pPr>
            <w:pStyle w:val="TOC1"/>
            <w:tabs>
              <w:tab w:val="right" w:leader="dot" w:pos="9350"/>
            </w:tabs>
            <w:rPr>
              <w:rFonts w:eastAsiaTheme="minorEastAsia"/>
              <w:noProof/>
              <w:szCs w:val="24"/>
            </w:rPr>
          </w:pPr>
          <w:hyperlink w:anchor="_Toc235090769" w:history="1">
            <w:r w:rsidRPr="000C3225">
              <w:rPr>
                <w:rStyle w:val="Hyperlink"/>
                <w:noProof/>
              </w:rPr>
              <w:t>Appendices</w:t>
            </w:r>
            <w:r>
              <w:rPr>
                <w:noProof/>
                <w:webHidden/>
              </w:rPr>
              <w:tab/>
            </w:r>
            <w:r>
              <w:rPr>
                <w:noProof/>
                <w:webHidden/>
              </w:rPr>
              <w:fldChar w:fldCharType="begin"/>
            </w:r>
            <w:r>
              <w:rPr>
                <w:noProof/>
                <w:webHidden/>
              </w:rPr>
              <w:instrText xml:space="preserve"> PAGEREF _Toc235090769 \h </w:instrText>
            </w:r>
            <w:r>
              <w:rPr>
                <w:noProof/>
                <w:webHidden/>
              </w:rPr>
            </w:r>
            <w:r>
              <w:rPr>
                <w:noProof/>
                <w:webHidden/>
              </w:rPr>
              <w:fldChar w:fldCharType="separate"/>
            </w:r>
            <w:r>
              <w:rPr>
                <w:noProof/>
                <w:webHidden/>
              </w:rPr>
              <w:t>35</w:t>
            </w:r>
            <w:r>
              <w:rPr>
                <w:noProof/>
                <w:webHidden/>
              </w:rPr>
              <w:fldChar w:fldCharType="end"/>
            </w:r>
          </w:hyperlink>
        </w:p>
        <w:p w14:paraId="452E3927" w14:textId="236C3065" w:rsidR="00294F6B" w:rsidRDefault="00294F6B">
          <w:pPr>
            <w:pStyle w:val="TOC2"/>
            <w:rPr>
              <w:rFonts w:eastAsiaTheme="minorEastAsia"/>
              <w:bCs w:val="0"/>
              <w:szCs w:val="24"/>
            </w:rPr>
          </w:pPr>
          <w:hyperlink w:anchor="_Toc235090770" w:history="1">
            <w:r w:rsidRPr="000C3225">
              <w:rPr>
                <w:rStyle w:val="Hyperlink"/>
              </w:rPr>
              <w:t>Appendix A: Background</w:t>
            </w:r>
            <w:r>
              <w:rPr>
                <w:webHidden/>
              </w:rPr>
              <w:tab/>
            </w:r>
            <w:r>
              <w:rPr>
                <w:webHidden/>
              </w:rPr>
              <w:fldChar w:fldCharType="begin"/>
            </w:r>
            <w:r>
              <w:rPr>
                <w:webHidden/>
              </w:rPr>
              <w:instrText xml:space="preserve"> PAGEREF _Toc235090770 \h </w:instrText>
            </w:r>
            <w:r>
              <w:rPr>
                <w:webHidden/>
              </w:rPr>
            </w:r>
            <w:r>
              <w:rPr>
                <w:webHidden/>
              </w:rPr>
              <w:fldChar w:fldCharType="separate"/>
            </w:r>
            <w:r>
              <w:rPr>
                <w:webHidden/>
              </w:rPr>
              <w:t>35</w:t>
            </w:r>
            <w:r>
              <w:rPr>
                <w:webHidden/>
              </w:rPr>
              <w:fldChar w:fldCharType="end"/>
            </w:r>
          </w:hyperlink>
        </w:p>
        <w:p w14:paraId="195372DA" w14:textId="19C7FE15" w:rsidR="00294F6B" w:rsidRDefault="00294F6B">
          <w:pPr>
            <w:pStyle w:val="TOC2"/>
            <w:rPr>
              <w:rFonts w:eastAsiaTheme="minorEastAsia"/>
              <w:bCs w:val="0"/>
              <w:szCs w:val="24"/>
            </w:rPr>
          </w:pPr>
          <w:hyperlink w:anchor="_Toc235090771" w:history="1">
            <w:r w:rsidRPr="000C3225">
              <w:rPr>
                <w:rStyle w:val="Hyperlink"/>
              </w:rPr>
              <w:t>Appendix B: How improvement targets are calculated</w:t>
            </w:r>
            <w:r>
              <w:rPr>
                <w:webHidden/>
              </w:rPr>
              <w:tab/>
            </w:r>
            <w:r>
              <w:rPr>
                <w:webHidden/>
              </w:rPr>
              <w:fldChar w:fldCharType="begin"/>
            </w:r>
            <w:r>
              <w:rPr>
                <w:webHidden/>
              </w:rPr>
              <w:instrText xml:space="preserve"> PAGEREF _Toc235090771 \h </w:instrText>
            </w:r>
            <w:r>
              <w:rPr>
                <w:webHidden/>
              </w:rPr>
            </w:r>
            <w:r>
              <w:rPr>
                <w:webHidden/>
              </w:rPr>
              <w:fldChar w:fldCharType="separate"/>
            </w:r>
            <w:r>
              <w:rPr>
                <w:webHidden/>
              </w:rPr>
              <w:t>36</w:t>
            </w:r>
            <w:r>
              <w:rPr>
                <w:webHidden/>
              </w:rPr>
              <w:fldChar w:fldCharType="end"/>
            </w:r>
          </w:hyperlink>
        </w:p>
        <w:p w14:paraId="3169CBF8" w14:textId="332A42BD" w:rsidR="00294F6B" w:rsidRDefault="00294F6B">
          <w:pPr>
            <w:pStyle w:val="TOC2"/>
            <w:rPr>
              <w:rFonts w:eastAsiaTheme="minorEastAsia"/>
              <w:bCs w:val="0"/>
              <w:szCs w:val="24"/>
            </w:rPr>
          </w:pPr>
          <w:hyperlink w:anchor="_Toc235090772" w:history="1">
            <w:r w:rsidRPr="000C3225">
              <w:rPr>
                <w:rStyle w:val="Hyperlink"/>
              </w:rPr>
              <w:t>Appendix C: How we describe change over time</w:t>
            </w:r>
            <w:r>
              <w:rPr>
                <w:webHidden/>
              </w:rPr>
              <w:tab/>
            </w:r>
            <w:r>
              <w:rPr>
                <w:webHidden/>
              </w:rPr>
              <w:fldChar w:fldCharType="begin"/>
            </w:r>
            <w:r>
              <w:rPr>
                <w:webHidden/>
              </w:rPr>
              <w:instrText xml:space="preserve"> PAGEREF _Toc235090772 \h </w:instrText>
            </w:r>
            <w:r>
              <w:rPr>
                <w:webHidden/>
              </w:rPr>
            </w:r>
            <w:r>
              <w:rPr>
                <w:webHidden/>
              </w:rPr>
              <w:fldChar w:fldCharType="separate"/>
            </w:r>
            <w:r>
              <w:rPr>
                <w:webHidden/>
              </w:rPr>
              <w:t>38</w:t>
            </w:r>
            <w:r>
              <w:rPr>
                <w:webHidden/>
              </w:rPr>
              <w:fldChar w:fldCharType="end"/>
            </w:r>
          </w:hyperlink>
        </w:p>
        <w:p w14:paraId="42C2BA77" w14:textId="2E62FDC4" w:rsidR="00294F6B" w:rsidRDefault="00294F6B">
          <w:pPr>
            <w:pStyle w:val="TOC2"/>
            <w:rPr>
              <w:rFonts w:eastAsiaTheme="minorEastAsia"/>
              <w:bCs w:val="0"/>
              <w:szCs w:val="24"/>
            </w:rPr>
          </w:pPr>
          <w:hyperlink w:anchor="_Toc235090773" w:history="1">
            <w:r w:rsidRPr="000C3225">
              <w:rPr>
                <w:rStyle w:val="Hyperlink"/>
              </w:rPr>
              <w:t>Appendix D: 2025 CCO service rates</w:t>
            </w:r>
            <w:r>
              <w:rPr>
                <w:webHidden/>
              </w:rPr>
              <w:tab/>
            </w:r>
            <w:r>
              <w:rPr>
                <w:webHidden/>
              </w:rPr>
              <w:fldChar w:fldCharType="begin"/>
            </w:r>
            <w:r>
              <w:rPr>
                <w:webHidden/>
              </w:rPr>
              <w:instrText xml:space="preserve"> PAGEREF _Toc235090773 \h </w:instrText>
            </w:r>
            <w:r>
              <w:rPr>
                <w:webHidden/>
              </w:rPr>
            </w:r>
            <w:r>
              <w:rPr>
                <w:webHidden/>
              </w:rPr>
              <w:fldChar w:fldCharType="separate"/>
            </w:r>
            <w:r>
              <w:rPr>
                <w:webHidden/>
              </w:rPr>
              <w:t>39</w:t>
            </w:r>
            <w:r>
              <w:rPr>
                <w:webHidden/>
              </w:rPr>
              <w:fldChar w:fldCharType="end"/>
            </w:r>
          </w:hyperlink>
        </w:p>
        <w:p w14:paraId="43784B1C" w14:textId="7E9F7138" w:rsidR="00294F6B" w:rsidRDefault="00294F6B">
          <w:pPr>
            <w:pStyle w:val="TOC2"/>
            <w:rPr>
              <w:rFonts w:eastAsiaTheme="minorEastAsia"/>
              <w:bCs w:val="0"/>
              <w:szCs w:val="24"/>
            </w:rPr>
          </w:pPr>
          <w:hyperlink w:anchor="_Toc235090774" w:history="1">
            <w:r w:rsidRPr="000C3225">
              <w:rPr>
                <w:rStyle w:val="Hyperlink"/>
              </w:rPr>
              <w:t>Appendix E: Citations</w:t>
            </w:r>
            <w:r>
              <w:rPr>
                <w:webHidden/>
              </w:rPr>
              <w:tab/>
            </w:r>
            <w:r>
              <w:rPr>
                <w:webHidden/>
              </w:rPr>
              <w:fldChar w:fldCharType="begin"/>
            </w:r>
            <w:r>
              <w:rPr>
                <w:webHidden/>
              </w:rPr>
              <w:instrText xml:space="preserve"> PAGEREF _Toc235090774 \h </w:instrText>
            </w:r>
            <w:r>
              <w:rPr>
                <w:webHidden/>
              </w:rPr>
            </w:r>
            <w:r>
              <w:rPr>
                <w:webHidden/>
              </w:rPr>
              <w:fldChar w:fldCharType="separate"/>
            </w:r>
            <w:r>
              <w:rPr>
                <w:webHidden/>
              </w:rPr>
              <w:t>41</w:t>
            </w:r>
            <w:r>
              <w:rPr>
                <w:webHidden/>
              </w:rPr>
              <w:fldChar w:fldCharType="end"/>
            </w:r>
          </w:hyperlink>
        </w:p>
        <w:p w14:paraId="2E4CE296" w14:textId="78E64FE1" w:rsidR="00ED698D" w:rsidRDefault="00ED698D" w:rsidP="00ED698D">
          <w:r>
            <w:fldChar w:fldCharType="end"/>
          </w:r>
        </w:p>
      </w:sdtContent>
    </w:sdt>
    <w:p w14:paraId="569D736D" w14:textId="541EBDA3" w:rsidR="00ED698D" w:rsidRPr="007C6158" w:rsidRDefault="00ED698D" w:rsidP="003D70C6">
      <w:pPr>
        <w:rPr>
          <w:i/>
          <w:iCs/>
        </w:rPr>
        <w:sectPr w:rsidR="00ED698D" w:rsidRPr="007C6158" w:rsidSect="00ED698D">
          <w:footnotePr>
            <w:numFmt w:val="lowerLetter"/>
          </w:footnotePr>
          <w:pgSz w:w="12240" w:h="15840"/>
          <w:pgMar w:top="1440" w:right="1440" w:bottom="1440" w:left="1440" w:header="720" w:footer="720" w:gutter="0"/>
          <w:pgNumType w:start="0"/>
          <w:cols w:space="720"/>
          <w:titlePg/>
          <w:docGrid w:linePitch="360"/>
        </w:sectPr>
      </w:pPr>
      <w:r>
        <w:br/>
      </w:r>
      <w:r w:rsidRPr="007C6158">
        <w:t>Publishe</w:t>
      </w:r>
      <w:r w:rsidR="005749C5">
        <w:t>d August 26, 2026</w:t>
      </w:r>
    </w:p>
    <w:p w14:paraId="7161FBC1" w14:textId="77777777" w:rsidR="00ED698D" w:rsidRDefault="00ED698D" w:rsidP="00ED698D">
      <w:pPr>
        <w:pStyle w:val="Heading1"/>
      </w:pPr>
      <w:bookmarkStart w:id="1" w:name="_Toc235090753"/>
      <w:r>
        <w:lastRenderedPageBreak/>
        <w:t>About this report</w:t>
      </w:r>
      <w:bookmarkEnd w:id="1"/>
    </w:p>
    <w:p w14:paraId="57040F2D" w14:textId="7ED8779A" w:rsidR="00ED698D" w:rsidRDefault="00ED698D" w:rsidP="00ED698D">
      <w:r w:rsidRPr="002B050C">
        <w:t xml:space="preserve">Measuring quality and access to care, and holding CCOs accountable to key metrics, is a cornerstone of Oregon’s health system transformation. The CCO Quality Incentive Program rewards exceptional care and continuous quality improvement by CCOs, which serve over one million </w:t>
      </w:r>
      <w:r w:rsidR="001F3245">
        <w:t xml:space="preserve">people </w:t>
      </w:r>
      <w:r w:rsidRPr="002B050C">
        <w:t xml:space="preserve">on the Oregon Health Plan (Medicaid). </w:t>
      </w:r>
    </w:p>
    <w:p w14:paraId="51C7191F" w14:textId="41529F3D" w:rsidR="00ED698D" w:rsidRDefault="00ED698D" w:rsidP="00ED698D">
      <w:r>
        <w:t>This report is a summary of performance by Oregon’s coordinated care organizations (CCOs) in 2025. It includes highlights of statewide performance and snapshots of CCOs’ performance and payments for incentive me</w:t>
      </w:r>
      <w:r w:rsidR="00F91F6B">
        <w:t>asures</w:t>
      </w:r>
      <w:r>
        <w:t>. It also highlights program changes and events in 2025.</w:t>
      </w:r>
    </w:p>
    <w:p w14:paraId="5E1BAA0E" w14:textId="19B3BC0E" w:rsidR="00ED698D" w:rsidRDefault="00ED698D" w:rsidP="00BC21AC">
      <w:r w:rsidRPr="1BE05779">
        <w:t xml:space="preserve">As OHA continues to steward public resources in the face of evolving federal policy and state budgetary pressures, the agency remains committed to preserving the core values of the quality program—namely, rewarding meaningful outcomes, advancing health equity and ensuring local flexibility. </w:t>
      </w:r>
    </w:p>
    <w:p w14:paraId="6657B539" w14:textId="77777777" w:rsidR="00ED698D" w:rsidRDefault="00ED698D" w:rsidP="007F28AD">
      <w:pPr>
        <w:pStyle w:val="Heading3"/>
      </w:pPr>
      <w:r>
        <w:t>Explore the CCO Performance Metrics Dashboard</w:t>
      </w:r>
    </w:p>
    <w:p w14:paraId="4DD03940" w14:textId="34522294" w:rsidR="00ED698D" w:rsidRDefault="00ED698D" w:rsidP="00607002">
      <w:pPr>
        <w:spacing w:after="240"/>
        <w:rPr>
          <w:b/>
          <w:bCs/>
        </w:rPr>
      </w:pPr>
      <w:r w:rsidRPr="00F253AF">
        <w:t xml:space="preserve">The </w:t>
      </w:r>
      <w:hyperlink r:id="rId14">
        <w:r w:rsidRPr="6CE5713B">
          <w:rPr>
            <w:rStyle w:val="Hyperlink"/>
          </w:rPr>
          <w:t>CCO Metrics</w:t>
        </w:r>
        <w:r w:rsidR="00F468E8" w:rsidRPr="6CE5713B">
          <w:rPr>
            <w:rStyle w:val="Hyperlink"/>
          </w:rPr>
          <w:t xml:space="preserve"> Annual</w:t>
        </w:r>
        <w:r w:rsidRPr="6CE5713B">
          <w:rPr>
            <w:rStyle w:val="Hyperlink"/>
          </w:rPr>
          <w:t xml:space="preserve"> Dashboards</w:t>
        </w:r>
      </w:hyperlink>
      <w:r w:rsidRPr="00F253AF">
        <w:t xml:space="preserve"> </w:t>
      </w:r>
      <w:r w:rsidR="004233DD">
        <w:t xml:space="preserve">supplement </w:t>
      </w:r>
      <w:r w:rsidRPr="00F253AF">
        <w:t xml:space="preserve">this </w:t>
      </w:r>
      <w:r w:rsidR="00F468E8">
        <w:t>r</w:t>
      </w:r>
      <w:r w:rsidRPr="00F253AF">
        <w:t>eport, describing in more detail the progress of Oregon’s CCOs on quality measures. Viewers can quickly find their me</w:t>
      </w:r>
      <w:r w:rsidR="00B7239F">
        <w:t>asure</w:t>
      </w:r>
      <w:r w:rsidRPr="00F253AF">
        <w:t xml:space="preserve"> of interest and see individual CCO trends over time. </w:t>
      </w:r>
      <w:r w:rsidR="00F468E8">
        <w:t>Viewers can also see service gaps across enhanced demographics and geography.</w:t>
      </w:r>
    </w:p>
    <w:p w14:paraId="4AD4C70D" w14:textId="6CFA3855" w:rsidR="00ED698D" w:rsidRDefault="00607002" w:rsidP="00D04603">
      <w:pPr>
        <w:spacing w:after="240"/>
        <w:jc w:val="center"/>
      </w:pPr>
      <w:r w:rsidRPr="00607002">
        <w:rPr>
          <w:noProof/>
        </w:rPr>
        <mc:AlternateContent>
          <mc:Choice Requires="wpg">
            <w:drawing>
              <wp:inline distT="0" distB="0" distL="0" distR="0" wp14:anchorId="2C6EE56F" wp14:editId="4F8E4CB1">
                <wp:extent cx="3330670" cy="914400"/>
                <wp:effectExtent l="0" t="0" r="0" b="0"/>
                <wp:docPr id="300120083" name="Group 7">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30670" cy="914400"/>
                          <a:chOff x="0" y="0"/>
                          <a:chExt cx="3330670" cy="914400"/>
                        </a:xfrm>
                      </wpg:grpSpPr>
                      <wpg:grpSp>
                        <wpg:cNvPr id="1877410780" name="Group 1877410780"/>
                        <wpg:cNvGrpSpPr/>
                        <wpg:grpSpPr>
                          <a:xfrm>
                            <a:off x="0" y="0"/>
                            <a:ext cx="914400" cy="914400"/>
                            <a:chOff x="0" y="0"/>
                            <a:chExt cx="457200" cy="457200"/>
                          </a:xfrm>
                        </wpg:grpSpPr>
                        <wps:wsp>
                          <wps:cNvPr id="22044773" name="Rectangle: Rounded Corners 22044773"/>
                          <wps:cNvSpPr>
                            <a:spLocks noChangeAspect="1"/>
                          </wps:cNvSpPr>
                          <wps:spPr>
                            <a:xfrm>
                              <a:off x="0" y="0"/>
                              <a:ext cx="457200" cy="457200"/>
                            </a:xfrm>
                            <a:prstGeom prst="roundRect">
                              <a:avLst/>
                            </a:prstGeom>
                            <a:solidFill>
                              <a:schemeClr val="tx2">
                                <a:lumMod val="90000"/>
                                <a:lumOff val="10000"/>
                              </a:schemeClr>
                            </a:solidFill>
                            <a:ln w="2857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025871555" name="Graphic 2"/>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45720" y="45720"/>
                              <a:ext cx="365760" cy="365760"/>
                            </a:xfrm>
                            <a:prstGeom prst="rect">
                              <a:avLst/>
                            </a:prstGeom>
                          </pic:spPr>
                        </pic:pic>
                      </wpg:grpSp>
                      <wps:wsp>
                        <wps:cNvPr id="652569998" name="TextBox 6"/>
                        <wps:cNvSpPr txBox="1"/>
                        <wps:spPr>
                          <a:xfrm>
                            <a:off x="913860" y="257145"/>
                            <a:ext cx="2416810" cy="435610"/>
                          </a:xfrm>
                          <a:prstGeom prst="rect">
                            <a:avLst/>
                          </a:prstGeom>
                          <a:noFill/>
                        </wps:spPr>
                        <wps:txbx>
                          <w:txbxContent>
                            <w:p w14:paraId="6FC5F6E1" w14:textId="77777777" w:rsidR="00607002" w:rsidRPr="00152407" w:rsidRDefault="00607002" w:rsidP="00607002">
                              <w:pPr>
                                <w:spacing w:before="120" w:after="0"/>
                                <w:rPr>
                                  <w:rFonts w:hAnsi="Aptos"/>
                                  <w:color w:val="153D63" w:themeColor="text2" w:themeTint="E6"/>
                                  <w:kern w:val="24"/>
                                  <w:sz w:val="32"/>
                                  <w:szCs w:val="32"/>
                                  <w14:ligatures w14:val="none"/>
                                </w:rPr>
                              </w:pPr>
                              <w:r w:rsidRPr="00152407">
                                <w:rPr>
                                  <w:rFonts w:hAnsi="Aptos"/>
                                  <w:color w:val="153D63" w:themeColor="text2" w:themeTint="E6"/>
                                  <w:kern w:val="24"/>
                                  <w:sz w:val="32"/>
                                  <w:szCs w:val="32"/>
                                </w:rPr>
                                <w:t>CCO Metrics Dashboards</w:t>
                              </w:r>
                            </w:p>
                          </w:txbxContent>
                        </wps:txbx>
                        <wps:bodyPr wrap="none" rtlCol="0">
                          <a:spAutoFit/>
                        </wps:bodyPr>
                      </wps:wsp>
                    </wpg:wgp>
                  </a:graphicData>
                </a:graphic>
              </wp:inline>
            </w:drawing>
          </mc:Choice>
          <mc:Fallback>
            <w:pict>
              <v:group w14:anchorId="2C6EE56F" id="Group 7" o:spid="_x0000_s1026" alt="&quot;&quot;" href="https://www.oregon.gov/oha/hpa/analytics/pages/metrics-reporting.aspx" style="width:262.25pt;height:1in;mso-position-horizontal-relative:char;mso-position-vertical-relative:line" coordsize="33306,91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" o:button="t">
                <v:group id="Group 1877410780" o:spid="_x0000_s1027" style="position:absolute;width:9144;height:9144" coordsize="4572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">
                  <v:roundrect id="Rectangle: Rounded Corners 22044773" o:spid="_x0000_s1028" style="position:absolute;width:457200;height:4572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" fillcolor="#153e64 [2911]" stroked="f" strokeweight="2.25pt">
                    <v:stroke joinstyle="miter"/>
                    <o:lock v:ext="edit" aspectratio="t"/>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29" type="#_x0000_t75" style="position:absolute;left:45720;top:45720;width:365760;height:36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">
                    <v:imagedata r:id="rId17" o:title=""/>
                  </v:shape>
                </v:group>
                <v:shapetype id="_x0000_t202" coordsize="21600,21600" o:spt="202" path="m,l,21600r21600,l21600,xe">
                  <v:stroke joinstyle="miter"/>
                  <v:path gradientshapeok="t" o:connecttype="rect"/>
                </v:shapetype>
                <v:shape id="TextBox 6" o:spid="_x0000_s1030" type="#_x0000_t202" style="position:absolute;left:9138;top:2571;width:24168;height:4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" filled="f" stroked="f">
                  <v:textbox style="mso-fit-shape-to-text:t">
                    <w:txbxContent>
                      <w:p w14:paraId="6FC5F6E1" w14:textId="77777777" w:rsidR="00607002" w:rsidRPr="00152407" w:rsidRDefault="00607002" w:rsidP="00607002">
                        <w:pPr>
                          <w:spacing w:before="120" w:after="0"/>
                          <w:rPr>
                            <w:rFonts w:hAnsi="Aptos"/>
                            <w:color w:val="153D63" w:themeColor="text2" w:themeTint="E6"/>
                            <w:kern w:val="24"/>
                            <w:sz w:val="32"/>
                            <w:szCs w:val="32"/>
                            <w14:ligatures w14:val="none"/>
                          </w:rPr>
                        </w:pPr>
                        <w:r w:rsidRPr="00152407">
                          <w:rPr>
                            <w:rFonts w:hAnsi="Aptos"/>
                            <w:color w:val="153D63" w:themeColor="text2" w:themeTint="E6"/>
                            <w:kern w:val="24"/>
                            <w:sz w:val="32"/>
                            <w:szCs w:val="32"/>
                          </w:rPr>
                          <w:t>CCO Metrics Dashboards</w:t>
                        </w:r>
                      </w:p>
                    </w:txbxContent>
                  </v:textbox>
                </v:shape>
                <w10:anchorlock/>
              </v:group>
            </w:pict>
          </mc:Fallback>
        </mc:AlternateContent>
      </w:r>
    </w:p>
    <w:p w14:paraId="23C52D0B" w14:textId="77777777" w:rsidR="00ED698D" w:rsidRDefault="00ED698D" w:rsidP="00607002">
      <w:pPr>
        <w:pStyle w:val="Heading3"/>
        <w:spacing w:before="360"/>
      </w:pPr>
      <w:r>
        <w:t>Acknowledgements</w:t>
      </w:r>
    </w:p>
    <w:p w14:paraId="5E5DBCA9" w14:textId="608EC8A5" w:rsidR="00ED698D" w:rsidRDefault="00ED698D" w:rsidP="00ED698D">
      <w:pPr>
        <w:spacing w:after="480"/>
      </w:pPr>
      <w:r w:rsidRPr="000711EE">
        <w:t xml:space="preserve">This publication was prepared by the Oregon Health Authority’s Office of Health Analytics. For questions about this report, please contact </w:t>
      </w:r>
      <w:hyperlink r:id="rId18" w:history="1">
        <w:r w:rsidRPr="00043573">
          <w:rPr>
            <w:rStyle w:val="Hyperlink"/>
          </w:rPr>
          <w:t>metrics.questions@odhsoha.oregon.gov</w:t>
        </w:r>
      </w:hyperlink>
      <w:r w:rsidR="00EE1F4F">
        <w:t xml:space="preserve"> or </w:t>
      </w:r>
      <w:r w:rsidR="00EE1F4F" w:rsidRPr="007235B1">
        <w:t>503-</w:t>
      </w:r>
      <w:r w:rsidR="00EE1F4F">
        <w:t>201-1949</w:t>
      </w:r>
      <w:r>
        <w:t xml:space="preserve">. </w:t>
      </w:r>
    </w:p>
    <w:p w14:paraId="4D1B8C0A" w14:textId="77777777" w:rsidR="00ED698D" w:rsidRDefault="00ED698D" w:rsidP="00ED698D">
      <w:pPr>
        <w:pStyle w:val="Heading3"/>
      </w:pPr>
      <w:r>
        <w:t>Suggested citation</w:t>
      </w:r>
    </w:p>
    <w:p w14:paraId="34D84402" w14:textId="7A2299A5" w:rsidR="00ED698D" w:rsidRDefault="00ED698D" w:rsidP="00ED698D">
      <w:r w:rsidRPr="00D13851">
        <w:t>Oregon Health Authority. Oregon CCO Quality Incentive Program: CCO Metrics 202</w:t>
      </w:r>
      <w:r>
        <w:t>5</w:t>
      </w:r>
      <w:r w:rsidRPr="00D13851">
        <w:t xml:space="preserve"> Final Report. Portland, Oregon. August 202</w:t>
      </w:r>
      <w:r>
        <w:t>6</w:t>
      </w:r>
      <w:r w:rsidRPr="00D13851">
        <w:t xml:space="preserve">. </w:t>
      </w:r>
      <w:hyperlink r:id="rId19" w:history="1">
        <w:r w:rsidR="007F461A" w:rsidRPr="003D6584">
          <w:rPr>
            <w:rStyle w:val="Hyperlink"/>
          </w:rPr>
          <w:t>https://www.oregon.gov/oha/HPA/ANALYTICS/CCOMetrics/CCO-Metrics-2025-Final-Report.docx</w:t>
        </w:r>
      </w:hyperlink>
      <w:r w:rsidR="007F461A">
        <w:t xml:space="preserve"> </w:t>
      </w:r>
    </w:p>
    <w:p w14:paraId="67B5DB8A" w14:textId="77777777" w:rsidR="00ED698D" w:rsidRDefault="00ED698D" w:rsidP="00ED698D">
      <w:pPr>
        <w:pStyle w:val="Heading2"/>
        <w:rPr>
          <w:rStyle w:val="Heading2Char"/>
        </w:rPr>
        <w:sectPr w:rsidR="00ED698D" w:rsidSect="00ED698D">
          <w:headerReference w:type="default" r:id="rId20"/>
          <w:footnotePr>
            <w:numFmt w:val="lowerLetter"/>
          </w:footnotePr>
          <w:pgSz w:w="12240" w:h="15840"/>
          <w:pgMar w:top="1440" w:right="1440" w:bottom="1440" w:left="1440" w:header="86" w:footer="720" w:gutter="0"/>
          <w:cols w:space="720"/>
          <w:docGrid w:linePitch="360"/>
        </w:sectPr>
      </w:pPr>
      <w:bookmarkStart w:id="2" w:name="_Toc193458064"/>
    </w:p>
    <w:p w14:paraId="46B41CAB" w14:textId="77777777" w:rsidR="00ED698D" w:rsidRDefault="00ED698D" w:rsidP="00ED698D">
      <w:pPr>
        <w:pStyle w:val="Heading1"/>
      </w:pPr>
      <w:bookmarkStart w:id="3" w:name="_Toc235090754"/>
      <w:bookmarkEnd w:id="2"/>
      <w:r>
        <w:lastRenderedPageBreak/>
        <w:t>Program highlights</w:t>
      </w:r>
      <w:bookmarkEnd w:id="3"/>
    </w:p>
    <w:p w14:paraId="06BC964E" w14:textId="7123BD7E" w:rsidR="00ED698D" w:rsidRPr="008A7693" w:rsidRDefault="00ED698D" w:rsidP="00C63F3E">
      <w:pPr>
        <w:pStyle w:val="Heading3"/>
      </w:pPr>
      <w:bookmarkStart w:id="4" w:name="_Quality_Pool_decreased,"/>
      <w:bookmarkEnd w:id="4"/>
      <w:r w:rsidRPr="008A7693">
        <w:t>Quality Pool decreased, monthly CCO payments increased</w:t>
      </w:r>
      <w:r w:rsidR="00C40BBA">
        <w:t>.</w:t>
      </w:r>
    </w:p>
    <w:p w14:paraId="75CD9F32" w14:textId="22E5028F" w:rsidR="004B0A34" w:rsidRDefault="004B0A34" w:rsidP="004B0A34">
      <w:r>
        <w:t>Bonuses paid through the CCO Quality Incentive Program come from the Quality Pool. These bonuses are on top of monthly payments to CCOs that cover the cost of care, called per-member per-month payments</w:t>
      </w:r>
      <w:r w:rsidR="00A134B8">
        <w:t xml:space="preserve"> (PMPM)</w:t>
      </w:r>
      <w:r>
        <w:t xml:space="preserve"> or capitation rates. Each fall, </w:t>
      </w:r>
      <w:r w:rsidR="00D53E1E">
        <w:t xml:space="preserve">through the </w:t>
      </w:r>
      <w:r w:rsidR="003515E3">
        <w:t xml:space="preserve">Fall </w:t>
      </w:r>
      <w:r w:rsidR="00D53E1E">
        <w:t>budget rebalance process,</w:t>
      </w:r>
      <w:r w:rsidR="008912C1">
        <w:t xml:space="preserve"> </w:t>
      </w:r>
      <w:r w:rsidR="00B65102">
        <w:t xml:space="preserve">the </w:t>
      </w:r>
      <w:r w:rsidR="008912C1">
        <w:t>Oregon State Legislature</w:t>
      </w:r>
      <w:r>
        <w:t xml:space="preserve"> decide</w:t>
      </w:r>
      <w:r w:rsidR="00D53E1E">
        <w:t>s</w:t>
      </w:r>
      <w:r>
        <w:t xml:space="preserve"> the size of the current measurement year’s Quality Pool by considering budgetary and other factors. </w:t>
      </w:r>
    </w:p>
    <w:p w14:paraId="6C613B72" w14:textId="0115D89E" w:rsidR="004B0A34" w:rsidRDefault="004B0A34" w:rsidP="004B0A34">
      <w:r>
        <w:t xml:space="preserve">For 2025, </w:t>
      </w:r>
      <w:r w:rsidR="00A90D8A">
        <w:t xml:space="preserve">the Oregon State Legislature </w:t>
      </w:r>
      <w:r>
        <w:t>set the Quality Pool at 3</w:t>
      </w:r>
      <w:r w:rsidR="00625E74">
        <w:t xml:space="preserve"> percent</w:t>
      </w:r>
      <w:r>
        <w:t xml:space="preserve"> of total capitation rates, or $238 million in total bonuses. </w:t>
      </w:r>
      <w:r w:rsidR="00CA77DF">
        <w:t>Although t</w:t>
      </w:r>
      <w:r>
        <w:t xml:space="preserve">his percentage </w:t>
      </w:r>
      <w:r w:rsidR="00CA77DF">
        <w:t xml:space="preserve">was a </w:t>
      </w:r>
      <w:r>
        <w:t>decrease from prior years</w:t>
      </w:r>
      <w:r w:rsidR="00CA77DF">
        <w:t>,</w:t>
      </w:r>
      <w:r>
        <w:t xml:space="preserve"> </w:t>
      </w:r>
      <w:r w:rsidR="00CA77DF">
        <w:t>it</w:t>
      </w:r>
      <w:r>
        <w:t xml:space="preserve"> was more total dollars than some earlier years of the program. From 2015 to 2024, </w:t>
      </w:r>
      <w:r w:rsidR="00A90D8A">
        <w:t xml:space="preserve">the Legislature </w:t>
      </w:r>
      <w:r>
        <w:t>set the Quality Pool between 3.5 to 4.25 percent of total capitation rates, with total bonuses ranging from $167 million to $327 million (with a disruption in 2020 due to the COVID-19 pandemic).</w:t>
      </w:r>
    </w:p>
    <w:p w14:paraId="69326F09" w14:textId="6275A0F0" w:rsidR="004B0A34" w:rsidRDefault="096C5B14" w:rsidP="250ABE58">
      <w:r>
        <w:t xml:space="preserve">The decrease in Quality Pool percentage for 2025 (paid in 2026) </w:t>
      </w:r>
      <w:r w:rsidR="45D17361">
        <w:t xml:space="preserve"> was made partially to offset far higher than budgeted capitation rate increases for 2026</w:t>
      </w:r>
      <w:r>
        <w:t xml:space="preserve">. To meet these challenges, </w:t>
      </w:r>
      <w:hyperlink r:id="rId21">
        <w:r w:rsidRPr="250ABE58">
          <w:rPr>
            <w:rStyle w:val="Hyperlink"/>
          </w:rPr>
          <w:t>OHA increased average capitation rates by 10.6 percent for 2026</w:t>
        </w:r>
      </w:hyperlink>
      <w:r>
        <w:t xml:space="preserve">. </w:t>
      </w:r>
    </w:p>
    <w:p w14:paraId="4EDA9864" w14:textId="373CD26D" w:rsidR="004B0A34" w:rsidRDefault="096C5B14" w:rsidP="004B0A34">
      <w:pPr>
        <w:spacing w:after="480"/>
      </w:pPr>
      <w:r>
        <w:t xml:space="preserve">Annual increases in capitation rates are based on actuarial analysis and involve consultation with CCOs. Generally, capitation rates </w:t>
      </w:r>
      <w:r w:rsidR="46C270AD">
        <w:t xml:space="preserve">over the past decade </w:t>
      </w:r>
      <w:r>
        <w:t xml:space="preserve">have increased on average by approximately 3.4 percent each year, in line with legislatively approved budgets. </w:t>
      </w:r>
    </w:p>
    <w:p w14:paraId="4B9C823F" w14:textId="3DFB347A" w:rsidR="00ED698D" w:rsidRPr="008A7693" w:rsidRDefault="00ED698D" w:rsidP="00C63F3E">
      <w:pPr>
        <w:pStyle w:val="Heading3"/>
      </w:pPr>
      <w:r w:rsidRPr="008A7693">
        <w:t xml:space="preserve">Senate Bill 966 went into effect, changing </w:t>
      </w:r>
      <w:r w:rsidR="00D970E1">
        <w:t>which</w:t>
      </w:r>
      <w:r w:rsidR="00D970E1" w:rsidRPr="008A7693">
        <w:t xml:space="preserve"> </w:t>
      </w:r>
      <w:r w:rsidRPr="008A7693">
        <w:t>measures are eligible for the CCO Quality Incentive Program</w:t>
      </w:r>
      <w:r w:rsidR="00C40BBA">
        <w:t>.</w:t>
      </w:r>
    </w:p>
    <w:p w14:paraId="4E3D86C0" w14:textId="6642A128" w:rsidR="00ED698D" w:rsidRPr="00B212EE" w:rsidRDefault="00ED698D" w:rsidP="00ED698D">
      <w:pPr>
        <w:spacing w:after="480"/>
      </w:pPr>
      <w:r>
        <w:t xml:space="preserve">In 2023, the Oregon Legislature passed </w:t>
      </w:r>
      <w:hyperlink r:id="rId22">
        <w:r w:rsidRPr="2BA9286B">
          <w:rPr>
            <w:rStyle w:val="Hyperlink"/>
          </w:rPr>
          <w:t>Senate Bill 966</w:t>
        </w:r>
      </w:hyperlink>
      <w:r>
        <w:t xml:space="preserve">. Starting in 2025, the CCO Quality Incentive Program has two types of measures: </w:t>
      </w:r>
      <w:r w:rsidR="00E64F54">
        <w:t>U</w:t>
      </w:r>
      <w:r>
        <w:t xml:space="preserve">pstream and </w:t>
      </w:r>
      <w:r w:rsidR="00A902C2">
        <w:t>Downstream</w:t>
      </w:r>
      <w:r>
        <w:t xml:space="preserve">. Upstream measures are focused on improving the social determinants of health (for example, Meaningful Language Access). These are primarily “homegrown” measures stewarded by Oregon entities. Downstream measures focus more on traditional medical care (for example, </w:t>
      </w:r>
      <w:r w:rsidR="007C6158">
        <w:t>Immunizations for Adolescents</w:t>
      </w:r>
      <w:r>
        <w:t xml:space="preserve">). As outlined by Senate Bill 966, downstream measures must come from the Centers for Medicare &amp; Medicaid Services (CMS) </w:t>
      </w:r>
      <w:hyperlink r:id="rId23">
        <w:r w:rsidRPr="2BA9286B">
          <w:rPr>
            <w:rStyle w:val="Hyperlink"/>
          </w:rPr>
          <w:t>Child and Adult Core Sets</w:t>
        </w:r>
      </w:hyperlink>
      <w:r>
        <w:t xml:space="preserve"> and align with national reporting requirements.</w:t>
      </w:r>
    </w:p>
    <w:p w14:paraId="296741C1" w14:textId="160AEA31" w:rsidR="00ED698D" w:rsidRPr="008A7693" w:rsidRDefault="00ED698D" w:rsidP="00C63F3E">
      <w:pPr>
        <w:pStyle w:val="Heading3"/>
      </w:pPr>
      <w:r w:rsidRPr="008A7693">
        <w:lastRenderedPageBreak/>
        <w:t xml:space="preserve">First year </w:t>
      </w:r>
      <w:r w:rsidR="00B37C47">
        <w:t>incentivizing the</w:t>
      </w:r>
      <w:r w:rsidRPr="008A7693">
        <w:t xml:space="preserve"> Young Children Receiving Social-Emotional Issue-Focused Intervention/Treatment Services measure</w:t>
      </w:r>
      <w:r w:rsidR="00C40BBA">
        <w:t>.</w:t>
      </w:r>
    </w:p>
    <w:p w14:paraId="79523FF5" w14:textId="06ED1663" w:rsidR="00ED698D" w:rsidRDefault="00ED698D" w:rsidP="00ED698D">
      <w:r>
        <w:t xml:space="preserve">This </w:t>
      </w:r>
      <w:r w:rsidR="00E64F54">
        <w:t>U</w:t>
      </w:r>
      <w:r>
        <w:t xml:space="preserve">pstream measure is part of the broader </w:t>
      </w:r>
      <w:hyperlink r:id="rId24">
        <w:r w:rsidR="57D038DA" w:rsidRPr="45FA42FD">
          <w:rPr>
            <w:rStyle w:val="Hyperlink"/>
          </w:rPr>
          <w:t>Health Aspects of Kindergarten Readiness</w:t>
        </w:r>
      </w:hyperlink>
      <w:r w:rsidR="57D038DA">
        <w:t xml:space="preserve"> strategy.</w:t>
      </w:r>
      <w:r>
        <w:t xml:space="preserve"> It tracks the percentage of children (</w:t>
      </w:r>
      <w:r w:rsidR="00DA51B5">
        <w:t>ages 1</w:t>
      </w:r>
      <w:r w:rsidR="00DE5383">
        <w:t xml:space="preserve"> to younger than </w:t>
      </w:r>
      <w:r w:rsidR="00DA51B5">
        <w:t>6</w:t>
      </w:r>
      <w:r>
        <w:t>) who received a social-emotional issue-focused intervention or treatment services. The measure was</w:t>
      </w:r>
      <w:r w:rsidRPr="00613B3D">
        <w:t xml:space="preserve"> developed by the Oregon Pediatric Improvement Partnership (OPIP) and Children’s Institute (CI) with support from OHA</w:t>
      </w:r>
      <w:r>
        <w:t>.</w:t>
      </w:r>
    </w:p>
    <w:p w14:paraId="636C98B5" w14:textId="47EC1602" w:rsidR="00ED698D" w:rsidRPr="00B212EE" w:rsidRDefault="00ED698D" w:rsidP="00ED698D">
      <w:pPr>
        <w:spacing w:after="480"/>
      </w:pPr>
      <w:r>
        <w:t>This is the next step after capacity-building work done by the System-Level Social-Emotional Health for Young Children measure. From 2022 to 2024, the system-level measure supported CCOs in developing resources and provider networks to better identify and treat children with social-emotional health needs.</w:t>
      </w:r>
    </w:p>
    <w:p w14:paraId="582B3796" w14:textId="03D24D35" w:rsidR="00ED698D" w:rsidRPr="008A7693" w:rsidRDefault="00ED698D" w:rsidP="00C63F3E">
      <w:pPr>
        <w:pStyle w:val="Heading3"/>
      </w:pPr>
      <w:r w:rsidRPr="008A7693">
        <w:t>First year of sample reporting for SDOH: Social Needs Screening and Referral</w:t>
      </w:r>
      <w:r w:rsidR="00C40BBA">
        <w:t>.</w:t>
      </w:r>
    </w:p>
    <w:p w14:paraId="0D005B8C" w14:textId="2363D3FF" w:rsidR="00ED698D" w:rsidRDefault="00ED698D" w:rsidP="00ED698D">
      <w:r>
        <w:t xml:space="preserve">2025 was the third year for the </w:t>
      </w:r>
      <w:r w:rsidR="00E64F54">
        <w:t>U</w:t>
      </w:r>
      <w:r>
        <w:t xml:space="preserve">pstream </w:t>
      </w:r>
      <w:hyperlink r:id="rId25" w:history="1">
        <w:r w:rsidRPr="000F174A">
          <w:rPr>
            <w:rStyle w:val="Hyperlink"/>
          </w:rPr>
          <w:t>Social Determinants of Health (SDOH): Social Needs Screening and Referral</w:t>
        </w:r>
      </w:hyperlink>
      <w:r w:rsidRPr="000F174A">
        <w:t xml:space="preserve"> measure</w:t>
      </w:r>
      <w:r>
        <w:t xml:space="preserve">. This measure is on a glide path, with new requirements added each year. In the first three years of the measure </w:t>
      </w:r>
      <w:r w:rsidRPr="00652616">
        <w:t xml:space="preserve">(2023 to 2025), CCOs </w:t>
      </w:r>
      <w:r>
        <w:t xml:space="preserve">were required to </w:t>
      </w:r>
      <w:r w:rsidRPr="00652616">
        <w:t>set up</w:t>
      </w:r>
      <w:r>
        <w:t xml:space="preserve"> the</w:t>
      </w:r>
      <w:r w:rsidRPr="00652616">
        <w:t xml:space="preserve"> </w:t>
      </w:r>
      <w:r>
        <w:t>infrastructure and systems</w:t>
      </w:r>
      <w:r w:rsidRPr="00652616">
        <w:t xml:space="preserve"> </w:t>
      </w:r>
      <w:r>
        <w:t>needed for screening and referrals</w:t>
      </w:r>
      <w:r w:rsidRPr="00652616">
        <w:t xml:space="preserve">. These </w:t>
      </w:r>
      <w:r>
        <w:t>include meeting requirements on:</w:t>
      </w:r>
    </w:p>
    <w:p w14:paraId="61C4CC78" w14:textId="4F1015A2" w:rsidR="00ED698D" w:rsidRDefault="00ED698D" w:rsidP="00FB4E71">
      <w:pPr>
        <w:pStyle w:val="ListParagraph"/>
        <w:numPr>
          <w:ilvl w:val="0"/>
          <w:numId w:val="2"/>
        </w:numPr>
        <w:contextualSpacing w:val="0"/>
      </w:pPr>
      <w:r>
        <w:rPr>
          <w:b/>
          <w:bCs/>
        </w:rPr>
        <w:t xml:space="preserve">Screening practices: </w:t>
      </w:r>
      <w:r>
        <w:t>P</w:t>
      </w:r>
      <w:r w:rsidRPr="00652616">
        <w:t xml:space="preserve">reparing equitable, trauma-informed and culturally responsive screening </w:t>
      </w:r>
      <w:r>
        <w:t>practices</w:t>
      </w:r>
      <w:r w:rsidR="005E6E87">
        <w:t>.</w:t>
      </w:r>
    </w:p>
    <w:p w14:paraId="55E503CA" w14:textId="01B6C63E" w:rsidR="00ED698D" w:rsidRDefault="00ED698D" w:rsidP="00FB4E71">
      <w:pPr>
        <w:pStyle w:val="ListParagraph"/>
        <w:numPr>
          <w:ilvl w:val="0"/>
          <w:numId w:val="2"/>
        </w:numPr>
        <w:contextualSpacing w:val="0"/>
      </w:pPr>
      <w:r>
        <w:rPr>
          <w:b/>
          <w:bCs/>
        </w:rPr>
        <w:t xml:space="preserve">Referral practices and resources: </w:t>
      </w:r>
      <w:r>
        <w:t>W</w:t>
      </w:r>
      <w:r w:rsidRPr="006F2ADF">
        <w:t>orking with community-based organizations to build capacity for referrals and meeting social needs</w:t>
      </w:r>
      <w:r w:rsidR="005E6E87">
        <w:t>.</w:t>
      </w:r>
    </w:p>
    <w:p w14:paraId="4DCF4150" w14:textId="5F34485C" w:rsidR="00ED698D" w:rsidRDefault="00ED698D" w:rsidP="00FB4E71">
      <w:pPr>
        <w:pStyle w:val="ListParagraph"/>
        <w:numPr>
          <w:ilvl w:val="0"/>
          <w:numId w:val="2"/>
        </w:numPr>
        <w:contextualSpacing w:val="0"/>
      </w:pPr>
      <w:r>
        <w:rPr>
          <w:b/>
          <w:bCs/>
        </w:rPr>
        <w:t xml:space="preserve">Data collection and sharing: </w:t>
      </w:r>
      <w:r>
        <w:t>S</w:t>
      </w:r>
      <w:r w:rsidRPr="006F2ADF">
        <w:t>upporting data sharing between CCOs, providers and community-based organizations</w:t>
      </w:r>
      <w:r w:rsidR="003A10E2">
        <w:t>.</w:t>
      </w:r>
    </w:p>
    <w:p w14:paraId="2309673E" w14:textId="1EC36C2E" w:rsidR="00ED698D" w:rsidRDefault="00ED698D" w:rsidP="00ED698D">
      <w:r>
        <w:t>In 2025, CCOs had to attest to completing all must-pass items, with no option for partial credit.</w:t>
      </w:r>
      <w:r w:rsidR="00F64FAC">
        <w:t xml:space="preserve"> This was the last year that CCOs were required </w:t>
      </w:r>
      <w:r w:rsidR="007101F1">
        <w:t xml:space="preserve">to </w:t>
      </w:r>
      <w:r w:rsidR="00F64FAC">
        <w:t>complete this attestation.</w:t>
      </w:r>
    </w:p>
    <w:p w14:paraId="3ACA6C72" w14:textId="00C51D66" w:rsidR="00ED698D" w:rsidRDefault="00ED698D" w:rsidP="00ED698D">
      <w:pPr>
        <w:rPr>
          <w:b/>
          <w:bCs/>
        </w:rPr>
      </w:pPr>
      <w:r>
        <w:t xml:space="preserve">Starting in 2025, CCOs now report screening and referral data for housing insecurity, food insecurity and transportation needs among a </w:t>
      </w:r>
      <w:r w:rsidR="0044553D">
        <w:t>random</w:t>
      </w:r>
      <w:r>
        <w:t xml:space="preserve"> sample of</w:t>
      </w:r>
      <w:r w:rsidR="0055459E">
        <w:t xml:space="preserve"> 1,067</w:t>
      </w:r>
      <w:r>
        <w:t xml:space="preserve"> members. In 2025 and 2026, CCOs are only required to report complete data on 90</w:t>
      </w:r>
      <w:r w:rsidR="00E50F95">
        <w:t xml:space="preserve"> percent</w:t>
      </w:r>
      <w:r>
        <w:t xml:space="preserve"> of members in </w:t>
      </w:r>
      <w:r w:rsidR="3E21C140">
        <w:t>the</w:t>
      </w:r>
      <w:r>
        <w:t xml:space="preserve"> sample to pass the measure. </w:t>
      </w:r>
      <w:r w:rsidR="00DC21D9">
        <w:t>OHA recommended that b</w:t>
      </w:r>
      <w:r>
        <w:t>enchmarks and CCO-specific improvement targets for this measure begin in 2027.</w:t>
      </w:r>
    </w:p>
    <w:p w14:paraId="02AF30BA" w14:textId="6305830D" w:rsidR="00ED698D" w:rsidRPr="00B212EE" w:rsidRDefault="00ED698D" w:rsidP="00ED698D">
      <w:pPr>
        <w:spacing w:after="480"/>
      </w:pPr>
      <w:r>
        <w:t xml:space="preserve">From 2023 to 2025, OHA’s Transformation Center and the Oregon Rural Practice-Based Research Network (ORPRN) provided </w:t>
      </w:r>
      <w:hyperlink r:id="rId26">
        <w:r w:rsidRPr="6C646BA2">
          <w:rPr>
            <w:rStyle w:val="Hyperlink"/>
          </w:rPr>
          <w:t>technical assistance</w:t>
        </w:r>
      </w:hyperlink>
      <w:r>
        <w:t xml:space="preserve"> to CCOs on the SDOH: Social Needs Screening and Referral measure. Technical assistance included training resources, </w:t>
      </w:r>
      <w:r>
        <w:lastRenderedPageBreak/>
        <w:t xml:space="preserve">learning collaboratives and guidance on aligning with </w:t>
      </w:r>
      <w:hyperlink r:id="rId27">
        <w:r w:rsidRPr="6C646BA2">
          <w:rPr>
            <w:rStyle w:val="Hyperlink"/>
          </w:rPr>
          <w:t>Health Related Social Needs (HRSN)</w:t>
        </w:r>
      </w:hyperlink>
      <w:r>
        <w:t xml:space="preserve"> benefits.</w:t>
      </w:r>
    </w:p>
    <w:p w14:paraId="15ED04D9" w14:textId="3B3F27D7" w:rsidR="00ED698D" w:rsidRPr="008A7693" w:rsidRDefault="00ED698D" w:rsidP="00C63F3E">
      <w:pPr>
        <w:pStyle w:val="Heading3"/>
      </w:pPr>
      <w:r w:rsidRPr="008A7693">
        <w:t xml:space="preserve">OHA worked with CCOs on changes to the Meaningful Language Access </w:t>
      </w:r>
      <w:r w:rsidR="004F22E3">
        <w:t xml:space="preserve">(Health Equity) </w:t>
      </w:r>
      <w:r w:rsidRPr="008A7693">
        <w:t>measure</w:t>
      </w:r>
      <w:r w:rsidR="00C40BBA">
        <w:t>.</w:t>
      </w:r>
    </w:p>
    <w:p w14:paraId="40DFB1EE" w14:textId="24BBB82F" w:rsidR="00ED698D" w:rsidRDefault="43EDA797" w:rsidP="00ED698D">
      <w:r>
        <w:t xml:space="preserve">The </w:t>
      </w:r>
      <w:hyperlink r:id="rId28">
        <w:r w:rsidRPr="250ABE58">
          <w:rPr>
            <w:rStyle w:val="Hyperlink"/>
          </w:rPr>
          <w:t>Meaningful Language Access (Health Equity)</w:t>
        </w:r>
      </w:hyperlink>
      <w:r>
        <w:t xml:space="preserve"> measure promotes high</w:t>
      </w:r>
      <w:r w:rsidR="11530DC2">
        <w:t>-</w:t>
      </w:r>
      <w:r>
        <w:t>quality language services for CCO members with self-identified language access needs. Language access is a primary social determinant of health. People who communicate in languages other than English or are hard of hearing face barriers accessing health services. They receive lower quality care relative to patients whose preferred language is English</w:t>
      </w:r>
      <w:r w:rsidR="50610BCD">
        <w:t xml:space="preserve"> (</w:t>
      </w:r>
      <w:hyperlink w:anchor="_Appendix_E:_Citations" w:history="1">
        <w:r w:rsidR="50610BCD" w:rsidRPr="250ABE58">
          <w:rPr>
            <w:rStyle w:val="Hyperlink"/>
          </w:rPr>
          <w:t>1</w:t>
        </w:r>
      </w:hyperlink>
      <w:r w:rsidR="50610BCD">
        <w:t xml:space="preserve">) </w:t>
      </w:r>
      <w:r>
        <w:t>and are at higher risk for medical errors.</w:t>
      </w:r>
      <w:r w:rsidR="2F76E1D1">
        <w:t xml:space="preserve"> (</w:t>
      </w:r>
      <w:hyperlink w:anchor="_Appendix_E:_Citations" w:history="1">
        <w:r w:rsidR="50610BCD" w:rsidRPr="250ABE58">
          <w:rPr>
            <w:rStyle w:val="Hyperlink"/>
          </w:rPr>
          <w:t>2</w:t>
        </w:r>
      </w:hyperlink>
      <w:r w:rsidR="50610BCD">
        <w:t>)</w:t>
      </w:r>
    </w:p>
    <w:p w14:paraId="60B9D1AC" w14:textId="509DAD99" w:rsidR="00ED698D" w:rsidRDefault="00ED698D" w:rsidP="00ED698D">
      <w:r w:rsidRPr="0080757C">
        <w:t xml:space="preserve">This </w:t>
      </w:r>
      <w:r w:rsidR="00E64F54">
        <w:t>U</w:t>
      </w:r>
      <w:r w:rsidRPr="0080757C">
        <w:t xml:space="preserve">pstream measure began in 2021 and has two components: </w:t>
      </w:r>
    </w:p>
    <w:p w14:paraId="53ADA7FF" w14:textId="77777777" w:rsidR="00ED698D" w:rsidRDefault="00ED698D" w:rsidP="00CD585D">
      <w:pPr>
        <w:pStyle w:val="ListParagraph"/>
        <w:numPr>
          <w:ilvl w:val="0"/>
          <w:numId w:val="3"/>
        </w:numPr>
        <w:contextualSpacing w:val="0"/>
      </w:pPr>
      <w:r w:rsidRPr="0080757C">
        <w:rPr>
          <w:b/>
          <w:bCs/>
        </w:rPr>
        <w:t>Component 1:</w:t>
      </w:r>
      <w:r>
        <w:t xml:space="preserve"> </w:t>
      </w:r>
      <w:r w:rsidRPr="0080757C">
        <w:t xml:space="preserve">CCOs </w:t>
      </w:r>
      <w:r>
        <w:t xml:space="preserve">must </w:t>
      </w:r>
      <w:r w:rsidRPr="0080757C">
        <w:t>attest to building a higher quality and more robust language services infrastructure over time.</w:t>
      </w:r>
    </w:p>
    <w:p w14:paraId="4812CCC9" w14:textId="0A4F28DB" w:rsidR="00ED698D" w:rsidRDefault="00ED698D" w:rsidP="00CD585D">
      <w:pPr>
        <w:pStyle w:val="ListParagraph"/>
        <w:numPr>
          <w:ilvl w:val="0"/>
          <w:numId w:val="3"/>
        </w:numPr>
        <w:contextualSpacing w:val="0"/>
      </w:pPr>
      <w:r w:rsidRPr="0080757C">
        <w:rPr>
          <w:b/>
          <w:bCs/>
        </w:rPr>
        <w:t>Component 2:</w:t>
      </w:r>
      <w:r>
        <w:t xml:space="preserve"> The p</w:t>
      </w:r>
      <w:r w:rsidRPr="000D48C6">
        <w:t xml:space="preserve">ercentage of visits </w:t>
      </w:r>
      <w:r>
        <w:t xml:space="preserve">with either a) an Oregon-certified or </w:t>
      </w:r>
      <w:r w:rsidR="00502A8E">
        <w:t>-</w:t>
      </w:r>
      <w:r>
        <w:t>qualified health care interpreter, or b) a provider</w:t>
      </w:r>
      <w:r>
        <w:rPr>
          <w:rStyle w:val="FootnoteReference"/>
        </w:rPr>
        <w:footnoteReference w:id="1"/>
      </w:r>
      <w:r>
        <w:t xml:space="preserve"> with documented proficiency in the member’s preferred language.</w:t>
      </w:r>
    </w:p>
    <w:p w14:paraId="6BAC5C38" w14:textId="642D84C7" w:rsidR="003A5A30" w:rsidRDefault="00ED698D" w:rsidP="003A5A30">
      <w:r>
        <w:t>CCOs, language service companies, and health care providers are required to use OHA certified and qualified health care interpreters.</w:t>
      </w:r>
      <w:r>
        <w:rPr>
          <w:rStyle w:val="FootnoteReference"/>
        </w:rPr>
        <w:footnoteReference w:id="2"/>
      </w:r>
      <w:r>
        <w:t xml:space="preserve"> In 2025, OHA expanded the definition of who qualifies as an in-language provider. In-language providers can be native speakers </w:t>
      </w:r>
      <w:r w:rsidR="00196468">
        <w:t>who</w:t>
      </w:r>
      <w:r w:rsidR="0063317F">
        <w:t xml:space="preserve"> meet educational requirements</w:t>
      </w:r>
      <w:r w:rsidR="00466BD0">
        <w:t>,</w:t>
      </w:r>
      <w:r>
        <w:t xml:space="preserve"> or those who have passed an approved proficiency test</w:t>
      </w:r>
      <w:r>
        <w:rPr>
          <w:rStyle w:val="FootnoteReference"/>
        </w:rPr>
        <w:footnoteReference w:id="3"/>
      </w:r>
      <w:r>
        <w:t xml:space="preserve"> within the last four years. Additionally, OHA removed the requirement for retesting language proficiency. Lastly, OHA allowed CCOs to exclude visits where a member refused an interpreter. However, this does not exclude other visits by the same member.</w:t>
      </w:r>
      <w:r w:rsidR="003A5A30">
        <w:t xml:space="preserve"> </w:t>
      </w:r>
    </w:p>
    <w:p w14:paraId="14470B1F" w14:textId="4FC10030" w:rsidR="00ED698D" w:rsidRDefault="003A5A30" w:rsidP="00ED698D">
      <w:pPr>
        <w:spacing w:after="480"/>
      </w:pPr>
      <w:r>
        <w:lastRenderedPageBreak/>
        <w:t>2026 will be the last year that CCOs are required to complete Component 1. Expectations and essential requirements in Component 1 are integrated into CCO contracts and Oregon Administrative Rule</w:t>
      </w:r>
      <w:r w:rsidR="009D2D29">
        <w:t xml:space="preserve"> (OAR)</w:t>
      </w:r>
      <w:r>
        <w:t>. Removing Component 1 from the incentive measure will reduce administrative burden for CCOs. OHA is committed to ensuring resources are directed where they have the greatest impact and ensuring OHP members receive high-quality language interpretation.</w:t>
      </w:r>
    </w:p>
    <w:p w14:paraId="04825E69" w14:textId="0F7946B3" w:rsidR="00ED698D" w:rsidRPr="008A7693" w:rsidRDefault="007C6158" w:rsidP="00C63F3E">
      <w:pPr>
        <w:pStyle w:val="Heading3"/>
      </w:pPr>
      <w:r w:rsidRPr="008A7693">
        <w:t xml:space="preserve">Last year electronic health records data used for Diabetes: HbA1c Poor </w:t>
      </w:r>
      <w:r w:rsidR="000A12B8" w:rsidRPr="008A7693">
        <w:t>Control</w:t>
      </w:r>
      <w:r w:rsidR="00C40BBA">
        <w:t>.</w:t>
      </w:r>
    </w:p>
    <w:p w14:paraId="13937C57" w14:textId="36A49187" w:rsidR="00ED698D" w:rsidRPr="00B212EE" w:rsidRDefault="008E4078" w:rsidP="00122B5E">
      <w:pPr>
        <w:spacing w:after="480"/>
      </w:pPr>
      <w:r>
        <w:t>Diabetes: HbA1c Poor Control</w:t>
      </w:r>
      <w:r w:rsidR="00ED698D">
        <w:t xml:space="preserve"> measure has been incentivized for all years of the CCO Quality Incentive Program</w:t>
      </w:r>
      <w:r>
        <w:t xml:space="preserve"> and has used data from electronic health records (EHR). Starting in 2026, this measure was renamed the Glycemic Status Assessment for Patients with Diabetes and will have new data reporting requirements. Data will come from administrative (billing) claims </w:t>
      </w:r>
      <w:r w:rsidR="006E5932">
        <w:t>and</w:t>
      </w:r>
      <w:r>
        <w:t xml:space="preserve"> medical record review for </w:t>
      </w:r>
      <w:r w:rsidR="006E5932">
        <w:t>the</w:t>
      </w:r>
      <w:r>
        <w:t xml:space="preserve"> sample of members</w:t>
      </w:r>
      <w:r w:rsidR="001A7AC3">
        <w:t xml:space="preserve"> </w:t>
      </w:r>
      <w:r w:rsidR="00AB6E58">
        <w:t xml:space="preserve">provided by OHA </w:t>
      </w:r>
      <w:r>
        <w:t xml:space="preserve">(called hybrid reporting). </w:t>
      </w:r>
      <w:r w:rsidR="00794A22">
        <w:t>H</w:t>
      </w:r>
      <w:r>
        <w:t>ybrid reporting ha</w:t>
      </w:r>
      <w:r w:rsidR="00794A22">
        <w:t>s</w:t>
      </w:r>
      <w:r>
        <w:t xml:space="preserve"> less administrative burden for providers and CCOs than EHR reporting</w:t>
      </w:r>
      <w:r w:rsidR="00E51AF2">
        <w:t>,</w:t>
      </w:r>
      <w:r w:rsidR="00661A19">
        <w:t xml:space="preserve"> which requires</w:t>
      </w:r>
      <w:r w:rsidR="00103B36">
        <w:t xml:space="preserve"> </w:t>
      </w:r>
      <w:r w:rsidR="0079364E">
        <w:t xml:space="preserve">CCOs to </w:t>
      </w:r>
      <w:r w:rsidR="00CE0D1D">
        <w:t xml:space="preserve">implement </w:t>
      </w:r>
      <w:r w:rsidR="006F3404">
        <w:t>compl</w:t>
      </w:r>
      <w:r w:rsidR="000420B2">
        <w:t>ex</w:t>
      </w:r>
      <w:r w:rsidR="006F3404">
        <w:t xml:space="preserve"> </w:t>
      </w:r>
      <w:r w:rsidR="0079364E">
        <w:t xml:space="preserve">data collection </w:t>
      </w:r>
      <w:r w:rsidR="00CE0D1D">
        <w:t xml:space="preserve">among </w:t>
      </w:r>
      <w:r w:rsidR="002C5C86">
        <w:t xml:space="preserve">many </w:t>
      </w:r>
      <w:r w:rsidR="00CE0D1D">
        <w:t>provider</w:t>
      </w:r>
      <w:r w:rsidR="002C5C86">
        <w:t>s</w:t>
      </w:r>
      <w:r w:rsidR="00CE0D1D">
        <w:t xml:space="preserve"> </w:t>
      </w:r>
      <w:r w:rsidR="00344576">
        <w:t>and</w:t>
      </w:r>
      <w:r w:rsidR="000420B2">
        <w:t xml:space="preserve"> </w:t>
      </w:r>
      <w:r w:rsidR="008B6616">
        <w:t>report</w:t>
      </w:r>
      <w:r w:rsidR="000C03F2">
        <w:t xml:space="preserve"> </w:t>
      </w:r>
      <w:r w:rsidR="00CB41B6">
        <w:t>on</w:t>
      </w:r>
      <w:r w:rsidR="00661A19">
        <w:t xml:space="preserve"> more members.</w:t>
      </w:r>
    </w:p>
    <w:p w14:paraId="1C15DAD7" w14:textId="0662CE7B" w:rsidR="00ED698D" w:rsidRPr="008A7693" w:rsidRDefault="00ED698D" w:rsidP="00C63F3E">
      <w:pPr>
        <w:pStyle w:val="Heading3"/>
      </w:pPr>
      <w:r w:rsidRPr="008A7693">
        <w:t>PacificSource withdrew CCO contract for Lane County starting in 2026</w:t>
      </w:r>
      <w:r w:rsidR="00C40BBA">
        <w:t>.</w:t>
      </w:r>
    </w:p>
    <w:p w14:paraId="0D793DA7" w14:textId="629B939C" w:rsidR="00ED698D" w:rsidRDefault="00ED698D" w:rsidP="00ED698D">
      <w:r>
        <w:t xml:space="preserve">In September 2025, PacificSource notified OHA that they would </w:t>
      </w:r>
      <w:hyperlink r:id="rId29">
        <w:r w:rsidRPr="69550DCA">
          <w:rPr>
            <w:rStyle w:val="Hyperlink"/>
          </w:rPr>
          <w:t>not be renewing their CCO contract serving Lane County</w:t>
        </w:r>
      </w:hyperlink>
      <w:r>
        <w:t>. Trillium Community Health Plan (called Trillium South in this report) also serves Lane County as a CCO. Trillium South agreed to ex</w:t>
      </w:r>
      <w:r w:rsidR="003C6196">
        <w:t>tend</w:t>
      </w:r>
      <w:r>
        <w:t xml:space="preserve"> coverage to PacificSource Lane’s approximately 92,000 members. To help with this transition, PacificSource Lane agreed to continue their contract through the end of January 2026. During this transition period, Trillium South was required to ensure that members had uninterrupted, appropriate access to services previously authorized by PacificSource Lane. PacificSource continues to serve as a CCO in central Oregon, Columbia Gorge and Marion Polk regions. Since PacificSource Lane provided services for all of 2025, they were eligible for their allocated 2025 Quality Pool and are included in this report.</w:t>
      </w:r>
    </w:p>
    <w:p w14:paraId="6621DAC6" w14:textId="69E464DE" w:rsidR="002F1E0F" w:rsidRDefault="002F1E0F" w:rsidP="00ED698D">
      <w:pPr>
        <w:pStyle w:val="Heading2"/>
        <w:sectPr w:rsidR="002F1E0F" w:rsidSect="00764EDB">
          <w:headerReference w:type="default" r:id="rId30"/>
          <w:footnotePr>
            <w:numFmt w:val="lowerLetter"/>
          </w:footnotePr>
          <w:type w:val="continuous"/>
          <w:pgSz w:w="12240" w:h="15840"/>
          <w:pgMar w:top="1440" w:right="1440" w:bottom="1440" w:left="1440" w:header="86" w:footer="720" w:gutter="0"/>
          <w:cols w:space="0"/>
          <w:docGrid w:linePitch="360"/>
        </w:sectPr>
      </w:pPr>
    </w:p>
    <w:p w14:paraId="1A0C4E5F" w14:textId="41258C74" w:rsidR="00ED698D" w:rsidRDefault="00ED698D" w:rsidP="00ED698D">
      <w:pPr>
        <w:pStyle w:val="Heading2"/>
      </w:pPr>
      <w:bookmarkStart w:id="5" w:name="_Toc235090755"/>
      <w:r w:rsidRPr="003D1C6E">
        <w:lastRenderedPageBreak/>
        <w:t xml:space="preserve">At a glance: </w:t>
      </w:r>
      <w:r w:rsidR="004A50DC">
        <w:t xml:space="preserve">Change in </w:t>
      </w:r>
      <w:r w:rsidRPr="003D1C6E">
        <w:t xml:space="preserve">CCO </w:t>
      </w:r>
      <w:r w:rsidR="00C351E8">
        <w:t xml:space="preserve">statewide </w:t>
      </w:r>
      <w:r w:rsidRPr="003D1C6E">
        <w:t>performance from 202</w:t>
      </w:r>
      <w:r>
        <w:t>4</w:t>
      </w:r>
      <w:r w:rsidRPr="003D1C6E">
        <w:t xml:space="preserve"> to 202</w:t>
      </w:r>
      <w:r>
        <w:t>5</w:t>
      </w:r>
      <w:bookmarkEnd w:id="5"/>
      <w:r w:rsidRPr="003D1C6E">
        <w:t xml:space="preserve"> </w:t>
      </w:r>
    </w:p>
    <w:p w14:paraId="65275A24" w14:textId="69DE9FDA" w:rsidR="00ED698D" w:rsidRPr="00FB5302" w:rsidRDefault="00ED698D" w:rsidP="00ED698D">
      <w:pPr>
        <w:rPr>
          <w:rFonts w:cstheme="minorHAnsi"/>
        </w:rPr>
      </w:pPr>
      <w:r w:rsidRPr="00C3499B">
        <w:rPr>
          <w:rFonts w:cstheme="minorHAnsi"/>
        </w:rPr>
        <w:t xml:space="preserve">This chart shows </w:t>
      </w:r>
      <w:r w:rsidRPr="00A34B5A">
        <w:rPr>
          <w:rFonts w:cstheme="minorHAnsi"/>
        </w:rPr>
        <w:t>percent change</w:t>
      </w:r>
      <w:r w:rsidRPr="00C3499B">
        <w:rPr>
          <w:rFonts w:cstheme="minorHAnsi"/>
        </w:rPr>
        <w:t xml:space="preserve">, or the </w:t>
      </w:r>
      <w:r w:rsidRPr="00A34B5A">
        <w:rPr>
          <w:rFonts w:cstheme="minorHAnsi"/>
        </w:rPr>
        <w:t>relative rate of change</w:t>
      </w:r>
      <w:r w:rsidRPr="00C3499B">
        <w:rPr>
          <w:rFonts w:cstheme="minorHAnsi"/>
        </w:rPr>
        <w:t xml:space="preserve">. For example, </w:t>
      </w:r>
      <w:r w:rsidRPr="00A34B5A">
        <w:rPr>
          <w:rFonts w:cstheme="minorHAnsi"/>
          <w:b/>
          <w:bCs/>
        </w:rPr>
        <w:t>100</w:t>
      </w:r>
      <w:r w:rsidR="00E50F95" w:rsidRPr="00A34B5A">
        <w:rPr>
          <w:rFonts w:cstheme="minorHAnsi"/>
          <w:b/>
          <w:bCs/>
        </w:rPr>
        <w:t xml:space="preserve"> percent</w:t>
      </w:r>
      <w:r w:rsidRPr="00A34B5A">
        <w:rPr>
          <w:rFonts w:cstheme="minorHAnsi"/>
          <w:b/>
          <w:bCs/>
        </w:rPr>
        <w:t xml:space="preserve"> means th</w:t>
      </w:r>
      <w:r w:rsidR="00A34B5A" w:rsidRPr="00A34B5A">
        <w:rPr>
          <w:rFonts w:cstheme="minorHAnsi"/>
          <w:b/>
          <w:bCs/>
        </w:rPr>
        <w:t xml:space="preserve">e </w:t>
      </w:r>
      <w:r w:rsidR="00A34B5A">
        <w:rPr>
          <w:rFonts w:cstheme="minorHAnsi"/>
          <w:b/>
          <w:bCs/>
        </w:rPr>
        <w:t xml:space="preserve">rate </w:t>
      </w:r>
      <w:r w:rsidRPr="00A34B5A">
        <w:rPr>
          <w:rFonts w:cstheme="minorHAnsi"/>
          <w:b/>
          <w:bCs/>
        </w:rPr>
        <w:t>doubled</w:t>
      </w:r>
      <w:r w:rsidRPr="00C3499B">
        <w:rPr>
          <w:rFonts w:cstheme="minorHAnsi"/>
        </w:rPr>
        <w:t xml:space="preserve"> from 202</w:t>
      </w:r>
      <w:r>
        <w:rPr>
          <w:rFonts w:cstheme="minorHAnsi"/>
        </w:rPr>
        <w:t>4</w:t>
      </w:r>
      <w:r w:rsidRPr="00C3499B">
        <w:rPr>
          <w:rFonts w:cstheme="minorHAnsi"/>
        </w:rPr>
        <w:t xml:space="preserve"> to 202</w:t>
      </w:r>
      <w:r>
        <w:rPr>
          <w:rFonts w:cstheme="minorHAnsi"/>
        </w:rPr>
        <w:t>5</w:t>
      </w:r>
      <w:r w:rsidRPr="00C3499B">
        <w:rPr>
          <w:rFonts w:cstheme="minorHAnsi"/>
        </w:rPr>
        <w:t>.</w:t>
      </w:r>
      <w:r>
        <w:rPr>
          <w:rStyle w:val="FootnoteReference"/>
          <w:rFonts w:cstheme="minorHAnsi"/>
        </w:rPr>
        <w:footnoteReference w:id="4"/>
      </w:r>
    </w:p>
    <w:p w14:paraId="31BA09CB" w14:textId="5BFCE134" w:rsidR="00ED698D" w:rsidRPr="00464767" w:rsidRDefault="00387073" w:rsidP="00ED698D">
      <w:pPr>
        <w:spacing w:after="0"/>
        <w:ind w:left="-180"/>
      </w:pPr>
      <w:r>
        <w:rPr>
          <w:noProof/>
          <w:color w:val="606060"/>
        </w:rPr>
        <mc:AlternateContent>
          <mc:Choice Requires="wps">
            <w:drawing>
              <wp:anchor distT="0" distB="0" distL="114300" distR="114300" simplePos="0" relativeHeight="251658242" behindDoc="0" locked="0" layoutInCell="1" allowOverlap="1" wp14:anchorId="67DBC2B7" wp14:editId="17E4C583">
                <wp:simplePos x="0" y="0"/>
                <wp:positionH relativeFrom="column">
                  <wp:posOffset>-104775</wp:posOffset>
                </wp:positionH>
                <wp:positionV relativeFrom="paragraph">
                  <wp:posOffset>118110</wp:posOffset>
                </wp:positionV>
                <wp:extent cx="2895600" cy="647700"/>
                <wp:effectExtent l="0" t="0" r="0" b="0"/>
                <wp:wrapNone/>
                <wp:docPr id="183260524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0" cy="647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25844" id="Rectangle 1" o:spid="_x0000_s1026" alt="&quot;&quot;" style="position:absolute;margin-left:-8.25pt;margin-top:9.3pt;width:228pt;height: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" fillcolor="white [3212]" stroked="f" strokeweight="1.5pt"/>
            </w:pict>
          </mc:Fallback>
        </mc:AlternateContent>
      </w:r>
      <w:r w:rsidR="00470E36">
        <w:rPr>
          <w:noProof/>
        </w:rPr>
        <mc:AlternateContent>
          <mc:Choice Requires="wpg">
            <w:drawing>
              <wp:inline distT="0" distB="0" distL="0" distR="0" wp14:anchorId="4B717B8E" wp14:editId="38F42696">
                <wp:extent cx="6210276" cy="6238875"/>
                <wp:effectExtent l="0" t="0" r="635" b="9525"/>
                <wp:docPr id="356168753" name="Group 3" descr="Dot chart of CCO statewide percent change for each incentive measure from 2024 to 2025. Measures are listed from most to least improved."/>
                <wp:cNvGraphicFramePr/>
                <a:graphic xmlns:a="http://schemas.openxmlformats.org/drawingml/2006/main">
                  <a:graphicData uri="http://schemas.microsoft.com/office/word/2010/wordprocessingGroup">
                    <wpg:wgp>
                      <wpg:cNvGrpSpPr/>
                      <wpg:grpSpPr>
                        <a:xfrm>
                          <a:off x="0" y="0"/>
                          <a:ext cx="6210276" cy="6238875"/>
                          <a:chOff x="0" y="0"/>
                          <a:chExt cx="6210276" cy="6238875"/>
                        </a:xfrm>
                      </wpg:grpSpPr>
                      <wpg:grpSp>
                        <wpg:cNvPr id="1325241764" name="Group 1325241764"/>
                        <wpg:cNvGrpSpPr/>
                        <wpg:grpSpPr>
                          <a:xfrm>
                            <a:off x="0" y="0"/>
                            <a:ext cx="6196012" cy="6217920"/>
                            <a:chOff x="0" y="0"/>
                            <a:chExt cx="6196012" cy="6400800"/>
                          </a:xfrm>
                        </wpg:grpSpPr>
                        <wpg:graphicFrame>
                          <wpg:cNvPr id="657163090" name="Chart 657163090"/>
                          <wpg:cNvFrPr/>
                          <wpg:xfrm>
                            <a:off x="23812" y="0"/>
                            <a:ext cx="6172200" cy="6400800"/>
                          </wpg:xfrm>
                          <a:graphic>
                            <a:graphicData uri="http://schemas.openxmlformats.org/drawingml/2006/chart">
                              <c:chart xmlns:c="http://schemas.openxmlformats.org/drawingml/2006/chart" xmlns:r="http://schemas.openxmlformats.org/officeDocument/2006/relationships" r:id="rId31"/>
                            </a:graphicData>
                          </a:graphic>
                        </wpg:graphicFrame>
                        <wps:wsp>
                          <wps:cNvPr id="1637498632" name="Rectangle 1637498632">
                            <a:extLst>
                              <a:ext uri="{C183D7F6-B498-43B3-948B-1728B52AA6E4}">
                                <adec:decorative xmlns:adec="http://schemas.microsoft.com/office/drawing/2017/decorative" val="1"/>
                              </a:ext>
                            </a:extLst>
                          </wps:cNvPr>
                          <wps:cNvSpPr/>
                          <wps:spPr>
                            <a:xfrm>
                              <a:off x="0" y="362789"/>
                              <a:ext cx="2819400" cy="2753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557228153" name="TextBox 6"/>
                        <wps:cNvSpPr txBox="1"/>
                        <wps:spPr>
                          <a:xfrm>
                            <a:off x="209527" y="5886450"/>
                            <a:ext cx="6000749" cy="352425"/>
                          </a:xfrm>
                          <a:prstGeom prst="rect">
                            <a:avLst/>
                          </a:prstGeom>
                          <a:noFill/>
                        </wps:spPr>
                        <wps:txbx>
                          <w:txbxContent>
                            <w:p w14:paraId="066CDA3F" w14:textId="77777777" w:rsidR="00470E36" w:rsidRPr="00470E36" w:rsidRDefault="00470E36" w:rsidP="00470E36">
                              <w:pPr>
                                <w:textAlignment w:val="baseline"/>
                                <w:rPr>
                                  <w:rFonts w:hAnsi="Aptos"/>
                                  <w:kern w:val="0"/>
                                  <w:sz w:val="10"/>
                                  <w:szCs w:val="10"/>
                                  <w14:ligatures w14:val="none"/>
                                </w:rPr>
                              </w:pPr>
                              <w:r w:rsidRPr="00470E36">
                                <w:rPr>
                                  <w:rFonts w:hAnsi="Aptos"/>
                                  <w:sz w:val="10"/>
                                  <w:szCs w:val="10"/>
                                </w:rPr>
                                <w:t xml:space="preserve"> </w:t>
                              </w:r>
                              <w:r w:rsidRPr="00470E36">
                                <w:rPr>
                                  <w:rFonts w:hAnsi="Aptos"/>
                                  <w:sz w:val="22"/>
                                </w:rPr>
                                <w:t>^ Challenge Pool measure</w:t>
                              </w:r>
                            </w:p>
                          </w:txbxContent>
                        </wps:txbx>
                        <wps:bodyPr wrap="square" rtlCol="0" anchor="t">
                          <a:noAutofit/>
                        </wps:bodyPr>
                      </wps:wsp>
                    </wpg:wgp>
                  </a:graphicData>
                </a:graphic>
              </wp:inline>
            </w:drawing>
          </mc:Choice>
          <mc:Fallback>
            <w:pict>
              <v:group w14:anchorId="4B717B8E" id="Group 3" o:spid="_x0000_s1031" alt="Dot chart of CCO statewide percent change for each incentive measure from 2024 to 2025. Measures are listed from most to least improved." style="width:489pt;height:491.25pt;mso-position-horizontal-relative:char;mso-position-vertical-relative:line" coordsize="62102,62388"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">
                <v:group id="Group 1325241764" o:spid="_x0000_s1032" style="position:absolute;width:61960;height:62179" coordsize="61960,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">
                  <v:shape id="Chart 657163090" o:spid="_x0000_s1033" type="#_x0000_t75" style="position:absolute;left:182;width:61753;height:640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">
                    <v:imagedata r:id="rId32" o:title=""/>
                    <o:lock v:ext="edit" aspectratio="f"/>
                  </v:shape>
                  <v:rect id="Rectangle 1637498632" o:spid="_x0000_s1034" alt="&quot;&quot;" style="position:absolute;top:3627;width:28194;height:2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" fillcolor="white [3212]" stroked="f" strokeweight="1.5pt"/>
                </v:group>
                <v:shape id="TextBox 6" o:spid="_x0000_s1035" type="#_x0000_t202" style="position:absolute;left:2095;top:58864;width:6000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" filled="f" stroked="f">
                  <v:textbox>
                    <w:txbxContent>
                      <w:p w14:paraId="066CDA3F" w14:textId="77777777" w:rsidR="00470E36" w:rsidRPr="00470E36" w:rsidRDefault="00470E36" w:rsidP="00470E36">
                        <w:pPr>
                          <w:textAlignment w:val="baseline"/>
                          <w:rPr>
                            <w:rFonts w:hAnsi="Aptos"/>
                            <w:kern w:val="0"/>
                            <w:sz w:val="10"/>
                            <w:szCs w:val="10"/>
                            <w14:ligatures w14:val="none"/>
                          </w:rPr>
                        </w:pPr>
                        <w:r w:rsidRPr="00470E36">
                          <w:rPr>
                            <w:rFonts w:hAnsi="Aptos"/>
                            <w:sz w:val="10"/>
                            <w:szCs w:val="10"/>
                          </w:rPr>
                          <w:t xml:space="preserve"> </w:t>
                        </w:r>
                        <w:r w:rsidRPr="00470E36">
                          <w:rPr>
                            <w:rFonts w:hAnsi="Aptos"/>
                            <w:sz w:val="22"/>
                          </w:rPr>
                          <w:t>^ Challenge Pool measure</w:t>
                        </w:r>
                      </w:p>
                    </w:txbxContent>
                  </v:textbox>
                </v:shape>
                <w10:anchorlock/>
              </v:group>
            </w:pict>
          </mc:Fallback>
        </mc:AlternateContent>
      </w:r>
      <w:r w:rsidR="00470E36" w:rsidDel="00470E36">
        <w:rPr>
          <w:noProof/>
          <w:color w:val="606060"/>
        </w:rPr>
        <w:t xml:space="preserve"> </w:t>
      </w:r>
    </w:p>
    <w:p w14:paraId="01568817" w14:textId="77777777" w:rsidR="00ED698D" w:rsidRDefault="00ED698D" w:rsidP="00ED698D">
      <w:pPr>
        <w:pStyle w:val="Heading1"/>
      </w:pPr>
      <w:bookmarkStart w:id="6" w:name="_Toc235090756"/>
      <w:r>
        <w:lastRenderedPageBreak/>
        <w:t>Measure highlights</w:t>
      </w:r>
      <w:bookmarkEnd w:id="6"/>
    </w:p>
    <w:p w14:paraId="6FAF8B81" w14:textId="3A7C8B87" w:rsidR="00ED698D" w:rsidRDefault="00ED698D" w:rsidP="00ED698D">
      <w:r>
        <w:t>Below we describe CCO performance on individual measures and the change</w:t>
      </w:r>
      <w:r w:rsidR="00FB3385">
        <w:t xml:space="preserve"> in performance</w:t>
      </w:r>
      <w:r>
        <w:t xml:space="preserve"> over time. We also describe the range in CCO performance, which is the gap between the top and bottom performing CCOs.</w:t>
      </w:r>
    </w:p>
    <w:p w14:paraId="3C87DA10" w14:textId="721B0D08" w:rsidR="00ED698D" w:rsidRPr="0085247E" w:rsidRDefault="00ED698D" w:rsidP="00833DBC">
      <w:r w:rsidRPr="0085247E">
        <w:t xml:space="preserve">Measures are grouped by topic area from the </w:t>
      </w:r>
      <w:r w:rsidR="009C5B10">
        <w:t>U</w:t>
      </w:r>
      <w:r>
        <w:t xml:space="preserve">pstream </w:t>
      </w:r>
      <w:r w:rsidRPr="0085247E">
        <w:t xml:space="preserve">set or in the </w:t>
      </w:r>
      <w:r w:rsidR="00833DBC">
        <w:t>D</w:t>
      </w:r>
      <w:r w:rsidRPr="0085247E">
        <w:t xml:space="preserve">ownstream CMS Core Sets. Topic areas include </w:t>
      </w:r>
      <w:r>
        <w:t>U</w:t>
      </w:r>
      <w:r w:rsidRPr="0085247E">
        <w:t xml:space="preserve">pstream, </w:t>
      </w:r>
      <w:r>
        <w:t>P</w:t>
      </w:r>
      <w:r w:rsidRPr="0085247E">
        <w:t xml:space="preserve">rimary </w:t>
      </w:r>
      <w:r>
        <w:t>C</w:t>
      </w:r>
      <w:r w:rsidRPr="0085247E">
        <w:t xml:space="preserve">are </w:t>
      </w:r>
      <w:r>
        <w:t>A</w:t>
      </w:r>
      <w:r w:rsidRPr="0085247E">
        <w:t xml:space="preserve">ccess and </w:t>
      </w:r>
      <w:r>
        <w:t>P</w:t>
      </w:r>
      <w:r w:rsidRPr="0085247E">
        <w:t xml:space="preserve">reventive </w:t>
      </w:r>
      <w:r>
        <w:t>C</w:t>
      </w:r>
      <w:r w:rsidRPr="0085247E">
        <w:t xml:space="preserve">are, </w:t>
      </w:r>
      <w:r>
        <w:t>M</w:t>
      </w:r>
      <w:r w:rsidRPr="0085247E">
        <w:t xml:space="preserve">aternal and </w:t>
      </w:r>
      <w:r>
        <w:t>P</w:t>
      </w:r>
      <w:r w:rsidRPr="0085247E">
        <w:t xml:space="preserve">erinatal </w:t>
      </w:r>
      <w:r>
        <w:t>H</w:t>
      </w:r>
      <w:r w:rsidRPr="0085247E">
        <w:t xml:space="preserve">ealth, </w:t>
      </w:r>
      <w:r>
        <w:t>C</w:t>
      </w:r>
      <w:r w:rsidRPr="0085247E">
        <w:t xml:space="preserve">are of </w:t>
      </w:r>
      <w:r>
        <w:t>Ac</w:t>
      </w:r>
      <w:r w:rsidRPr="0085247E">
        <w:t xml:space="preserve">ute and </w:t>
      </w:r>
      <w:r>
        <w:t>C</w:t>
      </w:r>
      <w:r w:rsidRPr="0085247E">
        <w:t xml:space="preserve">hronic </w:t>
      </w:r>
      <w:r>
        <w:t>C</w:t>
      </w:r>
      <w:r w:rsidRPr="0085247E">
        <w:t xml:space="preserve">onditions, </w:t>
      </w:r>
      <w:r>
        <w:t>B</w:t>
      </w:r>
      <w:r w:rsidRPr="0085247E">
        <w:t xml:space="preserve">ehavioral </w:t>
      </w:r>
      <w:r>
        <w:t>H</w:t>
      </w:r>
      <w:r w:rsidRPr="0085247E">
        <w:t xml:space="preserve">ealth </w:t>
      </w:r>
      <w:r>
        <w:t>C</w:t>
      </w:r>
      <w:r w:rsidRPr="0085247E">
        <w:t xml:space="preserve">are, and </w:t>
      </w:r>
      <w:r>
        <w:t>D</w:t>
      </w:r>
      <w:r w:rsidRPr="0085247E">
        <w:t xml:space="preserve">ental and </w:t>
      </w:r>
      <w:r>
        <w:t>O</w:t>
      </w:r>
      <w:r w:rsidRPr="0085247E">
        <w:t xml:space="preserve">ral </w:t>
      </w:r>
      <w:r>
        <w:t>H</w:t>
      </w:r>
      <w:r w:rsidRPr="0085247E">
        <w:t xml:space="preserve">ealth </w:t>
      </w:r>
      <w:r>
        <w:t>S</w:t>
      </w:r>
      <w:r w:rsidRPr="0085247E">
        <w:t xml:space="preserve">ervices. We also include a summary of measures that are part of the broader </w:t>
      </w:r>
      <w:hyperlink w:anchor="_Kindergarten_Readiness" w:history="1">
        <w:r w:rsidRPr="00D44B97">
          <w:rPr>
            <w:rStyle w:val="Hyperlink"/>
          </w:rPr>
          <w:t>Kindergarten Readiness</w:t>
        </w:r>
      </w:hyperlink>
      <w:r w:rsidRPr="0085247E">
        <w:t xml:space="preserve"> strategy.</w:t>
      </w:r>
    </w:p>
    <w:p w14:paraId="42C5631E" w14:textId="77777777" w:rsidR="00ED698D" w:rsidRDefault="00ED698D" w:rsidP="00ED698D">
      <w:pPr>
        <w:pStyle w:val="Heading2"/>
      </w:pPr>
      <w:bookmarkStart w:id="7" w:name="_Toc235090757"/>
      <w:r>
        <w:t>Upstream</w:t>
      </w:r>
      <w:bookmarkEnd w:id="7"/>
    </w:p>
    <w:p w14:paraId="29783E6E" w14:textId="2F29EF05" w:rsidR="00ED698D" w:rsidRDefault="00ED698D" w:rsidP="00ED698D">
      <w:r w:rsidRPr="00362DE7">
        <w:t>Upstream measures are focused on improving the social determinants of health</w:t>
      </w:r>
      <w:r>
        <w:t xml:space="preserve">. </w:t>
      </w:r>
      <w:r w:rsidRPr="00362DE7">
        <w:t>These are primarily measures stewarded by Oregon entities.</w:t>
      </w:r>
      <w:r>
        <w:t xml:space="preserve"> Going beyond medical services, they aim to improve coordination across sectors that impact social needs.</w:t>
      </w:r>
    </w:p>
    <w:p w14:paraId="79557873" w14:textId="5EFADA0C" w:rsidR="00B92208" w:rsidRPr="00CE1BC0" w:rsidRDefault="00B92208" w:rsidP="00CE1BC0">
      <w:pPr>
        <w:pStyle w:val="Heading3"/>
      </w:pPr>
      <w:r w:rsidRPr="00CE1BC0">
        <w:rPr>
          <w:rStyle w:val="Heading5Char"/>
          <w:szCs w:val="28"/>
        </w:rPr>
        <w:t>Assessments for Children in ODHS Custody</w:t>
      </w:r>
    </w:p>
    <w:p w14:paraId="3FDB67C3" w14:textId="0A3518C6" w:rsidR="00B92208" w:rsidRDefault="0055071D" w:rsidP="00B92208">
      <w:pPr>
        <w:spacing w:after="240"/>
        <w:jc w:val="center"/>
        <w:rPr>
          <w:rStyle w:val="Heading5Char"/>
        </w:rPr>
      </w:pPr>
      <w:r>
        <w:rPr>
          <w:noProof/>
        </w:rPr>
        <mc:AlternateContent>
          <mc:Choice Requires="wpg">
            <w:drawing>
              <wp:inline distT="0" distB="0" distL="0" distR="0" wp14:anchorId="325DA973" wp14:editId="6843E8EB">
                <wp:extent cx="4572000" cy="3044190"/>
                <wp:effectExtent l="0" t="0" r="0" b="3810"/>
                <wp:docPr id="1671637652" name="Group 6" descr="Chart showing CCO service rates over time for Assessment for Children in ODHS Custody. A dark blue line shows the CCO statewide service rate. Dots show individual CCO service rates in each year. Orange dash marks show each year's benchmark. A dashed vertical line shows a measure change in 2014."/>
                <wp:cNvGraphicFramePr/>
                <a:graphic xmlns:a="http://schemas.openxmlformats.org/drawingml/2006/main">
                  <a:graphicData uri="http://schemas.microsoft.com/office/word/2010/wordprocessingGroup">
                    <wpg:wgp>
                      <wpg:cNvGrpSpPr/>
                      <wpg:grpSpPr>
                        <a:xfrm>
                          <a:off x="0" y="0"/>
                          <a:ext cx="4572000" cy="3044190"/>
                          <a:chOff x="0" y="0"/>
                          <a:chExt cx="4572000" cy="3044190"/>
                        </a:xfrm>
                      </wpg:grpSpPr>
                      <wpg:graphicFrame>
                        <wpg:cNvPr id="1110165460" name="Chart 1110165460"/>
                        <wpg:cNvFrPr>
                          <a:graphicFrameLocks/>
                        </wpg:cNvFrPr>
                        <wpg:xfrm>
                          <a:off x="0" y="0"/>
                          <a:ext cx="4572000" cy="3017520"/>
                        </wpg:xfrm>
                        <a:graphic>
                          <a:graphicData uri="http://schemas.openxmlformats.org/drawingml/2006/chart">
                            <c:chart xmlns:c="http://schemas.openxmlformats.org/drawingml/2006/chart" xmlns:r="http://schemas.openxmlformats.org/officeDocument/2006/relationships" r:id="rId33"/>
                          </a:graphicData>
                        </a:graphic>
                      </wpg:graphicFrame>
                      <wps:wsp>
                        <wps:cNvPr id="2099371055" name="TextBox 5"/>
                        <wps:cNvSpPr txBox="1"/>
                        <wps:spPr>
                          <a:xfrm>
                            <a:off x="2971800" y="2667000"/>
                            <a:ext cx="1241425" cy="37719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2403560" w14:textId="77777777" w:rsidR="0055071D" w:rsidRDefault="0055071D" w:rsidP="0055071D">
                              <w:pPr>
                                <w:rPr>
                                  <w:rFonts w:hAnsi="Aptos"/>
                                  <w:b/>
                                  <w:bCs/>
                                  <w:color w:val="606060"/>
                                  <w:kern w:val="0"/>
                                  <w:sz w:val="22"/>
                                  <w14:ligatures w14:val="none"/>
                                </w:rPr>
                              </w:pPr>
                              <w:r>
                                <w:rPr>
                                  <w:rFonts w:hAnsi="Aptos"/>
                                  <w:b/>
                                  <w:bCs/>
                                  <w:color w:val="606060"/>
                                  <w:sz w:val="22"/>
                                </w:rPr>
                                <w:t>¦</w:t>
                              </w:r>
                              <w:r>
                                <w:rPr>
                                  <w:rFonts w:hAnsi="Aptos"/>
                                  <w:b/>
                                  <w:bCs/>
                                  <w:color w:val="000000" w:themeColor="text1"/>
                                  <w:sz w:val="22"/>
                                </w:rPr>
                                <w:t xml:space="preserve"> </w:t>
                              </w:r>
                              <w:r w:rsidRPr="0055071D">
                                <w:rPr>
                                  <w:rFonts w:hAnsi="Aptos"/>
                                  <w:color w:val="000000" w:themeColor="text1"/>
                                  <w:sz w:val="22"/>
                                </w:rPr>
                                <w:t>Measure change</w:t>
                              </w:r>
                            </w:p>
                          </w:txbxContent>
                        </wps:txbx>
                        <wps:bodyPr wrap="none" rtlCol="0" anchor="t">
                          <a:spAutoFit/>
                        </wps:bodyPr>
                      </wps:wsp>
                    </wpg:wgp>
                  </a:graphicData>
                </a:graphic>
              </wp:inline>
            </w:drawing>
          </mc:Choice>
          <mc:Fallback>
            <w:pict>
              <v:group w14:anchorId="325DA973" id="Group 6" o:spid="_x0000_s1036" alt="Chart showing CCO service rates over time for Assessment for Children in ODHS Custody. A dark blue line shows the CCO statewide service rate. Dots show individual CCO service rates in each year. Orange dash marks show each year's benchmark. A dashed vertical line shows a measure change in 2014." style="width:5in;height:239.7pt;mso-position-horizontal-relative:char;mso-position-vertical-relative:line" coordsize="45720,30441"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">
                <v:shape id="Chart 1110165460" o:spid="_x0000_s1037" type="#_x0000_t75" style="position:absolute;width:45720;height:30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">
                  <v:imagedata r:id="rId34" o:title=""/>
                  <o:lock v:ext="edit" aspectratio="f"/>
                </v:shape>
                <v:shape id="TextBox 5" o:spid="_x0000_s1038" type="#_x0000_t202" style="position:absolute;left:29718;top:26670;width:12414;height:37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" filled="f" stroked="f">
                  <v:textbox style="mso-fit-shape-to-text:t">
                    <w:txbxContent>
                      <w:p w14:paraId="12403560" w14:textId="77777777" w:rsidR="0055071D" w:rsidRDefault="0055071D" w:rsidP="0055071D">
                        <w:pPr>
                          <w:rPr>
                            <w:rFonts w:hAnsi="Aptos"/>
                            <w:b/>
                            <w:bCs/>
                            <w:color w:val="606060"/>
                            <w:kern w:val="0"/>
                            <w:sz w:val="22"/>
                            <w14:ligatures w14:val="none"/>
                          </w:rPr>
                        </w:pPr>
                        <w:r>
                          <w:rPr>
                            <w:rFonts w:hAnsi="Aptos"/>
                            <w:b/>
                            <w:bCs/>
                            <w:color w:val="606060"/>
                            <w:sz w:val="22"/>
                          </w:rPr>
                          <w:t>¦</w:t>
                        </w:r>
                        <w:r>
                          <w:rPr>
                            <w:rFonts w:hAnsi="Aptos"/>
                            <w:b/>
                            <w:bCs/>
                            <w:color w:val="000000" w:themeColor="text1"/>
                            <w:sz w:val="22"/>
                          </w:rPr>
                          <w:t xml:space="preserve"> </w:t>
                        </w:r>
                        <w:r w:rsidRPr="0055071D">
                          <w:rPr>
                            <w:rFonts w:hAnsi="Aptos"/>
                            <w:color w:val="000000" w:themeColor="text1"/>
                            <w:sz w:val="22"/>
                          </w:rPr>
                          <w:t>Measure change</w:t>
                        </w:r>
                      </w:p>
                    </w:txbxContent>
                  </v:textbox>
                </v:shape>
                <w10:anchorlock/>
              </v:group>
            </w:pict>
          </mc:Fallback>
        </mc:AlternateContent>
      </w:r>
    </w:p>
    <w:p w14:paraId="07A7C0B6" w14:textId="45EC18FA" w:rsidR="00760E3E" w:rsidRDefault="006E1B0B" w:rsidP="00082D22">
      <w:pPr>
        <w:spacing w:after="240"/>
      </w:pPr>
      <w:r w:rsidRPr="000E4198">
        <w:rPr>
          <w:b/>
          <w:bCs/>
        </w:rPr>
        <w:t>Assessments for Children in ODHS Custody</w:t>
      </w:r>
      <w:r w:rsidRPr="00AD5D6B">
        <w:t xml:space="preserve"> helps ensure children entering foster care get the age-appropriate physical, mental and dental health care they need.</w:t>
      </w:r>
      <w:r w:rsidR="00082D22" w:rsidRPr="00082D22">
        <w:rPr>
          <w:rStyle w:val="FootnoteReference"/>
        </w:rPr>
        <w:t xml:space="preserve"> </w:t>
      </w:r>
      <w:r w:rsidR="00082D22">
        <w:rPr>
          <w:rStyle w:val="FootnoteReference"/>
        </w:rPr>
        <w:footnoteReference w:id="5"/>
      </w:r>
      <w:r w:rsidRPr="00AD5D6B">
        <w:t xml:space="preserve"> </w:t>
      </w:r>
      <w:r w:rsidR="001229CC" w:rsidRPr="00AD5D6B">
        <w:t>From 2014 to 2019, CCO statewide performance more than tripled.</w:t>
      </w:r>
      <w:r w:rsidR="001229CC">
        <w:t xml:space="preserve"> </w:t>
      </w:r>
      <w:r w:rsidR="001229CC" w:rsidRPr="003B3A7F">
        <w:t>After falling somewhat in 2020, CCO statewide performance quickly recovered and mirrored pre-pandemic performance</w:t>
      </w:r>
      <w:r w:rsidR="001229CC">
        <w:t>.</w:t>
      </w:r>
      <w:r w:rsidR="00082D22">
        <w:t xml:space="preserve"> </w:t>
      </w:r>
      <w:r w:rsidR="001229CC" w:rsidRPr="001229CC">
        <w:t xml:space="preserve">From </w:t>
      </w:r>
      <w:r w:rsidR="001229CC" w:rsidRPr="001229CC">
        <w:lastRenderedPageBreak/>
        <w:t>2024 to 2025, CCO statewide performance held steady</w:t>
      </w:r>
      <w:r w:rsidR="005F2B8D">
        <w:t xml:space="preserve"> and continued to </w:t>
      </w:r>
      <w:r w:rsidR="001229CC" w:rsidRPr="001229CC">
        <w:t>ris</w:t>
      </w:r>
      <w:r w:rsidR="005F2B8D">
        <w:t>e</w:t>
      </w:r>
      <w:r w:rsidR="001229CC" w:rsidRPr="001229CC">
        <w:t xml:space="preserve"> above the 2019 pre-pandemic rate.</w:t>
      </w:r>
      <w:r w:rsidR="001229CC">
        <w:t xml:space="preserve"> Fourteen </w:t>
      </w:r>
      <w:r w:rsidR="001229CC" w:rsidRPr="001229CC">
        <w:t>out of 16 CCOs met the measure, with 11 reaching the benchmark.</w:t>
      </w:r>
      <w:r w:rsidR="001229CC">
        <w:t xml:space="preserve"> </w:t>
      </w:r>
    </w:p>
    <w:p w14:paraId="5B9EC842" w14:textId="6D4DAFDF" w:rsidR="009A386F" w:rsidRDefault="001229CC" w:rsidP="005F2B8D">
      <w:r w:rsidRPr="001229CC">
        <w:t xml:space="preserve">The range in CCO performance widened from 2024 to 2025. This was due to a notably </w:t>
      </w:r>
      <w:r w:rsidR="72403145">
        <w:t xml:space="preserve">lower </w:t>
      </w:r>
      <w:r w:rsidR="06C87733">
        <w:t>rate</w:t>
      </w:r>
      <w:r w:rsidRPr="001229CC">
        <w:t xml:space="preserve"> by one CCO. </w:t>
      </w:r>
      <w:r w:rsidR="005F2B8D">
        <w:t xml:space="preserve">However, all other CCOs </w:t>
      </w:r>
      <w:r w:rsidRPr="001229CC">
        <w:t>were closer in performance than prior years.</w:t>
      </w:r>
      <w:r w:rsidR="005F2B8D">
        <w:t xml:space="preserve"> This was due to major improvements by three of the lowest performing CCOs in 2024, </w:t>
      </w:r>
      <w:r w:rsidR="00305256">
        <w:t xml:space="preserve">which </w:t>
      </w:r>
      <w:r w:rsidR="005F2B8D">
        <w:t>improved by 16</w:t>
      </w:r>
      <w:r w:rsidR="00E50F95">
        <w:t xml:space="preserve"> percent</w:t>
      </w:r>
      <w:r w:rsidR="005F2B8D">
        <w:t xml:space="preserve"> or more from 2024 to 2025.</w:t>
      </w:r>
    </w:p>
    <w:p w14:paraId="34298081" w14:textId="3733B3CC" w:rsidR="00B92208" w:rsidRPr="00CE1BC0" w:rsidRDefault="00B92208" w:rsidP="00CE1BC0">
      <w:pPr>
        <w:pStyle w:val="Heading3"/>
      </w:pPr>
      <w:r w:rsidRPr="00CE1BC0">
        <w:t>Meaningful Language Access (Health Equity)</w:t>
      </w:r>
    </w:p>
    <w:p w14:paraId="29FE86AE" w14:textId="411B6939" w:rsidR="00B92208" w:rsidRPr="0050494A" w:rsidRDefault="00F32435" w:rsidP="00B92208">
      <w:pPr>
        <w:jc w:val="center"/>
      </w:pPr>
      <w:r>
        <w:rPr>
          <w:noProof/>
        </w:rPr>
        <w:drawing>
          <wp:inline distT="0" distB="0" distL="0" distR="0" wp14:anchorId="06C037BB" wp14:editId="0713FD65">
            <wp:extent cx="4572000" cy="3017520"/>
            <wp:effectExtent l="0" t="0" r="0" b="0"/>
            <wp:docPr id="376206343" name="Chart 1" descr="Chart showing CCO service rates over time for Meaningful Language Access (Health Equity). A dark blue line shows the CCO statewide service rate. Dots show individual CCO service rates in each year. Orange dash marks show each year's benchmark. ">
              <a:extLst xmlns:a="http://schemas.openxmlformats.org/drawingml/2006/main">
                <a:ext uri="{FF2B5EF4-FFF2-40B4-BE49-F238E27FC236}">
                  <a16:creationId xmlns:a16="http://schemas.microsoft.com/office/drawing/2014/main" id="{96302121-4C69-4522-B556-D322BB1E08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Del="00F32435">
        <w:rPr>
          <w:noProof/>
        </w:rPr>
        <w:t xml:space="preserve"> </w:t>
      </w:r>
    </w:p>
    <w:p w14:paraId="142750D4" w14:textId="2F675B4E" w:rsidR="00ED698D" w:rsidRDefault="00ED698D" w:rsidP="00AC2078">
      <w:pPr>
        <w:spacing w:after="240"/>
      </w:pPr>
      <w:r w:rsidRPr="000E4198">
        <w:rPr>
          <w:b/>
          <w:bCs/>
        </w:rPr>
        <w:t>Meaningful Language Access (Health Equity)</w:t>
      </w:r>
      <w:r w:rsidRPr="00E26668">
        <w:t xml:space="preserve"> </w:t>
      </w:r>
      <w:r>
        <w:t>is intended to increase the use of high-quality language services for members with interpreter needs</w:t>
      </w:r>
      <w:r w:rsidRPr="00E26668">
        <w:t>.</w:t>
      </w:r>
      <w:r>
        <w:t xml:space="preserve"> In 202</w:t>
      </w:r>
      <w:r w:rsidR="00004511">
        <w:t>5</w:t>
      </w:r>
      <w:r>
        <w:t xml:space="preserve">, CCOs </w:t>
      </w:r>
      <w:r w:rsidRPr="002D7689">
        <w:t xml:space="preserve">had to meet </w:t>
      </w:r>
      <w:r w:rsidR="00004511">
        <w:t>two</w:t>
      </w:r>
      <w:r w:rsidRPr="002D7689">
        <w:t xml:space="preserve"> components to pass </w:t>
      </w:r>
      <w:r>
        <w:t>this measure:</w:t>
      </w:r>
    </w:p>
    <w:p w14:paraId="4354941B" w14:textId="77777777" w:rsidR="00ED698D" w:rsidRDefault="00ED698D" w:rsidP="00CD585D">
      <w:pPr>
        <w:pStyle w:val="ListParagraph"/>
        <w:numPr>
          <w:ilvl w:val="0"/>
          <w:numId w:val="4"/>
        </w:numPr>
        <w:contextualSpacing w:val="0"/>
      </w:pPr>
      <w:r w:rsidRPr="00E26668">
        <w:rPr>
          <w:b/>
          <w:bCs/>
        </w:rPr>
        <w:t>Component 1:</w:t>
      </w:r>
      <w:r w:rsidRPr="00E26668">
        <w:t xml:space="preserve"> </w:t>
      </w:r>
      <w:r>
        <w:t>A</w:t>
      </w:r>
      <w:r w:rsidRPr="00E26668">
        <w:t xml:space="preserve">ttest to </w:t>
      </w:r>
      <w:r>
        <w:t xml:space="preserve">activities that </w:t>
      </w:r>
      <w:r w:rsidRPr="00E26668">
        <w:t>build</w:t>
      </w:r>
      <w:r>
        <w:t xml:space="preserve"> </w:t>
      </w:r>
      <w:r w:rsidRPr="00E26668">
        <w:t xml:space="preserve">a higher quality and more robust language services infrastructure over time. </w:t>
      </w:r>
    </w:p>
    <w:p w14:paraId="1EC2A767" w14:textId="15FC29E3" w:rsidR="00ED698D" w:rsidRDefault="00ED698D" w:rsidP="00CD585D">
      <w:pPr>
        <w:pStyle w:val="ListParagraph"/>
        <w:numPr>
          <w:ilvl w:val="0"/>
          <w:numId w:val="4"/>
        </w:numPr>
        <w:contextualSpacing w:val="0"/>
      </w:pPr>
      <w:r w:rsidRPr="00E26668">
        <w:rPr>
          <w:b/>
          <w:bCs/>
        </w:rPr>
        <w:t>Component 2:</w:t>
      </w:r>
      <w:r w:rsidRPr="00E26668">
        <w:t xml:space="preserve"> </w:t>
      </w:r>
      <w:r>
        <w:t>The p</w:t>
      </w:r>
      <w:r w:rsidRPr="000D48C6">
        <w:t xml:space="preserve">ercentage of visits </w:t>
      </w:r>
      <w:r>
        <w:t>with either a) an Oregon-certified or qualified health care interpreter, or b) a provider</w:t>
      </w:r>
      <w:r>
        <w:rPr>
          <w:rStyle w:val="FootnoteReference"/>
        </w:rPr>
        <w:footnoteReference w:id="6"/>
      </w:r>
      <w:r>
        <w:t xml:space="preserve"> </w:t>
      </w:r>
      <w:r w:rsidR="00004511">
        <w:t>with documented proficiency in the member’s preferred language</w:t>
      </w:r>
      <w:r>
        <w:t>.</w:t>
      </w:r>
      <w:r>
        <w:rPr>
          <w:rStyle w:val="FootnoteReference"/>
        </w:rPr>
        <w:footnoteReference w:id="7"/>
      </w:r>
    </w:p>
    <w:p w14:paraId="00856B62" w14:textId="6FFA1319" w:rsidR="00760E3E" w:rsidRDefault="003525B6" w:rsidP="003525B6">
      <w:r>
        <w:t>All CCOs met Component 1, but only five CCOs met their improvement target for Component 2.</w:t>
      </w:r>
      <w:r w:rsidR="0068279E">
        <w:t xml:space="preserve"> </w:t>
      </w:r>
      <w:r w:rsidRPr="003525B6">
        <w:t>From 2024 to 2025, CCO statewide performance increased</w:t>
      </w:r>
      <w:r w:rsidR="00DB0736">
        <w:t xml:space="preserve"> qualifying </w:t>
      </w:r>
      <w:r w:rsidR="0064545D">
        <w:lastRenderedPageBreak/>
        <w:t>language services</w:t>
      </w:r>
      <w:r w:rsidRPr="003525B6">
        <w:t xml:space="preserve"> from 14.4</w:t>
      </w:r>
      <w:r w:rsidR="001849B4">
        <w:t xml:space="preserve"> percent</w:t>
      </w:r>
      <w:r w:rsidRPr="003525B6">
        <w:t xml:space="preserve"> to 16.9</w:t>
      </w:r>
      <w:r w:rsidR="001849B4">
        <w:t xml:space="preserve"> percent</w:t>
      </w:r>
      <w:r w:rsidR="0064545D">
        <w:t xml:space="preserve"> of visits</w:t>
      </w:r>
      <w:r w:rsidRPr="003525B6">
        <w:t>. All CCOs remained well below the 50</w:t>
      </w:r>
      <w:r w:rsidR="00E50F95">
        <w:t xml:space="preserve"> percent</w:t>
      </w:r>
      <w:r w:rsidRPr="003525B6">
        <w:t xml:space="preserve"> benchmark.</w:t>
      </w:r>
      <w:r>
        <w:t xml:space="preserve"> </w:t>
      </w:r>
    </w:p>
    <w:p w14:paraId="5720F3AA" w14:textId="48BF606E" w:rsidR="003525B6" w:rsidRPr="003525B6" w:rsidRDefault="002015BC" w:rsidP="003525B6">
      <w:r>
        <w:t>For Component 2, t</w:t>
      </w:r>
      <w:r w:rsidR="003525B6" w:rsidRPr="003525B6">
        <w:t xml:space="preserve">he range in CCO performance slightly narrowed from 2024 to 2025. The top performing CCO </w:t>
      </w:r>
      <w:r w:rsidR="003525B6">
        <w:t xml:space="preserve">provided </w:t>
      </w:r>
      <w:r w:rsidR="0084197A">
        <w:t>qualifying</w:t>
      </w:r>
      <w:r w:rsidR="003525B6">
        <w:t xml:space="preserve"> language services</w:t>
      </w:r>
      <w:r w:rsidR="003525B6" w:rsidRPr="003525B6">
        <w:t xml:space="preserve"> for 23.2</w:t>
      </w:r>
      <w:r w:rsidR="001849B4">
        <w:t xml:space="preserve"> percent</w:t>
      </w:r>
      <w:r w:rsidR="003525B6" w:rsidRPr="003525B6">
        <w:t xml:space="preserve"> of visits</w:t>
      </w:r>
      <w:r w:rsidR="001A5224">
        <w:t>, while</w:t>
      </w:r>
      <w:r w:rsidR="003525B6" w:rsidRPr="003525B6">
        <w:t xml:space="preserve"> </w:t>
      </w:r>
      <w:r w:rsidR="00A0778C">
        <w:t>t</w:t>
      </w:r>
      <w:r w:rsidR="00A0778C" w:rsidRPr="003525B6">
        <w:t>he</w:t>
      </w:r>
      <w:r w:rsidR="003525B6" w:rsidRPr="003525B6">
        <w:t xml:space="preserve"> lowest performing CCO reported </w:t>
      </w:r>
      <w:r w:rsidR="003525B6">
        <w:t>providing them</w:t>
      </w:r>
      <w:r w:rsidR="003525B6" w:rsidRPr="003525B6">
        <w:t xml:space="preserve"> </w:t>
      </w:r>
      <w:r w:rsidR="003525B6">
        <w:t>for</w:t>
      </w:r>
      <w:r w:rsidR="003525B6" w:rsidRPr="003525B6">
        <w:t xml:space="preserve"> 2.7</w:t>
      </w:r>
      <w:r w:rsidR="001849B4">
        <w:t xml:space="preserve"> percent</w:t>
      </w:r>
      <w:r w:rsidR="003525B6" w:rsidRPr="003525B6">
        <w:t xml:space="preserve"> of visits.</w:t>
      </w:r>
      <w:r w:rsidR="004B6995">
        <w:t xml:space="preserve"> </w:t>
      </w:r>
      <w:r w:rsidR="004B6995" w:rsidRPr="00516119">
        <w:t xml:space="preserve">CCOs </w:t>
      </w:r>
      <w:r w:rsidR="004B6995">
        <w:t>still have much work to do on this measure. Meaningful Language Access (Health Equity) ha</w:t>
      </w:r>
      <w:r w:rsidR="00F25CE1">
        <w:t>d</w:t>
      </w:r>
      <w:r w:rsidR="004B6995">
        <w:t xml:space="preserve"> some of the lowest CCO performance when compared to other incentive measures.</w:t>
      </w:r>
    </w:p>
    <w:p w14:paraId="0F8A7C70" w14:textId="6463DB98" w:rsidR="00ED698D" w:rsidRDefault="00ED698D" w:rsidP="00DF0596">
      <w:r>
        <w:t>CCOs, language service companies, and health care providers are required to use OHA certified and qualified health care interpreters (</w:t>
      </w:r>
      <w:hyperlink r:id="rId36">
        <w:r w:rsidRPr="1A0BA066">
          <w:rPr>
            <w:rStyle w:val="Hyperlink"/>
          </w:rPr>
          <w:t>OAR 950-505-0000</w:t>
        </w:r>
      </w:hyperlink>
      <w:r>
        <w:t>). OHA will continue to provide technical assistance to CCOs and providers to increase access and compliance.</w:t>
      </w:r>
    </w:p>
    <w:p w14:paraId="61B6A763" w14:textId="33F19683" w:rsidR="00B92208" w:rsidRPr="00CE1BC0" w:rsidRDefault="00B92208" w:rsidP="00CE1BC0">
      <w:pPr>
        <w:pStyle w:val="Heading3"/>
        <w:rPr>
          <w:rStyle w:val="Heading5Char"/>
          <w:szCs w:val="28"/>
        </w:rPr>
      </w:pPr>
      <w:r w:rsidRPr="00CE1BC0">
        <w:rPr>
          <w:rStyle w:val="Heading5Char"/>
          <w:szCs w:val="28"/>
        </w:rPr>
        <w:t>Preventive Dental or Oral Health Services</w:t>
      </w:r>
    </w:p>
    <w:p w14:paraId="18DD5217" w14:textId="43341FD0" w:rsidR="009D2CC1" w:rsidRDefault="00DF0596" w:rsidP="009D2CC1">
      <w:r w:rsidRPr="000E4198">
        <w:rPr>
          <w:b/>
          <w:bCs/>
        </w:rPr>
        <w:t>Preventive Dental or Oral Health Services</w:t>
      </w:r>
      <w:r w:rsidRPr="00D91A8D">
        <w:t xml:space="preserve"> </w:t>
      </w:r>
      <w:r w:rsidR="009D2CC1" w:rsidRPr="00D91A8D">
        <w:t>help children avoid oral health problems that can impact their health and education.</w:t>
      </w:r>
      <w:r w:rsidR="009D2CC1">
        <w:t xml:space="preserve"> OHA developed this measure</w:t>
      </w:r>
      <w:r w:rsidR="006563DF">
        <w:t xml:space="preserve"> and follows </w:t>
      </w:r>
      <w:r w:rsidR="0045148C">
        <w:t xml:space="preserve">service </w:t>
      </w:r>
      <w:r w:rsidR="0051590C">
        <w:t xml:space="preserve">criteria from the </w:t>
      </w:r>
      <w:r w:rsidR="006563DF">
        <w:t>Dental Quality Alliance (DQ</w:t>
      </w:r>
      <w:r w:rsidR="0051590C">
        <w:t>A).</w:t>
      </w:r>
      <w:r w:rsidR="007F50D9">
        <w:t xml:space="preserve"> This measure is not on </w:t>
      </w:r>
      <w:r w:rsidR="009D2CC1" w:rsidRPr="00D91A8D">
        <w:t>the CMS Core Sets.</w:t>
      </w:r>
      <w:r w:rsidR="009D2CC1">
        <w:t xml:space="preserve"> Starting in 2025, the</w:t>
      </w:r>
      <w:r w:rsidR="009D2CC1" w:rsidRPr="00D91A8D">
        <w:t xml:space="preserve"> Metrics and Scoring Committee adopted this as an </w:t>
      </w:r>
      <w:r w:rsidR="009D2CC1">
        <w:t>U</w:t>
      </w:r>
      <w:r w:rsidR="009D2CC1" w:rsidRPr="00D91A8D">
        <w:t>pstream measure</w:t>
      </w:r>
      <w:r w:rsidR="009D2CC1">
        <w:t xml:space="preserve"> </w:t>
      </w:r>
      <w:r w:rsidR="009D2CC1" w:rsidRPr="00D91A8D">
        <w:t>so that it may remain in the CCO Quality Incentive Program</w:t>
      </w:r>
      <w:r w:rsidR="009D2CC1">
        <w:t>.</w:t>
      </w:r>
    </w:p>
    <w:p w14:paraId="19C30D03" w14:textId="5E90B721" w:rsidR="00170D69" w:rsidRDefault="00170D69" w:rsidP="009D2CC1">
      <w:r>
        <w:t xml:space="preserve">In 2025, CCOs </w:t>
      </w:r>
      <w:r w:rsidRPr="002D7689">
        <w:t xml:space="preserve">had to meet </w:t>
      </w:r>
      <w:r>
        <w:t>two</w:t>
      </w:r>
      <w:r w:rsidRPr="002D7689">
        <w:t xml:space="preserve"> components</w:t>
      </w:r>
      <w:r>
        <w:t xml:space="preserve">, based on age group, </w:t>
      </w:r>
      <w:r w:rsidRPr="002D7689">
        <w:t xml:space="preserve">to pass </w:t>
      </w:r>
      <w:r>
        <w:t>this measure:</w:t>
      </w:r>
    </w:p>
    <w:p w14:paraId="63EC2D68" w14:textId="6A91A11B" w:rsidR="00DF0596" w:rsidRPr="00F123A5" w:rsidRDefault="00DF0596" w:rsidP="00CD585D">
      <w:pPr>
        <w:pStyle w:val="ListParagraph"/>
        <w:numPr>
          <w:ilvl w:val="0"/>
          <w:numId w:val="5"/>
        </w:numPr>
        <w:contextualSpacing w:val="0"/>
      </w:pPr>
      <w:r w:rsidRPr="00FB1CAD">
        <w:rPr>
          <w:b/>
          <w:bCs/>
        </w:rPr>
        <w:t>Ages 1-5:</w:t>
      </w:r>
      <w:r>
        <w:t xml:space="preserve"> Part of the broader </w:t>
      </w:r>
      <w:hyperlink w:anchor="_Kindergarten_Readiness" w:history="1">
        <w:r w:rsidRPr="00AC0FFF">
          <w:rPr>
            <w:rStyle w:val="Hyperlink"/>
          </w:rPr>
          <w:t>Kindergarten Readiness</w:t>
        </w:r>
      </w:hyperlink>
      <w:r>
        <w:t xml:space="preserve"> strategy</w:t>
      </w:r>
      <w:r w:rsidR="000700D2">
        <w:t>.</w:t>
      </w:r>
    </w:p>
    <w:p w14:paraId="7696C911" w14:textId="7C90E0C0" w:rsidR="00DF0596" w:rsidRDefault="00DF0596" w:rsidP="00DF0596">
      <w:pPr>
        <w:pStyle w:val="ListParagraph"/>
        <w:sectPr w:rsidR="00DF0596" w:rsidSect="00D50249">
          <w:footnotePr>
            <w:numFmt w:val="lowerLetter"/>
          </w:footnotePr>
          <w:pgSz w:w="12240" w:h="15840"/>
          <w:pgMar w:top="1440" w:right="1440" w:bottom="1440" w:left="1440" w:header="86" w:footer="720" w:gutter="0"/>
          <w:cols w:space="288"/>
          <w:docGrid w:linePitch="360"/>
        </w:sectPr>
      </w:pPr>
    </w:p>
    <w:p w14:paraId="7A7EBDD6" w14:textId="77777777" w:rsidR="00DF0596" w:rsidRDefault="00DF0596" w:rsidP="00CD585D">
      <w:pPr>
        <w:pStyle w:val="ListParagraph"/>
        <w:numPr>
          <w:ilvl w:val="0"/>
          <w:numId w:val="5"/>
        </w:numPr>
      </w:pPr>
      <w:r w:rsidRPr="00FB1CAD">
        <w:rPr>
          <w:b/>
          <w:bCs/>
        </w:rPr>
        <w:t>Ages 6-14</w:t>
      </w:r>
      <w:r>
        <w:t xml:space="preserve">. </w:t>
      </w:r>
      <w:bookmarkStart w:id="8" w:name="_Primary_Care_Access"/>
      <w:bookmarkEnd w:id="8"/>
    </w:p>
    <w:p w14:paraId="7EB2AFFD" w14:textId="16397949" w:rsidR="006A5FB0" w:rsidRDefault="006A5FB0" w:rsidP="006A5FB0">
      <w:r>
        <w:t>Nine out of 16 CCOs met both components.</w:t>
      </w:r>
    </w:p>
    <w:p w14:paraId="13F7E5CD" w14:textId="568B124D" w:rsidR="00A83D0A" w:rsidRDefault="0069070C" w:rsidP="00A83D0A">
      <w:pPr>
        <w:jc w:val="center"/>
      </w:pPr>
      <w:r>
        <w:rPr>
          <w:noProof/>
        </w:rPr>
        <w:drawing>
          <wp:inline distT="0" distB="0" distL="0" distR="0" wp14:anchorId="6E15DF70" wp14:editId="4D7ADB4A">
            <wp:extent cx="4572000" cy="3200400"/>
            <wp:effectExtent l="0" t="0" r="0" b="0"/>
            <wp:docPr id="1173225776" name="Chart 1" descr="Chart showing CCO service rates over time for Preventive Dental or Oral Health Services (Ages 1-5). A dark blue line shows the CCO statewide service rate. Dots show individual CCO service rates in each year. Orange dash marks show each year's benchmark. ">
              <a:extLst xmlns:a="http://schemas.openxmlformats.org/drawingml/2006/main">
                <a:ext uri="{FF2B5EF4-FFF2-40B4-BE49-F238E27FC236}">
                  <a16:creationId xmlns:a16="http://schemas.microsoft.com/office/drawing/2014/main" id="{47969C6C-1F42-4015-8902-E1FAB4D119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3A0A691" w14:textId="324D6DD0" w:rsidR="006A5FB0" w:rsidRDefault="006A5FB0" w:rsidP="006A5FB0">
      <w:r>
        <w:lastRenderedPageBreak/>
        <w:t xml:space="preserve">For </w:t>
      </w:r>
      <w:r>
        <w:rPr>
          <w:b/>
          <w:bCs/>
        </w:rPr>
        <w:t>A</w:t>
      </w:r>
      <w:r w:rsidRPr="006A5FB0">
        <w:rPr>
          <w:b/>
          <w:bCs/>
        </w:rPr>
        <w:t>ges 1-5</w:t>
      </w:r>
      <w:r>
        <w:t xml:space="preserve">, </w:t>
      </w:r>
      <w:r w:rsidRPr="006A5FB0">
        <w:t>CCO statewide performance held steady</w:t>
      </w:r>
      <w:r>
        <w:t xml:space="preserve"> from 2024 to 2025</w:t>
      </w:r>
      <w:r w:rsidRPr="006A5FB0">
        <w:t>, continuing to rise above the 2019 pre-pandemic rate.</w:t>
      </w:r>
      <w:r>
        <w:t xml:space="preserve"> Eleven</w:t>
      </w:r>
      <w:r w:rsidRPr="006A5FB0">
        <w:t xml:space="preserve"> out of 16 CCOs met this </w:t>
      </w:r>
      <w:r w:rsidR="00170D69">
        <w:t>component</w:t>
      </w:r>
      <w:r w:rsidRPr="006A5FB0">
        <w:t xml:space="preserve">, with </w:t>
      </w:r>
      <w:r>
        <w:t xml:space="preserve">nine </w:t>
      </w:r>
      <w:r w:rsidRPr="006A5FB0">
        <w:t>reaching the benchmark.</w:t>
      </w:r>
      <w:r>
        <w:t xml:space="preserve"> </w:t>
      </w:r>
      <w:r w:rsidRPr="006A5FB0">
        <w:t>The range in CCO performance narrowed from prior years. This was primarily due to improvement by the lowest performing CCO</w:t>
      </w:r>
      <w:r>
        <w:t>.</w:t>
      </w:r>
    </w:p>
    <w:p w14:paraId="4B388975" w14:textId="50F586B8" w:rsidR="00A83D0A" w:rsidRPr="006A5FB0" w:rsidRDefault="00C265B3" w:rsidP="00A83D0A">
      <w:pPr>
        <w:jc w:val="center"/>
      </w:pPr>
      <w:r>
        <w:rPr>
          <w:noProof/>
        </w:rPr>
        <w:drawing>
          <wp:inline distT="0" distB="0" distL="0" distR="0" wp14:anchorId="67EC9DDB" wp14:editId="0DF2026E">
            <wp:extent cx="4572000" cy="3200400"/>
            <wp:effectExtent l="0" t="0" r="0" b="0"/>
            <wp:docPr id="35779309" name="Chart 1" descr="Chart showing CCO service rates over time for Preventive Dental or Oral Health Services (Ages 6-14). A dark blue line shows the CCO statewide service rate. Dots show individual CCO service rates in each year. Orange dash marks show each year's benchmark.">
              <a:extLst xmlns:a="http://schemas.openxmlformats.org/drawingml/2006/main">
                <a:ext uri="{FF2B5EF4-FFF2-40B4-BE49-F238E27FC236}">
                  <a16:creationId xmlns:a16="http://schemas.microsoft.com/office/drawing/2014/main" id="{055ED417-8E1D-451F-96D9-D1751546F7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27BC1F1" w14:textId="5C87ADB1" w:rsidR="006A5FB0" w:rsidRDefault="006A5FB0" w:rsidP="006A5FB0">
      <w:r w:rsidRPr="006A5FB0">
        <w:t xml:space="preserve">For </w:t>
      </w:r>
      <w:r w:rsidRPr="006A5FB0">
        <w:rPr>
          <w:b/>
          <w:bCs/>
        </w:rPr>
        <w:t>Ages 6-14</w:t>
      </w:r>
      <w:r w:rsidRPr="006A5FB0">
        <w:t>, CCO statewide performance held steady</w:t>
      </w:r>
      <w:r>
        <w:t xml:space="preserve"> from 2024 to 2025</w:t>
      </w:r>
      <w:r w:rsidRPr="006A5FB0">
        <w:t>, remaining slightly below the 2019 pre-pandemic rate.</w:t>
      </w:r>
      <w:r>
        <w:t xml:space="preserve"> Eleven </w:t>
      </w:r>
      <w:r w:rsidRPr="006A5FB0">
        <w:t>out of 16 CCOs met th</w:t>
      </w:r>
      <w:r w:rsidR="00170D69">
        <w:t>is component</w:t>
      </w:r>
      <w:r w:rsidRPr="006A5FB0">
        <w:t>, with seven reaching the benchmark.</w:t>
      </w:r>
      <w:r>
        <w:t xml:space="preserve"> </w:t>
      </w:r>
      <w:r w:rsidRPr="006A5FB0">
        <w:t>The range in CCO performance narrowed from prior years. This was primarily due to improvement by the lowest performing CCO</w:t>
      </w:r>
      <w:r>
        <w:t>.</w:t>
      </w:r>
    </w:p>
    <w:p w14:paraId="3086C64F" w14:textId="2F00CE45" w:rsidR="00036CEF" w:rsidRPr="00CE1BC0" w:rsidRDefault="00036CEF" w:rsidP="00CE1BC0">
      <w:pPr>
        <w:pStyle w:val="Heading3"/>
      </w:pPr>
      <w:r w:rsidRPr="00CE1BC0">
        <w:rPr>
          <w:rStyle w:val="Heading5Char"/>
          <w:szCs w:val="28"/>
        </w:rPr>
        <w:t>Social Determinants of Health (SDOH): Social Needs Screening and Referral</w:t>
      </w:r>
    </w:p>
    <w:p w14:paraId="6B45B21A" w14:textId="47520496" w:rsidR="00DF0596" w:rsidRDefault="00173D3A" w:rsidP="00DF0596">
      <w:r>
        <w:t xml:space="preserve">2025 was the first year of quantitative reporting for </w:t>
      </w:r>
      <w:r w:rsidRPr="000E4198">
        <w:rPr>
          <w:b/>
          <w:bCs/>
        </w:rPr>
        <w:t>Social Determinants of Health (SDOH): Social Needs Screening and Referral</w:t>
      </w:r>
      <w:r w:rsidRPr="00036CEF">
        <w:t>.</w:t>
      </w:r>
      <w:r>
        <w:t xml:space="preserve"> The goal of this measure is t</w:t>
      </w:r>
      <w:r w:rsidR="00C85A2F">
        <w:t>hat all CCO members have their social needs acknowledged and addressed.</w:t>
      </w:r>
      <w:r w:rsidR="0009365D">
        <w:t xml:space="preserve"> Social factors like income, environmental conditions and racism have a profound impact on a person’s health.</w:t>
      </w:r>
      <w:r w:rsidR="00461BFD">
        <w:t xml:space="preserve"> This measure focuses specifically on housing insecurity, food insecurity and transportation needs.</w:t>
      </w:r>
    </w:p>
    <w:p w14:paraId="766407E3" w14:textId="65709443" w:rsidR="00954E5A" w:rsidRDefault="00954E5A" w:rsidP="00954E5A">
      <w:r w:rsidRPr="00954E5A">
        <w:t>In 2025, CCOs needed to meet two components to pass th</w:t>
      </w:r>
      <w:r>
        <w:t xml:space="preserve">is </w:t>
      </w:r>
      <w:r w:rsidRPr="00954E5A">
        <w:t>measure</w:t>
      </w:r>
      <w:r>
        <w:t>:</w:t>
      </w:r>
    </w:p>
    <w:p w14:paraId="2D90460D" w14:textId="318C28E2" w:rsidR="00954E5A" w:rsidRDefault="00954E5A" w:rsidP="00CD585D">
      <w:pPr>
        <w:pStyle w:val="ListParagraph"/>
        <w:numPr>
          <w:ilvl w:val="0"/>
          <w:numId w:val="4"/>
        </w:numPr>
        <w:contextualSpacing w:val="0"/>
      </w:pPr>
      <w:r w:rsidRPr="00E26668">
        <w:rPr>
          <w:b/>
          <w:bCs/>
        </w:rPr>
        <w:t>Component 1:</w:t>
      </w:r>
      <w:r w:rsidRPr="00E26668">
        <w:t xml:space="preserve"> </w:t>
      </w:r>
      <w:r>
        <w:t>A</w:t>
      </w:r>
      <w:r w:rsidRPr="00E26668">
        <w:t xml:space="preserve">ttest to </w:t>
      </w:r>
      <w:r>
        <w:t>activities that set up the infrastructure and systems needed for screenings and referrals.</w:t>
      </w:r>
    </w:p>
    <w:p w14:paraId="12DC35FE" w14:textId="5FE57ABD" w:rsidR="00954E5A" w:rsidRDefault="00954E5A" w:rsidP="00CD585D">
      <w:pPr>
        <w:pStyle w:val="ListParagraph"/>
        <w:numPr>
          <w:ilvl w:val="0"/>
          <w:numId w:val="4"/>
        </w:numPr>
        <w:contextualSpacing w:val="0"/>
      </w:pPr>
      <w:r w:rsidRPr="00E26668">
        <w:rPr>
          <w:b/>
          <w:bCs/>
        </w:rPr>
        <w:t>Component 2:</w:t>
      </w:r>
      <w:r w:rsidRPr="00E26668">
        <w:t xml:space="preserve"> </w:t>
      </w:r>
      <w:r w:rsidR="00461BFD">
        <w:t>The percentage of</w:t>
      </w:r>
      <w:r w:rsidR="00BE2D55">
        <w:t xml:space="preserve"> </w:t>
      </w:r>
      <w:r w:rsidR="00461BFD">
        <w:t>CCO members screened and, as appropriate, referred to services for housing insecurity, food insecurity and transportation needs.</w:t>
      </w:r>
    </w:p>
    <w:p w14:paraId="2E7238F4" w14:textId="7D9A4D86" w:rsidR="00954E5A" w:rsidRDefault="00461BFD" w:rsidP="00954E5A">
      <w:r>
        <w:lastRenderedPageBreak/>
        <w:t>2025 was the first year that CCOs were required to</w:t>
      </w:r>
      <w:r w:rsidR="006A75E3">
        <w:t xml:space="preserve"> report</w:t>
      </w:r>
      <w:r>
        <w:t xml:space="preserve"> Component 2</w:t>
      </w:r>
      <w:r w:rsidR="00F64FAC">
        <w:t xml:space="preserve"> for 90</w:t>
      </w:r>
      <w:r w:rsidR="00AA3505">
        <w:t xml:space="preserve"> </w:t>
      </w:r>
      <w:r w:rsidR="2108330E">
        <w:t>percent</w:t>
      </w:r>
      <w:r w:rsidR="00F64FAC">
        <w:t xml:space="preserve"> of members in a sample. </w:t>
      </w:r>
      <w:r w:rsidR="00A63BD1">
        <w:t xml:space="preserve">Samples include no more than 1,067 members per CCO. </w:t>
      </w:r>
      <w:r w:rsidR="003A6111" w:rsidRPr="00954E5A">
        <w:t>All CCOs met both component</w:t>
      </w:r>
      <w:r w:rsidR="003A6111">
        <w:t xml:space="preserve">s. </w:t>
      </w:r>
    </w:p>
    <w:p w14:paraId="334E2B05" w14:textId="771C54FC" w:rsidR="00F64FAC" w:rsidRDefault="1AA384DB" w:rsidP="00954E5A">
      <w:r>
        <w:t xml:space="preserve">Component 2 </w:t>
      </w:r>
      <w:r w:rsidR="598A9EAF">
        <w:t>has</w:t>
      </w:r>
      <w:r w:rsidR="76A6B370">
        <w:t xml:space="preserve"> </w:t>
      </w:r>
      <w:r w:rsidR="29D285E8">
        <w:t xml:space="preserve">two reported </w:t>
      </w:r>
      <w:r>
        <w:t>rates:</w:t>
      </w:r>
    </w:p>
    <w:p w14:paraId="52684F7B" w14:textId="0C536015" w:rsidR="00BC1FE7" w:rsidRDefault="6E214E62" w:rsidP="00CD585D">
      <w:pPr>
        <w:pStyle w:val="ListParagraph"/>
        <w:numPr>
          <w:ilvl w:val="0"/>
          <w:numId w:val="9"/>
        </w:numPr>
        <w:contextualSpacing w:val="0"/>
      </w:pPr>
      <w:r w:rsidRPr="250ABE58">
        <w:rPr>
          <w:b/>
          <w:bCs/>
        </w:rPr>
        <w:t>Screening</w:t>
      </w:r>
      <w:r w:rsidR="1AA384DB" w:rsidRPr="250ABE58">
        <w:rPr>
          <w:b/>
          <w:bCs/>
        </w:rPr>
        <w:t>:</w:t>
      </w:r>
      <w:r w:rsidR="1AA384DB">
        <w:t xml:space="preserve"> </w:t>
      </w:r>
      <w:r w:rsidR="0DC708C2">
        <w:t>The percentage of CCO members screened for housing insecurity, food insecurity and transportation needs using OHA-approved or exempted tools.</w:t>
      </w:r>
    </w:p>
    <w:p w14:paraId="4DA6BC0E" w14:textId="3C70192E" w:rsidR="00134D2B" w:rsidRDefault="6E214E62" w:rsidP="250ABE58">
      <w:pPr>
        <w:numPr>
          <w:ilvl w:val="0"/>
          <w:numId w:val="9"/>
        </w:numPr>
      </w:pPr>
      <w:r w:rsidRPr="250ABE58">
        <w:rPr>
          <w:b/>
          <w:bCs/>
        </w:rPr>
        <w:t>Referral</w:t>
      </w:r>
      <w:r w:rsidR="0DC708C2" w:rsidRPr="250ABE58">
        <w:rPr>
          <w:b/>
          <w:bCs/>
        </w:rPr>
        <w:t>:</w:t>
      </w:r>
      <w:r w:rsidR="0DC708C2">
        <w:t xml:space="preserve"> Of members with an identified need, the percentage who received at least one referral for each identified need.</w:t>
      </w:r>
    </w:p>
    <w:p w14:paraId="3D4F3E57" w14:textId="52A3DD7E" w:rsidR="00081290" w:rsidRDefault="45E2414E" w:rsidP="00081290">
      <w:r>
        <w:t>We</w:t>
      </w:r>
      <w:r w:rsidR="2E120F15">
        <w:t xml:space="preserve"> </w:t>
      </w:r>
      <w:r w:rsidR="38380C80">
        <w:t>report these rates</w:t>
      </w:r>
      <w:r w:rsidR="2E120F15">
        <w:t xml:space="preserve"> </w:t>
      </w:r>
      <w:r>
        <w:t>for transparency</w:t>
      </w:r>
      <w:r w:rsidR="2E120F15">
        <w:t>. Since CCOs were only required to report rates, no benchmarks or improvement targets were set for 2025.</w:t>
      </w:r>
    </w:p>
    <w:p w14:paraId="7D6A0EA5" w14:textId="7AE3D79E" w:rsidR="00326C93" w:rsidRDefault="00A24375" w:rsidP="00E9554B">
      <w:pPr>
        <w:jc w:val="center"/>
      </w:pPr>
      <w:r>
        <w:rPr>
          <w:noProof/>
        </w:rPr>
        <w:drawing>
          <wp:inline distT="0" distB="0" distL="0" distR="0" wp14:anchorId="03FA1205" wp14:editId="39F7BBC1">
            <wp:extent cx="5486400" cy="4572000"/>
            <wp:effectExtent l="0" t="0" r="0" b="0"/>
            <wp:docPr id="1086231253" name="Chart 1" descr="A dot chart showing 2025 CCO service rates for the SDOH: Screening measure.">
              <a:extLst xmlns:a="http://schemas.openxmlformats.org/drawingml/2006/main">
                <a:ext uri="{FF2B5EF4-FFF2-40B4-BE49-F238E27FC236}">
                  <a16:creationId xmlns:a16="http://schemas.microsoft.com/office/drawing/2014/main" id="{872741EE-4040-4724-B530-64CD7E21B2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4482782" w14:textId="44E6AE09" w:rsidR="00046A4F" w:rsidRDefault="274E934C" w:rsidP="00E2412C">
      <w:r>
        <w:t xml:space="preserve">For </w:t>
      </w:r>
      <w:r w:rsidR="24AFFB9B" w:rsidRPr="250ABE58">
        <w:rPr>
          <w:b/>
          <w:bCs/>
        </w:rPr>
        <w:t>Screening</w:t>
      </w:r>
      <w:r>
        <w:t xml:space="preserve">, </w:t>
      </w:r>
      <w:r w:rsidR="6E214E62">
        <w:t xml:space="preserve">CCOs </w:t>
      </w:r>
      <w:r w:rsidR="505DABF8">
        <w:t xml:space="preserve">statewide </w:t>
      </w:r>
      <w:r w:rsidR="6E214E62">
        <w:t>screened 16.3</w:t>
      </w:r>
      <w:r w:rsidR="505DABF8">
        <w:t xml:space="preserve"> percent</w:t>
      </w:r>
      <w:r w:rsidR="6E214E62">
        <w:t xml:space="preserve"> of </w:t>
      </w:r>
      <w:r w:rsidR="501A7295">
        <w:t xml:space="preserve">sample </w:t>
      </w:r>
      <w:r w:rsidR="6E214E62">
        <w:t>members for housing insecurity, food insecurity and transportation needs</w:t>
      </w:r>
      <w:r>
        <w:t xml:space="preserve"> in 2025</w:t>
      </w:r>
      <w:r w:rsidR="6E214E62">
        <w:t>.</w:t>
      </w:r>
      <w:r w:rsidR="505DABF8">
        <w:t xml:space="preserve"> </w:t>
      </w:r>
      <w:r w:rsidR="6E214E62">
        <w:t>The top-performing CCO screened 52.3</w:t>
      </w:r>
      <w:r w:rsidR="505DABF8">
        <w:t xml:space="preserve"> percent</w:t>
      </w:r>
      <w:r w:rsidR="6E214E62">
        <w:t xml:space="preserve"> of </w:t>
      </w:r>
      <w:r w:rsidR="78096D3D">
        <w:t xml:space="preserve">sample </w:t>
      </w:r>
      <w:r w:rsidR="6E214E62">
        <w:t>members. The lowest-performing CCO reported screening 0</w:t>
      </w:r>
      <w:r w:rsidR="505DABF8">
        <w:t xml:space="preserve"> percent</w:t>
      </w:r>
      <w:r w:rsidR="6E214E62">
        <w:t xml:space="preserve"> of </w:t>
      </w:r>
      <w:r w:rsidR="78096D3D">
        <w:t xml:space="preserve">sample </w:t>
      </w:r>
      <w:r w:rsidR="6E214E62">
        <w:t>members with OHA-approved tools.</w:t>
      </w:r>
    </w:p>
    <w:p w14:paraId="0045334E" w14:textId="23BECC0E" w:rsidR="00E9554B" w:rsidRDefault="00A406E3" w:rsidP="00E9554B">
      <w:pPr>
        <w:jc w:val="center"/>
        <w:rPr>
          <w:b/>
          <w:bCs/>
        </w:rPr>
      </w:pPr>
      <w:r>
        <w:rPr>
          <w:noProof/>
        </w:rPr>
        <w:lastRenderedPageBreak/>
        <mc:AlternateContent>
          <mc:Choice Requires="wpg">
            <w:drawing>
              <wp:inline distT="0" distB="0" distL="0" distR="0" wp14:anchorId="618FC1F0" wp14:editId="0CDB5E9B">
                <wp:extent cx="5536787" cy="5067300"/>
                <wp:effectExtent l="0" t="0" r="0" b="0"/>
                <wp:docPr id="7" name="Group 6" descr="A dot chart showing 2025 CCO service rates for the SDOH: Referral measure.">
                  <a:extLst xmlns:a="http://schemas.openxmlformats.org/drawingml/2006/main">
                    <a:ext uri="{FF2B5EF4-FFF2-40B4-BE49-F238E27FC236}">
                      <a16:creationId xmlns:a16="http://schemas.microsoft.com/office/drawing/2014/main" id="{787015E0-53E7-E632-2C85-1A3310E74516}"/>
                    </a:ext>
                  </a:extLst>
                </wp:docPr>
                <wp:cNvGraphicFramePr/>
                <a:graphic xmlns:a="http://schemas.openxmlformats.org/drawingml/2006/main">
                  <a:graphicData uri="http://schemas.microsoft.com/office/word/2010/wordprocessingGroup">
                    <wpg:wgp>
                      <wpg:cNvGrpSpPr/>
                      <wpg:grpSpPr>
                        <a:xfrm>
                          <a:off x="0" y="0"/>
                          <a:ext cx="5536787" cy="5067300"/>
                          <a:chOff x="0" y="0"/>
                          <a:chExt cx="5536787" cy="5067300"/>
                        </a:xfrm>
                      </wpg:grpSpPr>
                      <wpg:graphicFrame>
                        <wpg:cNvPr id="1501955805" name="Chart 1501955805">
                          <a:extLst>
                            <a:ext uri="{FF2B5EF4-FFF2-40B4-BE49-F238E27FC236}">
                              <a16:creationId xmlns:a16="http://schemas.microsoft.com/office/drawing/2014/main" id="{5A157F4D-4F90-481F-82BA-7B550B54A42E}"/>
                            </a:ext>
                          </a:extLst>
                        </wpg:cNvPr>
                        <wpg:cNvFrPr>
                          <a:graphicFrameLocks/>
                        </wpg:cNvFrPr>
                        <wpg:xfrm>
                          <a:off x="0" y="0"/>
                          <a:ext cx="5486400" cy="4846320"/>
                        </wpg:xfrm>
                        <a:graphic>
                          <a:graphicData uri="http://schemas.openxmlformats.org/drawingml/2006/chart">
                            <c:chart xmlns:c="http://schemas.openxmlformats.org/drawingml/2006/chart" xmlns:r="http://schemas.openxmlformats.org/officeDocument/2006/relationships" r:id="rId40"/>
                          </a:graphicData>
                        </a:graphic>
                      </wpg:graphicFrame>
                      <wps:wsp>
                        <wps:cNvPr id="2102530900" name="TextBox 5">
                          <a:extLst>
                            <a:ext uri="{FF2B5EF4-FFF2-40B4-BE49-F238E27FC236}">
                              <a16:creationId xmlns:a16="http://schemas.microsoft.com/office/drawing/2014/main" id="{5DA300BE-03DF-B401-DD02-D21175C67A8C}"/>
                            </a:ext>
                          </a:extLst>
                        </wps:cNvPr>
                        <wps:cNvSpPr txBox="1"/>
                        <wps:spPr>
                          <a:xfrm>
                            <a:off x="894937" y="4676140"/>
                            <a:ext cx="4641850" cy="3911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0E98DE3" w14:textId="32FCBB0D" w:rsidR="00A406E3" w:rsidRDefault="00A406E3">
                              <w:pPr>
                                <w:rPr>
                                  <w:rFonts w:hAnsi="+mn-ea"/>
                                  <w:kern w:val="0"/>
                                  <w:szCs w:val="24"/>
                                  <w14:ligatures w14:val="none"/>
                                </w:rPr>
                              </w:pPr>
                              <w:r>
                                <w:rPr>
                                  <w:rFonts w:hAnsi="+mn-ea"/>
                                  <w:color w:val="000000" w:themeColor="text1"/>
                                </w:rPr>
                                <w:t>◇</w:t>
                              </w:r>
                              <w:r>
                                <w:rPr>
                                  <w:rFonts w:hAnsi="Aptos"/>
                                  <w:color w:val="000000" w:themeColor="text1"/>
                                  <w:sz w:val="22"/>
                                </w:rPr>
                                <w:t xml:space="preserve"> Interpret with caution</w:t>
                              </w:r>
                              <w:r w:rsidR="00C0586E">
                                <w:rPr>
                                  <w:rFonts w:hAnsi="Aptos"/>
                                  <w:color w:val="000000" w:themeColor="text1"/>
                                  <w:sz w:val="22"/>
                                </w:rPr>
                                <w:t>.</w:t>
                              </w:r>
                              <w:r>
                                <w:rPr>
                                  <w:rFonts w:hAnsi="Aptos"/>
                                  <w:color w:val="000000" w:themeColor="text1"/>
                                  <w:sz w:val="22"/>
                                </w:rPr>
                                <w:t xml:space="preserve"> </w:t>
                              </w:r>
                              <w:r w:rsidR="00C0586E">
                                <w:rPr>
                                  <w:rFonts w:hAnsi="Aptos"/>
                                  <w:color w:val="000000" w:themeColor="text1"/>
                                  <w:sz w:val="22"/>
                                </w:rPr>
                                <w:t>F</w:t>
                              </w:r>
                              <w:r>
                                <w:rPr>
                                  <w:rFonts w:hAnsi="Aptos"/>
                                  <w:color w:val="000000" w:themeColor="text1"/>
                                  <w:sz w:val="22"/>
                                </w:rPr>
                                <w:t>ew members eligible due to low screening rates</w:t>
                              </w:r>
                              <w:r w:rsidR="001A2E74">
                                <w:rPr>
                                  <w:rFonts w:hAnsi="Aptos"/>
                                  <w:color w:val="000000" w:themeColor="text1"/>
                                  <w:sz w:val="22"/>
                                </w:rPr>
                                <w:t>.</w:t>
                              </w:r>
                            </w:p>
                          </w:txbxContent>
                        </wps:txbx>
                        <wps:bodyPr wrap="none" rtlCol="0" anchor="t">
                          <a:spAutoFit/>
                        </wps:bodyPr>
                      </wps:wsp>
                    </wpg:wgp>
                  </a:graphicData>
                </a:graphic>
              </wp:inline>
            </w:drawing>
          </mc:Choice>
          <mc:Fallback>
            <w:pict>
              <v:group w14:anchorId="618FC1F0" id="_x0000_s1039" alt="A dot chart showing 2025 CCO service rates for the SDOH: Referral measure." style="width:435.95pt;height:399pt;mso-position-horizontal-relative:char;mso-position-vertical-relative:line" coordsize="55367,50673"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">
                <v:shape id="Chart 1501955805" o:spid="_x0000_s1040" type="#_x0000_t75" style="position:absolute;width:54864;height:484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">
                  <v:imagedata r:id="rId41" o:title=""/>
                  <o:lock v:ext="edit" aspectratio="f"/>
                </v:shape>
                <v:shape id="TextBox 5" o:spid="_x0000_s1041" type="#_x0000_t202" style="position:absolute;left:8949;top:46761;width:46418;height:3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" filled="f" stroked="f">
                  <v:textbox style="mso-fit-shape-to-text:t">
                    <w:txbxContent>
                      <w:p w14:paraId="20E98DE3" w14:textId="32FCBB0D" w:rsidR="00A406E3" w:rsidRDefault="00A406E3">
                        <w:pPr>
                          <w:rPr>
                            <w:rFonts w:hAnsi="+mn-ea"/>
                            <w:kern w:val="0"/>
                            <w:szCs w:val="24"/>
                            <w14:ligatures w14:val="none"/>
                          </w:rPr>
                        </w:pPr>
                        <w:r>
                          <w:rPr>
                            <w:rFonts w:hAnsi="+mn-ea"/>
                            <w:color w:val="000000" w:themeColor="text1"/>
                          </w:rPr>
                          <w:t>◇</w:t>
                        </w:r>
                        <w:r>
                          <w:rPr>
                            <w:rFonts w:hAnsi="Aptos"/>
                            <w:color w:val="000000" w:themeColor="text1"/>
                            <w:sz w:val="22"/>
                          </w:rPr>
                          <w:t xml:space="preserve"> Interpret with caution</w:t>
                        </w:r>
                        <w:r w:rsidR="00C0586E">
                          <w:rPr>
                            <w:rFonts w:hAnsi="Aptos"/>
                            <w:color w:val="000000" w:themeColor="text1"/>
                            <w:sz w:val="22"/>
                          </w:rPr>
                          <w:t>.</w:t>
                        </w:r>
                        <w:r>
                          <w:rPr>
                            <w:rFonts w:hAnsi="Aptos"/>
                            <w:color w:val="000000" w:themeColor="text1"/>
                            <w:sz w:val="22"/>
                          </w:rPr>
                          <w:t xml:space="preserve"> </w:t>
                        </w:r>
                        <w:r w:rsidR="00C0586E">
                          <w:rPr>
                            <w:rFonts w:hAnsi="Aptos"/>
                            <w:color w:val="000000" w:themeColor="text1"/>
                            <w:sz w:val="22"/>
                          </w:rPr>
                          <w:t>F</w:t>
                        </w:r>
                        <w:r>
                          <w:rPr>
                            <w:rFonts w:hAnsi="Aptos"/>
                            <w:color w:val="000000" w:themeColor="text1"/>
                            <w:sz w:val="22"/>
                          </w:rPr>
                          <w:t>ew members eligible due to low screening rates</w:t>
                        </w:r>
                        <w:r w:rsidR="001A2E74">
                          <w:rPr>
                            <w:rFonts w:hAnsi="Aptos"/>
                            <w:color w:val="000000" w:themeColor="text1"/>
                            <w:sz w:val="22"/>
                          </w:rPr>
                          <w:t>.</w:t>
                        </w:r>
                      </w:p>
                    </w:txbxContent>
                  </v:textbox>
                </v:shape>
                <w10:anchorlock/>
              </v:group>
            </w:pict>
          </mc:Fallback>
        </mc:AlternateContent>
      </w:r>
    </w:p>
    <w:p w14:paraId="097122AE" w14:textId="52F5310D" w:rsidR="009D6F3A" w:rsidRDefault="2301D940" w:rsidP="00081290">
      <w:r w:rsidRPr="250ABE58">
        <w:rPr>
          <w:b/>
          <w:bCs/>
        </w:rPr>
        <w:t>I</w:t>
      </w:r>
      <w:r w:rsidR="6134E64B" w:rsidRPr="250ABE58">
        <w:rPr>
          <w:b/>
          <w:bCs/>
        </w:rPr>
        <w:t>nterpret Referral rates with caution.</w:t>
      </w:r>
      <w:r w:rsidR="6134E64B">
        <w:t xml:space="preserve"> </w:t>
      </w:r>
      <w:r w:rsidR="1356E783">
        <w:t>Due to low screening rates, very few CCO members were eligible for referrals.</w:t>
      </w:r>
      <w:r w:rsidR="22542841">
        <w:t xml:space="preserve"> Referral rates may</w:t>
      </w:r>
      <w:r w:rsidR="5BEE4637">
        <w:t xml:space="preserve"> not be reliable </w:t>
      </w:r>
      <w:r w:rsidR="12F172D6">
        <w:t>until screening rates increase</w:t>
      </w:r>
      <w:r w:rsidR="5BEE4637">
        <w:t>.</w:t>
      </w:r>
      <w:r w:rsidR="1356E783">
        <w:t xml:space="preserve"> </w:t>
      </w:r>
    </w:p>
    <w:p w14:paraId="4AFB103D" w14:textId="246C6266" w:rsidR="003A6111" w:rsidRDefault="00B56736" w:rsidP="00081290">
      <w:r w:rsidRPr="00B56736">
        <w:t xml:space="preserve">Among </w:t>
      </w:r>
      <w:r w:rsidR="002D29E9">
        <w:t xml:space="preserve">sample </w:t>
      </w:r>
      <w:r w:rsidRPr="00B56736">
        <w:t xml:space="preserve">members </w:t>
      </w:r>
      <w:r w:rsidR="006E7594">
        <w:t xml:space="preserve">with an </w:t>
      </w:r>
      <w:r>
        <w:t>identified need,</w:t>
      </w:r>
      <w:r w:rsidRPr="00B56736">
        <w:t xml:space="preserve"> CCOs statewide referred 20.4</w:t>
      </w:r>
      <w:r>
        <w:t xml:space="preserve"> percent</w:t>
      </w:r>
      <w:r w:rsidRPr="00B56736">
        <w:t xml:space="preserve"> to needed services.</w:t>
      </w:r>
      <w:r>
        <w:t xml:space="preserve"> </w:t>
      </w:r>
      <w:r w:rsidRPr="00B56736">
        <w:t xml:space="preserve">The top-performing CCO </w:t>
      </w:r>
      <w:r w:rsidR="00CF3B40">
        <w:t>referred</w:t>
      </w:r>
      <w:r w:rsidRPr="00B56736">
        <w:t xml:space="preserve"> 100</w:t>
      </w:r>
      <w:r>
        <w:t xml:space="preserve"> percent</w:t>
      </w:r>
      <w:r w:rsidRPr="00B56736">
        <w:t xml:space="preserve"> of </w:t>
      </w:r>
      <w:r w:rsidR="000B7AB2">
        <w:t xml:space="preserve">sample </w:t>
      </w:r>
      <w:r w:rsidRPr="00B56736">
        <w:t xml:space="preserve">members. However, </w:t>
      </w:r>
      <w:r w:rsidR="00F83275">
        <w:t>fewer</w:t>
      </w:r>
      <w:r w:rsidRPr="00B56736">
        <w:t xml:space="preserve"> than </w:t>
      </w:r>
      <w:r w:rsidR="00CE16B6">
        <w:t>three</w:t>
      </w:r>
      <w:r w:rsidRPr="00B56736">
        <w:t xml:space="preserve"> members w</w:t>
      </w:r>
      <w:r w:rsidR="006E7594">
        <w:t>ere</w:t>
      </w:r>
      <w:r w:rsidRPr="00B56736">
        <w:t xml:space="preserve"> eligible for referrals by this CCO.</w:t>
      </w:r>
      <w:r>
        <w:t xml:space="preserve"> </w:t>
      </w:r>
      <w:r w:rsidRPr="00B56736">
        <w:t>Three CCOs reported referring 0</w:t>
      </w:r>
      <w:r>
        <w:t xml:space="preserve"> percent</w:t>
      </w:r>
      <w:r w:rsidRPr="00B56736">
        <w:t xml:space="preserve"> of </w:t>
      </w:r>
      <w:r w:rsidR="000B7AB2">
        <w:t xml:space="preserve">sample </w:t>
      </w:r>
      <w:r w:rsidRPr="00B56736">
        <w:t>members with identified need</w:t>
      </w:r>
      <w:r>
        <w:t>s</w:t>
      </w:r>
      <w:r w:rsidRPr="00B56736">
        <w:t xml:space="preserve"> to services. All of these CCOs had low screening rates, with </w:t>
      </w:r>
      <w:r w:rsidR="006F198C">
        <w:t xml:space="preserve">fewer </w:t>
      </w:r>
      <w:r w:rsidRPr="00B56736">
        <w:t xml:space="preserve">than </w:t>
      </w:r>
      <w:r w:rsidR="006F198C">
        <w:t xml:space="preserve">ten </w:t>
      </w:r>
      <w:r w:rsidRPr="00B56736">
        <w:t>members eligible for referrals.</w:t>
      </w:r>
    </w:p>
    <w:p w14:paraId="74FFC6AD" w14:textId="1375DC8D" w:rsidR="00A032A3" w:rsidRPr="00CE1BC0" w:rsidRDefault="00A032A3" w:rsidP="00CE1BC0">
      <w:pPr>
        <w:pStyle w:val="Heading3"/>
        <w:rPr>
          <w:rStyle w:val="Heading5Char"/>
          <w:szCs w:val="28"/>
        </w:rPr>
      </w:pPr>
      <w:r w:rsidRPr="00CE1BC0">
        <w:rPr>
          <w:rStyle w:val="Heading5Char"/>
          <w:szCs w:val="28"/>
        </w:rPr>
        <w:lastRenderedPageBreak/>
        <w:t>Young Children Receiving Social-Emotional Issue-Focused Intervention/Treatment Services</w:t>
      </w:r>
    </w:p>
    <w:p w14:paraId="5EF1B16D" w14:textId="77A3A447" w:rsidR="00DC2F90" w:rsidRPr="00DC2F90" w:rsidRDefault="008D0C01" w:rsidP="00DC2F90">
      <w:pPr>
        <w:jc w:val="center"/>
      </w:pPr>
      <w:r>
        <w:rPr>
          <w:noProof/>
        </w:rPr>
        <w:drawing>
          <wp:inline distT="0" distB="0" distL="0" distR="0" wp14:anchorId="1C190835" wp14:editId="0EEAAA56">
            <wp:extent cx="4572000" cy="3017520"/>
            <wp:effectExtent l="0" t="0" r="0" b="0"/>
            <wp:docPr id="528656511" name="Chart 1" descr="Chart showing CCO service rates over time for Young Children Receiving Social-Emotional Issue-Focused Intervention/Treatment Services. A dark blue line shows the CCO statewide service rate. Dots show individual CCO service rates in each year. An orange dash mark show the 2025 benchmark.">
              <a:extLst xmlns:a="http://schemas.openxmlformats.org/drawingml/2006/main">
                <a:ext uri="{FF2B5EF4-FFF2-40B4-BE49-F238E27FC236}">
                  <a16:creationId xmlns:a16="http://schemas.microsoft.com/office/drawing/2014/main" id="{1BED9304-5F24-42C3-9E41-D0E242367B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F327F31" w14:textId="27A46C8E" w:rsidR="00DC2F90" w:rsidRDefault="00097639" w:rsidP="00081290">
      <w:r w:rsidRPr="000E4198">
        <w:rPr>
          <w:b/>
          <w:bCs/>
        </w:rPr>
        <w:t>Young Children Receiving Social-Emotional Issue-Focused Intervention/Treatment Services</w:t>
      </w:r>
      <w:r>
        <w:t xml:space="preserve"> tracks the percentage of</w:t>
      </w:r>
      <w:r w:rsidR="00703E92">
        <w:t xml:space="preserve"> all</w:t>
      </w:r>
      <w:r>
        <w:t xml:space="preserve"> children </w:t>
      </w:r>
      <w:r w:rsidR="001A6DC3">
        <w:t xml:space="preserve">aged one to younger than six </w:t>
      </w:r>
      <w:r>
        <w:t>who received a brief intervention or treatment service for social-emotional issues, such as delays, behavioral concerns or risk for problem behaviors.</w:t>
      </w:r>
    </w:p>
    <w:p w14:paraId="452232E4" w14:textId="4E73E3FC" w:rsidR="00703E92" w:rsidRDefault="009B2934" w:rsidP="00081290">
      <w:r>
        <w:t xml:space="preserve">Social-emotional health is part of OHA’s </w:t>
      </w:r>
      <w:hyperlink r:id="rId43">
        <w:r w:rsidR="1AAE85D3" w:rsidRPr="6FA08D09">
          <w:rPr>
            <w:rStyle w:val="Hyperlink"/>
          </w:rPr>
          <w:t>Health Aspects of Kindergarten Readiness</w:t>
        </w:r>
      </w:hyperlink>
      <w:r w:rsidR="1AAE85D3">
        <w:t xml:space="preserve"> strategy.</w:t>
      </w:r>
      <w:r>
        <w:t xml:space="preserve"> </w:t>
      </w:r>
      <w:r w:rsidRPr="00756004">
        <w:t>This measure was developed by the Oregon Pediatric Improvement Partnership (OPIP) and Children’s Institute (CI) with support from OHA.</w:t>
      </w:r>
    </w:p>
    <w:p w14:paraId="2455FD99" w14:textId="3EC8E6F6" w:rsidR="00703E92" w:rsidRDefault="00703E92" w:rsidP="00081290">
      <w:r w:rsidRPr="00703E92">
        <w:t>From 2024 to 2025, CCO statewide performance increased from 5.0 to 6.3</w:t>
      </w:r>
      <w:r w:rsidR="009B2934">
        <w:t xml:space="preserve"> percent</w:t>
      </w:r>
      <w:r w:rsidRPr="00703E92">
        <w:t>.</w:t>
      </w:r>
      <w:r>
        <w:t xml:space="preserve"> </w:t>
      </w:r>
      <w:r w:rsidR="001A267E">
        <w:t xml:space="preserve">Since not all children will have social-emotional issues, we expect rates to be lower compared with other measures. </w:t>
      </w:r>
      <w:r w:rsidRPr="00703E92">
        <w:t>2025 was the first year</w:t>
      </w:r>
      <w:r>
        <w:t xml:space="preserve"> this measure had</w:t>
      </w:r>
      <w:r w:rsidRPr="00703E92">
        <w:t xml:space="preserve"> a benchmark and CCO-specific improvement targets.</w:t>
      </w:r>
      <w:r>
        <w:t xml:space="preserve"> Eleven</w:t>
      </w:r>
      <w:r w:rsidRPr="00703E92">
        <w:t xml:space="preserve"> CCOs met their improvement target, and none met the benchmark.</w:t>
      </w:r>
    </w:p>
    <w:p w14:paraId="68633398" w14:textId="1F54BB0C" w:rsidR="00082D22" w:rsidRPr="00050190" w:rsidRDefault="004E1D40" w:rsidP="00050190">
      <w:r>
        <w:t xml:space="preserve">This measure builds on </w:t>
      </w:r>
      <w:r w:rsidR="00666265">
        <w:t>work done under the</w:t>
      </w:r>
      <w:r>
        <w:t xml:space="preserve"> prior System-Level </w:t>
      </w:r>
      <w:r w:rsidR="00666265">
        <w:t xml:space="preserve">Social-Emotional Health for Young Children measure. From 2022 to 2024, the </w:t>
      </w:r>
      <w:r w:rsidR="00666265" w:rsidRPr="00666265">
        <w:t>system-level measure</w:t>
      </w:r>
      <w:r w:rsidR="00666265">
        <w:t xml:space="preserve"> focused on developing resources and provider networks to better identify and treat children with social-emotional health needs.</w:t>
      </w:r>
    </w:p>
    <w:p w14:paraId="3CD630AE" w14:textId="77777777" w:rsidR="00DF0302" w:rsidRDefault="00DF0302">
      <w:pPr>
        <w:spacing w:line="278" w:lineRule="auto"/>
        <w:rPr>
          <w:rFonts w:asciiTheme="majorHAnsi" w:eastAsiaTheme="majorEastAsia" w:hAnsiTheme="majorHAnsi" w:cstheme="majorBidi"/>
          <w:color w:val="0F4761" w:themeColor="accent1" w:themeShade="BF"/>
          <w:sz w:val="32"/>
          <w:szCs w:val="32"/>
        </w:rPr>
      </w:pPr>
      <w:bookmarkStart w:id="9" w:name="_Toc235090758"/>
      <w:r>
        <w:br w:type="page"/>
      </w:r>
    </w:p>
    <w:p w14:paraId="10C5C479" w14:textId="17D40BD2" w:rsidR="00ED698D" w:rsidRDefault="00ED698D" w:rsidP="00833DBC">
      <w:pPr>
        <w:pStyle w:val="Heading2"/>
      </w:pPr>
      <w:r>
        <w:lastRenderedPageBreak/>
        <w:t>Primary Care Access and Preventive Care</w:t>
      </w:r>
      <w:bookmarkEnd w:id="9"/>
    </w:p>
    <w:p w14:paraId="0E0F03BE" w14:textId="2B64DABE" w:rsidR="00ED698D" w:rsidRDefault="00ED698D" w:rsidP="00ED698D">
      <w:pPr>
        <w:sectPr w:rsidR="00ED698D" w:rsidSect="009B7CC7">
          <w:footnotePr>
            <w:numFmt w:val="lowerLetter"/>
          </w:footnotePr>
          <w:type w:val="continuous"/>
          <w:pgSz w:w="12240" w:h="15840"/>
          <w:pgMar w:top="1440" w:right="1440" w:bottom="1440" w:left="1440" w:header="86" w:footer="720" w:gutter="0"/>
          <w:cols w:space="288"/>
          <w:docGrid w:linePitch="360"/>
        </w:sectPr>
      </w:pPr>
      <w:r>
        <w:t>In 202</w:t>
      </w:r>
      <w:r w:rsidR="00250BEC">
        <w:t>5</w:t>
      </w:r>
      <w:r w:rsidRPr="000D7DE4">
        <w:t xml:space="preserve">, </w:t>
      </w:r>
      <w:r>
        <w:t>P</w:t>
      </w:r>
      <w:r w:rsidRPr="000D7DE4">
        <w:t xml:space="preserve">rimary </w:t>
      </w:r>
      <w:r>
        <w:t>C</w:t>
      </w:r>
      <w:r w:rsidRPr="000D7DE4">
        <w:t xml:space="preserve">are </w:t>
      </w:r>
      <w:r>
        <w:t>A</w:t>
      </w:r>
      <w:r w:rsidRPr="000D7DE4">
        <w:t xml:space="preserve">ccess and </w:t>
      </w:r>
      <w:r>
        <w:t>P</w:t>
      </w:r>
      <w:r w:rsidRPr="000D7DE4">
        <w:t xml:space="preserve">reventive </w:t>
      </w:r>
      <w:r>
        <w:t>C</w:t>
      </w:r>
      <w:r w:rsidRPr="000D7DE4">
        <w:t>are measures in the CCO Quality Incentive Program focus</w:t>
      </w:r>
      <w:r>
        <w:t>ed</w:t>
      </w:r>
      <w:r w:rsidRPr="000D7DE4">
        <w:t xml:space="preserve"> on health care for children and adolescents.</w:t>
      </w:r>
    </w:p>
    <w:p w14:paraId="62063315" w14:textId="22E2A09F" w:rsidR="00A83D0A" w:rsidRPr="006008B2" w:rsidRDefault="00A83D0A" w:rsidP="00833DBC">
      <w:pPr>
        <w:pStyle w:val="Heading3"/>
      </w:pPr>
      <w:r w:rsidRPr="006008B2">
        <w:t>Child and Adolescent Well-Care Visits (Ages 3-6)</w:t>
      </w:r>
    </w:p>
    <w:p w14:paraId="06F09BAB" w14:textId="1E84DEAE" w:rsidR="006C33F6" w:rsidRDefault="00092BD8" w:rsidP="006C33F6">
      <w:pPr>
        <w:jc w:val="center"/>
      </w:pPr>
      <w:r>
        <w:rPr>
          <w:noProof/>
        </w:rPr>
        <w:drawing>
          <wp:inline distT="0" distB="0" distL="0" distR="0" wp14:anchorId="26B61B71" wp14:editId="146A15FD">
            <wp:extent cx="4572000" cy="3017520"/>
            <wp:effectExtent l="0" t="0" r="0" b="0"/>
            <wp:docPr id="1573635432" name="Chart 1" descr="Chart showing CCO service rates over time for Child and Adolescent Well-Care Visits (Ages 3-6). A dark blue line shows the CCO statewide service rate. Dots show individual CCO service rates in each year. Orange dash marks show each year's benchmark.">
              <a:extLst xmlns:a="http://schemas.openxmlformats.org/drawingml/2006/main">
                <a:ext uri="{FF2B5EF4-FFF2-40B4-BE49-F238E27FC236}">
                  <a16:creationId xmlns:a16="http://schemas.microsoft.com/office/drawing/2014/main" id="{1F45CCC9-0885-4934-AD7D-09F3542EC3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10E4305" w14:textId="2574A527" w:rsidR="00ED698D" w:rsidRDefault="00ED698D" w:rsidP="00ED698D">
      <w:r w:rsidRPr="000E4198">
        <w:rPr>
          <w:b/>
          <w:bCs/>
        </w:rPr>
        <w:t>Child and Adolescent Well-Care Visits (Ages 3-6)</w:t>
      </w:r>
      <w:r w:rsidRPr="00A83D0A">
        <w:t xml:space="preserve"> looks</w:t>
      </w:r>
      <w:r w:rsidRPr="0025585D">
        <w:t xml:space="preserve"> at the percentage of children who had one or more well-care visits with a primary care provider or obstetrician gynecologist (OB/GYN). Well-care visits are a critical opportunity for screening and preventive care.</w:t>
      </w:r>
      <w:r>
        <w:t xml:space="preserve"> This measure is part of the broader </w:t>
      </w:r>
      <w:hyperlink w:anchor="_Kindergarten_Readiness" w:history="1">
        <w:r w:rsidRPr="00AC0FFF">
          <w:rPr>
            <w:rStyle w:val="Hyperlink"/>
          </w:rPr>
          <w:t>Kindergarten Readiness</w:t>
        </w:r>
      </w:hyperlink>
      <w:r>
        <w:t xml:space="preserve"> strategy.</w:t>
      </w:r>
    </w:p>
    <w:p w14:paraId="43021EFD" w14:textId="619D6770" w:rsidR="00EF418E" w:rsidRPr="00EF418E" w:rsidRDefault="00EF418E" w:rsidP="00EF418E">
      <w:r w:rsidRPr="00EF418E">
        <w:t>From 2024 to 2025, CCO statewide performance slightly improved. After falling 14</w:t>
      </w:r>
      <w:r w:rsidR="00E50F95">
        <w:t xml:space="preserve"> percent</w:t>
      </w:r>
      <w:r w:rsidRPr="00EF418E">
        <w:t xml:space="preserve"> in 2020, 2024 was the first year CCO statewide performance rose to pre-pandemic levels.</w:t>
      </w:r>
    </w:p>
    <w:p w14:paraId="3BED3DD4" w14:textId="1175A709" w:rsidR="00D20AFF" w:rsidRPr="00D20AFF" w:rsidRDefault="00EF418E" w:rsidP="00ED698D">
      <w:pPr>
        <w:rPr>
          <w:rStyle w:val="Heading5Char"/>
          <w:rFonts w:eastAsiaTheme="minorHAnsi" w:cstheme="minorBidi"/>
          <w:color w:val="auto"/>
        </w:rPr>
      </w:pPr>
      <w:r>
        <w:t>Fourteen</w:t>
      </w:r>
      <w:r w:rsidRPr="00EF418E">
        <w:t xml:space="preserve"> out of 16 CCOs met the measure, with eight reaching the benchmark.</w:t>
      </w:r>
      <w:r w:rsidR="00D50F45">
        <w:t xml:space="preserve"> </w:t>
      </w:r>
      <w:r w:rsidRPr="00EF418E">
        <w:t>In 2025, the range in CCO performance narrowed from prior years. This change was primarily due to improvement by the lowest performing CCO.</w:t>
      </w:r>
    </w:p>
    <w:p w14:paraId="2B8C2EBB" w14:textId="77777777" w:rsidR="00D20AFF" w:rsidRPr="006008B2" w:rsidRDefault="00D20AFF" w:rsidP="00833DBC">
      <w:pPr>
        <w:pStyle w:val="Heading3"/>
      </w:pPr>
      <w:r w:rsidRPr="006008B2">
        <w:lastRenderedPageBreak/>
        <w:t>Childhood Immunization Status: Combo 3</w:t>
      </w:r>
    </w:p>
    <w:p w14:paraId="0FE53C57" w14:textId="25CBBDF5" w:rsidR="0081383A" w:rsidRPr="0081383A" w:rsidRDefault="00401554" w:rsidP="003E423F">
      <w:pPr>
        <w:jc w:val="center"/>
      </w:pPr>
      <w:r>
        <w:rPr>
          <w:noProof/>
        </w:rPr>
        <w:drawing>
          <wp:inline distT="0" distB="0" distL="0" distR="0" wp14:anchorId="066B50CE" wp14:editId="0254834D">
            <wp:extent cx="4572000" cy="3017520"/>
            <wp:effectExtent l="0" t="0" r="0" b="0"/>
            <wp:docPr id="1615429744" name="Chart 1" descr="Chart showing CCO service rates over time for Childhood Immunization Status: Combo 3. A dark blue line shows the CCO statewide service rate. Dots show individual CCO service rates in each year. Orange dash marks show each year's benchmark.">
              <a:extLst xmlns:a="http://schemas.openxmlformats.org/drawingml/2006/main">
                <a:ext uri="{FF2B5EF4-FFF2-40B4-BE49-F238E27FC236}">
                  <a16:creationId xmlns:a16="http://schemas.microsoft.com/office/drawing/2014/main" id="{2D40A47E-9E65-4684-B3E7-8168D2CF65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4DB0600" w14:textId="630E02BE" w:rsidR="00ED698D" w:rsidRDefault="00ED698D" w:rsidP="00ED698D">
      <w:r w:rsidRPr="000E4198">
        <w:rPr>
          <w:b/>
          <w:bCs/>
        </w:rPr>
        <w:t>Childhood Immunization Status: Combo 3</w:t>
      </w:r>
      <w:r w:rsidRPr="00D20AFF">
        <w:t xml:space="preserve"> </w:t>
      </w:r>
      <w:r w:rsidRPr="00FF251F">
        <w:t>assesses the percentage of children who received recommended vaccines in Combo 3</w:t>
      </w:r>
      <w:r>
        <w:rPr>
          <w:rStyle w:val="FootnoteReference"/>
        </w:rPr>
        <w:footnoteReference w:id="8"/>
      </w:r>
      <w:r w:rsidRPr="00FF251F">
        <w:t xml:space="preserve"> before their second birthday. 202</w:t>
      </w:r>
      <w:r w:rsidR="000B21A3">
        <w:t>5</w:t>
      </w:r>
      <w:r w:rsidRPr="00FF251F">
        <w:t xml:space="preserve"> results include services going back to 202</w:t>
      </w:r>
      <w:r w:rsidR="000B21A3">
        <w:t>3</w:t>
      </w:r>
      <w:r>
        <w:t xml:space="preserve">. </w:t>
      </w:r>
    </w:p>
    <w:p w14:paraId="2A6F48D4" w14:textId="7A760C4D" w:rsidR="000B21A3" w:rsidRDefault="000B21A3" w:rsidP="00ED698D">
      <w:r w:rsidRPr="000B21A3">
        <w:t>CCO statewide performance held steady from 2024 to 2025.</w:t>
      </w:r>
      <w:r>
        <w:t xml:space="preserve"> </w:t>
      </w:r>
      <w:r w:rsidRPr="000B21A3">
        <w:t>Six CCOs met their improvement target and none met the benchmark.</w:t>
      </w:r>
      <w:r>
        <w:t xml:space="preserve"> </w:t>
      </w:r>
      <w:r w:rsidRPr="000B21A3">
        <w:t>The range in CCO performance slightly narrowed from 2024 to 2025.</w:t>
      </w:r>
    </w:p>
    <w:p w14:paraId="7FD8CBA0" w14:textId="3B08C05F" w:rsidR="00D20AFF" w:rsidRPr="006008B2" w:rsidRDefault="00D20AFF" w:rsidP="00833DBC">
      <w:pPr>
        <w:pStyle w:val="Heading3"/>
      </w:pPr>
      <w:r w:rsidRPr="006008B2">
        <w:lastRenderedPageBreak/>
        <w:t>Immunizations for Adolescents: Combo 2</w:t>
      </w:r>
    </w:p>
    <w:p w14:paraId="349950A3" w14:textId="7CF5C10A" w:rsidR="00544B1A" w:rsidRPr="00544B1A" w:rsidRDefault="00647ABB" w:rsidP="00544B1A">
      <w:pPr>
        <w:jc w:val="center"/>
      </w:pPr>
      <w:r>
        <w:rPr>
          <w:noProof/>
        </w:rPr>
        <w:drawing>
          <wp:inline distT="0" distB="0" distL="0" distR="0" wp14:anchorId="2D62CDD1" wp14:editId="24913595">
            <wp:extent cx="4572000" cy="3017520"/>
            <wp:effectExtent l="0" t="0" r="0" b="0"/>
            <wp:docPr id="274078829" name="Chart 1" descr="Chart showing CCO service rates over time for Immunizations for Adolescents: Combo 2. A dark blue line shows the CCO statewide service rate. Dots show individual CCO service rates in each year. Orange dash marks show each year's benchmark.">
              <a:extLst xmlns:a="http://schemas.openxmlformats.org/drawingml/2006/main">
                <a:ext uri="{FF2B5EF4-FFF2-40B4-BE49-F238E27FC236}">
                  <a16:creationId xmlns:a16="http://schemas.microsoft.com/office/drawing/2014/main" id="{4EA5A92C-D2EA-4363-BA0A-99678B6E75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79590B2" w14:textId="73EBDAB2" w:rsidR="00ED698D" w:rsidRDefault="00ED698D" w:rsidP="00ED698D">
      <w:r w:rsidRPr="000E4198">
        <w:rPr>
          <w:b/>
          <w:bCs/>
        </w:rPr>
        <w:t>Immunizations for Adolescents: Combo 2</w:t>
      </w:r>
      <w:r w:rsidRPr="00D20AFF">
        <w:t xml:space="preserve"> assesses</w:t>
      </w:r>
      <w:r w:rsidRPr="00F73B11">
        <w:t xml:space="preserve"> the percentage of adolescents who received recommended vaccines in Combo 2</w:t>
      </w:r>
      <w:r>
        <w:rPr>
          <w:rStyle w:val="FootnoteReference"/>
        </w:rPr>
        <w:footnoteReference w:id="9"/>
      </w:r>
      <w:r w:rsidRPr="00F73B11">
        <w:t xml:space="preserve"> between their </w:t>
      </w:r>
      <w:r w:rsidR="000B21A3">
        <w:t>ninth</w:t>
      </w:r>
      <w:r w:rsidRPr="00F73B11">
        <w:t xml:space="preserve"> and </w:t>
      </w:r>
      <w:r w:rsidR="000B21A3">
        <w:t>thirteenth</w:t>
      </w:r>
      <w:r w:rsidRPr="00F73B11">
        <w:t xml:space="preserve"> birthday. </w:t>
      </w:r>
      <w:r w:rsidR="00983171" w:rsidRPr="00F73B11">
        <w:t>202</w:t>
      </w:r>
      <w:r w:rsidR="00983171">
        <w:t>5</w:t>
      </w:r>
      <w:r w:rsidR="00983171" w:rsidRPr="00F73B11">
        <w:t xml:space="preserve"> results include services going back to 20</w:t>
      </w:r>
      <w:r w:rsidR="00983171">
        <w:t>21</w:t>
      </w:r>
      <w:r w:rsidR="00983171" w:rsidRPr="00F73B11">
        <w:t>.</w:t>
      </w:r>
      <w:r w:rsidR="00983171">
        <w:t xml:space="preserve"> Disruptions in care during the COVID-19 pandemic may still be affecting this measure. </w:t>
      </w:r>
    </w:p>
    <w:p w14:paraId="35D92E9D" w14:textId="028E1F5C" w:rsidR="00983171" w:rsidRPr="00983171" w:rsidRDefault="00983171" w:rsidP="00983171">
      <w:r w:rsidRPr="00983171">
        <w:t>From 2024 to 2025, CCO statewide performance slightly improved. 2025 was the first year CCO statewide performance rose to pre-pandemic levels.</w:t>
      </w:r>
      <w:r w:rsidR="00285174">
        <w:t xml:space="preserve"> Twelve</w:t>
      </w:r>
      <w:r w:rsidRPr="00983171">
        <w:t xml:space="preserve"> out of 16 CCOs met the measure, with four reaching the benchmark.</w:t>
      </w:r>
      <w:r w:rsidR="00285174">
        <w:t xml:space="preserve"> Twelve </w:t>
      </w:r>
      <w:r w:rsidRPr="00983171">
        <w:t>CCOs improved or slightly improved from 2024 to 2025</w:t>
      </w:r>
      <w:r w:rsidR="00285174">
        <w:t xml:space="preserve">, with five improving by </w:t>
      </w:r>
      <w:r w:rsidR="00CB3227">
        <w:t xml:space="preserve">ten </w:t>
      </w:r>
      <w:r w:rsidR="009B2934">
        <w:t>percent</w:t>
      </w:r>
      <w:r w:rsidR="00285174">
        <w:t xml:space="preserve"> or more.</w:t>
      </w:r>
    </w:p>
    <w:p w14:paraId="0A209801" w14:textId="2E21D7C3" w:rsidR="00983171" w:rsidRPr="00983171" w:rsidRDefault="00983171" w:rsidP="00983171">
      <w:r w:rsidRPr="00983171">
        <w:t>The range in CCO performance slightly narrowed from 2024 to 2025. This change was primarily due to slightly worse performance by the top CCO.</w:t>
      </w:r>
    </w:p>
    <w:p w14:paraId="307B513A" w14:textId="77777777" w:rsidR="00ED698D" w:rsidRDefault="00ED698D" w:rsidP="00833DBC">
      <w:pPr>
        <w:pStyle w:val="Heading2"/>
      </w:pPr>
      <w:bookmarkStart w:id="10" w:name="_Toc235090759"/>
      <w:r>
        <w:lastRenderedPageBreak/>
        <w:t>Maternal and Perinatal Health</w:t>
      </w:r>
      <w:bookmarkEnd w:id="10"/>
    </w:p>
    <w:p w14:paraId="360A87C0" w14:textId="14E377F5" w:rsidR="00D20AFF" w:rsidRPr="006008B2" w:rsidRDefault="00D20AFF" w:rsidP="00833DBC">
      <w:pPr>
        <w:pStyle w:val="Heading3"/>
      </w:pPr>
      <w:r w:rsidRPr="006008B2">
        <w:t>Prenatal and Postpartum Care: Postpartum Care</w:t>
      </w:r>
    </w:p>
    <w:p w14:paraId="5E6C908E" w14:textId="0F4BD87D" w:rsidR="00FF5105" w:rsidRPr="00FF5105" w:rsidRDefault="00647ABB" w:rsidP="00FF5105">
      <w:pPr>
        <w:jc w:val="center"/>
      </w:pPr>
      <w:r>
        <w:rPr>
          <w:noProof/>
        </w:rPr>
        <mc:AlternateContent>
          <mc:Choice Requires="wpg">
            <w:drawing>
              <wp:inline distT="0" distB="0" distL="0" distR="0" wp14:anchorId="734566FF" wp14:editId="1E759B13">
                <wp:extent cx="4572000" cy="3044190"/>
                <wp:effectExtent l="0" t="0" r="0" b="3810"/>
                <wp:docPr id="6" name="Group 5" descr="Chart showing CCO service rates over time for Prenatal and Postpartum Care: Postpartum Care. A dark blue line shows the CCO statewide service rate. Dots show individual CCO service rates in each year. Orange dash marks show each year's benchmark. A dashed vertical line shows a measure change in 2014.">
                  <a:extLst xmlns:a="http://schemas.openxmlformats.org/drawingml/2006/main">
                    <a:ext uri="{FF2B5EF4-FFF2-40B4-BE49-F238E27FC236}">
                      <a16:creationId xmlns:a16="http://schemas.microsoft.com/office/drawing/2014/main" id="{2779C281-4ECD-BED7-1686-54924D630507}"/>
                    </a:ext>
                  </a:extLst>
                </wp:docPr>
                <wp:cNvGraphicFramePr/>
                <a:graphic xmlns:a="http://schemas.openxmlformats.org/drawingml/2006/main">
                  <a:graphicData uri="http://schemas.microsoft.com/office/word/2010/wordprocessingGroup">
                    <wpg:wgp>
                      <wpg:cNvGrpSpPr/>
                      <wpg:grpSpPr>
                        <a:xfrm>
                          <a:off x="0" y="0"/>
                          <a:ext cx="4572000" cy="3044190"/>
                          <a:chOff x="0" y="0"/>
                          <a:chExt cx="4572000" cy="3044190"/>
                        </a:xfrm>
                      </wpg:grpSpPr>
                      <wpg:graphicFrame>
                        <wpg:cNvPr id="935169109" name="Chart 935169109">
                          <a:extLst>
                            <a:ext uri="{FF2B5EF4-FFF2-40B4-BE49-F238E27FC236}">
                              <a16:creationId xmlns:a16="http://schemas.microsoft.com/office/drawing/2014/main" id="{BB64AA82-19AD-4693-9EEE-D5215A94A99F}"/>
                            </a:ext>
                          </a:extLst>
                        </wpg:cNvPr>
                        <wpg:cNvFrPr>
                          <a:graphicFrameLocks/>
                        </wpg:cNvFrPr>
                        <wpg:xfrm>
                          <a:off x="0" y="0"/>
                          <a:ext cx="4572000" cy="3017520"/>
                        </wpg:xfrm>
                        <a:graphic>
                          <a:graphicData uri="http://schemas.openxmlformats.org/drawingml/2006/chart">
                            <c:chart xmlns:c="http://schemas.openxmlformats.org/drawingml/2006/chart" xmlns:r="http://schemas.openxmlformats.org/officeDocument/2006/relationships" r:id="rId47"/>
                          </a:graphicData>
                        </a:graphic>
                      </wpg:graphicFrame>
                      <wps:wsp>
                        <wps:cNvPr id="2090871551" name="TextBox 4">
                          <a:extLst>
                            <a:ext uri="{FF2B5EF4-FFF2-40B4-BE49-F238E27FC236}">
                              <a16:creationId xmlns:a16="http://schemas.microsoft.com/office/drawing/2014/main" id="{548D6396-00DC-4FC3-B96E-BFF4B638BBB3}"/>
                            </a:ext>
                          </a:extLst>
                        </wps:cNvPr>
                        <wps:cNvSpPr txBox="1"/>
                        <wps:spPr>
                          <a:xfrm>
                            <a:off x="3114675" y="2667000"/>
                            <a:ext cx="1241425" cy="37719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E564DCD" w14:textId="77777777" w:rsidR="00647ABB" w:rsidRPr="00647ABB" w:rsidRDefault="00647ABB" w:rsidP="00647ABB">
                              <w:pPr>
                                <w:rPr>
                                  <w:rFonts w:hAnsi="Aptos"/>
                                  <w:color w:val="606060"/>
                                  <w:kern w:val="0"/>
                                  <w:sz w:val="22"/>
                                  <w14:ligatures w14:val="none"/>
                                </w:rPr>
                              </w:pPr>
                              <w:r>
                                <w:rPr>
                                  <w:rFonts w:hAnsi="Aptos"/>
                                  <w:b/>
                                  <w:bCs/>
                                  <w:color w:val="606060"/>
                                  <w:sz w:val="22"/>
                                </w:rPr>
                                <w:t>¦</w:t>
                              </w:r>
                              <w:r>
                                <w:rPr>
                                  <w:rFonts w:hAnsi="Aptos"/>
                                  <w:b/>
                                  <w:bCs/>
                                  <w:color w:val="000000" w:themeColor="text1"/>
                                  <w:sz w:val="22"/>
                                </w:rPr>
                                <w:t xml:space="preserve"> </w:t>
                              </w:r>
                              <w:r w:rsidRPr="00647ABB">
                                <w:rPr>
                                  <w:rFonts w:hAnsi="Aptos"/>
                                  <w:color w:val="000000" w:themeColor="text1"/>
                                  <w:sz w:val="22"/>
                                </w:rPr>
                                <w:t>Measure change</w:t>
                              </w:r>
                            </w:p>
                          </w:txbxContent>
                        </wps:txbx>
                        <wps:bodyPr wrap="none" rtlCol="0" anchor="t">
                          <a:spAutoFit/>
                        </wps:bodyPr>
                      </wps:wsp>
                    </wpg:wgp>
                  </a:graphicData>
                </a:graphic>
              </wp:inline>
            </w:drawing>
          </mc:Choice>
          <mc:Fallback>
            <w:pict>
              <v:group w14:anchorId="734566FF" id="Group 5" o:spid="_x0000_s1042" alt="Chart showing CCO service rates over time for Prenatal and Postpartum Care: Postpartum Care. A dark blue line shows the CCO statewide service rate. Dots show individual CCO service rates in each year. Orange dash marks show each year's benchmark. A dashed vertical line shows a measure change in 2014." style="width:5in;height:239.7pt;mso-position-horizontal-relative:char;mso-position-vertical-relative:line" coordsize="45720,30441"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">
                <v:shape id="Chart 935169109" o:spid="_x0000_s1043" type="#_x0000_t75" style="position:absolute;width:45720;height:30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">
                  <v:imagedata r:id="rId48" o:title=""/>
                  <o:lock v:ext="edit" aspectratio="f"/>
                </v:shape>
                <v:shape id="TextBox 4" o:spid="_x0000_s1044" type="#_x0000_t202" style="position:absolute;left:31146;top:26670;width:12415;height:37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" filled="f" stroked="f">
                  <v:textbox style="mso-fit-shape-to-text:t">
                    <w:txbxContent>
                      <w:p w14:paraId="7E564DCD" w14:textId="77777777" w:rsidR="00647ABB" w:rsidRPr="00647ABB" w:rsidRDefault="00647ABB" w:rsidP="00647ABB">
                        <w:pPr>
                          <w:rPr>
                            <w:rFonts w:hAnsi="Aptos"/>
                            <w:color w:val="606060"/>
                            <w:kern w:val="0"/>
                            <w:sz w:val="22"/>
                            <w14:ligatures w14:val="none"/>
                          </w:rPr>
                        </w:pPr>
                        <w:r>
                          <w:rPr>
                            <w:rFonts w:hAnsi="Aptos"/>
                            <w:b/>
                            <w:bCs/>
                            <w:color w:val="606060"/>
                            <w:sz w:val="22"/>
                          </w:rPr>
                          <w:t>¦</w:t>
                        </w:r>
                        <w:r>
                          <w:rPr>
                            <w:rFonts w:hAnsi="Aptos"/>
                            <w:b/>
                            <w:bCs/>
                            <w:color w:val="000000" w:themeColor="text1"/>
                            <w:sz w:val="22"/>
                          </w:rPr>
                          <w:t xml:space="preserve"> </w:t>
                        </w:r>
                        <w:r w:rsidRPr="00647ABB">
                          <w:rPr>
                            <w:rFonts w:hAnsi="Aptos"/>
                            <w:color w:val="000000" w:themeColor="text1"/>
                            <w:sz w:val="22"/>
                          </w:rPr>
                          <w:t>Measure change</w:t>
                        </w:r>
                      </w:p>
                    </w:txbxContent>
                  </v:textbox>
                </v:shape>
                <w10:anchorlock/>
              </v:group>
            </w:pict>
          </mc:Fallback>
        </mc:AlternateContent>
      </w:r>
    </w:p>
    <w:p w14:paraId="05E7F0CC" w14:textId="527B4BB8" w:rsidR="00ED698D" w:rsidRDefault="00ED698D" w:rsidP="00ED698D">
      <w:r>
        <w:t>In 202</w:t>
      </w:r>
      <w:r w:rsidR="00250BEC">
        <w:t>5</w:t>
      </w:r>
      <w:r>
        <w:t xml:space="preserve">, </w:t>
      </w:r>
      <w:r w:rsidR="003D0EEC">
        <w:t>the</w:t>
      </w:r>
      <w:r>
        <w:t xml:space="preserve"> </w:t>
      </w:r>
      <w:r w:rsidRPr="00AA0E9F">
        <w:t>CCO Quality Incentive Program ha</w:t>
      </w:r>
      <w:r>
        <w:t>d</w:t>
      </w:r>
      <w:r w:rsidRPr="00AA0E9F">
        <w:t xml:space="preserve"> one</w:t>
      </w:r>
      <w:r w:rsidR="00CA5DBD">
        <w:t xml:space="preserve"> CMS Core Set</w:t>
      </w:r>
      <w:r w:rsidRPr="00AA0E9F">
        <w:t xml:space="preserve"> </w:t>
      </w:r>
      <w:r>
        <w:t>M</w:t>
      </w:r>
      <w:r w:rsidRPr="00AA0E9F">
        <w:t xml:space="preserve">aternal and </w:t>
      </w:r>
      <w:r>
        <w:t>P</w:t>
      </w:r>
      <w:r w:rsidRPr="00AA0E9F">
        <w:t xml:space="preserve">erinatal </w:t>
      </w:r>
      <w:r>
        <w:t>C</w:t>
      </w:r>
      <w:r w:rsidRPr="00AA0E9F">
        <w:t>are</w:t>
      </w:r>
      <w:r w:rsidR="000C6CD6">
        <w:t xml:space="preserve"> measure</w:t>
      </w:r>
      <w:r w:rsidR="00045B2E">
        <w:t xml:space="preserve">: </w:t>
      </w:r>
      <w:r w:rsidRPr="00045B2E">
        <w:rPr>
          <w:b/>
          <w:bCs/>
        </w:rPr>
        <w:t>Prenatal and Postpartum Care: Postpartum Care</w:t>
      </w:r>
      <w:r w:rsidRPr="00D20AFF">
        <w:t>.</w:t>
      </w:r>
      <w:r w:rsidRPr="00AA0E9F">
        <w:t xml:space="preserve"> This measure looks at the percentage of </w:t>
      </w:r>
      <w:r w:rsidR="000206D4">
        <w:t>people</w:t>
      </w:r>
      <w:r w:rsidR="000206D4" w:rsidRPr="00AA0E9F">
        <w:t xml:space="preserve"> </w:t>
      </w:r>
      <w:r w:rsidRPr="00AA0E9F">
        <w:t>who had a postpartum care visit on or between seven and 84 days after delivery. Postpartum Care supports the long-term health and well-being of both parent and child.</w:t>
      </w:r>
    </w:p>
    <w:p w14:paraId="2E0D639B" w14:textId="77777777" w:rsidR="00ED698D" w:rsidRDefault="00ED698D" w:rsidP="00ED698D">
      <w:pPr>
        <w:sectPr w:rsidR="00ED698D" w:rsidSect="009B7CC7">
          <w:headerReference w:type="default" r:id="rId49"/>
          <w:footnotePr>
            <w:numFmt w:val="lowerLetter"/>
          </w:footnotePr>
          <w:type w:val="continuous"/>
          <w:pgSz w:w="12240" w:h="15840"/>
          <w:pgMar w:top="1440" w:right="1440" w:bottom="1440" w:left="1440" w:header="86" w:footer="720" w:gutter="0"/>
          <w:cols w:space="720"/>
          <w:docGrid w:linePitch="360"/>
        </w:sectPr>
      </w:pPr>
    </w:p>
    <w:p w14:paraId="116A5E94" w14:textId="00D91332" w:rsidR="00ED698D" w:rsidRDefault="00ED698D" w:rsidP="00316CC1">
      <w:r w:rsidRPr="00B42CDC">
        <w:t>This measure reports chart reviews on a sample of live deliveries</w:t>
      </w:r>
      <w:r w:rsidR="000C6CD6">
        <w:t>, called hybrid reporting</w:t>
      </w:r>
      <w:r w:rsidRPr="00B42CDC">
        <w:t xml:space="preserve">. Samples include no more than 411 deliveries per CCO. For smaller CCOs, this sample captures all deliveries in that year. We use </w:t>
      </w:r>
      <w:r w:rsidR="000C6CD6">
        <w:t>hybrid reporting</w:t>
      </w:r>
      <w:r w:rsidRPr="00B42CDC">
        <w:t xml:space="preserve"> to capture bundled maternity care services that would otherwise be missed in administrative data.</w:t>
      </w:r>
      <w:r>
        <w:rPr>
          <w:rStyle w:val="FootnoteReference"/>
        </w:rPr>
        <w:footnoteReference w:id="10"/>
      </w:r>
    </w:p>
    <w:p w14:paraId="396E76C8" w14:textId="1CA23166" w:rsidR="00316CC1" w:rsidRPr="00316CC1" w:rsidRDefault="00316CC1" w:rsidP="00316CC1">
      <w:r w:rsidRPr="00316CC1">
        <w:t xml:space="preserve">From 2024 to 2025, CCO statewide </w:t>
      </w:r>
      <w:r w:rsidR="004B7481">
        <w:t xml:space="preserve">performance </w:t>
      </w:r>
      <w:r w:rsidRPr="00316CC1">
        <w:t>increased from 85.9 to 87.8</w:t>
      </w:r>
      <w:r w:rsidR="009B2934">
        <w:t xml:space="preserve"> percent</w:t>
      </w:r>
      <w:r w:rsidRPr="00316CC1">
        <w:t>.</w:t>
      </w:r>
      <w:r>
        <w:t xml:space="preserve"> </w:t>
      </w:r>
      <w:r w:rsidRPr="00316CC1">
        <w:t>This is one of the few measures where CCO performance</w:t>
      </w:r>
      <w:r>
        <w:t xml:space="preserve"> </w:t>
      </w:r>
      <w:r w:rsidRPr="00316CC1">
        <w:t>continued to improve during the pandemic.</w:t>
      </w:r>
    </w:p>
    <w:p w14:paraId="00C1ABB2" w14:textId="28E20A1B" w:rsidR="00316CC1" w:rsidRPr="00316CC1" w:rsidRDefault="00316CC1" w:rsidP="00316CC1">
      <w:r w:rsidRPr="00316CC1">
        <w:t>In 2025, all 16 CCOs met this measure, with 14 CCOs reaching the benchmark.</w:t>
      </w:r>
      <w:r>
        <w:t xml:space="preserve"> </w:t>
      </w:r>
      <w:r w:rsidRPr="00316CC1">
        <w:t>The range in CCO performance continued to narrow. This was the second smallest range</w:t>
      </w:r>
      <w:r>
        <w:t xml:space="preserve"> in CCO performance</w:t>
      </w:r>
      <w:r w:rsidRPr="00316CC1">
        <w:t xml:space="preserve"> among all incentive measures.</w:t>
      </w:r>
    </w:p>
    <w:p w14:paraId="1B6486DE" w14:textId="7805070B" w:rsidR="00316CC1" w:rsidRDefault="00316CC1" w:rsidP="00ED698D">
      <w:pPr>
        <w:spacing w:after="480"/>
        <w:sectPr w:rsidR="00316CC1" w:rsidSect="00DB6899">
          <w:footnotePr>
            <w:numFmt w:val="lowerLetter"/>
          </w:footnotePr>
          <w:type w:val="continuous"/>
          <w:pgSz w:w="12240" w:h="15840"/>
          <w:pgMar w:top="1440" w:right="1440" w:bottom="1440" w:left="1440" w:header="86" w:footer="720" w:gutter="0"/>
          <w:cols w:space="288"/>
          <w:docGrid w:linePitch="360"/>
        </w:sectPr>
      </w:pPr>
    </w:p>
    <w:p w14:paraId="7A96BF99" w14:textId="77777777" w:rsidR="00ED698D" w:rsidRDefault="00ED698D" w:rsidP="00833DBC">
      <w:pPr>
        <w:pStyle w:val="Heading2"/>
      </w:pPr>
      <w:bookmarkStart w:id="11" w:name="_Toc235090760"/>
      <w:r>
        <w:lastRenderedPageBreak/>
        <w:t>Care of Acute and Chronic Conditions</w:t>
      </w:r>
      <w:bookmarkEnd w:id="11"/>
    </w:p>
    <w:p w14:paraId="6846C47E" w14:textId="7DED05A3" w:rsidR="00931933" w:rsidRPr="006008B2" w:rsidRDefault="00931933" w:rsidP="00833DBC">
      <w:pPr>
        <w:pStyle w:val="Heading3"/>
      </w:pPr>
      <w:r w:rsidRPr="006008B2">
        <w:t>Diabetes Care: Hemoglobin A1c (HbA1c) Poor Control</w:t>
      </w:r>
    </w:p>
    <w:p w14:paraId="23C1E566" w14:textId="1E0E164E" w:rsidR="00B22C74" w:rsidRPr="00B22C74" w:rsidRDefault="007C08B7" w:rsidP="00B22C74">
      <w:pPr>
        <w:jc w:val="center"/>
      </w:pPr>
      <w:r>
        <w:rPr>
          <w:noProof/>
        </w:rPr>
        <w:drawing>
          <wp:inline distT="0" distB="0" distL="0" distR="0" wp14:anchorId="4708DB93" wp14:editId="38A22585">
            <wp:extent cx="4572000" cy="3017520"/>
            <wp:effectExtent l="0" t="0" r="0" b="0"/>
            <wp:docPr id="1891820232" name="Chart 1" descr="Chart showing CCO service rates over time for Diabetes Care: Hemoglobin A1c (HbA1c) Poor Control. A dark blue line shows the CCO statewide service rate. Dots show individual CCO service rates in each year. Orange dash marks show each year's benchmark. For this measure, a lower rate is better.">
              <a:extLst xmlns:a="http://schemas.openxmlformats.org/drawingml/2006/main">
                <a:ext uri="{FF2B5EF4-FFF2-40B4-BE49-F238E27FC236}">
                  <a16:creationId xmlns:a16="http://schemas.microsoft.com/office/drawing/2014/main" id="{FFAD45DF-3A9B-8406-7EFC-2DF14E3E62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6273EF9" w14:textId="34C457E9" w:rsidR="00ED698D" w:rsidRDefault="00ED698D" w:rsidP="00ED698D">
      <w:pPr>
        <w:sectPr w:rsidR="00ED698D" w:rsidSect="000D5D4C">
          <w:footnotePr>
            <w:numFmt w:val="lowerLetter"/>
          </w:footnotePr>
          <w:type w:val="continuous"/>
          <w:pgSz w:w="12240" w:h="15840"/>
          <w:pgMar w:top="1440" w:right="1440" w:bottom="1440" w:left="1440" w:header="86" w:footer="720" w:gutter="0"/>
          <w:cols w:space="720"/>
          <w:docGrid w:linePitch="360"/>
        </w:sectPr>
      </w:pPr>
      <w:r>
        <w:t>In 202</w:t>
      </w:r>
      <w:r w:rsidR="00FF501D">
        <w:t>5</w:t>
      </w:r>
      <w:r w:rsidRPr="00DA394E">
        <w:t>, the CCO Quality Incentive Program ha</w:t>
      </w:r>
      <w:r>
        <w:t>d</w:t>
      </w:r>
      <w:r w:rsidRPr="00DA394E">
        <w:t xml:space="preserve"> one</w:t>
      </w:r>
      <w:r w:rsidR="00CA5DBD">
        <w:t xml:space="preserve"> CMS Core Set</w:t>
      </w:r>
      <w:r w:rsidRPr="00DA394E">
        <w:t xml:space="preserve"> </w:t>
      </w:r>
      <w:r>
        <w:t>C</w:t>
      </w:r>
      <w:r w:rsidRPr="00DA394E">
        <w:t xml:space="preserve">are of </w:t>
      </w:r>
      <w:r>
        <w:t>A</w:t>
      </w:r>
      <w:r w:rsidRPr="00DA394E">
        <w:t xml:space="preserve">cute and </w:t>
      </w:r>
      <w:r>
        <w:t>C</w:t>
      </w:r>
      <w:r w:rsidRPr="00DA394E">
        <w:t xml:space="preserve">hronic </w:t>
      </w:r>
      <w:r>
        <w:t>C</w:t>
      </w:r>
      <w:r w:rsidRPr="00DA394E">
        <w:t xml:space="preserve">onditions </w:t>
      </w:r>
      <w:r w:rsidR="00FF501D">
        <w:t>measure</w:t>
      </w:r>
      <w:r w:rsidR="000E4198">
        <w:t>:</w:t>
      </w:r>
      <w:r w:rsidRPr="00DA394E">
        <w:t xml:space="preserve"> </w:t>
      </w:r>
      <w:r w:rsidRPr="000E4198">
        <w:rPr>
          <w:b/>
          <w:bCs/>
        </w:rPr>
        <w:t>Diabetes</w:t>
      </w:r>
      <w:r w:rsidR="00A6508E" w:rsidRPr="000E4198">
        <w:rPr>
          <w:b/>
          <w:bCs/>
        </w:rPr>
        <w:t xml:space="preserve"> Care</w:t>
      </w:r>
      <w:r w:rsidRPr="000E4198">
        <w:rPr>
          <w:b/>
          <w:bCs/>
        </w:rPr>
        <w:t>: H</w:t>
      </w:r>
      <w:r w:rsidR="00A6508E" w:rsidRPr="000E4198">
        <w:rPr>
          <w:b/>
          <w:bCs/>
        </w:rPr>
        <w:t>emoglobin A1c (H</w:t>
      </w:r>
      <w:r w:rsidRPr="000E4198">
        <w:rPr>
          <w:b/>
          <w:bCs/>
        </w:rPr>
        <w:t>bA1c</w:t>
      </w:r>
      <w:r w:rsidR="00A6508E" w:rsidRPr="000E4198">
        <w:rPr>
          <w:b/>
          <w:bCs/>
        </w:rPr>
        <w:t>)</w:t>
      </w:r>
      <w:r w:rsidRPr="000E4198">
        <w:rPr>
          <w:b/>
          <w:bCs/>
        </w:rPr>
        <w:t xml:space="preserve"> Poor Control</w:t>
      </w:r>
      <w:r w:rsidRPr="00DA394E">
        <w:t xml:space="preserve">. </w:t>
      </w:r>
      <w:r w:rsidR="00FF501D">
        <w:t>Diabetes is a leading cause of death and disability in the United States. Poor control of blood sugar (or glycemic status) can cause damage to the heart, eyes, kidneys and nerves.</w:t>
      </w:r>
      <w:r w:rsidR="001C103B">
        <w:t xml:space="preserve"> (</w:t>
      </w:r>
      <w:hyperlink w:anchor="_Appendix_E:_Citations" w:history="1">
        <w:r w:rsidR="001C103B" w:rsidRPr="006A61F2">
          <w:rPr>
            <w:rStyle w:val="Hyperlink"/>
          </w:rPr>
          <w:t>3</w:t>
        </w:r>
      </w:hyperlink>
      <w:r w:rsidR="001C103B">
        <w:t>)</w:t>
      </w:r>
    </w:p>
    <w:p w14:paraId="70AA42FC" w14:textId="7DC83DB9" w:rsidR="001F53C3" w:rsidRDefault="00ED698D" w:rsidP="00895442">
      <w:r w:rsidRPr="00CB0690">
        <w:t>This measure looks at the percentage of adult CCO members who have diabetes and whose blood sugars were poorly controlled or were not laboratory tested</w:t>
      </w:r>
      <w:r w:rsidR="00895442">
        <w:t>. A</w:t>
      </w:r>
      <w:r w:rsidRPr="00CB0690">
        <w:t xml:space="preserve"> lower rate is better for this measure. </w:t>
      </w:r>
    </w:p>
    <w:p w14:paraId="16ADE534" w14:textId="799E8E96" w:rsidR="00ED698D" w:rsidRPr="00895442" w:rsidRDefault="00ED698D" w:rsidP="00895442">
      <w:r w:rsidRPr="00CB0690">
        <w:t>This measure uses electronic health records (EHR)</w:t>
      </w:r>
      <w:r w:rsidR="0072543D">
        <w:t xml:space="preserve"> data</w:t>
      </w:r>
      <w:r w:rsidRPr="00CB0690">
        <w:t xml:space="preserve"> for reporting. EHR reporting includes </w:t>
      </w:r>
      <w:r w:rsidRPr="00895442">
        <w:t>aggregate service counts from health care organizations/practices or providers.</w:t>
      </w:r>
    </w:p>
    <w:p w14:paraId="420C19AB" w14:textId="15E5E848" w:rsidR="00895442" w:rsidRPr="00895442" w:rsidRDefault="00895442" w:rsidP="00895442">
      <w:r w:rsidRPr="00895442">
        <w:t>CCO statewide performance slightly improved from 2024 to 2025.</w:t>
      </w:r>
      <w:r>
        <w:t xml:space="preserve"> </w:t>
      </w:r>
      <w:r w:rsidRPr="00895442">
        <w:t xml:space="preserve">After worsening </w:t>
      </w:r>
      <w:r w:rsidR="005F575C">
        <w:t xml:space="preserve">by </w:t>
      </w:r>
      <w:r w:rsidRPr="00895442">
        <w:t>35</w:t>
      </w:r>
      <w:r w:rsidR="009B2934">
        <w:t xml:space="preserve"> percent</w:t>
      </w:r>
      <w:r w:rsidRPr="00895442">
        <w:t xml:space="preserve"> in 2020, 2025 was the first year CCO statewide performance reached pre-pandemic levels.</w:t>
      </w:r>
      <w:r>
        <w:t xml:space="preserve"> </w:t>
      </w:r>
      <w:r w:rsidR="00A97EA2">
        <w:t>T</w:t>
      </w:r>
      <w:r w:rsidRPr="00895442">
        <w:t>his is the best CCO</w:t>
      </w:r>
      <w:r w:rsidR="00A97EA2">
        <w:t xml:space="preserve"> </w:t>
      </w:r>
      <w:r w:rsidRPr="00895442">
        <w:t>s</w:t>
      </w:r>
      <w:r w:rsidR="00A97EA2">
        <w:t>tatewide</w:t>
      </w:r>
      <w:r w:rsidRPr="00895442">
        <w:t xml:space="preserve"> </w:t>
      </w:r>
      <w:r w:rsidR="00A97EA2">
        <w:t xml:space="preserve">performance </w:t>
      </w:r>
      <w:r w:rsidRPr="00895442">
        <w:t>on this measure since it was first incentivized in 2014.</w:t>
      </w:r>
    </w:p>
    <w:p w14:paraId="7EE468AE" w14:textId="27A37443" w:rsidR="00895442" w:rsidRPr="00895442" w:rsidRDefault="00895442" w:rsidP="00895442">
      <w:r w:rsidRPr="00895442">
        <w:t xml:space="preserve">Nine </w:t>
      </w:r>
      <w:r>
        <w:t xml:space="preserve">out of 16 </w:t>
      </w:r>
      <w:r w:rsidRPr="00895442">
        <w:t>CCOs met this measure, with seven reaching the benchmark.</w:t>
      </w:r>
      <w:r>
        <w:t xml:space="preserve"> </w:t>
      </w:r>
      <w:r w:rsidRPr="00895442">
        <w:t>Ten CCOs improved or slightly improved from 2024 to 2025. Six CCOs improved by 12</w:t>
      </w:r>
      <w:r w:rsidR="009B2934">
        <w:t xml:space="preserve"> percent</w:t>
      </w:r>
      <w:r w:rsidRPr="00895442">
        <w:t xml:space="preserve"> or more from 2024 to 2025.</w:t>
      </w:r>
      <w:r>
        <w:t xml:space="preserve"> </w:t>
      </w:r>
      <w:r w:rsidRPr="00895442">
        <w:t xml:space="preserve">The range in CCO performance widened compared with the prior two years due to a worsening rate by the </w:t>
      </w:r>
      <w:r w:rsidR="00FB0945">
        <w:t xml:space="preserve">lowest </w:t>
      </w:r>
      <w:r w:rsidRPr="00895442">
        <w:t>performing CCO.</w:t>
      </w:r>
    </w:p>
    <w:p w14:paraId="572DDDB3" w14:textId="01CAF3ED" w:rsidR="00895442" w:rsidRDefault="00895442" w:rsidP="00ED698D">
      <w:pPr>
        <w:spacing w:after="480"/>
        <w:sectPr w:rsidR="00895442" w:rsidSect="00ED698D">
          <w:footnotePr>
            <w:numFmt w:val="lowerLetter"/>
          </w:footnotePr>
          <w:type w:val="continuous"/>
          <w:pgSz w:w="12240" w:h="15840"/>
          <w:pgMar w:top="1440" w:right="1440" w:bottom="1440" w:left="1440" w:header="86" w:footer="86" w:gutter="0"/>
          <w:cols w:space="288"/>
          <w:docGrid w:linePitch="360"/>
        </w:sectPr>
      </w:pPr>
    </w:p>
    <w:p w14:paraId="521016B8" w14:textId="77777777" w:rsidR="00925BC1" w:rsidRDefault="00925BC1">
      <w:pPr>
        <w:spacing w:line="278" w:lineRule="auto"/>
        <w:rPr>
          <w:rFonts w:asciiTheme="majorHAnsi" w:eastAsiaTheme="majorEastAsia" w:hAnsiTheme="majorHAnsi" w:cstheme="majorBidi"/>
          <w:color w:val="0F4761" w:themeColor="accent1" w:themeShade="BF"/>
          <w:sz w:val="32"/>
          <w:szCs w:val="32"/>
        </w:rPr>
      </w:pPr>
      <w:r>
        <w:br w:type="page"/>
      </w:r>
    </w:p>
    <w:p w14:paraId="159EF21F" w14:textId="4F88E6EE" w:rsidR="00ED698D" w:rsidRPr="006008B2" w:rsidRDefault="00ED698D" w:rsidP="00833DBC">
      <w:pPr>
        <w:pStyle w:val="Heading2"/>
      </w:pPr>
      <w:bookmarkStart w:id="12" w:name="_Toc235090761"/>
      <w:r w:rsidRPr="006008B2">
        <w:lastRenderedPageBreak/>
        <w:t>Behavioral Health Care</w:t>
      </w:r>
      <w:bookmarkEnd w:id="12"/>
    </w:p>
    <w:p w14:paraId="4082B305" w14:textId="3E1136AA" w:rsidR="00ED698D" w:rsidRDefault="00ED698D" w:rsidP="0050494A">
      <w:pPr>
        <w:spacing w:after="240"/>
        <w:sectPr w:rsidR="00ED698D" w:rsidSect="009938E0">
          <w:footnotePr>
            <w:numFmt w:val="lowerLetter"/>
          </w:footnotePr>
          <w:type w:val="continuous"/>
          <w:pgSz w:w="12240" w:h="15840"/>
          <w:pgMar w:top="1440" w:right="1440" w:bottom="1440" w:left="1440" w:header="86" w:footer="720" w:gutter="0"/>
          <w:cols w:space="288"/>
          <w:docGrid w:linePitch="360"/>
        </w:sectPr>
      </w:pPr>
      <w:r w:rsidRPr="002313CD">
        <w:t>Behavioral health has been a major focus area for OHA, CCOs and community partners.</w:t>
      </w:r>
      <w:r>
        <w:t xml:space="preserve"> OHA is supporting quality improvement for one </w:t>
      </w:r>
      <w:r w:rsidR="008D6639">
        <w:t>incentive</w:t>
      </w:r>
      <w:r>
        <w:t xml:space="preserve"> measure,</w:t>
      </w:r>
      <w:r w:rsidRPr="00514FD4">
        <w:rPr>
          <w:b/>
          <w:bCs/>
        </w:rPr>
        <w:t xml:space="preserve"> </w:t>
      </w:r>
      <w:r w:rsidRPr="00514FD4">
        <w:t>Initiation and Engagement of Substance Use Disorder (SUD) treatment</w:t>
      </w:r>
      <w:r>
        <w:t xml:space="preserve">, through the </w:t>
      </w:r>
      <w:hyperlink r:id="rId51">
        <w:r w:rsidRPr="4E4C99DB">
          <w:rPr>
            <w:rStyle w:val="Hyperlink"/>
          </w:rPr>
          <w:t>Statewide Performance Improvement Project</w:t>
        </w:r>
      </w:hyperlink>
      <w:r w:rsidR="0050494A">
        <w:t xml:space="preserve">. </w:t>
      </w:r>
    </w:p>
    <w:p w14:paraId="4CCDF789" w14:textId="1EF2E007" w:rsidR="00931933" w:rsidRPr="006008B2" w:rsidRDefault="00931933" w:rsidP="00833DBC">
      <w:pPr>
        <w:pStyle w:val="Heading3"/>
      </w:pPr>
      <w:r w:rsidRPr="006008B2">
        <w:t>Initiation and Engagement of Substance Use Disorder (SUD) treatment</w:t>
      </w:r>
    </w:p>
    <w:p w14:paraId="274CE1CB" w14:textId="35FB8E8A" w:rsidR="00ED698D" w:rsidRDefault="00ED698D" w:rsidP="00ED698D">
      <w:pPr>
        <w:spacing w:after="120"/>
      </w:pPr>
      <w:r w:rsidRPr="000E4198">
        <w:rPr>
          <w:b/>
          <w:bCs/>
        </w:rPr>
        <w:t>Initiation and Engagement of SUD treatment</w:t>
      </w:r>
      <w:r w:rsidRPr="00931933">
        <w:t xml:space="preserve"> has</w:t>
      </w:r>
      <w:r>
        <w:t xml:space="preserve"> two components that CCOs must meet to pass th</w:t>
      </w:r>
      <w:r w:rsidR="00494D14">
        <w:t>is</w:t>
      </w:r>
      <w:r>
        <w:t xml:space="preserve"> measure</w:t>
      </w:r>
      <w:r w:rsidRPr="00E26F45">
        <w:t>:</w:t>
      </w:r>
    </w:p>
    <w:p w14:paraId="4B7EE450" w14:textId="4183A923" w:rsidR="00ED698D" w:rsidRPr="008D6639" w:rsidRDefault="00ED698D" w:rsidP="00CD585D">
      <w:pPr>
        <w:pStyle w:val="ListParagraph"/>
        <w:numPr>
          <w:ilvl w:val="0"/>
          <w:numId w:val="8"/>
        </w:numPr>
      </w:pPr>
      <w:r w:rsidRPr="008D6639">
        <w:rPr>
          <w:b/>
          <w:bCs/>
        </w:rPr>
        <w:t>Initiation:</w:t>
      </w:r>
      <w:r w:rsidRPr="008D6639">
        <w:t xml:space="preserve"> Among adults, percentage of new SUD diagnoses followed by treatment within 14 days of initial diagnosis.</w:t>
      </w:r>
      <w:r w:rsidR="00F02AF9">
        <w:rPr>
          <w:rStyle w:val="FootnoteReference"/>
        </w:rPr>
        <w:footnoteReference w:id="11"/>
      </w:r>
    </w:p>
    <w:p w14:paraId="5E09BA69" w14:textId="0B2C1313" w:rsidR="00ED698D" w:rsidRPr="008D6639" w:rsidRDefault="00ED698D" w:rsidP="00CD585D">
      <w:pPr>
        <w:pStyle w:val="ListParagraph"/>
        <w:numPr>
          <w:ilvl w:val="0"/>
          <w:numId w:val="8"/>
        </w:numPr>
      </w:pPr>
      <w:r w:rsidRPr="008D6639">
        <w:rPr>
          <w:b/>
          <w:bCs/>
        </w:rPr>
        <w:t>Engagement:</w:t>
      </w:r>
      <w:r w:rsidRPr="008D6639">
        <w:t xml:space="preserve"> Among adults, percentage of new SUD diagnoses followed by two engagement visits or medication treatments within 34 days of initial treatment.</w:t>
      </w:r>
      <w:r w:rsidR="00F02AF9" w:rsidRPr="00F02AF9">
        <w:rPr>
          <w:vertAlign w:val="superscript"/>
        </w:rPr>
        <w:t>k</w:t>
      </w:r>
    </w:p>
    <w:p w14:paraId="3F17AB11" w14:textId="5381BB71" w:rsidR="008D6639" w:rsidRDefault="008D6639" w:rsidP="008D6639">
      <w:r w:rsidRPr="008D6639">
        <w:t xml:space="preserve">Seven CCOs met both components in 2025. One CCO </w:t>
      </w:r>
      <w:r w:rsidR="00FF27F8">
        <w:t xml:space="preserve">performed </w:t>
      </w:r>
      <w:r w:rsidRPr="008D6639">
        <w:t>worse on both components</w:t>
      </w:r>
      <w:r w:rsidR="00FF27F8">
        <w:t xml:space="preserve">, which </w:t>
      </w:r>
      <w:r w:rsidRPr="008D6639">
        <w:t>was a notable outlier.</w:t>
      </w:r>
    </w:p>
    <w:p w14:paraId="7C6C6F01" w14:textId="5AC7E704" w:rsidR="00494D14" w:rsidRPr="008D6639" w:rsidRDefault="00C0296C" w:rsidP="00494D14">
      <w:pPr>
        <w:jc w:val="center"/>
      </w:pPr>
      <w:r>
        <w:rPr>
          <w:noProof/>
        </w:rPr>
        <mc:AlternateContent>
          <mc:Choice Requires="wpg">
            <w:drawing>
              <wp:inline distT="0" distB="0" distL="0" distR="0" wp14:anchorId="1EEE5FA5" wp14:editId="4C2E4F61">
                <wp:extent cx="4572000" cy="3200400"/>
                <wp:effectExtent l="0" t="0" r="0" b="0"/>
                <wp:docPr id="2065363712" name="Group 5" descr="Chart showing CCO service rates over time for Initiation and Engagement of SUD treatment: Initiation. A dark blue line shows the CCO statewide service rate. Dots show individual CCO service rates in each year. Orange dash marks show each year's benchmark. A dashed vertical line shows a measure change in 2022."/>
                <wp:cNvGraphicFramePr/>
                <a:graphic xmlns:a="http://schemas.openxmlformats.org/drawingml/2006/main">
                  <a:graphicData uri="http://schemas.microsoft.com/office/word/2010/wordprocessingGroup">
                    <wpg:wgp>
                      <wpg:cNvGrpSpPr/>
                      <wpg:grpSpPr>
                        <a:xfrm>
                          <a:off x="0" y="0"/>
                          <a:ext cx="4572000" cy="3200400"/>
                          <a:chOff x="0" y="0"/>
                          <a:chExt cx="4572000" cy="3017520"/>
                        </a:xfrm>
                      </wpg:grpSpPr>
                      <wpg:graphicFrame>
                        <wpg:cNvPr id="1278136043" name="Chart 1278136043"/>
                        <wpg:cNvFrPr>
                          <a:graphicFrameLocks/>
                        </wpg:cNvFrPr>
                        <wpg:xfrm>
                          <a:off x="0" y="0"/>
                          <a:ext cx="4572000" cy="3017520"/>
                        </wpg:xfrm>
                        <a:graphic>
                          <a:graphicData uri="http://schemas.openxmlformats.org/drawingml/2006/chart">
                            <c:chart xmlns:c="http://schemas.openxmlformats.org/drawingml/2006/chart" xmlns:r="http://schemas.openxmlformats.org/officeDocument/2006/relationships" r:id="rId52"/>
                          </a:graphicData>
                        </a:graphic>
                      </wpg:graphicFrame>
                      <wps:wsp>
                        <wps:cNvPr id="1504360862" name="TextBox 3"/>
                        <wps:cNvSpPr txBox="1"/>
                        <wps:spPr>
                          <a:xfrm>
                            <a:off x="2981325" y="2686049"/>
                            <a:ext cx="1241425" cy="304746"/>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3BEBC79" w14:textId="35727EC1" w:rsidR="00C0296C" w:rsidRDefault="00C0296C">
                              <w:pPr>
                                <w:rPr>
                                  <w:rFonts w:hAnsi="Aptos"/>
                                  <w:b/>
                                  <w:kern w:val="0"/>
                                  <w:sz w:val="22"/>
                                  <w14:ligatures w14:val="none"/>
                                </w:rPr>
                              </w:pPr>
                              <w:r>
                                <w:rPr>
                                  <w:rFonts w:hAnsi="Aptos"/>
                                  <w:b/>
                                  <w:bCs/>
                                  <w:color w:val="606060"/>
                                  <w:sz w:val="22"/>
                                </w:rPr>
                                <w:t>¦</w:t>
                              </w:r>
                              <w:r>
                                <w:rPr>
                                  <w:rFonts w:hAnsi="Aptos"/>
                                  <w:b/>
                                  <w:bCs/>
                                  <w:color w:val="000000" w:themeColor="text1"/>
                                  <w:sz w:val="22"/>
                                </w:rPr>
                                <w:t xml:space="preserve"> </w:t>
                              </w:r>
                              <w:r w:rsidRPr="00C0296C">
                                <w:rPr>
                                  <w:rFonts w:hAnsi="Aptos"/>
                                  <w:color w:val="000000" w:themeColor="text1"/>
                                  <w:sz w:val="22"/>
                                </w:rPr>
                                <w:t>Measure change</w:t>
                              </w:r>
                            </w:p>
                          </w:txbxContent>
                        </wps:txbx>
                        <wps:bodyPr wrap="none" rtlCol="0" anchor="t">
                          <a:noAutofit/>
                        </wps:bodyPr>
                      </wps:wsp>
                    </wpg:wgp>
                  </a:graphicData>
                </a:graphic>
              </wp:inline>
            </w:drawing>
          </mc:Choice>
          <mc:Fallback>
            <w:pict>
              <v:group w14:anchorId="1EEE5FA5" id="_x0000_s1045" alt="Chart showing CCO service rates over time for Initiation and Engagement of SUD treatment: Initiation. A dark blue line shows the CCO statewide service rate. Dots show individual CCO service rates in each year. Orange dash marks show each year's benchmark. A dashed vertical line shows a measure change in 2022." style="width:5in;height:252pt;mso-position-horizontal-relative:char;mso-position-vertical-relative:line" coordsize="45720,30175"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">
                <v:shape id="Chart 1278136043" o:spid="_x0000_s1046" type="#_x0000_t75" style="position:absolute;width:45720;height:30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">
                  <v:imagedata r:id="rId53" o:title=""/>
                  <o:lock v:ext="edit" aspectratio="f"/>
                </v:shape>
                <v:shape id="TextBox 3" o:spid="_x0000_s1047" type="#_x0000_t202" style="position:absolute;left:29813;top:26860;width:12414;height:30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" filled="f" stroked="f">
                  <v:textbox>
                    <w:txbxContent>
                      <w:p w14:paraId="13BEBC79" w14:textId="35727EC1" w:rsidR="00C0296C" w:rsidRDefault="00C0296C">
                        <w:pPr>
                          <w:rPr>
                            <w:rFonts w:hAnsi="Aptos"/>
                            <w:b/>
                            <w:kern w:val="0"/>
                            <w:sz w:val="22"/>
                            <w14:ligatures w14:val="none"/>
                          </w:rPr>
                        </w:pPr>
                        <w:r>
                          <w:rPr>
                            <w:rFonts w:hAnsi="Aptos"/>
                            <w:b/>
                            <w:bCs/>
                            <w:color w:val="606060"/>
                            <w:sz w:val="22"/>
                          </w:rPr>
                          <w:t>¦</w:t>
                        </w:r>
                        <w:r>
                          <w:rPr>
                            <w:rFonts w:hAnsi="Aptos"/>
                            <w:b/>
                            <w:bCs/>
                            <w:color w:val="000000" w:themeColor="text1"/>
                            <w:sz w:val="22"/>
                          </w:rPr>
                          <w:t xml:space="preserve"> </w:t>
                        </w:r>
                        <w:r w:rsidRPr="00C0296C">
                          <w:rPr>
                            <w:rFonts w:hAnsi="Aptos"/>
                            <w:color w:val="000000" w:themeColor="text1"/>
                            <w:sz w:val="22"/>
                          </w:rPr>
                          <w:t>Measure change</w:t>
                        </w:r>
                      </w:p>
                    </w:txbxContent>
                  </v:textbox>
                </v:shape>
                <w10:anchorlock/>
              </v:group>
            </w:pict>
          </mc:Fallback>
        </mc:AlternateContent>
      </w:r>
    </w:p>
    <w:p w14:paraId="7C41A56F" w14:textId="67856B3F" w:rsidR="003A3C25" w:rsidRDefault="003A3C25" w:rsidP="003A3C25">
      <w:r>
        <w:t>For</w:t>
      </w:r>
      <w:r w:rsidRPr="003A3C25">
        <w:rPr>
          <w:b/>
          <w:bCs/>
        </w:rPr>
        <w:t xml:space="preserve"> Initiation</w:t>
      </w:r>
      <w:r>
        <w:t xml:space="preserve">, </w:t>
      </w:r>
      <w:r w:rsidRPr="003A3C25">
        <w:t>CCO statewide performance held steady from 2024 to 2025.</w:t>
      </w:r>
      <w:r>
        <w:t xml:space="preserve"> </w:t>
      </w:r>
      <w:r w:rsidRPr="003A3C25">
        <w:t>Seven CCOs met this component, with one reaching the benchmark.</w:t>
      </w:r>
      <w:r>
        <w:t xml:space="preserve"> Additionally, e</w:t>
      </w:r>
      <w:r w:rsidRPr="003A3C25">
        <w:t xml:space="preserve">ight CCOs improved </w:t>
      </w:r>
      <w:r w:rsidRPr="003A3C25">
        <w:lastRenderedPageBreak/>
        <w:t>or slightly improved from 2024 to 2025.</w:t>
      </w:r>
      <w:r>
        <w:t xml:space="preserve"> </w:t>
      </w:r>
      <w:r w:rsidRPr="003A3C25">
        <w:t>The range in CCO performance widened from 2024 to 2025. This change was primarily due to a worsening rate by the lowest-performing CCO.</w:t>
      </w:r>
    </w:p>
    <w:p w14:paraId="30122893" w14:textId="07A82215" w:rsidR="00494D14" w:rsidRDefault="00302C15" w:rsidP="00494D14">
      <w:pPr>
        <w:jc w:val="center"/>
      </w:pPr>
      <w:r>
        <w:rPr>
          <w:noProof/>
        </w:rPr>
        <w:drawing>
          <wp:inline distT="0" distB="0" distL="0" distR="0" wp14:anchorId="583028FD" wp14:editId="16E7CFB4">
            <wp:extent cx="4572000" cy="3200400"/>
            <wp:effectExtent l="0" t="0" r="0" b="0"/>
            <wp:docPr id="1960096041" name="Chart 1" descr="Chart showing CCO service rates over time for Initiation and Engagement of SUD treatment: Engagement. A dark blue line shows the CCO statewide service rate. Dots show individual CCO service rates in each year. Orange dash marks show each year's benchmark. A dashed vertical line shows a measure change in 2022.">
              <a:extLst xmlns:a="http://schemas.openxmlformats.org/drawingml/2006/main">
                <a:ext uri="{FF2B5EF4-FFF2-40B4-BE49-F238E27FC236}">
                  <a16:creationId xmlns:a16="http://schemas.microsoft.com/office/drawing/2014/main" id="{673ABED1-F8C6-4A80-804C-6E9B6FEF35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2A0CDCE" w14:textId="3F7AEDDB" w:rsidR="008D6639" w:rsidRDefault="003A3C25" w:rsidP="008D6639">
      <w:r w:rsidRPr="003A3C25">
        <w:t xml:space="preserve">For </w:t>
      </w:r>
      <w:r w:rsidRPr="003A3C25">
        <w:rPr>
          <w:b/>
          <w:bCs/>
        </w:rPr>
        <w:t>Engagement</w:t>
      </w:r>
      <w:r w:rsidRPr="003A3C25">
        <w:t>, CCO statewide performance slightly improved</w:t>
      </w:r>
      <w:r>
        <w:t xml:space="preserve"> from 2024 to 2025</w:t>
      </w:r>
      <w:r w:rsidRPr="003A3C25">
        <w:t xml:space="preserve">. </w:t>
      </w:r>
      <w:r>
        <w:t>Seven</w:t>
      </w:r>
      <w:r w:rsidRPr="003A3C25">
        <w:t xml:space="preserve"> CCOs met this component, with four reaching the benchmark.</w:t>
      </w:r>
      <w:r>
        <w:t xml:space="preserve"> Eleven</w:t>
      </w:r>
      <w:r w:rsidRPr="003A3C25">
        <w:t xml:space="preserve"> CCOs improved or slightly improved</w:t>
      </w:r>
      <w:r>
        <w:t xml:space="preserve">, with five CCOs improving by </w:t>
      </w:r>
      <w:r w:rsidR="00BE3360">
        <w:t xml:space="preserve">ten </w:t>
      </w:r>
      <w:r>
        <w:t>percent or more.</w:t>
      </w:r>
      <w:r w:rsidR="003A1D48">
        <w:t xml:space="preserve"> </w:t>
      </w:r>
      <w:r w:rsidRPr="003A3C25">
        <w:t>The range in CCO performance widened from 2024 to 2025. This change was primarily due to a worsening rate by the lowest-performing CCO.</w:t>
      </w:r>
    </w:p>
    <w:p w14:paraId="312E7673" w14:textId="5E82EDB2" w:rsidR="00C864CA" w:rsidRPr="006008B2" w:rsidRDefault="00C864CA" w:rsidP="00833DBC">
      <w:pPr>
        <w:pStyle w:val="Heading3"/>
      </w:pPr>
      <w:r w:rsidRPr="006008B2">
        <w:t>Screening for Depression and Follow-Up Plan</w:t>
      </w:r>
    </w:p>
    <w:p w14:paraId="320F5981" w14:textId="55888AF8" w:rsidR="00F16E10" w:rsidRPr="00F16E10" w:rsidRDefault="00FC158E" w:rsidP="00F16E10">
      <w:pPr>
        <w:jc w:val="center"/>
      </w:pPr>
      <w:r>
        <w:rPr>
          <w:noProof/>
        </w:rPr>
        <w:drawing>
          <wp:inline distT="0" distB="0" distL="0" distR="0" wp14:anchorId="72481D77" wp14:editId="04A53AFA">
            <wp:extent cx="4572000" cy="3017520"/>
            <wp:effectExtent l="0" t="0" r="0" b="0"/>
            <wp:docPr id="394310437" name="Chart 1" descr="Chart showing CCO service rates over time for Initiation and Screening for Depression and Follow-Up Plan. A dark blue line shows the CCO statewide service rate. Dots show individual CCO service rates in each year. Orange dash marks show each year's benchmark. A dashed vertical line shows a measure change in 2019.">
              <a:extLst xmlns:a="http://schemas.openxmlformats.org/drawingml/2006/main">
                <a:ext uri="{FF2B5EF4-FFF2-40B4-BE49-F238E27FC236}">
                  <a16:creationId xmlns:a16="http://schemas.microsoft.com/office/drawing/2014/main" id="{65BFC948-EB27-4977-8ACC-AFCF09848C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2261050" w14:textId="229E4B7C" w:rsidR="00ED698D" w:rsidRDefault="00ED698D" w:rsidP="00ED698D">
      <w:r w:rsidRPr="000E4198">
        <w:rPr>
          <w:b/>
          <w:bCs/>
        </w:rPr>
        <w:lastRenderedPageBreak/>
        <w:t>Screening for Depression and Follow-Up Plan</w:t>
      </w:r>
      <w:r>
        <w:rPr>
          <w:b/>
          <w:bCs/>
        </w:rPr>
        <w:t xml:space="preserve"> </w:t>
      </w:r>
      <w:r w:rsidRPr="008E36EE">
        <w:t>measures the percentage of members age</w:t>
      </w:r>
      <w:r w:rsidR="007836FF">
        <w:t>d</w:t>
      </w:r>
      <w:r w:rsidRPr="008E36EE">
        <w:t xml:space="preserve"> 12 and older who had appropriate screening and follow-up planning for depression.</w:t>
      </w:r>
      <w:r w:rsidR="00D07DBE">
        <w:rPr>
          <w:rStyle w:val="FootnoteReference"/>
        </w:rPr>
        <w:footnoteReference w:id="12"/>
      </w:r>
      <w:r>
        <w:t xml:space="preserve"> </w:t>
      </w:r>
      <w:r w:rsidRPr="00CB0690">
        <w:t>This measure use</w:t>
      </w:r>
      <w:r>
        <w:t>s</w:t>
      </w:r>
      <w:r w:rsidRPr="00CB0690">
        <w:t xml:space="preserve"> </w:t>
      </w:r>
      <w:r>
        <w:t>EHR</w:t>
      </w:r>
      <w:r w:rsidRPr="00CB0690">
        <w:t xml:space="preserve"> reporting</w:t>
      </w:r>
      <w:r>
        <w:t>, which</w:t>
      </w:r>
      <w:r w:rsidRPr="00CB0690">
        <w:t xml:space="preserve"> includes aggregate service counts from health care organizations/practices or providers</w:t>
      </w:r>
      <w:r>
        <w:t>.</w:t>
      </w:r>
      <w:r w:rsidR="00DB6899">
        <w:t xml:space="preserve"> </w:t>
      </w:r>
    </w:p>
    <w:p w14:paraId="146F774A" w14:textId="29656CE9" w:rsidR="00C13CDA" w:rsidRDefault="00C13CDA" w:rsidP="00C13CDA">
      <w:r w:rsidRPr="00C13CDA">
        <w:t>CCO statewide performance slightly improved from 2024 to 2025, continuing to rise above the 2019 pre-pandemic rate.</w:t>
      </w:r>
      <w:r>
        <w:t xml:space="preserve"> Fourteen </w:t>
      </w:r>
      <w:r w:rsidRPr="00C13CDA">
        <w:t>out of 16 CCOs met this measure, with eight reaching the benchmark.</w:t>
      </w:r>
      <w:r>
        <w:t xml:space="preserve"> Thirteen </w:t>
      </w:r>
      <w:r w:rsidRPr="00C13CDA">
        <w:t>CCOs improved or slightly improved</w:t>
      </w:r>
      <w:r>
        <w:t>, with f</w:t>
      </w:r>
      <w:r w:rsidRPr="00C13CDA">
        <w:t xml:space="preserve">ive CCOs </w:t>
      </w:r>
      <w:r>
        <w:t xml:space="preserve">improving by </w:t>
      </w:r>
      <w:r w:rsidR="00567B9E">
        <w:t xml:space="preserve">ten </w:t>
      </w:r>
      <w:r w:rsidR="009B2934">
        <w:t>percent</w:t>
      </w:r>
      <w:r>
        <w:t xml:space="preserve"> or more.</w:t>
      </w:r>
    </w:p>
    <w:p w14:paraId="0C0F9FDC" w14:textId="20CC61AA" w:rsidR="001649E7" w:rsidRPr="001649E7" w:rsidRDefault="001649E7" w:rsidP="001649E7">
      <w:r w:rsidRPr="001649E7">
        <w:t xml:space="preserve">This measure </w:t>
      </w:r>
      <w:r w:rsidR="00E90C79">
        <w:t xml:space="preserve">has </w:t>
      </w:r>
      <w:r w:rsidRPr="001649E7">
        <w:t>a wider range in CCO performance compared with other measures.</w:t>
      </w:r>
      <w:r>
        <w:t xml:space="preserve"> </w:t>
      </w:r>
      <w:r w:rsidRPr="001649E7">
        <w:t>The range in CCO performance widened from 2024 but remained closer than prior years.</w:t>
      </w:r>
      <w:r>
        <w:t xml:space="preserve"> </w:t>
      </w:r>
      <w:r w:rsidRPr="001649E7">
        <w:t xml:space="preserve">This </w:t>
      </w:r>
      <w:r w:rsidR="00E90C79" w:rsidRPr="001649E7">
        <w:t>wide</w:t>
      </w:r>
      <w:r w:rsidR="00E90C79">
        <w:t>r range</w:t>
      </w:r>
      <w:r w:rsidR="00E90C79" w:rsidRPr="001649E7">
        <w:t xml:space="preserve"> </w:t>
      </w:r>
      <w:r w:rsidRPr="001649E7">
        <w:t>was primarily due to improvements among the top performing CCOs.</w:t>
      </w:r>
    </w:p>
    <w:p w14:paraId="77446F94" w14:textId="77777777" w:rsidR="00ED698D" w:rsidRDefault="00ED698D" w:rsidP="00833DBC">
      <w:pPr>
        <w:pStyle w:val="Heading2"/>
      </w:pPr>
      <w:bookmarkStart w:id="13" w:name="_Toc235090762"/>
      <w:r>
        <w:t>Dental and Oral Health Services</w:t>
      </w:r>
      <w:bookmarkEnd w:id="13"/>
    </w:p>
    <w:p w14:paraId="1F0EBB72" w14:textId="7CFA581B" w:rsidR="00C864CA" w:rsidRPr="006008B2" w:rsidRDefault="00C864CA" w:rsidP="00833DBC">
      <w:pPr>
        <w:pStyle w:val="Heading3"/>
      </w:pPr>
      <w:r w:rsidRPr="006008B2">
        <w:t>Adults with Diabetes – Oral Evaluation</w:t>
      </w:r>
    </w:p>
    <w:p w14:paraId="3AD448D1" w14:textId="6F7D0C7A" w:rsidR="005C7AE2" w:rsidRPr="005C7AE2" w:rsidRDefault="00A32AAB" w:rsidP="005C7AE2">
      <w:pPr>
        <w:jc w:val="center"/>
      </w:pPr>
      <w:r>
        <w:rPr>
          <w:noProof/>
        </w:rPr>
        <w:drawing>
          <wp:inline distT="0" distB="0" distL="0" distR="0" wp14:anchorId="48B8CA2E" wp14:editId="19184466">
            <wp:extent cx="4572000" cy="3017520"/>
            <wp:effectExtent l="0" t="0" r="0" b="0"/>
            <wp:docPr id="1570299150" name="Chart 1" descr="Chart showing CCO service rates over time for Adults with Diabetes - Oral Evaluation. A dark blue line shows the CCO statewide service rate. Dots show individual CCO service rates in each year. Orange dash marks show each year's benchmark.">
              <a:extLst xmlns:a="http://schemas.openxmlformats.org/drawingml/2006/main">
                <a:ext uri="{FF2B5EF4-FFF2-40B4-BE49-F238E27FC236}">
                  <a16:creationId xmlns:a16="http://schemas.microsoft.com/office/drawing/2014/main" id="{695FB9DA-5C8B-42CD-B05F-4C2751168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FB08C0E" w14:textId="4C8CA3A7" w:rsidR="00ED698D" w:rsidRDefault="69DC2157" w:rsidP="00F620C6">
      <w:pPr>
        <w:spacing w:after="240"/>
      </w:pPr>
      <w:r>
        <w:t>In 2025, the CCO Quality Incentive Program had one</w:t>
      </w:r>
      <w:r w:rsidR="000C4B4A">
        <w:t xml:space="preserve"> CMS Core Set</w:t>
      </w:r>
      <w:r>
        <w:t xml:space="preserve"> Dental and Oral Health Services measure</w:t>
      </w:r>
      <w:r w:rsidR="0CAAF624">
        <w:t>:</w:t>
      </w:r>
      <w:r>
        <w:t xml:space="preserve"> </w:t>
      </w:r>
      <w:r w:rsidRPr="000C4B4A">
        <w:rPr>
          <w:b/>
          <w:bCs/>
        </w:rPr>
        <w:t>Adults with Diabetes – Oral Evaluation</w:t>
      </w:r>
      <w:r>
        <w:t xml:space="preserve">. This measure tracks the </w:t>
      </w:r>
      <w:r w:rsidR="3522127E">
        <w:t>percentage of adults with diabetes who received at least one comprehensive, periodic or periodontal oral evaluation that year. People with diabetes have higher rates of periodontal disease. Annual oral evaluations can help providers catch and treat the disease early, resulting in better health outcomes.</w:t>
      </w:r>
      <w:r w:rsidR="005D6AB1">
        <w:t xml:space="preserve"> (</w:t>
      </w:r>
      <w:hyperlink w:anchor="_Appendix_E:_Citations" w:history="1">
        <w:r w:rsidR="005D6AB1" w:rsidRPr="006A61F2">
          <w:rPr>
            <w:rStyle w:val="Hyperlink"/>
          </w:rPr>
          <w:t>4</w:t>
        </w:r>
      </w:hyperlink>
      <w:r w:rsidR="005D6AB1">
        <w:t>)</w:t>
      </w:r>
    </w:p>
    <w:p w14:paraId="672813CA" w14:textId="6B145A34" w:rsidR="00F620C6" w:rsidRDefault="00587CC0" w:rsidP="00F620C6">
      <w:r w:rsidRPr="00587CC0">
        <w:lastRenderedPageBreak/>
        <w:t>From 2024 to 2025, CCO statewide performance held steady.</w:t>
      </w:r>
      <w:r>
        <w:t xml:space="preserve"> </w:t>
      </w:r>
      <w:r w:rsidRPr="00587CC0">
        <w:t xml:space="preserve">This was a deviation from the prior two years when CCO performance slightly </w:t>
      </w:r>
      <w:r w:rsidR="004F7F64" w:rsidRPr="00587CC0">
        <w:t>improv</w:t>
      </w:r>
      <w:r w:rsidR="004F7F64">
        <w:t>ed</w:t>
      </w:r>
      <w:r w:rsidRPr="00587CC0">
        <w:t>.</w:t>
      </w:r>
      <w:r>
        <w:t xml:space="preserve"> </w:t>
      </w:r>
      <w:r w:rsidRPr="00587CC0">
        <w:t>Only four CCOs met th</w:t>
      </w:r>
      <w:r>
        <w:t xml:space="preserve">is </w:t>
      </w:r>
      <w:r w:rsidRPr="00587CC0">
        <w:t>measure, with one reaching the benchmark.</w:t>
      </w:r>
      <w:r>
        <w:t xml:space="preserve"> </w:t>
      </w:r>
      <w:r w:rsidRPr="00587CC0">
        <w:t>The range in CCO performance</w:t>
      </w:r>
      <w:r>
        <w:t xml:space="preserve"> also</w:t>
      </w:r>
      <w:r w:rsidRPr="00587CC0">
        <w:t xml:space="preserve"> slightly widened from 2024 to 2025.</w:t>
      </w:r>
      <w:r w:rsidR="00F620C6">
        <w:t xml:space="preserve"> </w:t>
      </w:r>
      <w:r w:rsidR="00F620C6" w:rsidRPr="002D7339">
        <w:t>Among the incentive set,</w:t>
      </w:r>
      <w:r w:rsidR="00F620C6" w:rsidRPr="00F620C6">
        <w:t xml:space="preserve"> </w:t>
      </w:r>
      <w:r w:rsidR="00F620C6">
        <w:t xml:space="preserve">this was one of </w:t>
      </w:r>
      <w:r w:rsidR="00F620C6" w:rsidRPr="002D7339">
        <w:t>most negatively affected</w:t>
      </w:r>
      <w:r w:rsidR="00F620C6">
        <w:t xml:space="preserve"> measures</w:t>
      </w:r>
      <w:r w:rsidR="00F620C6" w:rsidRPr="002D7339">
        <w:t xml:space="preserve"> by the pandemi</w:t>
      </w:r>
      <w:r w:rsidR="00F620C6">
        <w:t xml:space="preserve">c.  </w:t>
      </w:r>
    </w:p>
    <w:p w14:paraId="76C412DF" w14:textId="77777777" w:rsidR="00ED698D" w:rsidRDefault="00ED698D" w:rsidP="00FF5105">
      <w:pPr>
        <w:pStyle w:val="Heading2"/>
        <w:spacing w:before="240"/>
      </w:pPr>
      <w:bookmarkStart w:id="14" w:name="_Kindergarten_Readiness"/>
      <w:bookmarkStart w:id="15" w:name="_Toc235090763"/>
      <w:bookmarkEnd w:id="14"/>
      <w:r>
        <w:t>Kindergarten Readiness</w:t>
      </w:r>
      <w:bookmarkEnd w:id="15"/>
    </w:p>
    <w:p w14:paraId="5C7DA7C5" w14:textId="086B27F5" w:rsidR="00E127CE" w:rsidRDefault="00ED698D" w:rsidP="00DB6899">
      <w:r>
        <w:t xml:space="preserve">The </w:t>
      </w:r>
      <w:hyperlink r:id="rId57">
        <w:r w:rsidR="57D038DA" w:rsidRPr="3AA55608">
          <w:rPr>
            <w:rStyle w:val="Hyperlink"/>
          </w:rPr>
          <w:t>Health Aspects of Kindergarten Readiness</w:t>
        </w:r>
      </w:hyperlink>
      <w:r>
        <w:t xml:space="preserve"> strategy </w:t>
      </w:r>
      <w:r w:rsidR="00040C3C">
        <w:t xml:space="preserve">is a subset of measures </w:t>
      </w:r>
      <w:r>
        <w:t>aim</w:t>
      </w:r>
      <w:r w:rsidR="00040C3C">
        <w:t>ed</w:t>
      </w:r>
      <w:r>
        <w:t xml:space="preserve"> </w:t>
      </w:r>
      <w:r w:rsidR="00C906FD">
        <w:t>at</w:t>
      </w:r>
      <w:r>
        <w:t xml:space="preserve"> health system behavior change, investments and cross-sector efforts to improve kindergarten readiness. This multi-measure strategy was developed by </w:t>
      </w:r>
      <w:r w:rsidRPr="00A74AFF">
        <w:t xml:space="preserve">the Health Aspects of Kindergarten Readiness Workgroup and was endorsed by </w:t>
      </w:r>
      <w:r>
        <w:t xml:space="preserve">the </w:t>
      </w:r>
      <w:r w:rsidRPr="00A74AFF">
        <w:t>Metrics and Scoring Committee</w:t>
      </w:r>
      <w:r>
        <w:t>.</w:t>
      </w:r>
    </w:p>
    <w:p w14:paraId="464B9B97" w14:textId="77777777" w:rsidR="00E127CE" w:rsidRDefault="00E127CE" w:rsidP="00DB6899">
      <w:r>
        <w:t xml:space="preserve">In 2025, </w:t>
      </w:r>
      <w:r w:rsidRPr="00DA394E">
        <w:t>the CCO Quality Incentive Program ha</w:t>
      </w:r>
      <w:r>
        <w:t>d</w:t>
      </w:r>
      <w:r w:rsidRPr="00DA394E">
        <w:t xml:space="preserve"> </w:t>
      </w:r>
      <w:r>
        <w:t>three measures in the broader</w:t>
      </w:r>
      <w:r w:rsidRPr="00BA3429">
        <w:t xml:space="preserve"> </w:t>
      </w:r>
      <w:r w:rsidRPr="00503D68">
        <w:t>Kindergarten Readiness</w:t>
      </w:r>
      <w:r>
        <w:t xml:space="preserve"> strategy: </w:t>
      </w:r>
    </w:p>
    <w:p w14:paraId="2598B971" w14:textId="4F453CAF" w:rsidR="00E127CE" w:rsidRDefault="00E127CE" w:rsidP="00CD585D">
      <w:pPr>
        <w:pStyle w:val="ListParagraph"/>
        <w:numPr>
          <w:ilvl w:val="0"/>
          <w:numId w:val="10"/>
        </w:numPr>
      </w:pPr>
      <w:r w:rsidRPr="00E127CE">
        <w:t>Child and Adolescent Well-Care Visits (Ages 3-6)</w:t>
      </w:r>
    </w:p>
    <w:p w14:paraId="71A4C880" w14:textId="1D0E7903" w:rsidR="00E127CE" w:rsidRDefault="00E127CE" w:rsidP="00CD585D">
      <w:pPr>
        <w:pStyle w:val="ListParagraph"/>
        <w:numPr>
          <w:ilvl w:val="0"/>
          <w:numId w:val="10"/>
        </w:numPr>
      </w:pPr>
      <w:r w:rsidRPr="00E127CE">
        <w:t>Preventive Dental or Oral Health Services (Ages 1-5)</w:t>
      </w:r>
    </w:p>
    <w:p w14:paraId="6F857515" w14:textId="77777777" w:rsidR="00645138" w:rsidRDefault="00E127CE" w:rsidP="00CD585D">
      <w:pPr>
        <w:pStyle w:val="ListParagraph"/>
        <w:numPr>
          <w:ilvl w:val="0"/>
          <w:numId w:val="10"/>
        </w:numPr>
      </w:pPr>
      <w:r w:rsidRPr="00E127CE">
        <w:t>Young Children Receiving Social-Emotional Issue-Focused Intervention/Treatment Services</w:t>
      </w:r>
    </w:p>
    <w:p w14:paraId="72EC548C" w14:textId="77777777" w:rsidR="002D1EAA" w:rsidRDefault="00645138" w:rsidP="00645138">
      <w:r>
        <w:t>Most CCOs met these measures in 2025, with many reaching the benchmarks.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55"/>
        <w:gridCol w:w="6295"/>
      </w:tblGrid>
      <w:tr w:rsidR="00F95EFB" w14:paraId="6A6B3672" w14:textId="77777777" w:rsidTr="003C78E8">
        <w:trPr>
          <w:tblHeader/>
        </w:trPr>
        <w:tc>
          <w:tcPr>
            <w:tcW w:w="3055" w:type="dxa"/>
          </w:tcPr>
          <w:p w14:paraId="3B69A489" w14:textId="7AE33041" w:rsidR="00F95EFB" w:rsidRPr="000D71A3" w:rsidRDefault="00F95EFB" w:rsidP="006B00E4">
            <w:pPr>
              <w:pStyle w:val="Heading5"/>
              <w:rPr>
                <w:color w:val="FFFFFF" w:themeColor="background1"/>
                <w:sz w:val="4"/>
                <w:szCs w:val="4"/>
              </w:rPr>
            </w:pPr>
            <w:r w:rsidRPr="000D71A3">
              <w:rPr>
                <w:color w:val="FFFFFF" w:themeColor="background1"/>
                <w:sz w:val="4"/>
                <w:szCs w:val="4"/>
              </w:rPr>
              <w:t>Measure</w:t>
            </w:r>
          </w:p>
        </w:tc>
        <w:tc>
          <w:tcPr>
            <w:tcW w:w="6295" w:type="dxa"/>
          </w:tcPr>
          <w:p w14:paraId="5ED9F3CF" w14:textId="22F31901" w:rsidR="00F95EFB" w:rsidRPr="000D71A3" w:rsidRDefault="00F95EFB" w:rsidP="006B00E4">
            <w:pPr>
              <w:pStyle w:val="Heading5"/>
              <w:rPr>
                <w:noProof/>
                <w:color w:val="FFFFFF" w:themeColor="background1"/>
                <w:sz w:val="4"/>
                <w:szCs w:val="4"/>
              </w:rPr>
            </w:pPr>
            <w:r w:rsidRPr="000D71A3">
              <w:rPr>
                <w:noProof/>
                <w:color w:val="FFFFFF" w:themeColor="background1"/>
                <w:sz w:val="4"/>
                <w:szCs w:val="4"/>
              </w:rPr>
              <w:t>Chart</w:t>
            </w:r>
          </w:p>
        </w:tc>
      </w:tr>
      <w:tr w:rsidR="00D47AD8" w14:paraId="1AA23089" w14:textId="77777777" w:rsidTr="003C78E8">
        <w:trPr>
          <w:trHeight w:val="2880"/>
          <w:tblHeader/>
        </w:trPr>
        <w:tc>
          <w:tcPr>
            <w:tcW w:w="3055" w:type="dxa"/>
          </w:tcPr>
          <w:p w14:paraId="2F8C909C" w14:textId="77777777" w:rsidR="00F95EFB" w:rsidRPr="00F95EFB" w:rsidRDefault="00F95EFB" w:rsidP="00C906FD">
            <w:pPr>
              <w:pStyle w:val="Heading4"/>
            </w:pPr>
            <w:r w:rsidRPr="00F95EFB">
              <w:t>Child and Adolescent Well-Care Visits (Ages 3-6)</w:t>
            </w:r>
          </w:p>
          <w:p w14:paraId="25E7CC77" w14:textId="77777777" w:rsidR="00D47AD8" w:rsidRPr="00F95EFB" w:rsidRDefault="00D47AD8" w:rsidP="006B00E4">
            <w:pPr>
              <w:pStyle w:val="Heading5"/>
            </w:pPr>
          </w:p>
        </w:tc>
        <w:tc>
          <w:tcPr>
            <w:tcW w:w="6295" w:type="dxa"/>
          </w:tcPr>
          <w:p w14:paraId="489BC35A" w14:textId="3CF0F55F" w:rsidR="00D47AD8" w:rsidRDefault="00050190" w:rsidP="00E50D4B">
            <w:pPr>
              <w:spacing w:before="80" w:after="80"/>
            </w:pPr>
            <w:r>
              <w:rPr>
                <w:noProof/>
              </w:rPr>
              <w:drawing>
                <wp:inline distT="0" distB="0" distL="0" distR="0" wp14:anchorId="0301FFC1" wp14:editId="622457DC">
                  <wp:extent cx="3200400" cy="1645920"/>
                  <wp:effectExtent l="0" t="0" r="0" b="0"/>
                  <wp:docPr id="1488302822" name="Chart 1" descr="Chart showing CCO service rates over time for Child and Adolescent Well-Care Visits (Ages 3-6). A dark blue line shows the CCO statewide service rate. Dots show individual CCO service rates in each year. Orange dash marks show each year's benchmark.">
                    <a:extLst xmlns:a="http://schemas.openxmlformats.org/drawingml/2006/main">
                      <a:ext uri="{FF2B5EF4-FFF2-40B4-BE49-F238E27FC236}">
                        <a16:creationId xmlns:a16="http://schemas.microsoft.com/office/drawing/2014/main" id="{1F45CCC9-0885-4934-AD7D-09F3542EC3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r w:rsidR="00D47AD8" w14:paraId="06C2AF64" w14:textId="77777777" w:rsidTr="003C78E8">
        <w:trPr>
          <w:trHeight w:val="2880"/>
          <w:tblHeader/>
        </w:trPr>
        <w:tc>
          <w:tcPr>
            <w:tcW w:w="3055" w:type="dxa"/>
          </w:tcPr>
          <w:p w14:paraId="5F5CA5C2" w14:textId="77777777" w:rsidR="00F95EFB" w:rsidRPr="00F95EFB" w:rsidRDefault="00F95EFB" w:rsidP="00C906FD">
            <w:pPr>
              <w:pStyle w:val="Heading4"/>
            </w:pPr>
            <w:r w:rsidRPr="00F95EFB">
              <w:t>Preventive Dental or Oral Health Services (Ages 1-5)</w:t>
            </w:r>
          </w:p>
          <w:p w14:paraId="5B2CAD44" w14:textId="77777777" w:rsidR="00D47AD8" w:rsidRPr="00F95EFB" w:rsidRDefault="00D47AD8" w:rsidP="006B00E4">
            <w:pPr>
              <w:pStyle w:val="Heading5"/>
            </w:pPr>
          </w:p>
        </w:tc>
        <w:tc>
          <w:tcPr>
            <w:tcW w:w="6295" w:type="dxa"/>
          </w:tcPr>
          <w:p w14:paraId="5BFFFE11" w14:textId="1E7370B0" w:rsidR="00D47AD8" w:rsidRDefault="00050190" w:rsidP="00E50D4B">
            <w:pPr>
              <w:spacing w:before="80" w:after="80"/>
            </w:pPr>
            <w:r>
              <w:rPr>
                <w:noProof/>
              </w:rPr>
              <w:drawing>
                <wp:inline distT="0" distB="0" distL="0" distR="0" wp14:anchorId="4DB6C4C3" wp14:editId="48CC0CC7">
                  <wp:extent cx="3200400" cy="1645920"/>
                  <wp:effectExtent l="0" t="0" r="0" b="0"/>
                  <wp:docPr id="843420372" name="Chart 1" descr="Chart showing CCO service rates over time for Preventive Dental or Oral Health Services (Ages 1-5). A dark blue line shows the CCO statewide service rate. Dots show individual CCO service rates in each year. Orange dash marks show each year's benchmark.">
                    <a:extLst xmlns:a="http://schemas.openxmlformats.org/drawingml/2006/main">
                      <a:ext uri="{FF2B5EF4-FFF2-40B4-BE49-F238E27FC236}">
                        <a16:creationId xmlns:a16="http://schemas.microsoft.com/office/drawing/2014/main" id="{47969C6C-1F42-4015-8902-E1FAB4D119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r>
    </w:tbl>
    <w:p w14:paraId="33979CE9" w14:textId="77777777" w:rsidR="00014537" w:rsidRDefault="00014537" w:rsidP="0064513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55"/>
        <w:gridCol w:w="6295"/>
      </w:tblGrid>
      <w:tr w:rsidR="00E9092E" w14:paraId="41C67D03" w14:textId="77777777" w:rsidTr="003C78E8">
        <w:trPr>
          <w:trHeight w:val="58"/>
          <w:tblHeader/>
        </w:trPr>
        <w:tc>
          <w:tcPr>
            <w:tcW w:w="3055" w:type="dxa"/>
          </w:tcPr>
          <w:p w14:paraId="23420601" w14:textId="60E70DE8" w:rsidR="00E9092E" w:rsidRPr="00E9092E" w:rsidRDefault="00E9092E" w:rsidP="00E9092E">
            <w:pPr>
              <w:pStyle w:val="Heading4"/>
              <w:spacing w:before="0" w:after="0"/>
              <w:rPr>
                <w:color w:val="FFFFFF" w:themeColor="background1"/>
                <w:sz w:val="4"/>
                <w:szCs w:val="4"/>
              </w:rPr>
            </w:pPr>
            <w:r w:rsidRPr="00E9092E">
              <w:rPr>
                <w:color w:val="FFFFFF" w:themeColor="background1"/>
                <w:sz w:val="4"/>
                <w:szCs w:val="4"/>
              </w:rPr>
              <w:lastRenderedPageBreak/>
              <w:t>Measure (continued)</w:t>
            </w:r>
          </w:p>
        </w:tc>
        <w:tc>
          <w:tcPr>
            <w:tcW w:w="6295" w:type="dxa"/>
          </w:tcPr>
          <w:p w14:paraId="36ED1EE1" w14:textId="0982072A" w:rsidR="00E9092E" w:rsidRPr="00E9092E" w:rsidRDefault="00E9092E" w:rsidP="00E9092E">
            <w:pPr>
              <w:rPr>
                <w:noProof/>
                <w:color w:val="FFFFFF" w:themeColor="background1"/>
                <w:sz w:val="4"/>
                <w:szCs w:val="4"/>
              </w:rPr>
            </w:pPr>
            <w:r w:rsidRPr="00E9092E">
              <w:rPr>
                <w:noProof/>
                <w:color w:val="FFFFFF" w:themeColor="background1"/>
                <w:sz w:val="4"/>
                <w:szCs w:val="4"/>
              </w:rPr>
              <w:t>Chart (continued)</w:t>
            </w:r>
          </w:p>
        </w:tc>
      </w:tr>
      <w:tr w:rsidR="00E9092E" w14:paraId="78A4E4B1" w14:textId="77777777" w:rsidTr="003C78E8">
        <w:trPr>
          <w:trHeight w:val="2880"/>
          <w:tblHeader/>
        </w:trPr>
        <w:tc>
          <w:tcPr>
            <w:tcW w:w="3055" w:type="dxa"/>
          </w:tcPr>
          <w:p w14:paraId="5A6B6D09" w14:textId="77777777" w:rsidR="00E9092E" w:rsidRPr="00F95EFB" w:rsidRDefault="00E9092E" w:rsidP="00E9092E">
            <w:pPr>
              <w:pStyle w:val="Heading4"/>
            </w:pPr>
            <w:r w:rsidRPr="00F95EFB">
              <w:t>Young Children Receiving Social-Emotional Issue-Focused Intervention/ Treatment Services</w:t>
            </w:r>
          </w:p>
          <w:p w14:paraId="6642DCAA" w14:textId="77777777" w:rsidR="00E9092E" w:rsidRPr="00F95EFB" w:rsidRDefault="00E9092E" w:rsidP="006B00E4">
            <w:pPr>
              <w:pStyle w:val="Heading5"/>
            </w:pPr>
          </w:p>
        </w:tc>
        <w:tc>
          <w:tcPr>
            <w:tcW w:w="6295" w:type="dxa"/>
          </w:tcPr>
          <w:p w14:paraId="2E186344" w14:textId="77777777" w:rsidR="00E9092E" w:rsidRDefault="00E9092E" w:rsidP="00E9092E">
            <w:pPr>
              <w:spacing w:before="80" w:after="80"/>
            </w:pPr>
            <w:r>
              <w:rPr>
                <w:noProof/>
              </w:rPr>
              <w:drawing>
                <wp:inline distT="0" distB="0" distL="0" distR="0" wp14:anchorId="68E654F5" wp14:editId="527BE428">
                  <wp:extent cx="3200400" cy="1737360"/>
                  <wp:effectExtent l="0" t="0" r="0" b="0"/>
                  <wp:docPr id="975771186" name="Chart 1" descr="Chart showing CCO service rates over time for Young Children Receiving Social-Emotional Issue-Focused Intervention/Treatment Services. A dark blue line shows the CCO statewide service rate. Dots show individual CCO service rates in each year. Orange dash marks show each year's benchmark.">
                    <a:extLst xmlns:a="http://schemas.openxmlformats.org/drawingml/2006/main">
                      <a:ext uri="{FF2B5EF4-FFF2-40B4-BE49-F238E27FC236}">
                        <a16:creationId xmlns:a16="http://schemas.microsoft.com/office/drawing/2014/main" id="{1BED9304-5F24-42C3-9E41-D0E242367B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r>
    </w:tbl>
    <w:p w14:paraId="73DBD9D9" w14:textId="77777777" w:rsidR="00E9092E" w:rsidRDefault="00E9092E" w:rsidP="00645138">
      <w:pPr>
        <w:sectPr w:rsidR="00E9092E" w:rsidSect="00F95EFB">
          <w:headerReference w:type="default" r:id="rId61"/>
          <w:footnotePr>
            <w:numFmt w:val="lowerLetter"/>
          </w:footnotePr>
          <w:type w:val="continuous"/>
          <w:pgSz w:w="12240" w:h="15840"/>
          <w:pgMar w:top="1440" w:right="1440" w:bottom="1296" w:left="1440" w:header="86" w:footer="720" w:gutter="0"/>
          <w:cols w:space="720"/>
          <w:titlePg/>
          <w:docGrid w:linePitch="360"/>
        </w:sectPr>
      </w:pPr>
    </w:p>
    <w:p w14:paraId="23F3E91D" w14:textId="77777777" w:rsidR="00ED698D" w:rsidRDefault="00ED698D" w:rsidP="00ED698D">
      <w:pPr>
        <w:pStyle w:val="Heading1"/>
      </w:pPr>
      <w:bookmarkStart w:id="16" w:name="_Toc235090764"/>
      <w:r>
        <w:lastRenderedPageBreak/>
        <w:t>Incentive payment model</w:t>
      </w:r>
      <w:bookmarkEnd w:id="16"/>
    </w:p>
    <w:p w14:paraId="5F42D427" w14:textId="77777777" w:rsidR="00ED698D" w:rsidRPr="00A62AAC" w:rsidRDefault="00ED698D" w:rsidP="00ED698D">
      <w:pPr>
        <w:pStyle w:val="Heading2"/>
      </w:pPr>
      <w:bookmarkStart w:id="17" w:name="_Toc235090765"/>
      <w:r>
        <w:t>About benchmarks and improvement targets</w:t>
      </w:r>
      <w:bookmarkEnd w:id="17"/>
    </w:p>
    <w:p w14:paraId="21D1B51C" w14:textId="77777777" w:rsidR="00ED698D" w:rsidRPr="00C16634" w:rsidRDefault="00ED698D" w:rsidP="00ED698D">
      <w:pPr>
        <w:pStyle w:val="Heading3"/>
      </w:pPr>
      <w:bookmarkStart w:id="18" w:name="_Toc169270608"/>
      <w:r w:rsidRPr="00CB074F">
        <w:t>​​</w:t>
      </w:r>
      <w:r w:rsidRPr="00F00621">
        <w:t>CCOs earn incentive funds for meeting or making progress toward a measure’s goal.</w:t>
      </w:r>
      <w:r w:rsidRPr="00C16634">
        <w:t xml:space="preserve"> </w:t>
      </w:r>
    </w:p>
    <w:p w14:paraId="051DBDF4" w14:textId="377B8759" w:rsidR="00ED698D" w:rsidRPr="00334C92" w:rsidRDefault="00ED698D" w:rsidP="00334C92">
      <w:r w:rsidRPr="00334C92">
        <w:t xml:space="preserve">The </w:t>
      </w:r>
      <w:hyperlink r:id="rId62" w:history="1">
        <w:r w:rsidRPr="00334C92">
          <w:rPr>
            <w:rStyle w:val="Hyperlink"/>
          </w:rPr>
          <w:t>Metrics and Scoring Committee</w:t>
        </w:r>
      </w:hyperlink>
      <w:r w:rsidRPr="00334C92">
        <w:t xml:space="preserve"> is a public body that selects incentive measures</w:t>
      </w:r>
      <w:r w:rsidR="005A5F23">
        <w:t xml:space="preserve"> and</w:t>
      </w:r>
      <w:r w:rsidRPr="00334C92">
        <w:t xml:space="preserve"> the goals CCOs must reach for each incentive measure. To encourage ongoing improvement, CCOs can meet a measure by achieving either the benchmark or a CCO-specific improvement target.</w:t>
      </w:r>
    </w:p>
    <w:p w14:paraId="610CF7C1" w14:textId="7EA36060" w:rsidR="00ED698D" w:rsidRPr="00334C92" w:rsidRDefault="00ED698D" w:rsidP="00334C92">
      <w:r w:rsidRPr="0000725F">
        <w:rPr>
          <w:rStyle w:val="Heading5Char"/>
        </w:rPr>
        <w:t>Benchmarks</w:t>
      </w:r>
      <w:r w:rsidRPr="00334C92">
        <w:t xml:space="preserve"> are the same for all CCOs. Benchmarks are meant to be aspirational goals </w:t>
      </w:r>
      <w:r w:rsidR="00415A98">
        <w:t xml:space="preserve">and are </w:t>
      </w:r>
      <w:r w:rsidRPr="00334C92">
        <w:t xml:space="preserve">generally </w:t>
      </w:r>
      <w:r w:rsidR="00415A98">
        <w:t xml:space="preserve">set </w:t>
      </w:r>
      <w:r w:rsidRPr="00334C92">
        <w:t>at the 75th or 90th percentile of national performance. </w:t>
      </w:r>
    </w:p>
    <w:p w14:paraId="49899735" w14:textId="73D0FC3A" w:rsidR="00ED698D" w:rsidRPr="00334C92" w:rsidRDefault="00ED698D" w:rsidP="00334C92">
      <w:r w:rsidRPr="0000725F">
        <w:rPr>
          <w:rStyle w:val="Heading5Char"/>
        </w:rPr>
        <w:t>CCO-specific improvement targets</w:t>
      </w:r>
      <w:r w:rsidRPr="00334C92">
        <w:t xml:space="preserve"> are milestones specific to each CCO, </w:t>
      </w:r>
      <w:r w:rsidR="002D2A3D">
        <w:t xml:space="preserve">set </w:t>
      </w:r>
      <w:r w:rsidRPr="00334C92">
        <w:t xml:space="preserve">between their current performance (baseline) and the benchmark. CCO-specific improvement targets </w:t>
      </w:r>
      <w:r w:rsidR="002D2A3D">
        <w:t xml:space="preserve">represent </w:t>
      </w:r>
      <w:r w:rsidRPr="00334C92">
        <w:t xml:space="preserve">a </w:t>
      </w:r>
      <w:r w:rsidR="00457AC6">
        <w:t>ten</w:t>
      </w:r>
      <w:r w:rsidRPr="00334C92">
        <w:t xml:space="preserve"> percent reduction in the gap between baseline and the benchmark.</w:t>
      </w:r>
    </w:p>
    <w:p w14:paraId="3E7A9BE7" w14:textId="0419F59A" w:rsidR="00ED698D" w:rsidRPr="00334C92" w:rsidRDefault="00ED698D" w:rsidP="00334C92">
      <w:pPr>
        <w:spacing w:after="480"/>
      </w:pPr>
      <w:r w:rsidRPr="00334C92">
        <w:t>Additionally, minimum goals, or “</w:t>
      </w:r>
      <w:r w:rsidRPr="0000725F">
        <w:t>floors</w:t>
      </w:r>
      <w:r w:rsidRPr="00334C92">
        <w:t xml:space="preserve">,” are used to prevent improvement targets from being too low. Historically, the committee set floors at three percentage points from the prior year. For an example, see </w:t>
      </w:r>
      <w:hyperlink w:anchor="_Appendix_B:_How_1">
        <w:r w:rsidRPr="00334C92">
          <w:rPr>
            <w:rStyle w:val="Hyperlink"/>
          </w:rPr>
          <w:t>Appendix B: How improvement targets are calculated</w:t>
        </w:r>
      </w:hyperlink>
      <w:r w:rsidRPr="00334C92">
        <w:t>.</w:t>
      </w:r>
    </w:p>
    <w:p w14:paraId="00BBC9FC" w14:textId="73595723" w:rsidR="00ED698D" w:rsidRDefault="00ED698D" w:rsidP="00F00621">
      <w:pPr>
        <w:pStyle w:val="Heading3"/>
      </w:pPr>
      <w:r>
        <w:t>In 202</w:t>
      </w:r>
      <w:r w:rsidR="005A5F23">
        <w:t>5</w:t>
      </w:r>
      <w:r>
        <w:t xml:space="preserve">, benchmarks </w:t>
      </w:r>
      <w:r w:rsidR="005A5F23">
        <w:t xml:space="preserve">and CCO-specific improvement targets </w:t>
      </w:r>
      <w:r w:rsidR="007D6C51">
        <w:t xml:space="preserve">increased </w:t>
      </w:r>
      <w:r>
        <w:t>to more aspirational levels than prior years</w:t>
      </w:r>
      <w:r w:rsidR="00C40BBA">
        <w:t>.</w:t>
      </w:r>
    </w:p>
    <w:p w14:paraId="3F406C96" w14:textId="56DD6410" w:rsidR="00ED698D" w:rsidRPr="00334C92" w:rsidRDefault="00ED698D" w:rsidP="00334C92">
      <w:r w:rsidRPr="00334C92">
        <w:t xml:space="preserve">The COVID-19 pandemic upended the usual benchmarking and improvement target approach. </w:t>
      </w:r>
      <w:r w:rsidR="57D038DA">
        <w:t>In </w:t>
      </w:r>
      <w:r w:rsidR="003B249F" w:rsidRPr="004A46ED">
        <w:t>2020</w:t>
      </w:r>
      <w:r w:rsidR="57D038DA">
        <w:t>, all performance benchmarks were suspended and the amount of funds in the program was greatly reduced. In </w:t>
      </w:r>
      <w:r w:rsidR="003B249F" w:rsidRPr="004A46ED">
        <w:t>2021</w:t>
      </w:r>
      <w:r w:rsidR="57D038DA">
        <w:t xml:space="preserve">, the Metrics and Scoring Committee reintroduced benchmarks, though at significantly lower levels than before 2020. </w:t>
      </w:r>
      <w:r w:rsidRPr="00334C92">
        <w:t xml:space="preserve">In 2022, the Metrics and Scoring Committee continued lower benchmarks for </w:t>
      </w:r>
      <w:r w:rsidR="003B249F" w:rsidRPr="004A46ED">
        <w:t>seven measures most impacted by the pandemic</w:t>
      </w:r>
      <w:r w:rsidR="57D038DA">
        <w:t xml:space="preserve">. In 2021 and 2022, CCOs did not have floors for improvement targets. </w:t>
      </w:r>
    </w:p>
    <w:p w14:paraId="04D73193" w14:textId="11A3DE07" w:rsidR="00ED698D" w:rsidRPr="00334C92" w:rsidRDefault="00ED698D" w:rsidP="00334C92">
      <w:r w:rsidRPr="00334C92">
        <w:t>Even</w:t>
      </w:r>
      <w:r w:rsidRPr="00334C92" w:rsidDel="001A152B">
        <w:t xml:space="preserve"> </w:t>
      </w:r>
      <w:r w:rsidRPr="00334C92">
        <w:t>as health systems emerged from the pandemic, the Committee continued lower, less challenging benchmarks in 2023</w:t>
      </w:r>
      <w:r w:rsidR="005A5F23">
        <w:t xml:space="preserve"> and floors lower than pre-pandemic levels</w:t>
      </w:r>
      <w:r w:rsidRPr="00334C92">
        <w:t>.</w:t>
      </w:r>
      <w:r w:rsidR="005A5F23">
        <w:t xml:space="preserve"> In 2024, the Committee overall selected more aspirational benchmarks compared with 2023. </w:t>
      </w:r>
      <w:r w:rsidRPr="00334C92">
        <w:t xml:space="preserve">However, the Metrics and Scoring Committee continued to keep floors low. For nearly all measures, floors were one </w:t>
      </w:r>
      <w:r w:rsidR="00A8545A">
        <w:t xml:space="preserve">or </w:t>
      </w:r>
      <w:r w:rsidRPr="00334C92">
        <w:t>two percentage points.</w:t>
      </w:r>
      <w:r w:rsidR="005A5F23">
        <w:t xml:space="preserve"> 2025 was the first year since </w:t>
      </w:r>
      <w:r w:rsidR="00491D45">
        <w:t>2020</w:t>
      </w:r>
      <w:r w:rsidR="005A5F23">
        <w:t xml:space="preserve"> that the Committee selected benchmarks and floors closer to pre-pandemic standards.</w:t>
      </w:r>
      <w:r w:rsidRPr="00334C92">
        <w:br w:type="page"/>
      </w:r>
    </w:p>
    <w:bookmarkEnd w:id="18"/>
    <w:p w14:paraId="4E959A29" w14:textId="77777777" w:rsidR="00ED698D" w:rsidRDefault="00ED698D" w:rsidP="00ED698D">
      <w:pPr>
        <w:pStyle w:val="Heading2"/>
        <w:spacing w:after="240"/>
        <w:sectPr w:rsidR="00ED698D" w:rsidSect="00F95EFB">
          <w:footerReference w:type="first" r:id="rId63"/>
          <w:footnotePr>
            <w:numFmt w:val="lowerLetter"/>
          </w:footnotePr>
          <w:pgSz w:w="12240" w:h="15840"/>
          <w:pgMar w:top="1440" w:right="1440" w:bottom="1440" w:left="1440" w:header="86" w:footer="720" w:gutter="0"/>
          <w:cols w:space="720"/>
          <w:titlePg/>
          <w:docGrid w:linePitch="360"/>
        </w:sectPr>
      </w:pPr>
    </w:p>
    <w:p w14:paraId="5C47F4DA" w14:textId="77777777" w:rsidR="00ED698D" w:rsidRDefault="00ED698D" w:rsidP="00ED698D">
      <w:pPr>
        <w:pStyle w:val="Heading2"/>
        <w:spacing w:after="240"/>
      </w:pPr>
      <w:bookmarkStart w:id="19" w:name="_Toc235090766"/>
      <w:r>
        <w:lastRenderedPageBreak/>
        <w:t>2025 measures met summary (quilt chart)</w:t>
      </w:r>
      <w:bookmarkEnd w:id="19"/>
    </w:p>
    <w:tbl>
      <w:tblPr>
        <w:tblW w:w="10522" w:type="dxa"/>
        <w:tblBorders>
          <w:insideH w:val="single" w:sz="4" w:space="0" w:color="A6A6A6"/>
          <w:insideV w:val="single" w:sz="4" w:space="0" w:color="A6A6A6"/>
        </w:tblBorders>
        <w:tblLook w:val="04A0" w:firstRow="1" w:lastRow="0" w:firstColumn="1" w:lastColumn="0" w:noHBand="0" w:noVBand="1"/>
      </w:tblPr>
      <w:tblGrid>
        <w:gridCol w:w="2736"/>
        <w:gridCol w:w="458"/>
        <w:gridCol w:w="458"/>
        <w:gridCol w:w="458"/>
        <w:gridCol w:w="458"/>
        <w:gridCol w:w="458"/>
        <w:gridCol w:w="458"/>
        <w:gridCol w:w="458"/>
        <w:gridCol w:w="458"/>
        <w:gridCol w:w="458"/>
        <w:gridCol w:w="458"/>
        <w:gridCol w:w="458"/>
        <w:gridCol w:w="458"/>
        <w:gridCol w:w="458"/>
        <w:gridCol w:w="458"/>
        <w:gridCol w:w="458"/>
        <w:gridCol w:w="458"/>
        <w:gridCol w:w="458"/>
      </w:tblGrid>
      <w:tr w:rsidR="00ED698D" w:rsidRPr="00B42AB4" w14:paraId="6AC83E70" w14:textId="77777777">
        <w:trPr>
          <w:cantSplit/>
          <w:trHeight w:val="2448"/>
        </w:trPr>
        <w:tc>
          <w:tcPr>
            <w:tcW w:w="2736" w:type="dxa"/>
            <w:vAlign w:val="center"/>
            <w:hideMark/>
          </w:tcPr>
          <w:p w14:paraId="4F8946DB" w14:textId="77777777" w:rsidR="00ED698D" w:rsidRPr="005F4501" w:rsidRDefault="00ED698D">
            <w:pPr>
              <w:pStyle w:val="NormalWeb"/>
              <w:spacing w:before="0" w:beforeAutospacing="0" w:after="0" w:afterAutospacing="0"/>
              <w:contextualSpacing/>
              <w:rPr>
                <w:sz w:val="20"/>
                <w:szCs w:val="20"/>
              </w:rPr>
            </w:pPr>
            <w:r w:rsidRPr="00E07515">
              <w:rPr>
                <w:rFonts w:ascii="Arial Narrow" w:hAnsi="Arial Narrow"/>
                <w:color w:val="000000"/>
                <w:sz w:val="20"/>
                <w:szCs w:val="20"/>
              </w:rPr>
              <w:t>Legend</w:t>
            </w:r>
            <w:r w:rsidRPr="00E07515">
              <w:rPr>
                <w:rFonts w:ascii="Arial Narrow" w:hAnsi="Arial Narrow"/>
                <w:color w:val="000000"/>
                <w:sz w:val="20"/>
                <w:szCs w:val="20"/>
              </w:rPr>
              <w:br/>
            </w:r>
            <w:r w:rsidRPr="005D34D7">
              <w:rPr>
                <w:rFonts w:ascii="Wingdings 2" w:hAnsi="Wingdings 2"/>
                <w:color w:val="002B4A"/>
                <w:sz w:val="20"/>
                <w:szCs w:val="20"/>
              </w:rPr>
              <w:t>¢</w:t>
            </w:r>
            <w:r w:rsidRPr="005F4501">
              <w:rPr>
                <w:rFonts w:ascii="Benton Sans Book" w:hAnsi="Benton Sans Book"/>
                <w:color w:val="555555"/>
                <w:sz w:val="16"/>
                <w:szCs w:val="16"/>
              </w:rPr>
              <w:t xml:space="preserve"> </w:t>
            </w:r>
            <w:r w:rsidRPr="005D34D7">
              <w:rPr>
                <w:rFonts w:ascii="Arial Narrow" w:hAnsi="Arial Narrow"/>
                <w:color w:val="071004" w:themeColor="accent6" w:themeShade="1A"/>
                <w:sz w:val="20"/>
                <w:szCs w:val="20"/>
              </w:rPr>
              <w:t xml:space="preserve">Met benchmark </w:t>
            </w:r>
          </w:p>
          <w:p w14:paraId="60701C78" w14:textId="77777777" w:rsidR="00ED698D" w:rsidRDefault="00ED698D">
            <w:pPr>
              <w:contextualSpacing/>
              <w:rPr>
                <w:rFonts w:ascii="Arial Narrow" w:eastAsia="Times New Roman" w:hAnsi="Arial Narrow" w:cs="Times New Roman"/>
                <w:color w:val="071004" w:themeColor="accent6" w:themeShade="1A"/>
                <w:sz w:val="20"/>
                <w:szCs w:val="20"/>
              </w:rPr>
            </w:pPr>
            <w:r w:rsidRPr="005D34D7">
              <w:rPr>
                <w:rFonts w:ascii="Wingdings 2" w:eastAsia="Times New Roman" w:hAnsi="Wingdings 2" w:cs="Times New Roman"/>
                <w:color w:val="4779B1"/>
                <w:sz w:val="20"/>
                <w:szCs w:val="20"/>
              </w:rPr>
              <w:t>¢</w:t>
            </w:r>
            <w:r w:rsidRPr="005F4501">
              <w:rPr>
                <w:rFonts w:ascii="Benton Sans Book" w:eastAsia="Times New Roman" w:hAnsi="Benton Sans Book" w:cs="Times New Roman"/>
                <w:color w:val="000000"/>
                <w:sz w:val="16"/>
                <w:szCs w:val="16"/>
              </w:rPr>
              <w:t xml:space="preserve"> </w:t>
            </w:r>
            <w:r w:rsidRPr="005D34D7">
              <w:rPr>
                <w:rFonts w:ascii="Arial Narrow" w:eastAsia="Times New Roman" w:hAnsi="Arial Narrow" w:cs="Times New Roman"/>
                <w:color w:val="071004" w:themeColor="accent6" w:themeShade="1A"/>
                <w:sz w:val="20"/>
                <w:szCs w:val="20"/>
              </w:rPr>
              <w:t>Met improvement target</w:t>
            </w:r>
          </w:p>
          <w:p w14:paraId="48010A6D"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287503">
              <w:rPr>
                <w:rFonts w:ascii="Cambria Math" w:eastAsia="Times New Roman" w:hAnsi="Cambria Math" w:cs="Cambria Math"/>
                <w:color w:val="606060"/>
                <w:kern w:val="0"/>
                <w:sz w:val="20"/>
                <w:szCs w:val="20"/>
                <w14:ligatures w14:val="none"/>
              </w:rPr>
              <w:t>▧</w:t>
            </w:r>
            <w:r>
              <w:rPr>
                <w:rFonts w:ascii="Cambria Math" w:eastAsia="Times New Roman" w:hAnsi="Cambria Math" w:cs="Cambria Math"/>
                <w:color w:val="000000"/>
                <w:kern w:val="0"/>
                <w:sz w:val="20"/>
                <w:szCs w:val="20"/>
                <w14:ligatures w14:val="none"/>
              </w:rPr>
              <w:t xml:space="preserve"> </w:t>
            </w:r>
            <w:r w:rsidRPr="005D34D7">
              <w:rPr>
                <w:rFonts w:ascii="Arial Narrow" w:eastAsia="Times New Roman" w:hAnsi="Arial Narrow" w:cs="Times New Roman"/>
                <w:color w:val="071004" w:themeColor="accent6" w:themeShade="1A"/>
                <w:sz w:val="20"/>
                <w:szCs w:val="20"/>
              </w:rPr>
              <w:t xml:space="preserve">Met </w:t>
            </w:r>
            <w:r>
              <w:rPr>
                <w:rFonts w:ascii="Arial Narrow" w:eastAsia="Times New Roman" w:hAnsi="Arial Narrow" w:cs="Times New Roman"/>
                <w:color w:val="071004" w:themeColor="accent6" w:themeShade="1A"/>
                <w:sz w:val="20"/>
                <w:szCs w:val="20"/>
              </w:rPr>
              <w:t>one component</w:t>
            </w:r>
            <w:r w:rsidRPr="00E07515">
              <w:rPr>
                <w:rFonts w:ascii="Arial Narrow" w:eastAsia="Times New Roman" w:hAnsi="Arial Narrow" w:cs="Times New Roman"/>
                <w:color w:val="000000"/>
                <w:kern w:val="0"/>
                <w:sz w:val="20"/>
                <w:szCs w:val="20"/>
                <w14:ligatures w14:val="none"/>
              </w:rPr>
              <w:br/>
            </w:r>
            <w:r w:rsidRPr="00E07515">
              <w:rPr>
                <w:rFonts w:ascii="Segoe UI Symbol" w:eastAsia="Times New Roman" w:hAnsi="Segoe UI Symbol" w:cs="Segoe UI Symbol"/>
                <w:color w:val="000000"/>
                <w:kern w:val="0"/>
                <w:sz w:val="20"/>
                <w:szCs w:val="20"/>
                <w14:ligatures w14:val="none"/>
              </w:rPr>
              <w:t>✱</w:t>
            </w:r>
            <w:r w:rsidRPr="00E07515">
              <w:rPr>
                <w:rFonts w:ascii="Arial Narrow" w:eastAsia="Times New Roman" w:hAnsi="Arial Narrow" w:cs="Times New Roman"/>
                <w:color w:val="000000"/>
                <w:kern w:val="0"/>
                <w:sz w:val="20"/>
                <w:szCs w:val="20"/>
                <w14:ligatures w14:val="none"/>
              </w:rPr>
              <w:t xml:space="preserve"> Top performing CCO</w:t>
            </w:r>
            <w:r w:rsidRPr="00E07515">
              <w:rPr>
                <w:rFonts w:ascii="Arial Narrow" w:eastAsia="Times New Roman" w:hAnsi="Arial Narrow" w:cs="Times New Roman"/>
                <w:color w:val="000000"/>
                <w:kern w:val="0"/>
                <w:sz w:val="20"/>
                <w:szCs w:val="20"/>
                <w14:ligatures w14:val="none"/>
              </w:rPr>
              <w:br/>
              <w:t>^ Challenge Pool measure</w:t>
            </w:r>
            <w:r w:rsidRPr="00E07515">
              <w:rPr>
                <w:rFonts w:ascii="Arial Narrow" w:eastAsia="Times New Roman" w:hAnsi="Arial Narrow" w:cs="Times New Roman"/>
                <w:color w:val="000000"/>
                <w:kern w:val="0"/>
                <w:sz w:val="20"/>
                <w:szCs w:val="20"/>
                <w14:ligatures w14:val="none"/>
              </w:rPr>
              <w:br/>
              <w:t>‡ Must meet both components</w:t>
            </w:r>
          </w:p>
        </w:tc>
        <w:tc>
          <w:tcPr>
            <w:tcW w:w="458" w:type="dxa"/>
            <w:noWrap/>
            <w:textDirection w:val="btLr"/>
            <w:vAlign w:val="bottom"/>
            <w:hideMark/>
          </w:tcPr>
          <w:p w14:paraId="6AF9C17A"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Advanced Health</w:t>
            </w:r>
          </w:p>
        </w:tc>
        <w:tc>
          <w:tcPr>
            <w:tcW w:w="458" w:type="dxa"/>
            <w:noWrap/>
            <w:textDirection w:val="btLr"/>
            <w:vAlign w:val="bottom"/>
            <w:hideMark/>
          </w:tcPr>
          <w:p w14:paraId="0A8042E9"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AllCare CCO</w:t>
            </w:r>
          </w:p>
        </w:tc>
        <w:tc>
          <w:tcPr>
            <w:tcW w:w="458" w:type="dxa"/>
            <w:noWrap/>
            <w:textDirection w:val="btLr"/>
            <w:vAlign w:val="bottom"/>
            <w:hideMark/>
          </w:tcPr>
          <w:p w14:paraId="7593932C"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Cascade Health Alliance</w:t>
            </w:r>
          </w:p>
        </w:tc>
        <w:tc>
          <w:tcPr>
            <w:tcW w:w="458" w:type="dxa"/>
            <w:noWrap/>
            <w:textDirection w:val="btLr"/>
            <w:vAlign w:val="bottom"/>
            <w:hideMark/>
          </w:tcPr>
          <w:p w14:paraId="3981F778"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Columbia Pacific</w:t>
            </w:r>
          </w:p>
        </w:tc>
        <w:tc>
          <w:tcPr>
            <w:tcW w:w="458" w:type="dxa"/>
            <w:noWrap/>
            <w:textDirection w:val="btLr"/>
            <w:vAlign w:val="bottom"/>
            <w:hideMark/>
          </w:tcPr>
          <w:p w14:paraId="49FF936E"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Eastern Oregon CCO</w:t>
            </w:r>
          </w:p>
        </w:tc>
        <w:tc>
          <w:tcPr>
            <w:tcW w:w="458" w:type="dxa"/>
            <w:noWrap/>
            <w:textDirection w:val="btLr"/>
            <w:vAlign w:val="bottom"/>
            <w:hideMark/>
          </w:tcPr>
          <w:p w14:paraId="6CC7BED2"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Health Share of Oregon</w:t>
            </w:r>
          </w:p>
        </w:tc>
        <w:tc>
          <w:tcPr>
            <w:tcW w:w="458" w:type="dxa"/>
            <w:noWrap/>
            <w:textDirection w:val="btLr"/>
            <w:vAlign w:val="bottom"/>
            <w:hideMark/>
          </w:tcPr>
          <w:p w14:paraId="45F072A7"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InterCommunity Health Network</w:t>
            </w:r>
          </w:p>
        </w:tc>
        <w:tc>
          <w:tcPr>
            <w:tcW w:w="458" w:type="dxa"/>
            <w:noWrap/>
            <w:textDirection w:val="btLr"/>
            <w:vAlign w:val="bottom"/>
            <w:hideMark/>
          </w:tcPr>
          <w:p w14:paraId="346B4DF4"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Jackson Care Connect</w:t>
            </w:r>
          </w:p>
        </w:tc>
        <w:tc>
          <w:tcPr>
            <w:tcW w:w="458" w:type="dxa"/>
            <w:noWrap/>
            <w:textDirection w:val="btLr"/>
            <w:vAlign w:val="bottom"/>
            <w:hideMark/>
          </w:tcPr>
          <w:p w14:paraId="139A68F4"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PacificSource Central</w:t>
            </w:r>
          </w:p>
        </w:tc>
        <w:tc>
          <w:tcPr>
            <w:tcW w:w="458" w:type="dxa"/>
            <w:noWrap/>
            <w:textDirection w:val="btLr"/>
            <w:vAlign w:val="bottom"/>
            <w:hideMark/>
          </w:tcPr>
          <w:p w14:paraId="25B90DEB"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PacificSource Gorge</w:t>
            </w:r>
          </w:p>
        </w:tc>
        <w:tc>
          <w:tcPr>
            <w:tcW w:w="458" w:type="dxa"/>
            <w:noWrap/>
            <w:textDirection w:val="btLr"/>
            <w:vAlign w:val="bottom"/>
            <w:hideMark/>
          </w:tcPr>
          <w:p w14:paraId="4757A977"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PacificSource Lane</w:t>
            </w:r>
          </w:p>
        </w:tc>
        <w:tc>
          <w:tcPr>
            <w:tcW w:w="458" w:type="dxa"/>
            <w:noWrap/>
            <w:textDirection w:val="btLr"/>
            <w:vAlign w:val="bottom"/>
            <w:hideMark/>
          </w:tcPr>
          <w:p w14:paraId="090D23CF"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PacificSource Marion Polk</w:t>
            </w:r>
          </w:p>
        </w:tc>
        <w:tc>
          <w:tcPr>
            <w:tcW w:w="458" w:type="dxa"/>
            <w:noWrap/>
            <w:textDirection w:val="btLr"/>
            <w:vAlign w:val="bottom"/>
            <w:hideMark/>
          </w:tcPr>
          <w:p w14:paraId="58236D0D"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Trillium North</w:t>
            </w:r>
          </w:p>
        </w:tc>
        <w:tc>
          <w:tcPr>
            <w:tcW w:w="458" w:type="dxa"/>
            <w:noWrap/>
            <w:textDirection w:val="btLr"/>
            <w:vAlign w:val="bottom"/>
            <w:hideMark/>
          </w:tcPr>
          <w:p w14:paraId="621B760B"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Trillium South</w:t>
            </w:r>
          </w:p>
        </w:tc>
        <w:tc>
          <w:tcPr>
            <w:tcW w:w="458" w:type="dxa"/>
            <w:noWrap/>
            <w:textDirection w:val="btLr"/>
            <w:vAlign w:val="bottom"/>
            <w:hideMark/>
          </w:tcPr>
          <w:p w14:paraId="528C7A88"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Umpqua Health Alliance</w:t>
            </w:r>
          </w:p>
        </w:tc>
        <w:tc>
          <w:tcPr>
            <w:tcW w:w="458" w:type="dxa"/>
            <w:noWrap/>
            <w:textDirection w:val="btLr"/>
            <w:vAlign w:val="bottom"/>
            <w:hideMark/>
          </w:tcPr>
          <w:p w14:paraId="72459AE1"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Yamhill Community Care</w:t>
            </w:r>
          </w:p>
        </w:tc>
        <w:tc>
          <w:tcPr>
            <w:tcW w:w="458" w:type="dxa"/>
            <w:textDirection w:val="btLr"/>
            <w:vAlign w:val="bottom"/>
            <w:hideMark/>
          </w:tcPr>
          <w:p w14:paraId="7353A405"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 CCOs met (out of 16)</w:t>
            </w:r>
          </w:p>
        </w:tc>
      </w:tr>
      <w:tr w:rsidR="00ED698D" w:rsidRPr="00B42AB4" w14:paraId="6DE0AD0C" w14:textId="77777777" w:rsidTr="6713373D">
        <w:trPr>
          <w:trHeight w:val="504"/>
        </w:trPr>
        <w:tc>
          <w:tcPr>
            <w:tcW w:w="2736" w:type="dxa"/>
            <w:vAlign w:val="center"/>
            <w:hideMark/>
          </w:tcPr>
          <w:p w14:paraId="1F103AD0"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Adults with Diabetes - Oral Evaluation</w:t>
            </w:r>
          </w:p>
        </w:tc>
        <w:tc>
          <w:tcPr>
            <w:tcW w:w="458" w:type="dxa"/>
            <w:shd w:val="clear" w:color="auto" w:fill="FFFFFF" w:themeFill="background1"/>
            <w:vAlign w:val="center"/>
            <w:hideMark/>
          </w:tcPr>
          <w:p w14:paraId="4CACF53C"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2248D711"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5F6F599A"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4DCD4C26"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57EF3A86"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0FA51607"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4B4ABADF"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0CEFDCEC"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68FB1064"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02B0B130"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FFFFFF" w:themeFill="background1"/>
            <w:vAlign w:val="center"/>
            <w:hideMark/>
          </w:tcPr>
          <w:p w14:paraId="4F8A1E48"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00B89192"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43B53740"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1A156859"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4250D1F5"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3193839D"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vAlign w:val="center"/>
            <w:hideMark/>
          </w:tcPr>
          <w:p w14:paraId="032CEF30"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4</w:t>
            </w:r>
          </w:p>
        </w:tc>
      </w:tr>
      <w:tr w:rsidR="00ED698D" w:rsidRPr="00B42AB4" w14:paraId="4D18E37B" w14:textId="77777777" w:rsidTr="6713373D">
        <w:trPr>
          <w:trHeight w:val="504"/>
        </w:trPr>
        <w:tc>
          <w:tcPr>
            <w:tcW w:w="2736" w:type="dxa"/>
            <w:vAlign w:val="center"/>
            <w:hideMark/>
          </w:tcPr>
          <w:p w14:paraId="5F5B906F"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Assessments for Children in ODHS Custody</w:t>
            </w:r>
          </w:p>
        </w:tc>
        <w:tc>
          <w:tcPr>
            <w:tcW w:w="458" w:type="dxa"/>
            <w:shd w:val="clear" w:color="auto" w:fill="002B4A"/>
            <w:vAlign w:val="center"/>
            <w:hideMark/>
          </w:tcPr>
          <w:p w14:paraId="56C0D275"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FFFFFF" w:themeFill="background1"/>
            <w:vAlign w:val="center"/>
            <w:hideMark/>
          </w:tcPr>
          <w:p w14:paraId="3E56AE11"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1E609AAB"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FFFFFF" w:themeFill="background1"/>
            <w:vAlign w:val="center"/>
            <w:hideMark/>
          </w:tcPr>
          <w:p w14:paraId="7B1A5973"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3CE68DFC"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73E1C41A"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372D0531"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552D0A6E"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3BF611CD"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6A15B844"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5E4AFDE4"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7DFAF0F6"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1EFB051B"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1EFF9A7A"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4ED6009A"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02E1FC53"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vAlign w:val="center"/>
            <w:hideMark/>
          </w:tcPr>
          <w:p w14:paraId="3299B09A"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14</w:t>
            </w:r>
          </w:p>
        </w:tc>
      </w:tr>
      <w:tr w:rsidR="00ED698D" w:rsidRPr="00B42AB4" w14:paraId="17B9CAC5" w14:textId="77777777" w:rsidTr="6713373D">
        <w:trPr>
          <w:trHeight w:val="504"/>
        </w:trPr>
        <w:tc>
          <w:tcPr>
            <w:tcW w:w="2736" w:type="dxa"/>
            <w:vAlign w:val="center"/>
            <w:hideMark/>
          </w:tcPr>
          <w:p w14:paraId="4EDBC6DD"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Child and Adolescent Well-Care Visits (Ages 3-6)^</w:t>
            </w:r>
          </w:p>
        </w:tc>
        <w:tc>
          <w:tcPr>
            <w:tcW w:w="458" w:type="dxa"/>
            <w:shd w:val="clear" w:color="auto" w:fill="FFFFFF" w:themeFill="background1"/>
            <w:vAlign w:val="center"/>
            <w:hideMark/>
          </w:tcPr>
          <w:p w14:paraId="6068FCAD"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36B2645F"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74C15D16"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391D0742"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29AC48F8"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51780B57"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0557D9C2"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16499017"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1F298711"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172F604F"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0F8E74F8"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6729FF65"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5137B376"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60EC93AD"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6EEA3D92"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2B48EF32"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vAlign w:val="center"/>
            <w:hideMark/>
          </w:tcPr>
          <w:p w14:paraId="280D0D09"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14</w:t>
            </w:r>
          </w:p>
        </w:tc>
      </w:tr>
      <w:tr w:rsidR="00ED698D" w:rsidRPr="00B42AB4" w14:paraId="460677EB" w14:textId="77777777" w:rsidTr="6713373D">
        <w:trPr>
          <w:trHeight w:val="504"/>
        </w:trPr>
        <w:tc>
          <w:tcPr>
            <w:tcW w:w="2736" w:type="dxa"/>
            <w:vAlign w:val="center"/>
            <w:hideMark/>
          </w:tcPr>
          <w:p w14:paraId="4DA49965"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Childhood Immunization Status: Combo 3</w:t>
            </w:r>
          </w:p>
        </w:tc>
        <w:tc>
          <w:tcPr>
            <w:tcW w:w="458" w:type="dxa"/>
            <w:shd w:val="clear" w:color="auto" w:fill="FFFFFF" w:themeFill="background1"/>
            <w:vAlign w:val="center"/>
            <w:hideMark/>
          </w:tcPr>
          <w:p w14:paraId="3E9D8983"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3CB14DEB"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7906F65A"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1B25CD90"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144BD253"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3BD078CB"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47B6D7E4"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4C851EFE"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2A02D5F5"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49D6F01F"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55C6A01D"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3FF963FC"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5D7D8027"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32AA4E8E"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4A947720"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3CAAE2CA"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vAlign w:val="center"/>
            <w:hideMark/>
          </w:tcPr>
          <w:p w14:paraId="02CB22E6"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7</w:t>
            </w:r>
          </w:p>
        </w:tc>
      </w:tr>
      <w:tr w:rsidR="00ED698D" w:rsidRPr="00B42AB4" w14:paraId="527E236B" w14:textId="77777777" w:rsidTr="6713373D">
        <w:trPr>
          <w:trHeight w:val="504"/>
        </w:trPr>
        <w:tc>
          <w:tcPr>
            <w:tcW w:w="2736" w:type="dxa"/>
            <w:vAlign w:val="center"/>
            <w:hideMark/>
          </w:tcPr>
          <w:p w14:paraId="01334C37"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Diabetes: HbA1c Poor Control^</w:t>
            </w:r>
          </w:p>
        </w:tc>
        <w:tc>
          <w:tcPr>
            <w:tcW w:w="458" w:type="dxa"/>
            <w:shd w:val="clear" w:color="auto" w:fill="FFFFFF" w:themeFill="background1"/>
            <w:vAlign w:val="center"/>
            <w:hideMark/>
          </w:tcPr>
          <w:p w14:paraId="27FF9C4B"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141BB993"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06AAF098"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FFFFFF" w:themeFill="background1"/>
            <w:vAlign w:val="center"/>
            <w:hideMark/>
          </w:tcPr>
          <w:p w14:paraId="66DCAB2E"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3A9FEF7F"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FFFFFF" w:themeFill="background1"/>
            <w:vAlign w:val="center"/>
            <w:hideMark/>
          </w:tcPr>
          <w:p w14:paraId="24B3ACF6"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1BFF1A55"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24A1F4DD"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743B8EC9"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2BE1A052"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09D02177"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FFFFFF" w:themeFill="background1"/>
            <w:vAlign w:val="center"/>
            <w:hideMark/>
          </w:tcPr>
          <w:p w14:paraId="10A08423"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78F9E523"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FFFFFF" w:themeFill="background1"/>
            <w:vAlign w:val="center"/>
            <w:hideMark/>
          </w:tcPr>
          <w:p w14:paraId="25D87949"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7CB1ABE0"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471B9FB8"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vAlign w:val="center"/>
            <w:hideMark/>
          </w:tcPr>
          <w:p w14:paraId="09CB2CB0"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9</w:t>
            </w:r>
          </w:p>
        </w:tc>
      </w:tr>
      <w:tr w:rsidR="00ED698D" w:rsidRPr="00B42AB4" w14:paraId="5CED4D80" w14:textId="77777777" w:rsidTr="6713373D">
        <w:trPr>
          <w:trHeight w:val="504"/>
        </w:trPr>
        <w:tc>
          <w:tcPr>
            <w:tcW w:w="2736" w:type="dxa"/>
            <w:vAlign w:val="center"/>
            <w:hideMark/>
          </w:tcPr>
          <w:p w14:paraId="4C21A4A6"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Immunizations for Adolescents: Combo 2</w:t>
            </w:r>
          </w:p>
        </w:tc>
        <w:tc>
          <w:tcPr>
            <w:tcW w:w="458" w:type="dxa"/>
            <w:shd w:val="clear" w:color="auto" w:fill="4779B1"/>
            <w:vAlign w:val="center"/>
            <w:hideMark/>
          </w:tcPr>
          <w:p w14:paraId="41B659E8"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0BA3FED0"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2D7329C3"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3615DA28"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7F5F12D5"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tcBorders>
              <w:bottom w:val="single" w:sz="4" w:space="0" w:color="A6A6A6" w:themeColor="background1" w:themeShade="A6"/>
            </w:tcBorders>
            <w:shd w:val="clear" w:color="auto" w:fill="002B4A"/>
            <w:vAlign w:val="center"/>
            <w:hideMark/>
          </w:tcPr>
          <w:p w14:paraId="7D628191"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4711922F"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0821EE51"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18C059B8"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263E957A"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49F9348C"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7861C6C8"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5A13E462"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482D7C03"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13FB54F6"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2BF71AFD"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vAlign w:val="center"/>
            <w:hideMark/>
          </w:tcPr>
          <w:p w14:paraId="41D32989"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12</w:t>
            </w:r>
          </w:p>
        </w:tc>
      </w:tr>
      <w:tr w:rsidR="00ED698D" w:rsidRPr="00B42AB4" w14:paraId="6ACD95F5" w14:textId="77777777" w:rsidTr="0095234A">
        <w:trPr>
          <w:trHeight w:val="504"/>
        </w:trPr>
        <w:tc>
          <w:tcPr>
            <w:tcW w:w="2736" w:type="dxa"/>
            <w:vAlign w:val="center"/>
            <w:hideMark/>
          </w:tcPr>
          <w:p w14:paraId="16C31473"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Init</w:t>
            </w:r>
            <w:r>
              <w:rPr>
                <w:rFonts w:ascii="Arial Narrow" w:eastAsia="Times New Roman" w:hAnsi="Arial Narrow" w:cs="Times New Roman"/>
                <w:color w:val="000000"/>
                <w:kern w:val="0"/>
                <w:sz w:val="20"/>
                <w:szCs w:val="20"/>
                <w14:ligatures w14:val="none"/>
              </w:rPr>
              <w:t>i</w:t>
            </w:r>
            <w:r w:rsidRPr="00B42AB4">
              <w:rPr>
                <w:rFonts w:ascii="Arial Narrow" w:eastAsia="Times New Roman" w:hAnsi="Arial Narrow" w:cs="Times New Roman"/>
                <w:color w:val="000000"/>
                <w:kern w:val="0"/>
                <w:sz w:val="20"/>
                <w:szCs w:val="20"/>
                <w14:ligatures w14:val="none"/>
              </w:rPr>
              <w:t>ation and Engagement of SUD Treatment: Engagement‡</w:t>
            </w:r>
          </w:p>
        </w:tc>
        <w:tc>
          <w:tcPr>
            <w:tcW w:w="458" w:type="dxa"/>
            <w:shd w:val="clear" w:color="auto" w:fill="FFFFFF" w:themeFill="background1"/>
            <w:vAlign w:val="center"/>
            <w:hideMark/>
          </w:tcPr>
          <w:p w14:paraId="54F4374C"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bottom w:val="single" w:sz="4" w:space="0" w:color="A6A6A6" w:themeColor="background1" w:themeShade="A6"/>
            </w:tcBorders>
            <w:shd w:val="clear" w:color="auto" w:fill="FFFFFF" w:themeFill="background1"/>
            <w:vAlign w:val="center"/>
            <w:hideMark/>
          </w:tcPr>
          <w:p w14:paraId="37FA4F4D"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18C11E02"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FFFFFF" w:themeFill="background1"/>
            <w:vAlign w:val="center"/>
            <w:hideMark/>
          </w:tcPr>
          <w:p w14:paraId="43A8EED2"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42DEBBB1"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75D34120"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447661EF"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FFFFFF" w:themeFill="background1"/>
            <w:vAlign w:val="center"/>
            <w:hideMark/>
          </w:tcPr>
          <w:p w14:paraId="0C97EAAA"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3B123142"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43F87EFA"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2F2C1A08"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49EF7D3F"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03A4B9A6"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FFFFFF" w:themeFill="background1"/>
            <w:vAlign w:val="center"/>
            <w:hideMark/>
          </w:tcPr>
          <w:p w14:paraId="6172CE06"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0C56A947"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73A8CE40"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vAlign w:val="center"/>
            <w:hideMark/>
          </w:tcPr>
          <w:p w14:paraId="2DFD55B4"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7</w:t>
            </w:r>
          </w:p>
        </w:tc>
      </w:tr>
      <w:tr w:rsidR="00ED698D" w:rsidRPr="00B42AB4" w14:paraId="4564E12A" w14:textId="77777777" w:rsidTr="0095234A">
        <w:trPr>
          <w:trHeight w:val="504"/>
        </w:trPr>
        <w:tc>
          <w:tcPr>
            <w:tcW w:w="2736" w:type="dxa"/>
            <w:vAlign w:val="center"/>
            <w:hideMark/>
          </w:tcPr>
          <w:p w14:paraId="6BFEC15A"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Init</w:t>
            </w:r>
            <w:r>
              <w:rPr>
                <w:rFonts w:ascii="Arial Narrow" w:eastAsia="Times New Roman" w:hAnsi="Arial Narrow" w:cs="Times New Roman"/>
                <w:color w:val="000000"/>
                <w:kern w:val="0"/>
                <w:sz w:val="20"/>
                <w:szCs w:val="20"/>
                <w14:ligatures w14:val="none"/>
              </w:rPr>
              <w:t>i</w:t>
            </w:r>
            <w:r w:rsidRPr="00B42AB4">
              <w:rPr>
                <w:rFonts w:ascii="Arial Narrow" w:eastAsia="Times New Roman" w:hAnsi="Arial Narrow" w:cs="Times New Roman"/>
                <w:color w:val="000000"/>
                <w:kern w:val="0"/>
                <w:sz w:val="20"/>
                <w:szCs w:val="20"/>
                <w14:ligatures w14:val="none"/>
              </w:rPr>
              <w:t>ation and Engagement of SUD Treatment: Initiation‡</w:t>
            </w:r>
          </w:p>
        </w:tc>
        <w:tc>
          <w:tcPr>
            <w:tcW w:w="458" w:type="dxa"/>
            <w:tcBorders>
              <w:bottom w:val="single" w:sz="4" w:space="0" w:color="A6A6A6" w:themeColor="background1" w:themeShade="A6"/>
            </w:tcBorders>
            <w:shd w:val="clear" w:color="auto" w:fill="FFFFFF" w:themeFill="background1"/>
            <w:vAlign w:val="center"/>
            <w:hideMark/>
          </w:tcPr>
          <w:p w14:paraId="274C8286"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4779B1"/>
            <w:vAlign w:val="center"/>
            <w:hideMark/>
          </w:tcPr>
          <w:p w14:paraId="3D3806A7"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29640272"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tcBorders>
              <w:bottom w:val="single" w:sz="4" w:space="0" w:color="A6A6A6" w:themeColor="background1" w:themeShade="A6"/>
            </w:tcBorders>
            <w:shd w:val="clear" w:color="auto" w:fill="FFFFFF" w:themeFill="background1"/>
            <w:vAlign w:val="center"/>
            <w:hideMark/>
          </w:tcPr>
          <w:p w14:paraId="7CBE97B7"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bottom w:val="single" w:sz="4" w:space="0" w:color="A6A6A6" w:themeColor="background1" w:themeShade="A6"/>
            </w:tcBorders>
            <w:shd w:val="clear" w:color="auto" w:fill="FFFFFF" w:themeFill="background1"/>
            <w:vAlign w:val="center"/>
            <w:hideMark/>
          </w:tcPr>
          <w:p w14:paraId="36CF528C"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top w:val="single" w:sz="4" w:space="0" w:color="A6A6A6" w:themeColor="background1" w:themeShade="A6"/>
              <w:bottom w:val="single" w:sz="4" w:space="0" w:color="A6A6A6" w:themeColor="background1" w:themeShade="A6"/>
            </w:tcBorders>
            <w:shd w:val="clear" w:color="auto" w:fill="FFFFFF" w:themeFill="background1"/>
            <w:vAlign w:val="center"/>
            <w:hideMark/>
          </w:tcPr>
          <w:p w14:paraId="4A9EA37E"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bottom w:val="single" w:sz="4" w:space="0" w:color="A6A6A6" w:themeColor="background1" w:themeShade="A6"/>
            </w:tcBorders>
            <w:shd w:val="clear" w:color="auto" w:fill="4779B1"/>
            <w:vAlign w:val="center"/>
            <w:hideMark/>
          </w:tcPr>
          <w:p w14:paraId="42F3026C"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tcBorders>
              <w:bottom w:val="single" w:sz="4" w:space="0" w:color="A6A6A6" w:themeColor="background1" w:themeShade="A6"/>
            </w:tcBorders>
            <w:shd w:val="clear" w:color="auto" w:fill="FFFFFF" w:themeFill="background1"/>
            <w:vAlign w:val="center"/>
            <w:hideMark/>
          </w:tcPr>
          <w:p w14:paraId="7FB0C76A"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bottom w:val="single" w:sz="4" w:space="0" w:color="A6A6A6" w:themeColor="background1" w:themeShade="A6"/>
            </w:tcBorders>
            <w:shd w:val="clear" w:color="auto" w:fill="FFFFFF" w:themeFill="background1"/>
            <w:vAlign w:val="center"/>
            <w:hideMark/>
          </w:tcPr>
          <w:p w14:paraId="3BDF3A13"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7DC3BB72"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bottom w:val="single" w:sz="4" w:space="0" w:color="A6A6A6" w:themeColor="background1" w:themeShade="A6"/>
            </w:tcBorders>
            <w:shd w:val="clear" w:color="auto" w:fill="4779B1"/>
            <w:vAlign w:val="center"/>
            <w:hideMark/>
          </w:tcPr>
          <w:p w14:paraId="58FB0EBB"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tcBorders>
              <w:bottom w:val="single" w:sz="4" w:space="0" w:color="A6A6A6" w:themeColor="background1" w:themeShade="A6"/>
            </w:tcBorders>
            <w:shd w:val="clear" w:color="auto" w:fill="FFFFFF" w:themeFill="background1"/>
            <w:vAlign w:val="center"/>
            <w:hideMark/>
          </w:tcPr>
          <w:p w14:paraId="327101C3"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345D69E9"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002B4A"/>
                <w:kern w:val="0"/>
                <w:sz w:val="2"/>
                <w:szCs w:val="2"/>
                <w14:ligatures w14:val="none"/>
              </w:rPr>
              <w:t>Met benchmark</w:t>
            </w:r>
          </w:p>
        </w:tc>
        <w:tc>
          <w:tcPr>
            <w:tcW w:w="458" w:type="dxa"/>
            <w:tcBorders>
              <w:bottom w:val="single" w:sz="4" w:space="0" w:color="A6A6A6" w:themeColor="background1" w:themeShade="A6"/>
            </w:tcBorders>
            <w:shd w:val="clear" w:color="auto" w:fill="FFFFFF" w:themeFill="background1"/>
            <w:vAlign w:val="center"/>
            <w:hideMark/>
          </w:tcPr>
          <w:p w14:paraId="7EB4E1D6"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7C48D8E8"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tcBorders>
              <w:bottom w:val="single" w:sz="4" w:space="0" w:color="A6A6A6" w:themeColor="background1" w:themeShade="A6"/>
            </w:tcBorders>
            <w:shd w:val="clear" w:color="auto" w:fill="4779B1"/>
            <w:vAlign w:val="center"/>
            <w:hideMark/>
          </w:tcPr>
          <w:p w14:paraId="11B63A64"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vAlign w:val="center"/>
            <w:hideMark/>
          </w:tcPr>
          <w:p w14:paraId="16EAB66B"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7</w:t>
            </w:r>
          </w:p>
        </w:tc>
      </w:tr>
      <w:tr w:rsidR="00ED698D" w:rsidRPr="00B42AB4" w14:paraId="6B5C779C" w14:textId="77777777" w:rsidTr="0095234A">
        <w:trPr>
          <w:trHeight w:val="504"/>
        </w:trPr>
        <w:tc>
          <w:tcPr>
            <w:tcW w:w="2736" w:type="dxa"/>
            <w:vAlign w:val="center"/>
            <w:hideMark/>
          </w:tcPr>
          <w:p w14:paraId="4A1EEE3C"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Meaningful Language Access (Health Equity): Component 1‡</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1FA655CE"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tcBorders>
            <w:shd w:val="clear" w:color="auto" w:fill="002B4A"/>
            <w:vAlign w:val="center"/>
            <w:hideMark/>
          </w:tcPr>
          <w:p w14:paraId="4B3689CA"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0650EEF1"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69EB3DE2"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00B1F8FF"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46AA05B5"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03A9DE01"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26B684DC"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4313C41D"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68575E5B"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7ACBB062"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733A8BF2"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2817B5EE"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30AB3E68"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3485F88B"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129CC165"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vAlign w:val="center"/>
            <w:hideMark/>
          </w:tcPr>
          <w:p w14:paraId="22B3EB74"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16</w:t>
            </w:r>
          </w:p>
        </w:tc>
      </w:tr>
      <w:tr w:rsidR="00ED698D" w:rsidRPr="00B42AB4" w14:paraId="0E968D11" w14:textId="77777777" w:rsidTr="6713373D">
        <w:trPr>
          <w:trHeight w:val="504"/>
        </w:trPr>
        <w:tc>
          <w:tcPr>
            <w:tcW w:w="2736" w:type="dxa"/>
            <w:vAlign w:val="center"/>
            <w:hideMark/>
          </w:tcPr>
          <w:p w14:paraId="55659DE5"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Meaningful Language Access (Health Equity): Component 2‡</w:t>
            </w:r>
          </w:p>
        </w:tc>
        <w:tc>
          <w:tcPr>
            <w:tcW w:w="458" w:type="dxa"/>
            <w:tcBorders>
              <w:top w:val="single" w:sz="4" w:space="0" w:color="A6A6A6" w:themeColor="background1" w:themeShade="A6"/>
            </w:tcBorders>
            <w:shd w:val="clear" w:color="auto" w:fill="FFFFFF" w:themeFill="background1"/>
            <w:vAlign w:val="center"/>
            <w:hideMark/>
          </w:tcPr>
          <w:p w14:paraId="36674EB5"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34433A8A"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1229903C"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tcBorders>
              <w:top w:val="single" w:sz="4" w:space="0" w:color="A6A6A6" w:themeColor="background1" w:themeShade="A6"/>
            </w:tcBorders>
            <w:shd w:val="clear" w:color="auto" w:fill="FFFFFF" w:themeFill="background1"/>
            <w:vAlign w:val="center"/>
            <w:hideMark/>
          </w:tcPr>
          <w:p w14:paraId="5F8F07F1"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top w:val="single" w:sz="4" w:space="0" w:color="A6A6A6" w:themeColor="background1" w:themeShade="A6"/>
            </w:tcBorders>
            <w:shd w:val="clear" w:color="auto" w:fill="FFFFFF" w:themeFill="background1"/>
            <w:vAlign w:val="center"/>
            <w:hideMark/>
          </w:tcPr>
          <w:p w14:paraId="0D308098"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top w:val="single" w:sz="4" w:space="0" w:color="A6A6A6" w:themeColor="background1" w:themeShade="A6"/>
            </w:tcBorders>
            <w:shd w:val="clear" w:color="auto" w:fill="FFFFFF" w:themeFill="background1"/>
            <w:vAlign w:val="center"/>
            <w:hideMark/>
          </w:tcPr>
          <w:p w14:paraId="18C20B1B"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top w:val="single" w:sz="4" w:space="0" w:color="A6A6A6" w:themeColor="background1" w:themeShade="A6"/>
            </w:tcBorders>
            <w:shd w:val="clear" w:color="auto" w:fill="FFFFFF" w:themeFill="background1"/>
            <w:vAlign w:val="center"/>
            <w:hideMark/>
          </w:tcPr>
          <w:p w14:paraId="6730D403"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top w:val="single" w:sz="4" w:space="0" w:color="A6A6A6" w:themeColor="background1" w:themeShade="A6"/>
            </w:tcBorders>
            <w:shd w:val="clear" w:color="auto" w:fill="FFFFFF" w:themeFill="background1"/>
            <w:vAlign w:val="center"/>
            <w:hideMark/>
          </w:tcPr>
          <w:p w14:paraId="574262B0"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top w:val="single" w:sz="4" w:space="0" w:color="A6A6A6" w:themeColor="background1" w:themeShade="A6"/>
            </w:tcBorders>
            <w:shd w:val="clear" w:color="auto" w:fill="FFFFFF" w:themeFill="background1"/>
            <w:vAlign w:val="center"/>
            <w:hideMark/>
          </w:tcPr>
          <w:p w14:paraId="28D0CD7C"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6D67D5D3"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tcBorders>
              <w:top w:val="single" w:sz="4" w:space="0" w:color="A6A6A6" w:themeColor="background1" w:themeShade="A6"/>
            </w:tcBorders>
            <w:shd w:val="clear" w:color="auto" w:fill="FFFFFF" w:themeFill="background1"/>
            <w:vAlign w:val="center"/>
            <w:hideMark/>
          </w:tcPr>
          <w:p w14:paraId="4383004E"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top w:val="single" w:sz="4" w:space="0" w:color="A6A6A6" w:themeColor="background1" w:themeShade="A6"/>
            </w:tcBorders>
            <w:shd w:val="clear" w:color="auto" w:fill="FFFFFF" w:themeFill="background1"/>
            <w:vAlign w:val="center"/>
            <w:hideMark/>
          </w:tcPr>
          <w:p w14:paraId="13AF8588"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4FA27A09"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4779B1"/>
                <w:kern w:val="0"/>
                <w:sz w:val="2"/>
                <w:szCs w:val="2"/>
                <w14:ligatures w14:val="none"/>
              </w:rPr>
              <w:t>Met target</w:t>
            </w:r>
          </w:p>
        </w:tc>
        <w:tc>
          <w:tcPr>
            <w:tcW w:w="458" w:type="dxa"/>
            <w:tcBorders>
              <w:top w:val="single" w:sz="4" w:space="0" w:color="A6A6A6" w:themeColor="background1" w:themeShade="A6"/>
            </w:tcBorders>
            <w:shd w:val="clear" w:color="auto" w:fill="FFFFFF" w:themeFill="background1"/>
            <w:vAlign w:val="center"/>
            <w:hideMark/>
          </w:tcPr>
          <w:p w14:paraId="27309DFD"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0F29A9E9"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tcBorders>
              <w:top w:val="single" w:sz="4" w:space="0" w:color="A6A6A6" w:themeColor="background1" w:themeShade="A6"/>
            </w:tcBorders>
            <w:shd w:val="clear" w:color="auto" w:fill="FFFFFF" w:themeFill="background1"/>
            <w:vAlign w:val="center"/>
            <w:hideMark/>
          </w:tcPr>
          <w:p w14:paraId="4C680F8F"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vAlign w:val="center"/>
            <w:hideMark/>
          </w:tcPr>
          <w:p w14:paraId="4F29B877"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5</w:t>
            </w:r>
          </w:p>
        </w:tc>
      </w:tr>
      <w:tr w:rsidR="00ED698D" w:rsidRPr="00B42AB4" w14:paraId="349D01E9" w14:textId="77777777" w:rsidTr="6713373D">
        <w:trPr>
          <w:trHeight w:val="504"/>
        </w:trPr>
        <w:tc>
          <w:tcPr>
            <w:tcW w:w="2736" w:type="dxa"/>
            <w:vAlign w:val="center"/>
            <w:hideMark/>
          </w:tcPr>
          <w:p w14:paraId="40AE84DD"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Prenatal and Postpartum Care: Postpartum Care^</w:t>
            </w:r>
          </w:p>
        </w:tc>
        <w:tc>
          <w:tcPr>
            <w:tcW w:w="458" w:type="dxa"/>
            <w:shd w:val="clear" w:color="auto" w:fill="002B4A"/>
            <w:vAlign w:val="center"/>
            <w:hideMark/>
          </w:tcPr>
          <w:p w14:paraId="022BFB44"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6C52FF2C"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47141FEA"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6A19382F"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648D5DA8"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1E4ED62B"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517AE4D2"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bottom w:val="single" w:sz="4" w:space="0" w:color="A6A6A6" w:themeColor="background1" w:themeShade="A6"/>
            </w:tcBorders>
            <w:shd w:val="clear" w:color="auto" w:fill="002B4A"/>
            <w:vAlign w:val="center"/>
            <w:hideMark/>
          </w:tcPr>
          <w:p w14:paraId="72A924C7"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5DF4D3FD"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147567C1"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771A1E98"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401491FF"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7031C950"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tcBorders>
              <w:bottom w:val="single" w:sz="4" w:space="0" w:color="A6A6A6" w:themeColor="background1" w:themeShade="A6"/>
            </w:tcBorders>
            <w:shd w:val="clear" w:color="auto" w:fill="002B4A"/>
            <w:vAlign w:val="center"/>
            <w:hideMark/>
          </w:tcPr>
          <w:p w14:paraId="4104EE8F"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7540BE62"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4FD4BF05"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vAlign w:val="center"/>
            <w:hideMark/>
          </w:tcPr>
          <w:p w14:paraId="2FB101C0"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16</w:t>
            </w:r>
          </w:p>
        </w:tc>
      </w:tr>
      <w:tr w:rsidR="00ED698D" w:rsidRPr="00B42AB4" w14:paraId="6BFABD73" w14:textId="77777777" w:rsidTr="0095234A">
        <w:trPr>
          <w:trHeight w:val="504"/>
        </w:trPr>
        <w:tc>
          <w:tcPr>
            <w:tcW w:w="2736" w:type="dxa"/>
            <w:vAlign w:val="center"/>
            <w:hideMark/>
          </w:tcPr>
          <w:p w14:paraId="065F1559"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Preventive Dental or Oral Health Services (Ages 1-5)‡^</w:t>
            </w:r>
          </w:p>
        </w:tc>
        <w:tc>
          <w:tcPr>
            <w:tcW w:w="458" w:type="dxa"/>
            <w:shd w:val="clear" w:color="auto" w:fill="002B4A"/>
            <w:vAlign w:val="center"/>
            <w:hideMark/>
          </w:tcPr>
          <w:p w14:paraId="08C2B8AC"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FFFFFF" w:themeFill="background1"/>
            <w:vAlign w:val="center"/>
            <w:hideMark/>
          </w:tcPr>
          <w:p w14:paraId="313360F2"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bottom w:val="single" w:sz="4" w:space="0" w:color="A6A6A6" w:themeColor="background1" w:themeShade="A6"/>
            </w:tcBorders>
            <w:shd w:val="clear" w:color="auto" w:fill="FFFFFF" w:themeFill="background1"/>
            <w:vAlign w:val="center"/>
            <w:hideMark/>
          </w:tcPr>
          <w:p w14:paraId="1B1B022D"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762F3F27"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0D96ADF6"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689C7455"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5527C309"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71720828"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FFFFFF" w:themeFill="background1"/>
            <w:vAlign w:val="center"/>
            <w:hideMark/>
          </w:tcPr>
          <w:p w14:paraId="3EAFE935"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7D9267B3"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74A128DF"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65A9F41C"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4406D52D"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552CF49D"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bottom w:val="single" w:sz="4" w:space="0" w:color="A6A6A6" w:themeColor="background1" w:themeShade="A6"/>
            </w:tcBorders>
            <w:shd w:val="clear" w:color="auto" w:fill="FFFFFF" w:themeFill="background1"/>
            <w:vAlign w:val="center"/>
            <w:hideMark/>
          </w:tcPr>
          <w:p w14:paraId="38B12000"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7E25683A"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vAlign w:val="center"/>
            <w:hideMark/>
          </w:tcPr>
          <w:p w14:paraId="7C1C7D2A"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11</w:t>
            </w:r>
          </w:p>
        </w:tc>
      </w:tr>
      <w:tr w:rsidR="00ED698D" w:rsidRPr="00B42AB4" w14:paraId="3A76790E" w14:textId="77777777" w:rsidTr="0095234A">
        <w:trPr>
          <w:trHeight w:val="504"/>
        </w:trPr>
        <w:tc>
          <w:tcPr>
            <w:tcW w:w="2736" w:type="dxa"/>
            <w:vAlign w:val="center"/>
            <w:hideMark/>
          </w:tcPr>
          <w:p w14:paraId="0D42D519"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Preventive Dental or Oral Health Services (Ages 6-14)‡^</w:t>
            </w:r>
          </w:p>
        </w:tc>
        <w:tc>
          <w:tcPr>
            <w:tcW w:w="458" w:type="dxa"/>
            <w:shd w:val="clear" w:color="auto" w:fill="002B4A"/>
            <w:vAlign w:val="center"/>
            <w:hideMark/>
          </w:tcPr>
          <w:p w14:paraId="57F5DE59"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FFFFFF" w:themeFill="background1"/>
            <w:vAlign w:val="center"/>
            <w:hideMark/>
          </w:tcPr>
          <w:p w14:paraId="0E5FD400"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4779B1"/>
            <w:vAlign w:val="center"/>
            <w:hideMark/>
          </w:tcPr>
          <w:p w14:paraId="0D54CB69"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090C3298"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33FDB495"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270576EC"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17AFF774"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tcBorders>
            <w:shd w:val="clear" w:color="auto" w:fill="FFFFFF" w:themeFill="background1"/>
            <w:vAlign w:val="center"/>
            <w:hideMark/>
          </w:tcPr>
          <w:p w14:paraId="54B4EE10"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3C1DBC3F"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5BCB8DF5"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2B11DE60"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678CD1B4"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2055D583"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tcBorders>
              <w:top w:val="single" w:sz="4" w:space="0" w:color="A6A6A6" w:themeColor="background1" w:themeShade="A6"/>
            </w:tcBorders>
            <w:shd w:val="clear" w:color="auto" w:fill="FFFFFF" w:themeFill="background1"/>
            <w:vAlign w:val="center"/>
            <w:hideMark/>
          </w:tcPr>
          <w:p w14:paraId="17ECC461"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tcBorders>
              <w:top w:val="single" w:sz="4" w:space="0" w:color="A6A6A6" w:themeColor="background1" w:themeShade="A6"/>
              <w:bottom w:val="single" w:sz="4" w:space="0" w:color="A6A6A6" w:themeColor="background1" w:themeShade="A6"/>
            </w:tcBorders>
            <w:shd w:val="thinReverseDiagStripe" w:color="FFFFFF" w:themeColor="background1" w:fill="002B4A"/>
            <w:vAlign w:val="center"/>
            <w:hideMark/>
          </w:tcPr>
          <w:p w14:paraId="71368325"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53520E56"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vAlign w:val="center"/>
            <w:hideMark/>
          </w:tcPr>
          <w:p w14:paraId="0DFCE8AA"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11</w:t>
            </w:r>
          </w:p>
        </w:tc>
      </w:tr>
      <w:tr w:rsidR="00ED698D" w:rsidRPr="00B42AB4" w14:paraId="2E3B7F0F" w14:textId="77777777" w:rsidTr="6713373D">
        <w:trPr>
          <w:trHeight w:val="504"/>
        </w:trPr>
        <w:tc>
          <w:tcPr>
            <w:tcW w:w="2736" w:type="dxa"/>
            <w:vAlign w:val="center"/>
            <w:hideMark/>
          </w:tcPr>
          <w:p w14:paraId="6E0EE9DF"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Screening for Depression and Follow-Up Plan</w:t>
            </w:r>
          </w:p>
        </w:tc>
        <w:tc>
          <w:tcPr>
            <w:tcW w:w="458" w:type="dxa"/>
            <w:shd w:val="clear" w:color="auto" w:fill="FFFFFF" w:themeFill="background1"/>
            <w:vAlign w:val="center"/>
            <w:hideMark/>
          </w:tcPr>
          <w:p w14:paraId="4D2EFD68"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1EBC601E"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tcBorders>
            <w:shd w:val="clear" w:color="auto" w:fill="4779B1"/>
            <w:vAlign w:val="center"/>
            <w:hideMark/>
          </w:tcPr>
          <w:p w14:paraId="3BC01080"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5245E1C7"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5DF382FB"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61F4C267"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05D2E6DA"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06EEEF39"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175C0FC3"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4779B1"/>
            <w:vAlign w:val="center"/>
            <w:hideMark/>
          </w:tcPr>
          <w:p w14:paraId="41D56C34"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33A4E1DB"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FFFFFF" w:themeFill="background1"/>
            <w:vAlign w:val="center"/>
            <w:hideMark/>
          </w:tcPr>
          <w:p w14:paraId="577955AA"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002B4A"/>
            <w:vAlign w:val="center"/>
            <w:hideMark/>
          </w:tcPr>
          <w:p w14:paraId="64D8430E"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57916A4B"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tcBorders>
              <w:top w:val="single" w:sz="4" w:space="0" w:color="A6A6A6" w:themeColor="background1" w:themeShade="A6"/>
            </w:tcBorders>
            <w:shd w:val="clear" w:color="auto" w:fill="4779B1"/>
            <w:vAlign w:val="center"/>
            <w:hideMark/>
          </w:tcPr>
          <w:p w14:paraId="00A7A2E8"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002B4A"/>
            <w:vAlign w:val="center"/>
            <w:hideMark/>
          </w:tcPr>
          <w:p w14:paraId="3A2141B9"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002B4A"/>
                <w:kern w:val="0"/>
                <w:sz w:val="2"/>
                <w:szCs w:val="2"/>
                <w14:ligatures w14:val="none"/>
              </w:rPr>
              <w:t>Met benchmark</w:t>
            </w:r>
          </w:p>
        </w:tc>
        <w:tc>
          <w:tcPr>
            <w:tcW w:w="458" w:type="dxa"/>
            <w:vAlign w:val="center"/>
            <w:hideMark/>
          </w:tcPr>
          <w:p w14:paraId="28E32CD4"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14</w:t>
            </w:r>
          </w:p>
        </w:tc>
      </w:tr>
      <w:tr w:rsidR="00ED698D" w:rsidRPr="00B42AB4" w14:paraId="1C4EDB12" w14:textId="77777777" w:rsidTr="6713373D">
        <w:trPr>
          <w:trHeight w:val="504"/>
        </w:trPr>
        <w:tc>
          <w:tcPr>
            <w:tcW w:w="2736" w:type="dxa"/>
            <w:vAlign w:val="center"/>
            <w:hideMark/>
          </w:tcPr>
          <w:p w14:paraId="3B862536" w14:textId="77777777"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 xml:space="preserve">SDOH: Social Needs Screening and Referral - Reporting </w:t>
            </w:r>
            <w:r>
              <w:rPr>
                <w:rFonts w:ascii="Arial Narrow" w:eastAsia="Times New Roman" w:hAnsi="Arial Narrow" w:cs="Times New Roman"/>
                <w:color w:val="000000"/>
                <w:kern w:val="0"/>
                <w:sz w:val="20"/>
                <w:szCs w:val="20"/>
                <w14:ligatures w14:val="none"/>
              </w:rPr>
              <w:t>Rate</w:t>
            </w:r>
          </w:p>
        </w:tc>
        <w:tc>
          <w:tcPr>
            <w:tcW w:w="458" w:type="dxa"/>
            <w:shd w:val="clear" w:color="auto" w:fill="002B4A"/>
            <w:vAlign w:val="center"/>
            <w:hideMark/>
          </w:tcPr>
          <w:p w14:paraId="244E5C64"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6D3B1EA6"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1013BA99"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5FEA2F76"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362B9E54"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4265DBE6"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58B1E929"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3C4AA53C"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16B1B263"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3A152D4C"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59779253"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5B357290"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2C78D42F"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3270C8B2"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2BD0224B"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shd w:val="clear" w:color="auto" w:fill="002B4A"/>
            <w:vAlign w:val="center"/>
            <w:hideMark/>
          </w:tcPr>
          <w:p w14:paraId="6AC0519D" w14:textId="77777777" w:rsidR="00ED698D" w:rsidRPr="00B42AB4" w:rsidRDefault="00ED698D">
            <w:pPr>
              <w:spacing w:after="0" w:line="240" w:lineRule="auto"/>
              <w:rPr>
                <w:rFonts w:ascii="Arial Narrow" w:eastAsia="Times New Roman" w:hAnsi="Arial Narrow" w:cs="Times New Roman"/>
                <w:color w:val="002B4A"/>
                <w:kern w:val="0"/>
                <w:sz w:val="2"/>
                <w:szCs w:val="2"/>
                <w14:ligatures w14:val="none"/>
              </w:rPr>
            </w:pPr>
            <w:r w:rsidRPr="00B42AB4">
              <w:rPr>
                <w:rFonts w:ascii="Arial Narrow" w:eastAsia="Times New Roman" w:hAnsi="Arial Narrow" w:cs="Times New Roman"/>
                <w:color w:val="002B4A"/>
                <w:kern w:val="0"/>
                <w:sz w:val="2"/>
                <w:szCs w:val="2"/>
                <w14:ligatures w14:val="none"/>
              </w:rPr>
              <w:t>Met benchmark</w:t>
            </w:r>
          </w:p>
        </w:tc>
        <w:tc>
          <w:tcPr>
            <w:tcW w:w="458" w:type="dxa"/>
            <w:vAlign w:val="center"/>
            <w:hideMark/>
          </w:tcPr>
          <w:p w14:paraId="6F07E0FA"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16</w:t>
            </w:r>
          </w:p>
        </w:tc>
      </w:tr>
      <w:tr w:rsidR="00ED698D" w:rsidRPr="00B42AB4" w14:paraId="59202FE4" w14:textId="77777777" w:rsidTr="6713373D">
        <w:trPr>
          <w:trHeight w:val="504"/>
        </w:trPr>
        <w:tc>
          <w:tcPr>
            <w:tcW w:w="2736" w:type="dxa"/>
            <w:vAlign w:val="center"/>
            <w:hideMark/>
          </w:tcPr>
          <w:p w14:paraId="18370BF2" w14:textId="0351C6CA" w:rsidR="00ED698D" w:rsidRPr="00B42AB4" w:rsidRDefault="00ED698D">
            <w:pPr>
              <w:spacing w:after="0" w:line="240" w:lineRule="auto"/>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Young Children</w:t>
            </w:r>
            <w:r>
              <w:rPr>
                <w:rFonts w:ascii="Arial Narrow" w:eastAsia="Times New Roman" w:hAnsi="Arial Narrow" w:cs="Times New Roman"/>
                <w:color w:val="000000"/>
                <w:kern w:val="0"/>
                <w:sz w:val="20"/>
                <w:szCs w:val="20"/>
                <w14:ligatures w14:val="none"/>
              </w:rPr>
              <w:t xml:space="preserve"> </w:t>
            </w:r>
            <w:r w:rsidRPr="00B42AB4">
              <w:rPr>
                <w:rFonts w:ascii="Arial Narrow" w:eastAsia="Times New Roman" w:hAnsi="Arial Narrow" w:cs="Times New Roman"/>
                <w:color w:val="000000"/>
                <w:kern w:val="0"/>
                <w:sz w:val="20"/>
                <w:szCs w:val="20"/>
                <w14:ligatures w14:val="none"/>
              </w:rPr>
              <w:t xml:space="preserve">Receiving Social-Emotional Intervention/Treatment </w:t>
            </w:r>
          </w:p>
        </w:tc>
        <w:tc>
          <w:tcPr>
            <w:tcW w:w="458" w:type="dxa"/>
            <w:shd w:val="clear" w:color="auto" w:fill="4779B1"/>
            <w:vAlign w:val="center"/>
            <w:hideMark/>
          </w:tcPr>
          <w:p w14:paraId="12D2048E"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1E05738F"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522F02B9"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708861E0"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FFFFFF" w:themeFill="background1"/>
            <w:vAlign w:val="center"/>
            <w:hideMark/>
          </w:tcPr>
          <w:p w14:paraId="3B1FB314"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4A25E4E6"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2ACB3535"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50C4EA13"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2D54C11B"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1453E3">
              <w:rPr>
                <w:rFonts w:ascii="Segoe UI Symbol" w:eastAsia="Times New Roman" w:hAnsi="Segoe UI Symbol" w:cs="Segoe UI Symbol"/>
                <w:color w:val="FFFFFF" w:themeColor="background1"/>
                <w:sz w:val="18"/>
                <w:szCs w:val="18"/>
              </w:rPr>
              <w:t>✱</w:t>
            </w: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2780F95C"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19EAFC04"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66D2E4C4"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FFFFFF" w:themeFill="background1"/>
            <w:vAlign w:val="center"/>
            <w:hideMark/>
          </w:tcPr>
          <w:p w14:paraId="439F1FB3" w14:textId="77777777" w:rsidR="00ED698D" w:rsidRPr="00B42AB4" w:rsidRDefault="00ED698D">
            <w:pPr>
              <w:spacing w:after="0" w:line="240" w:lineRule="auto"/>
              <w:rPr>
                <w:rFonts w:ascii="Arial Narrow" w:eastAsia="Times New Roman" w:hAnsi="Arial Narrow" w:cs="Times New Roman"/>
                <w:color w:val="FFFFFF"/>
                <w:kern w:val="0"/>
                <w:sz w:val="2"/>
                <w:szCs w:val="2"/>
                <w14:ligatures w14:val="none"/>
              </w:rPr>
            </w:pPr>
            <w:r w:rsidRPr="00B42AB4">
              <w:rPr>
                <w:rFonts w:ascii="Arial Narrow" w:eastAsia="Times New Roman" w:hAnsi="Arial Narrow" w:cs="Times New Roman"/>
                <w:color w:val="FFFFFF"/>
                <w:kern w:val="0"/>
                <w:sz w:val="2"/>
                <w:szCs w:val="2"/>
                <w14:ligatures w14:val="none"/>
              </w:rPr>
              <w:t>Did not meet</w:t>
            </w:r>
          </w:p>
        </w:tc>
        <w:tc>
          <w:tcPr>
            <w:tcW w:w="458" w:type="dxa"/>
            <w:shd w:val="clear" w:color="auto" w:fill="4779B1"/>
            <w:vAlign w:val="center"/>
            <w:hideMark/>
          </w:tcPr>
          <w:p w14:paraId="4A8FF077"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0F08E84A"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shd w:val="clear" w:color="auto" w:fill="4779B1"/>
            <w:vAlign w:val="center"/>
            <w:hideMark/>
          </w:tcPr>
          <w:p w14:paraId="63C4174D" w14:textId="77777777" w:rsidR="00ED698D" w:rsidRPr="00B42AB4" w:rsidRDefault="00ED698D">
            <w:pPr>
              <w:spacing w:after="0" w:line="240" w:lineRule="auto"/>
              <w:rPr>
                <w:rFonts w:ascii="Arial Narrow" w:eastAsia="Times New Roman" w:hAnsi="Arial Narrow" w:cs="Times New Roman"/>
                <w:color w:val="4779B1"/>
                <w:kern w:val="0"/>
                <w:sz w:val="2"/>
                <w:szCs w:val="2"/>
                <w14:ligatures w14:val="none"/>
              </w:rPr>
            </w:pPr>
            <w:r w:rsidRPr="00B42AB4">
              <w:rPr>
                <w:rFonts w:ascii="Arial Narrow" w:eastAsia="Times New Roman" w:hAnsi="Arial Narrow" w:cs="Times New Roman"/>
                <w:color w:val="4779B1"/>
                <w:kern w:val="0"/>
                <w:sz w:val="2"/>
                <w:szCs w:val="2"/>
                <w14:ligatures w14:val="none"/>
              </w:rPr>
              <w:t>Met target</w:t>
            </w:r>
          </w:p>
        </w:tc>
        <w:tc>
          <w:tcPr>
            <w:tcW w:w="458" w:type="dxa"/>
            <w:vAlign w:val="center"/>
            <w:hideMark/>
          </w:tcPr>
          <w:p w14:paraId="74BEDC8E"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11</w:t>
            </w:r>
          </w:p>
        </w:tc>
      </w:tr>
      <w:tr w:rsidR="00ED698D" w:rsidRPr="00B42AB4" w14:paraId="49A78A8D" w14:textId="77777777">
        <w:trPr>
          <w:trHeight w:val="504"/>
        </w:trPr>
        <w:tc>
          <w:tcPr>
            <w:tcW w:w="2736" w:type="dxa"/>
            <w:noWrap/>
            <w:vAlign w:val="center"/>
            <w:hideMark/>
          </w:tcPr>
          <w:p w14:paraId="42DA24DB" w14:textId="77777777" w:rsidR="00ED698D" w:rsidRPr="00B42AB4" w:rsidRDefault="00ED698D">
            <w:pPr>
              <w:spacing w:after="0" w:line="240" w:lineRule="auto"/>
              <w:jc w:val="right"/>
              <w:rPr>
                <w:rFonts w:ascii="Arial Narrow" w:eastAsia="Times New Roman" w:hAnsi="Arial Narrow" w:cs="Times New Roman"/>
                <w:color w:val="000000"/>
                <w:kern w:val="0"/>
                <w:sz w:val="20"/>
                <w:szCs w:val="20"/>
                <w14:ligatures w14:val="none"/>
              </w:rPr>
            </w:pPr>
            <w:bookmarkStart w:id="20" w:name="RANGE!A18"/>
            <w:r w:rsidRPr="00B42AB4">
              <w:rPr>
                <w:rFonts w:ascii="Arial Narrow" w:eastAsia="Times New Roman" w:hAnsi="Arial Narrow" w:cs="Times New Roman"/>
                <w:color w:val="000000"/>
                <w:kern w:val="0"/>
                <w:sz w:val="20"/>
                <w:szCs w:val="20"/>
                <w14:ligatures w14:val="none"/>
              </w:rPr>
              <w:t># measures met (out of 13)</w:t>
            </w:r>
            <w:bookmarkEnd w:id="20"/>
            <w:r>
              <w:rPr>
                <w:rStyle w:val="FootnoteReference"/>
                <w:rFonts w:ascii="Arial Narrow" w:eastAsia="Times New Roman" w:hAnsi="Arial Narrow" w:cs="Times New Roman"/>
                <w:color w:val="000000"/>
                <w:kern w:val="0"/>
                <w:sz w:val="20"/>
                <w:szCs w:val="20"/>
                <w14:ligatures w14:val="none"/>
              </w:rPr>
              <w:footnoteReference w:id="13"/>
            </w:r>
          </w:p>
        </w:tc>
        <w:tc>
          <w:tcPr>
            <w:tcW w:w="458" w:type="dxa"/>
            <w:noWrap/>
            <w:vAlign w:val="center"/>
            <w:hideMark/>
          </w:tcPr>
          <w:p w14:paraId="45C4B608"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6</w:t>
            </w:r>
          </w:p>
        </w:tc>
        <w:tc>
          <w:tcPr>
            <w:tcW w:w="458" w:type="dxa"/>
            <w:noWrap/>
            <w:vAlign w:val="center"/>
            <w:hideMark/>
          </w:tcPr>
          <w:p w14:paraId="26882DE5"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7</w:t>
            </w:r>
          </w:p>
        </w:tc>
        <w:tc>
          <w:tcPr>
            <w:tcW w:w="458" w:type="dxa"/>
            <w:noWrap/>
            <w:vAlign w:val="center"/>
            <w:hideMark/>
          </w:tcPr>
          <w:p w14:paraId="51556DA0"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11</w:t>
            </w:r>
          </w:p>
        </w:tc>
        <w:tc>
          <w:tcPr>
            <w:tcW w:w="458" w:type="dxa"/>
            <w:noWrap/>
            <w:vAlign w:val="center"/>
            <w:hideMark/>
          </w:tcPr>
          <w:p w14:paraId="555B7F3F"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6</w:t>
            </w:r>
          </w:p>
        </w:tc>
        <w:tc>
          <w:tcPr>
            <w:tcW w:w="458" w:type="dxa"/>
            <w:noWrap/>
            <w:vAlign w:val="center"/>
            <w:hideMark/>
          </w:tcPr>
          <w:p w14:paraId="322D71D9"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8</w:t>
            </w:r>
          </w:p>
        </w:tc>
        <w:tc>
          <w:tcPr>
            <w:tcW w:w="458" w:type="dxa"/>
            <w:noWrap/>
            <w:vAlign w:val="center"/>
            <w:hideMark/>
          </w:tcPr>
          <w:p w14:paraId="14756322"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9</w:t>
            </w:r>
          </w:p>
        </w:tc>
        <w:tc>
          <w:tcPr>
            <w:tcW w:w="458" w:type="dxa"/>
            <w:noWrap/>
            <w:vAlign w:val="center"/>
            <w:hideMark/>
          </w:tcPr>
          <w:p w14:paraId="7668C5E5"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9</w:t>
            </w:r>
          </w:p>
        </w:tc>
        <w:tc>
          <w:tcPr>
            <w:tcW w:w="458" w:type="dxa"/>
            <w:noWrap/>
            <w:vAlign w:val="center"/>
            <w:hideMark/>
          </w:tcPr>
          <w:p w14:paraId="2C7CEB63"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7</w:t>
            </w:r>
          </w:p>
        </w:tc>
        <w:tc>
          <w:tcPr>
            <w:tcW w:w="458" w:type="dxa"/>
            <w:noWrap/>
            <w:vAlign w:val="center"/>
            <w:hideMark/>
          </w:tcPr>
          <w:p w14:paraId="4F5EFEEB"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7</w:t>
            </w:r>
          </w:p>
        </w:tc>
        <w:tc>
          <w:tcPr>
            <w:tcW w:w="458" w:type="dxa"/>
            <w:noWrap/>
            <w:vAlign w:val="center"/>
            <w:hideMark/>
          </w:tcPr>
          <w:p w14:paraId="0A6661EE"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12</w:t>
            </w:r>
          </w:p>
        </w:tc>
        <w:tc>
          <w:tcPr>
            <w:tcW w:w="458" w:type="dxa"/>
            <w:noWrap/>
            <w:vAlign w:val="center"/>
            <w:hideMark/>
          </w:tcPr>
          <w:p w14:paraId="14C791CC"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10</w:t>
            </w:r>
          </w:p>
        </w:tc>
        <w:tc>
          <w:tcPr>
            <w:tcW w:w="458" w:type="dxa"/>
            <w:noWrap/>
            <w:vAlign w:val="center"/>
            <w:hideMark/>
          </w:tcPr>
          <w:p w14:paraId="47310AA3"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7</w:t>
            </w:r>
          </w:p>
        </w:tc>
        <w:tc>
          <w:tcPr>
            <w:tcW w:w="458" w:type="dxa"/>
            <w:noWrap/>
            <w:vAlign w:val="center"/>
            <w:hideMark/>
          </w:tcPr>
          <w:p w14:paraId="3F71ECA7"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11</w:t>
            </w:r>
          </w:p>
        </w:tc>
        <w:tc>
          <w:tcPr>
            <w:tcW w:w="458" w:type="dxa"/>
            <w:noWrap/>
            <w:vAlign w:val="center"/>
            <w:hideMark/>
          </w:tcPr>
          <w:p w14:paraId="1090898E"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6</w:t>
            </w:r>
          </w:p>
        </w:tc>
        <w:tc>
          <w:tcPr>
            <w:tcW w:w="458" w:type="dxa"/>
            <w:noWrap/>
            <w:vAlign w:val="center"/>
            <w:hideMark/>
          </w:tcPr>
          <w:p w14:paraId="13F9B99F"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11</w:t>
            </w:r>
          </w:p>
        </w:tc>
        <w:tc>
          <w:tcPr>
            <w:tcW w:w="458" w:type="dxa"/>
            <w:noWrap/>
            <w:vAlign w:val="center"/>
            <w:hideMark/>
          </w:tcPr>
          <w:p w14:paraId="6E52C29B" w14:textId="77777777" w:rsidR="00ED698D" w:rsidRPr="00B42AB4" w:rsidRDefault="00ED698D">
            <w:pPr>
              <w:spacing w:after="0" w:line="240" w:lineRule="auto"/>
              <w:jc w:val="center"/>
              <w:rPr>
                <w:rFonts w:ascii="Arial Narrow" w:eastAsia="Times New Roman" w:hAnsi="Arial Narrow" w:cs="Times New Roman"/>
                <w:color w:val="000000"/>
                <w:kern w:val="0"/>
                <w:sz w:val="20"/>
                <w:szCs w:val="20"/>
                <w14:ligatures w14:val="none"/>
              </w:rPr>
            </w:pPr>
            <w:r w:rsidRPr="00B42AB4">
              <w:rPr>
                <w:rFonts w:ascii="Arial Narrow" w:eastAsia="Times New Roman" w:hAnsi="Arial Narrow" w:cs="Times New Roman"/>
                <w:color w:val="000000"/>
                <w:kern w:val="0"/>
                <w:sz w:val="20"/>
                <w:szCs w:val="20"/>
                <w14:ligatures w14:val="none"/>
              </w:rPr>
              <w:t>10</w:t>
            </w:r>
          </w:p>
        </w:tc>
        <w:tc>
          <w:tcPr>
            <w:tcW w:w="458" w:type="dxa"/>
            <w:noWrap/>
            <w:vAlign w:val="bottom"/>
            <w:hideMark/>
          </w:tcPr>
          <w:p w14:paraId="780096D6" w14:textId="77777777" w:rsidR="00ED698D" w:rsidRPr="00B42AB4" w:rsidRDefault="00ED698D">
            <w:pPr>
              <w:spacing w:after="0" w:line="240" w:lineRule="auto"/>
              <w:jc w:val="center"/>
              <w:rPr>
                <w:rFonts w:ascii="Arial Narrow" w:eastAsia="Times New Roman" w:hAnsi="Arial Narrow" w:cs="Times New Roman"/>
                <w:color w:val="000000"/>
                <w:kern w:val="0"/>
                <w14:ligatures w14:val="none"/>
              </w:rPr>
            </w:pPr>
          </w:p>
        </w:tc>
      </w:tr>
    </w:tbl>
    <w:p w14:paraId="3B7B11F9" w14:textId="77777777" w:rsidR="00ED698D" w:rsidRDefault="00ED698D" w:rsidP="00ED698D">
      <w:pPr>
        <w:pStyle w:val="Heading2"/>
        <w:sectPr w:rsidR="00ED698D" w:rsidSect="00ED698D">
          <w:footnotePr>
            <w:numFmt w:val="lowerLetter"/>
          </w:footnotePr>
          <w:type w:val="continuous"/>
          <w:pgSz w:w="12240" w:h="15840"/>
          <w:pgMar w:top="1440" w:right="1080" w:bottom="1440" w:left="1080" w:header="86" w:footer="720" w:gutter="0"/>
          <w:cols w:space="720"/>
          <w:titlePg/>
          <w:docGrid w:linePitch="360"/>
        </w:sectPr>
      </w:pPr>
    </w:p>
    <w:p w14:paraId="7B6D539F" w14:textId="77777777" w:rsidR="00ED698D" w:rsidRDefault="00ED698D" w:rsidP="00ED698D">
      <w:pPr>
        <w:pStyle w:val="Heading2"/>
      </w:pPr>
      <w:bookmarkStart w:id="21" w:name="_Toc235090767"/>
      <w:r>
        <w:lastRenderedPageBreak/>
        <w:t>About bonus pools</w:t>
      </w:r>
      <w:bookmarkEnd w:id="21"/>
    </w:p>
    <w:p w14:paraId="2C2DF69F" w14:textId="5A9DF854" w:rsidR="00ED698D" w:rsidRDefault="00ED698D" w:rsidP="00ED698D">
      <w:pPr>
        <w:spacing w:before="120" w:after="240"/>
      </w:pPr>
      <w:r>
        <w:t xml:space="preserve">The goal of the CCO Quality Incentive Program is to improve the quality of care for Oregon Health Plan (OHP) members. To earn bonuses from the CCO Quality Incentive Program, CCOs must provide better care each year. </w:t>
      </w:r>
    </w:p>
    <w:p w14:paraId="7A5AEEFA" w14:textId="77777777" w:rsidR="00ED698D" w:rsidRPr="00DE7686" w:rsidRDefault="00ED698D" w:rsidP="00FE7AD7">
      <w:pPr>
        <w:pStyle w:val="Heading3"/>
      </w:pPr>
      <w:r w:rsidRPr="00DE7686">
        <w:t>Bonuses are on top of monthly payments that cover the cost of care.</w:t>
      </w:r>
    </w:p>
    <w:p w14:paraId="0D8ED606" w14:textId="7532B705" w:rsidR="00ED698D" w:rsidRDefault="00ED698D" w:rsidP="00ED698D">
      <w:r>
        <w:t>These cost of care payments are called per-member per-month (PMPM) or capitation</w:t>
      </w:r>
      <w:r w:rsidR="00253C5A">
        <w:t xml:space="preserve"> rates</w:t>
      </w:r>
      <w:r>
        <w:t>. The amount CCOs can earn from the Quality Pool is determined by:</w:t>
      </w:r>
    </w:p>
    <w:p w14:paraId="3BB5588E" w14:textId="77777777" w:rsidR="00ED698D" w:rsidRDefault="00ED698D" w:rsidP="00ED698D">
      <w:pPr>
        <w:spacing w:before="120" w:after="120"/>
        <w:ind w:left="990" w:hanging="270"/>
      </w:pPr>
      <w:r>
        <w:t>a) CCO size and composition (number of enrolled members and their eligibility status)</w:t>
      </w:r>
    </w:p>
    <w:p w14:paraId="37131827" w14:textId="77777777" w:rsidR="00ED698D" w:rsidRDefault="00ED698D" w:rsidP="00ED698D">
      <w:pPr>
        <w:spacing w:before="120" w:after="120"/>
        <w:ind w:firstLine="720"/>
      </w:pPr>
      <w:r>
        <w:t>b) Performance on incentive measures.</w:t>
      </w:r>
    </w:p>
    <w:p w14:paraId="72925E77" w14:textId="6585356A" w:rsidR="00ED698D" w:rsidRPr="00183C39" w:rsidRDefault="00ED698D" w:rsidP="00ED698D">
      <w:pPr>
        <w:spacing w:before="120" w:after="240"/>
        <w:rPr>
          <w:rStyle w:val="Heading4Char"/>
          <w:rFonts w:eastAsiaTheme="minorHAnsi" w:cstheme="minorBidi"/>
          <w:iCs w:val="0"/>
          <w:color w:val="auto"/>
          <w:sz w:val="22"/>
        </w:rPr>
      </w:pPr>
      <w:r>
        <w:t xml:space="preserve">Because these are bonuses, </w:t>
      </w:r>
      <w:r w:rsidRPr="6C4D4152">
        <w:rPr>
          <w:b/>
          <w:bCs/>
        </w:rPr>
        <w:t>incentive funds are not guaranteed</w:t>
      </w:r>
      <w:r w:rsidRPr="007D0CFD">
        <w:rPr>
          <w:b/>
          <w:bCs/>
        </w:rPr>
        <w:t>.</w:t>
      </w:r>
      <w:r>
        <w:t xml:space="preserve"> CCO Quality Incentive Program funds are </w:t>
      </w:r>
      <w:r w:rsidR="009013CD">
        <w:t>calculated in two phases</w:t>
      </w:r>
      <w:r>
        <w:t>.</w:t>
      </w:r>
      <w:bookmarkStart w:id="22" w:name="_Toc169183018"/>
      <w:bookmarkStart w:id="23" w:name="_Toc169183066"/>
      <w:bookmarkStart w:id="24" w:name="_Toc169270610"/>
    </w:p>
    <w:p w14:paraId="743EF450" w14:textId="3C9F287D" w:rsidR="00ED698D" w:rsidRPr="002B3223" w:rsidRDefault="00ED698D" w:rsidP="002B3223">
      <w:pPr>
        <w:pStyle w:val="Heading3"/>
      </w:pPr>
      <w:r w:rsidRPr="002B3223">
        <w:t>In 202</w:t>
      </w:r>
      <w:r w:rsidR="00467A0C" w:rsidRPr="002B3223">
        <w:t>5</w:t>
      </w:r>
      <w:r w:rsidRPr="002B3223">
        <w:t>, the Quality Pool was over $</w:t>
      </w:r>
      <w:r w:rsidR="00467A0C" w:rsidRPr="002B3223">
        <w:t>238</w:t>
      </w:r>
      <w:r w:rsidRPr="002B3223">
        <w:t xml:space="preserve"> million</w:t>
      </w:r>
      <w:r w:rsidR="00C40BBA" w:rsidRPr="002B3223">
        <w:t>.</w:t>
      </w:r>
    </w:p>
    <w:p w14:paraId="61F49EC5" w14:textId="03D77734" w:rsidR="00467A0C" w:rsidRDefault="00ED698D" w:rsidP="00ED698D">
      <w:r>
        <w:t xml:space="preserve">Each year, </w:t>
      </w:r>
      <w:r w:rsidR="61F51BC5">
        <w:t xml:space="preserve">OHA and </w:t>
      </w:r>
      <w:r w:rsidR="025E53C3">
        <w:t>the</w:t>
      </w:r>
      <w:r w:rsidR="009013CD">
        <w:t xml:space="preserve"> Oregon State Legislature</w:t>
      </w:r>
      <w:r>
        <w:t xml:space="preserve"> </w:t>
      </w:r>
      <w:r w:rsidR="006503C5">
        <w:t>decide</w:t>
      </w:r>
      <w:r>
        <w:t xml:space="preserve"> the size of the Quality Pool by considering budgetary and other factors. Per code of federal regulations (CFR), total CCO payments cannot be greater than 105</w:t>
      </w:r>
      <w:r w:rsidR="00E50F95">
        <w:t xml:space="preserve"> percent</w:t>
      </w:r>
      <w:r>
        <w:t xml:space="preserve"> of total PMPM payments. This means each CCO’s bonus is capped at 5</w:t>
      </w:r>
      <w:r w:rsidR="00E50F95">
        <w:t xml:space="preserve"> percent</w:t>
      </w:r>
      <w:r>
        <w:t xml:space="preserve"> of their total PMPM payments.</w:t>
      </w:r>
    </w:p>
    <w:p w14:paraId="2E2F8F49" w14:textId="530740D0" w:rsidR="00ED698D" w:rsidRDefault="00ED698D" w:rsidP="00ED698D">
      <w:r>
        <w:t>In 202</w:t>
      </w:r>
      <w:r w:rsidR="00467A0C">
        <w:t>5</w:t>
      </w:r>
      <w:r>
        <w:t xml:space="preserve">, the total Quality Pool was set at </w:t>
      </w:r>
      <w:r w:rsidR="00C100F9">
        <w:t xml:space="preserve">three </w:t>
      </w:r>
      <w:r w:rsidR="00E50F95">
        <w:t>percent</w:t>
      </w:r>
      <w:r>
        <w:t xml:space="preserve"> of that year’s aggregate PMPM (capitation) to CCOs. </w:t>
      </w:r>
      <w:r w:rsidR="007F7214">
        <w:t xml:space="preserve">This </w:t>
      </w:r>
      <w:r w:rsidR="00177274">
        <w:t xml:space="preserve">percentage </w:t>
      </w:r>
      <w:r w:rsidR="007F7214">
        <w:t xml:space="preserve">decrease from prior years was due to declining state budgets and increased PMPM payments (see </w:t>
      </w:r>
      <w:hyperlink w:anchor="_Quality_Pool_decreased," w:history="1">
        <w:r w:rsidR="007F7214" w:rsidRPr="007F7214">
          <w:rPr>
            <w:rStyle w:val="Hyperlink"/>
          </w:rPr>
          <w:t>Program highlights</w:t>
        </w:r>
      </w:hyperlink>
      <w:r w:rsidR="007F7214">
        <w:t xml:space="preserve"> for more information). The</w:t>
      </w:r>
      <w:r>
        <w:t xml:space="preserve"> table below </w:t>
      </w:r>
      <w:r w:rsidR="007F7214">
        <w:t xml:space="preserve">shows </w:t>
      </w:r>
      <w:r>
        <w:t xml:space="preserve">Quality Pool amounts and percentage of total PMPM payments </w:t>
      </w:r>
      <w:r w:rsidR="007F7214">
        <w:t>in all years of the program</w:t>
      </w:r>
      <w:r>
        <w:t>.</w:t>
      </w:r>
    </w:p>
    <w:p w14:paraId="71989E7C" w14:textId="77777777" w:rsidR="00ED698D" w:rsidRDefault="00ED698D" w:rsidP="00840945">
      <w:pPr>
        <w:pStyle w:val="Heading4"/>
      </w:pPr>
      <w:r>
        <w:t>Table 1: Quality Pool amounts and percentage of total PMPM payments over time.</w:t>
      </w:r>
    </w:p>
    <w:tbl>
      <w:tblPr>
        <w:tblStyle w:val="HPAGridTable"/>
        <w:tblW w:w="0" w:type="auto"/>
        <w:tblLayout w:type="fixed"/>
        <w:tblLook w:val="0620" w:firstRow="1" w:lastRow="0" w:firstColumn="0" w:lastColumn="0" w:noHBand="1" w:noVBand="1"/>
      </w:tblPr>
      <w:tblGrid>
        <w:gridCol w:w="3116"/>
        <w:gridCol w:w="3117"/>
        <w:gridCol w:w="3117"/>
      </w:tblGrid>
      <w:tr w:rsidR="00ED698D" w14:paraId="7D69228F" w14:textId="77777777" w:rsidTr="00B41E71">
        <w:trPr>
          <w:cnfStyle w:val="100000000000" w:firstRow="1" w:lastRow="0" w:firstColumn="0" w:lastColumn="0" w:oddVBand="0" w:evenVBand="0" w:oddHBand="0" w:evenHBand="0" w:firstRowFirstColumn="0" w:firstRowLastColumn="0" w:lastRowFirstColumn="0" w:lastRowLastColumn="0"/>
          <w:tblHeader/>
        </w:trPr>
        <w:tc>
          <w:tcPr>
            <w:tcW w:w="3116" w:type="dxa"/>
          </w:tcPr>
          <w:p w14:paraId="0704F961" w14:textId="77777777" w:rsidR="00ED698D" w:rsidRPr="00467A0C" w:rsidRDefault="00ED698D" w:rsidP="00D73311">
            <w:pPr>
              <w:spacing w:before="40" w:after="40"/>
              <w:rPr>
                <w:rFonts w:asciiTheme="minorHAnsi" w:hAnsiTheme="minorHAnsi" w:cstheme="minorHAnsi"/>
                <w:szCs w:val="24"/>
              </w:rPr>
            </w:pPr>
            <w:r w:rsidRPr="00467A0C">
              <w:rPr>
                <w:rFonts w:asciiTheme="minorHAnsi" w:hAnsiTheme="minorHAnsi" w:cstheme="minorHAnsi"/>
                <w:szCs w:val="24"/>
              </w:rPr>
              <w:t>Measurement year</w:t>
            </w:r>
          </w:p>
        </w:tc>
        <w:tc>
          <w:tcPr>
            <w:tcW w:w="3117" w:type="dxa"/>
          </w:tcPr>
          <w:p w14:paraId="64DFBB4E" w14:textId="77777777" w:rsidR="00ED698D" w:rsidRPr="00467A0C" w:rsidRDefault="00ED698D" w:rsidP="00D73311">
            <w:pPr>
              <w:spacing w:before="40" w:after="40"/>
              <w:rPr>
                <w:rFonts w:asciiTheme="minorHAnsi" w:hAnsiTheme="minorHAnsi" w:cstheme="minorHAnsi"/>
                <w:szCs w:val="24"/>
              </w:rPr>
            </w:pPr>
            <w:r w:rsidRPr="00467A0C">
              <w:rPr>
                <w:rFonts w:asciiTheme="minorHAnsi" w:hAnsiTheme="minorHAnsi" w:cstheme="minorHAnsi"/>
                <w:szCs w:val="24"/>
              </w:rPr>
              <w:t>Quality Pool amount in millions</w:t>
            </w:r>
          </w:p>
        </w:tc>
        <w:tc>
          <w:tcPr>
            <w:tcW w:w="3117" w:type="dxa"/>
          </w:tcPr>
          <w:p w14:paraId="76217A98" w14:textId="77777777" w:rsidR="00ED698D" w:rsidRPr="00467A0C" w:rsidRDefault="00ED698D" w:rsidP="00D73311">
            <w:pPr>
              <w:spacing w:before="40" w:after="40"/>
              <w:rPr>
                <w:rFonts w:asciiTheme="minorHAnsi" w:hAnsiTheme="minorHAnsi" w:cstheme="minorHAnsi"/>
                <w:szCs w:val="24"/>
              </w:rPr>
            </w:pPr>
            <w:r w:rsidRPr="00467A0C">
              <w:rPr>
                <w:rFonts w:asciiTheme="minorHAnsi" w:hAnsiTheme="minorHAnsi" w:cstheme="minorHAnsi"/>
                <w:szCs w:val="24"/>
              </w:rPr>
              <w:t>Percentage of total PMPM payments</w:t>
            </w:r>
          </w:p>
        </w:tc>
      </w:tr>
      <w:tr w:rsidR="00E75353" w14:paraId="6C85BF8F" w14:textId="77777777" w:rsidTr="00B41E71">
        <w:tc>
          <w:tcPr>
            <w:tcW w:w="3116" w:type="dxa"/>
          </w:tcPr>
          <w:p w14:paraId="0F904EEF" w14:textId="4A6B99FB" w:rsidR="00E75353" w:rsidRPr="00E75353" w:rsidRDefault="00E75353" w:rsidP="00D73311">
            <w:pPr>
              <w:spacing w:before="40" w:after="40"/>
              <w:rPr>
                <w:rFonts w:asciiTheme="minorHAnsi" w:hAnsiTheme="minorHAnsi" w:cstheme="minorHAnsi"/>
                <w:szCs w:val="24"/>
              </w:rPr>
            </w:pPr>
            <w:r w:rsidRPr="00E75353">
              <w:rPr>
                <w:rFonts w:asciiTheme="minorHAnsi" w:hAnsiTheme="minorHAnsi" w:cstheme="minorHAnsi"/>
                <w:szCs w:val="24"/>
              </w:rPr>
              <w:t>2013</w:t>
            </w:r>
          </w:p>
        </w:tc>
        <w:tc>
          <w:tcPr>
            <w:tcW w:w="3117" w:type="dxa"/>
          </w:tcPr>
          <w:p w14:paraId="2E30D13C" w14:textId="10328BC7" w:rsidR="00E75353" w:rsidRPr="00E75353" w:rsidRDefault="00E75353" w:rsidP="00D73311">
            <w:pPr>
              <w:spacing w:before="40" w:after="40"/>
              <w:rPr>
                <w:rFonts w:asciiTheme="minorHAnsi" w:hAnsiTheme="minorHAnsi" w:cstheme="minorHAnsi"/>
                <w:szCs w:val="24"/>
              </w:rPr>
            </w:pPr>
            <w:r w:rsidRPr="00E75353">
              <w:rPr>
                <w:rFonts w:asciiTheme="minorHAnsi" w:hAnsiTheme="minorHAnsi" w:cstheme="minorHAnsi"/>
                <w:szCs w:val="24"/>
              </w:rPr>
              <w:t>$46.9</w:t>
            </w:r>
          </w:p>
        </w:tc>
        <w:tc>
          <w:tcPr>
            <w:tcW w:w="3117" w:type="dxa"/>
          </w:tcPr>
          <w:p w14:paraId="21D7BD4C" w14:textId="74631F1C" w:rsidR="00E75353" w:rsidRPr="00E75353" w:rsidRDefault="00E75353" w:rsidP="00D73311">
            <w:pPr>
              <w:spacing w:before="40" w:after="40"/>
              <w:rPr>
                <w:rFonts w:asciiTheme="minorHAnsi" w:hAnsiTheme="minorHAnsi" w:cstheme="minorHAnsi"/>
                <w:szCs w:val="24"/>
              </w:rPr>
            </w:pPr>
            <w:r w:rsidRPr="00E75353">
              <w:rPr>
                <w:rFonts w:asciiTheme="minorHAnsi" w:hAnsiTheme="minorHAnsi" w:cstheme="minorHAnsi"/>
                <w:szCs w:val="24"/>
              </w:rPr>
              <w:t>2%</w:t>
            </w:r>
          </w:p>
        </w:tc>
      </w:tr>
      <w:tr w:rsidR="00E75353" w14:paraId="7F362F81" w14:textId="77777777" w:rsidTr="00B41E71">
        <w:tc>
          <w:tcPr>
            <w:tcW w:w="3116" w:type="dxa"/>
          </w:tcPr>
          <w:p w14:paraId="4610B8F9" w14:textId="676F80F7" w:rsidR="00E75353" w:rsidRPr="00E75353" w:rsidRDefault="00E75353" w:rsidP="00D73311">
            <w:pPr>
              <w:spacing w:before="40" w:after="40"/>
              <w:rPr>
                <w:rFonts w:asciiTheme="minorHAnsi" w:hAnsiTheme="minorHAnsi" w:cstheme="minorHAnsi"/>
                <w:szCs w:val="24"/>
              </w:rPr>
            </w:pPr>
            <w:r w:rsidRPr="00E75353">
              <w:rPr>
                <w:rFonts w:asciiTheme="minorHAnsi" w:hAnsiTheme="minorHAnsi" w:cstheme="minorHAnsi"/>
                <w:szCs w:val="24"/>
              </w:rPr>
              <w:t>2014</w:t>
            </w:r>
          </w:p>
        </w:tc>
        <w:tc>
          <w:tcPr>
            <w:tcW w:w="3117" w:type="dxa"/>
          </w:tcPr>
          <w:p w14:paraId="0A951375" w14:textId="45A324A2" w:rsidR="00E75353" w:rsidRPr="00E75353" w:rsidRDefault="00E75353" w:rsidP="00D73311">
            <w:pPr>
              <w:spacing w:before="40" w:after="40"/>
              <w:rPr>
                <w:rFonts w:asciiTheme="minorHAnsi" w:hAnsiTheme="minorHAnsi" w:cstheme="minorHAnsi"/>
                <w:szCs w:val="24"/>
              </w:rPr>
            </w:pPr>
            <w:r w:rsidRPr="00E75353">
              <w:rPr>
                <w:rFonts w:asciiTheme="minorHAnsi" w:hAnsiTheme="minorHAnsi" w:cstheme="minorHAnsi"/>
                <w:szCs w:val="24"/>
              </w:rPr>
              <w:t>$128</w:t>
            </w:r>
          </w:p>
        </w:tc>
        <w:tc>
          <w:tcPr>
            <w:tcW w:w="3117" w:type="dxa"/>
          </w:tcPr>
          <w:p w14:paraId="141831AB" w14:textId="7E664065" w:rsidR="00E75353" w:rsidRPr="00E75353" w:rsidRDefault="00E75353" w:rsidP="00D73311">
            <w:pPr>
              <w:spacing w:before="40" w:after="40"/>
              <w:rPr>
                <w:rFonts w:asciiTheme="minorHAnsi" w:hAnsiTheme="minorHAnsi" w:cstheme="minorHAnsi"/>
                <w:szCs w:val="24"/>
              </w:rPr>
            </w:pPr>
            <w:r w:rsidRPr="00E75353">
              <w:rPr>
                <w:rFonts w:asciiTheme="minorHAnsi" w:hAnsiTheme="minorHAnsi" w:cstheme="minorHAnsi"/>
                <w:szCs w:val="24"/>
              </w:rPr>
              <w:t>3%</w:t>
            </w:r>
          </w:p>
        </w:tc>
      </w:tr>
      <w:tr w:rsidR="00ED698D" w14:paraId="6A15E0FA" w14:textId="77777777" w:rsidTr="00B41E71">
        <w:tc>
          <w:tcPr>
            <w:tcW w:w="3116" w:type="dxa"/>
          </w:tcPr>
          <w:p w14:paraId="455FC634"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2015</w:t>
            </w:r>
          </w:p>
        </w:tc>
        <w:tc>
          <w:tcPr>
            <w:tcW w:w="3117" w:type="dxa"/>
          </w:tcPr>
          <w:p w14:paraId="06439548"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$168</w:t>
            </w:r>
          </w:p>
        </w:tc>
        <w:tc>
          <w:tcPr>
            <w:tcW w:w="3117" w:type="dxa"/>
          </w:tcPr>
          <w:p w14:paraId="69C29D35"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4%</w:t>
            </w:r>
          </w:p>
        </w:tc>
      </w:tr>
      <w:tr w:rsidR="00ED698D" w14:paraId="478CD1C2" w14:textId="77777777" w:rsidTr="00B41E71">
        <w:tc>
          <w:tcPr>
            <w:tcW w:w="3116" w:type="dxa"/>
          </w:tcPr>
          <w:p w14:paraId="6464D825"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2016</w:t>
            </w:r>
          </w:p>
        </w:tc>
        <w:tc>
          <w:tcPr>
            <w:tcW w:w="3117" w:type="dxa"/>
          </w:tcPr>
          <w:p w14:paraId="0BC4F0EA"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$178.8</w:t>
            </w:r>
          </w:p>
        </w:tc>
        <w:tc>
          <w:tcPr>
            <w:tcW w:w="3117" w:type="dxa"/>
          </w:tcPr>
          <w:p w14:paraId="1D5B02F2"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4.25%</w:t>
            </w:r>
          </w:p>
        </w:tc>
      </w:tr>
      <w:tr w:rsidR="00ED698D" w14:paraId="137BDB22" w14:textId="77777777" w:rsidTr="00B41E71">
        <w:tc>
          <w:tcPr>
            <w:tcW w:w="3116" w:type="dxa"/>
          </w:tcPr>
          <w:p w14:paraId="0057E323"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2017</w:t>
            </w:r>
          </w:p>
        </w:tc>
        <w:tc>
          <w:tcPr>
            <w:tcW w:w="3117" w:type="dxa"/>
          </w:tcPr>
          <w:p w14:paraId="46B15928" w14:textId="119099C6"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$178</w:t>
            </w:r>
          </w:p>
        </w:tc>
        <w:tc>
          <w:tcPr>
            <w:tcW w:w="3117" w:type="dxa"/>
          </w:tcPr>
          <w:p w14:paraId="1CB62A27"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4.25%</w:t>
            </w:r>
          </w:p>
        </w:tc>
      </w:tr>
      <w:tr w:rsidR="00ED698D" w14:paraId="005C03D4" w14:textId="77777777" w:rsidTr="00B41E71">
        <w:tc>
          <w:tcPr>
            <w:tcW w:w="3116" w:type="dxa"/>
          </w:tcPr>
          <w:p w14:paraId="11926D56"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2018</w:t>
            </w:r>
          </w:p>
        </w:tc>
        <w:tc>
          <w:tcPr>
            <w:tcW w:w="3117" w:type="dxa"/>
          </w:tcPr>
          <w:p w14:paraId="397948BF"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$188</w:t>
            </w:r>
          </w:p>
        </w:tc>
        <w:tc>
          <w:tcPr>
            <w:tcW w:w="3117" w:type="dxa"/>
          </w:tcPr>
          <w:p w14:paraId="7CE88C51"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4.25%</w:t>
            </w:r>
          </w:p>
        </w:tc>
      </w:tr>
      <w:tr w:rsidR="00ED698D" w14:paraId="448D1C2D" w14:textId="77777777" w:rsidTr="00B41E71">
        <w:tc>
          <w:tcPr>
            <w:tcW w:w="3116" w:type="dxa"/>
          </w:tcPr>
          <w:p w14:paraId="650B8DFE"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2019</w:t>
            </w:r>
          </w:p>
        </w:tc>
        <w:tc>
          <w:tcPr>
            <w:tcW w:w="3117" w:type="dxa"/>
          </w:tcPr>
          <w:p w14:paraId="07532909"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$166.7</w:t>
            </w:r>
          </w:p>
        </w:tc>
        <w:tc>
          <w:tcPr>
            <w:tcW w:w="3117" w:type="dxa"/>
          </w:tcPr>
          <w:p w14:paraId="1C5A0561"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3.5%</w:t>
            </w:r>
          </w:p>
        </w:tc>
      </w:tr>
      <w:tr w:rsidR="00ED698D" w14:paraId="11A94010" w14:textId="77777777" w:rsidTr="00B41E71">
        <w:tc>
          <w:tcPr>
            <w:tcW w:w="3116" w:type="dxa"/>
          </w:tcPr>
          <w:p w14:paraId="747EBE31"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lastRenderedPageBreak/>
              <w:t>2020</w:t>
            </w:r>
            <w:r w:rsidRPr="00E75353">
              <w:rPr>
                <w:rStyle w:val="FootnoteReference"/>
                <w:rFonts w:asciiTheme="minorHAnsi" w:hAnsiTheme="minorHAnsi" w:cstheme="minorHAnsi"/>
                <w:color w:val="auto"/>
                <w:szCs w:val="24"/>
              </w:rPr>
              <w:footnoteReference w:id="14"/>
            </w:r>
          </w:p>
        </w:tc>
        <w:tc>
          <w:tcPr>
            <w:tcW w:w="3117" w:type="dxa"/>
          </w:tcPr>
          <w:p w14:paraId="3D534175"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$52.8</w:t>
            </w:r>
          </w:p>
        </w:tc>
        <w:tc>
          <w:tcPr>
            <w:tcW w:w="3117" w:type="dxa"/>
          </w:tcPr>
          <w:p w14:paraId="3E02EF75"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4.25% (Quarter 1 only)</w:t>
            </w:r>
          </w:p>
        </w:tc>
      </w:tr>
      <w:tr w:rsidR="00ED698D" w14:paraId="6AC7914E" w14:textId="77777777" w:rsidTr="00B41E71">
        <w:tc>
          <w:tcPr>
            <w:tcW w:w="3116" w:type="dxa"/>
          </w:tcPr>
          <w:p w14:paraId="250B5026"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2021</w:t>
            </w:r>
          </w:p>
        </w:tc>
        <w:tc>
          <w:tcPr>
            <w:tcW w:w="3117" w:type="dxa"/>
          </w:tcPr>
          <w:p w14:paraId="3E0E8D55" w14:textId="77A45E39"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$266</w:t>
            </w:r>
          </w:p>
        </w:tc>
        <w:tc>
          <w:tcPr>
            <w:tcW w:w="3117" w:type="dxa"/>
          </w:tcPr>
          <w:p w14:paraId="4F50D350"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3.75%</w:t>
            </w:r>
          </w:p>
        </w:tc>
      </w:tr>
      <w:tr w:rsidR="00ED698D" w14:paraId="0C3A57C0" w14:textId="77777777" w:rsidTr="00B41E71">
        <w:tc>
          <w:tcPr>
            <w:tcW w:w="3116" w:type="dxa"/>
          </w:tcPr>
          <w:p w14:paraId="051E5719"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2022</w:t>
            </w:r>
          </w:p>
        </w:tc>
        <w:tc>
          <w:tcPr>
            <w:tcW w:w="3117" w:type="dxa"/>
          </w:tcPr>
          <w:p w14:paraId="78001400"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$300.8</w:t>
            </w:r>
          </w:p>
        </w:tc>
        <w:tc>
          <w:tcPr>
            <w:tcW w:w="3117" w:type="dxa"/>
          </w:tcPr>
          <w:p w14:paraId="360C2D80"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4.25%</w:t>
            </w:r>
          </w:p>
        </w:tc>
      </w:tr>
      <w:tr w:rsidR="00ED698D" w14:paraId="471C187E" w14:textId="77777777" w:rsidTr="00B41E71">
        <w:tc>
          <w:tcPr>
            <w:tcW w:w="3116" w:type="dxa"/>
          </w:tcPr>
          <w:p w14:paraId="354528D5"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2023</w:t>
            </w:r>
          </w:p>
        </w:tc>
        <w:tc>
          <w:tcPr>
            <w:tcW w:w="3117" w:type="dxa"/>
          </w:tcPr>
          <w:p w14:paraId="393C432E" w14:textId="77777777" w:rsidR="00ED698D" w:rsidRPr="00E75353" w:rsidRDefault="00ED698D" w:rsidP="00D73311">
            <w:pPr>
              <w:spacing w:before="40" w:after="40"/>
              <w:rPr>
                <w:rFonts w:asciiTheme="minorHAnsi" w:hAnsiTheme="minorHAnsi" w:cstheme="minorBidi"/>
                <w:color w:val="auto"/>
                <w:szCs w:val="24"/>
              </w:rPr>
            </w:pPr>
            <w:r w:rsidRPr="00E75353">
              <w:rPr>
                <w:rFonts w:asciiTheme="minorHAnsi" w:hAnsiTheme="minorHAnsi" w:cstheme="minorBidi"/>
                <w:color w:val="auto"/>
                <w:szCs w:val="24"/>
              </w:rPr>
              <w:t>$327</w:t>
            </w:r>
          </w:p>
        </w:tc>
        <w:tc>
          <w:tcPr>
            <w:tcW w:w="3117" w:type="dxa"/>
          </w:tcPr>
          <w:p w14:paraId="57EA0058"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4.25%</w:t>
            </w:r>
          </w:p>
        </w:tc>
      </w:tr>
      <w:tr w:rsidR="00ED698D" w14:paraId="12AF7E05" w14:textId="77777777" w:rsidTr="00B41E71">
        <w:tc>
          <w:tcPr>
            <w:tcW w:w="3116" w:type="dxa"/>
          </w:tcPr>
          <w:p w14:paraId="1BE48287"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2024</w:t>
            </w:r>
          </w:p>
        </w:tc>
        <w:tc>
          <w:tcPr>
            <w:tcW w:w="3117" w:type="dxa"/>
          </w:tcPr>
          <w:p w14:paraId="287025F9"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$325</w:t>
            </w:r>
          </w:p>
        </w:tc>
        <w:tc>
          <w:tcPr>
            <w:tcW w:w="3117" w:type="dxa"/>
          </w:tcPr>
          <w:p w14:paraId="716D8C62" w14:textId="77777777" w:rsidR="00ED698D" w:rsidRPr="00E75353" w:rsidRDefault="00ED698D" w:rsidP="00D73311">
            <w:pPr>
              <w:spacing w:before="40" w:after="40"/>
              <w:rPr>
                <w:rFonts w:asciiTheme="minorHAnsi" w:hAnsiTheme="minorHAnsi" w:cstheme="minorHAnsi"/>
                <w:color w:val="auto"/>
                <w:szCs w:val="24"/>
              </w:rPr>
            </w:pPr>
            <w:r w:rsidRPr="00E75353">
              <w:rPr>
                <w:rFonts w:asciiTheme="minorHAnsi" w:hAnsiTheme="minorHAnsi" w:cstheme="minorHAnsi"/>
                <w:color w:val="auto"/>
                <w:szCs w:val="24"/>
              </w:rPr>
              <w:t>4.25%</w:t>
            </w:r>
          </w:p>
        </w:tc>
      </w:tr>
      <w:tr w:rsidR="00467A0C" w14:paraId="361ABA08" w14:textId="77777777" w:rsidTr="00B41E71">
        <w:tc>
          <w:tcPr>
            <w:tcW w:w="3116" w:type="dxa"/>
          </w:tcPr>
          <w:p w14:paraId="0B23D1BE" w14:textId="1C595716" w:rsidR="00467A0C" w:rsidRPr="00E75353" w:rsidRDefault="00467A0C" w:rsidP="00D73311">
            <w:pPr>
              <w:spacing w:before="40" w:after="40"/>
              <w:rPr>
                <w:rFonts w:asciiTheme="minorHAnsi" w:hAnsiTheme="minorHAnsi"/>
                <w:szCs w:val="24"/>
              </w:rPr>
            </w:pPr>
            <w:r w:rsidRPr="00E75353">
              <w:rPr>
                <w:rFonts w:asciiTheme="minorHAnsi" w:hAnsiTheme="minorHAnsi"/>
                <w:szCs w:val="24"/>
              </w:rPr>
              <w:t>2025</w:t>
            </w:r>
          </w:p>
        </w:tc>
        <w:tc>
          <w:tcPr>
            <w:tcW w:w="3117" w:type="dxa"/>
          </w:tcPr>
          <w:p w14:paraId="78322A48" w14:textId="4D901BA2" w:rsidR="00467A0C" w:rsidRPr="00E75353" w:rsidRDefault="00467A0C" w:rsidP="00D73311">
            <w:pPr>
              <w:spacing w:before="40" w:after="40"/>
              <w:rPr>
                <w:rFonts w:asciiTheme="minorHAnsi" w:hAnsiTheme="minorHAnsi"/>
                <w:szCs w:val="24"/>
              </w:rPr>
            </w:pPr>
            <w:r w:rsidRPr="00E75353">
              <w:rPr>
                <w:rFonts w:asciiTheme="minorHAnsi" w:hAnsiTheme="minorHAnsi"/>
                <w:szCs w:val="24"/>
              </w:rPr>
              <w:t>$238</w:t>
            </w:r>
          </w:p>
        </w:tc>
        <w:tc>
          <w:tcPr>
            <w:tcW w:w="3117" w:type="dxa"/>
          </w:tcPr>
          <w:p w14:paraId="378CF834" w14:textId="70837510" w:rsidR="00467A0C" w:rsidRPr="00E75353" w:rsidRDefault="00467A0C" w:rsidP="00D73311">
            <w:pPr>
              <w:spacing w:before="40" w:after="40"/>
              <w:rPr>
                <w:rFonts w:asciiTheme="minorHAnsi" w:hAnsiTheme="minorHAnsi"/>
                <w:szCs w:val="24"/>
              </w:rPr>
            </w:pPr>
            <w:r w:rsidRPr="00E75353">
              <w:rPr>
                <w:rFonts w:asciiTheme="minorHAnsi" w:hAnsiTheme="minorHAnsi"/>
                <w:szCs w:val="24"/>
              </w:rPr>
              <w:t>3%</w:t>
            </w:r>
          </w:p>
        </w:tc>
      </w:tr>
    </w:tbl>
    <w:p w14:paraId="71824760" w14:textId="77777777" w:rsidR="00ED698D" w:rsidRPr="00FE7AD7" w:rsidRDefault="00ED698D" w:rsidP="000902DB">
      <w:pPr>
        <w:pStyle w:val="Heading3"/>
        <w:spacing w:before="360"/>
      </w:pPr>
      <w:r w:rsidRPr="00FE7AD7">
        <w:t>Phase 1: Quality Pool</w:t>
      </w:r>
      <w:bookmarkEnd w:id="22"/>
      <w:bookmarkEnd w:id="23"/>
      <w:bookmarkEnd w:id="24"/>
    </w:p>
    <w:p w14:paraId="4B0AAB5B" w14:textId="55A46DD9" w:rsidR="00ED698D" w:rsidRPr="006B00E4" w:rsidRDefault="00ED698D" w:rsidP="006B00E4">
      <w:pPr>
        <w:pStyle w:val="Heading4"/>
      </w:pPr>
      <w:r w:rsidRPr="006B00E4">
        <w:t>CCOs do not have to meet all incentive measures to earn 100</w:t>
      </w:r>
      <w:r w:rsidR="00E50F95" w:rsidRPr="006B00E4">
        <w:t xml:space="preserve"> percent</w:t>
      </w:r>
      <w:r w:rsidRPr="006B00E4">
        <w:t xml:space="preserve"> of Quality Pool.</w:t>
      </w:r>
    </w:p>
    <w:p w14:paraId="735C97EC" w14:textId="7CD33876" w:rsidR="00ED698D" w:rsidRPr="00D45424" w:rsidRDefault="00ED698D" w:rsidP="00ED698D">
      <w:pPr>
        <w:rPr>
          <w:b/>
          <w:color w:val="156082" w:themeColor="accent1"/>
          <w:sz w:val="20"/>
          <w:szCs w:val="18"/>
        </w:rPr>
      </w:pPr>
      <w:r w:rsidRPr="00DE7686">
        <w:t>CCOs</w:t>
      </w:r>
      <w:r w:rsidRPr="00865830">
        <w:t xml:space="preserve"> earn 100</w:t>
      </w:r>
      <w:r w:rsidR="00E50F95">
        <w:t xml:space="preserve"> percent</w:t>
      </w:r>
      <w:r w:rsidRPr="00865830">
        <w:t xml:space="preserve"> of their Quality Pool by meeting the benchmark or improvement target for 75</w:t>
      </w:r>
      <w:r w:rsidR="00E50F95">
        <w:t xml:space="preserve"> percent</w:t>
      </w:r>
      <w:r w:rsidRPr="00865830">
        <w:t xml:space="preserve"> of the incentive metrics (1</w:t>
      </w:r>
      <w:r w:rsidR="00D0122A">
        <w:t>0</w:t>
      </w:r>
      <w:r w:rsidRPr="00865830">
        <w:t xml:space="preserve"> of 1</w:t>
      </w:r>
      <w:r w:rsidR="00536274">
        <w:t>3</w:t>
      </w:r>
      <w:r w:rsidRPr="00865830">
        <w:t xml:space="preserve"> metrics</w:t>
      </w:r>
      <w:r>
        <w:t xml:space="preserve"> in 202</w:t>
      </w:r>
      <w:r w:rsidR="00536274">
        <w:t>5</w:t>
      </w:r>
      <w:r w:rsidRPr="00865830">
        <w:t xml:space="preserve">). For CCOs </w:t>
      </w:r>
      <w:r>
        <w:t>that</w:t>
      </w:r>
      <w:r w:rsidRPr="00865830">
        <w:t xml:space="preserve"> meet less than 75</w:t>
      </w:r>
      <w:r w:rsidR="00E50F95">
        <w:t xml:space="preserve"> percent</w:t>
      </w:r>
      <w:r w:rsidRPr="00865830">
        <w:t xml:space="preserve"> of incentive measures, Quality Pool payments are reduced by a set percentage (see table </w:t>
      </w:r>
      <w:r w:rsidR="00D0122A">
        <w:t>below</w:t>
      </w:r>
      <w:r w:rsidRPr="00865830">
        <w:t>).</w:t>
      </w:r>
    </w:p>
    <w:p w14:paraId="38B0D793" w14:textId="734AE490" w:rsidR="00D0122A" w:rsidRPr="006B00E4" w:rsidRDefault="00D0122A" w:rsidP="006B00E4">
      <w:pPr>
        <w:pStyle w:val="Heading5"/>
      </w:pPr>
      <w:bookmarkStart w:id="25" w:name="_Toc169183020"/>
      <w:bookmarkStart w:id="26" w:name="_Toc169183068"/>
      <w:r w:rsidRPr="006B00E4">
        <w:t>Table 2: Number of measures CCOs must meet to earn percent of Quality Pool.</w:t>
      </w:r>
    </w:p>
    <w:tbl>
      <w:tblPr>
        <w:tblStyle w:val="HPAGridTable"/>
        <w:tblW w:w="0" w:type="auto"/>
        <w:tblLook w:val="0620" w:firstRow="1" w:lastRow="0" w:firstColumn="0" w:lastColumn="0" w:noHBand="1" w:noVBand="1"/>
      </w:tblPr>
      <w:tblGrid>
        <w:gridCol w:w="4675"/>
        <w:gridCol w:w="4675"/>
      </w:tblGrid>
      <w:tr w:rsidR="00D0122A" w:rsidRPr="00D0122A" w14:paraId="5285714B" w14:textId="77777777" w:rsidTr="00D0122A">
        <w:trPr>
          <w:cnfStyle w:val="100000000000" w:firstRow="1" w:lastRow="0" w:firstColumn="0" w:lastColumn="0" w:oddVBand="0" w:evenVBand="0" w:oddHBand="0" w:evenHBand="0" w:firstRowFirstColumn="0" w:firstRowLastColumn="0" w:lastRowFirstColumn="0" w:lastRowLastColumn="0"/>
          <w:tblHeader/>
        </w:trPr>
        <w:tc>
          <w:tcPr>
            <w:tcW w:w="4675" w:type="dxa"/>
          </w:tcPr>
          <w:p w14:paraId="6A6F4D0D" w14:textId="2299ED3A" w:rsidR="00D0122A" w:rsidRPr="00D0122A" w:rsidRDefault="00D0122A" w:rsidP="00D73311">
            <w:pPr>
              <w:spacing w:before="40" w:after="40"/>
              <w:rPr>
                <w:rStyle w:val="Heading5Char"/>
                <w:rFonts w:hint="eastAsia"/>
              </w:rPr>
            </w:pPr>
            <w:r w:rsidRPr="00D0122A">
              <w:rPr>
                <w:rFonts w:asciiTheme="minorHAnsi" w:hAnsiTheme="minorHAnsi" w:cstheme="minorHAnsi"/>
                <w:color w:val="E8E8E8" w:themeColor="background2"/>
              </w:rPr>
              <w:t>Number of measures met (out of 1</w:t>
            </w:r>
            <w:r w:rsidR="00536274">
              <w:rPr>
                <w:rFonts w:asciiTheme="minorHAnsi" w:hAnsiTheme="minorHAnsi" w:cstheme="minorHAnsi"/>
                <w:color w:val="E8E8E8" w:themeColor="background2"/>
              </w:rPr>
              <w:t>3</w:t>
            </w:r>
            <w:r w:rsidRPr="00D0122A">
              <w:rPr>
                <w:rFonts w:asciiTheme="minorHAnsi" w:hAnsiTheme="minorHAnsi" w:cstheme="minorHAnsi"/>
                <w:color w:val="E8E8E8" w:themeColor="background2"/>
              </w:rPr>
              <w:t>)</w:t>
            </w:r>
          </w:p>
        </w:tc>
        <w:tc>
          <w:tcPr>
            <w:tcW w:w="4675" w:type="dxa"/>
          </w:tcPr>
          <w:p w14:paraId="4AEBC8DC" w14:textId="5F034A41" w:rsidR="00D0122A" w:rsidRPr="00D0122A" w:rsidRDefault="00D0122A" w:rsidP="00D73311">
            <w:pPr>
              <w:spacing w:before="40" w:after="40"/>
              <w:rPr>
                <w:rStyle w:val="Heading5Char"/>
                <w:rFonts w:hint="eastAsia"/>
              </w:rPr>
            </w:pPr>
            <w:r w:rsidRPr="00D0122A">
              <w:rPr>
                <w:rFonts w:asciiTheme="minorHAnsi" w:hAnsiTheme="minorHAnsi" w:cstheme="minorHAnsi"/>
                <w:color w:val="E8E8E8" w:themeColor="background2"/>
              </w:rPr>
              <w:t xml:space="preserve">Quality Pool </w:t>
            </w:r>
            <w:r>
              <w:rPr>
                <w:rFonts w:asciiTheme="minorHAnsi" w:hAnsiTheme="minorHAnsi" w:cstheme="minorHAnsi"/>
                <w:color w:val="E8E8E8" w:themeColor="background2"/>
              </w:rPr>
              <w:t>percent</w:t>
            </w:r>
          </w:p>
        </w:tc>
      </w:tr>
      <w:tr w:rsidR="00D0122A" w:rsidRPr="00D0122A" w14:paraId="44F28D7F" w14:textId="77777777" w:rsidTr="00D0122A">
        <w:tc>
          <w:tcPr>
            <w:tcW w:w="4675" w:type="dxa"/>
          </w:tcPr>
          <w:p w14:paraId="64582E20" w14:textId="4F3395D6"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At least 10</w:t>
            </w:r>
          </w:p>
        </w:tc>
        <w:tc>
          <w:tcPr>
            <w:tcW w:w="4675" w:type="dxa"/>
          </w:tcPr>
          <w:p w14:paraId="25EE6056" w14:textId="09081653"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100%</w:t>
            </w:r>
          </w:p>
        </w:tc>
      </w:tr>
      <w:tr w:rsidR="00D0122A" w:rsidRPr="00D0122A" w14:paraId="7FF08AD5" w14:textId="77777777" w:rsidTr="00D0122A">
        <w:tc>
          <w:tcPr>
            <w:tcW w:w="4675" w:type="dxa"/>
          </w:tcPr>
          <w:p w14:paraId="282B1B34" w14:textId="2A5D34A6"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At least 9</w:t>
            </w:r>
          </w:p>
        </w:tc>
        <w:tc>
          <w:tcPr>
            <w:tcW w:w="4675" w:type="dxa"/>
          </w:tcPr>
          <w:p w14:paraId="18BF5A1B" w14:textId="54B99CDE"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90%</w:t>
            </w:r>
          </w:p>
        </w:tc>
      </w:tr>
      <w:tr w:rsidR="00D0122A" w:rsidRPr="00D0122A" w14:paraId="5E352F0A" w14:textId="77777777" w:rsidTr="00D0122A">
        <w:tc>
          <w:tcPr>
            <w:tcW w:w="4675" w:type="dxa"/>
          </w:tcPr>
          <w:p w14:paraId="4A0B0317" w14:textId="6FC3E54F"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At least 8</w:t>
            </w:r>
          </w:p>
        </w:tc>
        <w:tc>
          <w:tcPr>
            <w:tcW w:w="4675" w:type="dxa"/>
          </w:tcPr>
          <w:p w14:paraId="238270FC" w14:textId="494100C8"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80%</w:t>
            </w:r>
          </w:p>
        </w:tc>
      </w:tr>
      <w:tr w:rsidR="00D0122A" w:rsidRPr="00D0122A" w14:paraId="068B346B" w14:textId="77777777" w:rsidTr="00D0122A">
        <w:tc>
          <w:tcPr>
            <w:tcW w:w="4675" w:type="dxa"/>
          </w:tcPr>
          <w:p w14:paraId="395A7504" w14:textId="5DC7E6E0"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At least 7</w:t>
            </w:r>
          </w:p>
        </w:tc>
        <w:tc>
          <w:tcPr>
            <w:tcW w:w="4675" w:type="dxa"/>
          </w:tcPr>
          <w:p w14:paraId="5E47E0E2" w14:textId="58F100A1"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70%</w:t>
            </w:r>
          </w:p>
        </w:tc>
      </w:tr>
      <w:tr w:rsidR="00D0122A" w:rsidRPr="00D0122A" w14:paraId="0E83085D" w14:textId="77777777" w:rsidTr="00D0122A">
        <w:tc>
          <w:tcPr>
            <w:tcW w:w="4675" w:type="dxa"/>
          </w:tcPr>
          <w:p w14:paraId="25669915" w14:textId="30B217DA"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At least 6</w:t>
            </w:r>
          </w:p>
        </w:tc>
        <w:tc>
          <w:tcPr>
            <w:tcW w:w="4675" w:type="dxa"/>
          </w:tcPr>
          <w:p w14:paraId="6C0B748C" w14:textId="3B49C73C"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60%</w:t>
            </w:r>
          </w:p>
        </w:tc>
      </w:tr>
      <w:tr w:rsidR="00D0122A" w:rsidRPr="00D0122A" w14:paraId="01DE697B" w14:textId="77777777" w:rsidTr="00D0122A">
        <w:tc>
          <w:tcPr>
            <w:tcW w:w="4675" w:type="dxa"/>
          </w:tcPr>
          <w:p w14:paraId="53E481AB" w14:textId="186D15C0"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At least 5</w:t>
            </w:r>
          </w:p>
        </w:tc>
        <w:tc>
          <w:tcPr>
            <w:tcW w:w="4675" w:type="dxa"/>
          </w:tcPr>
          <w:p w14:paraId="004F6B92" w14:textId="2BE82F22"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50%</w:t>
            </w:r>
          </w:p>
        </w:tc>
      </w:tr>
      <w:tr w:rsidR="00D0122A" w:rsidRPr="00D0122A" w14:paraId="57C61629" w14:textId="77777777" w:rsidTr="00D0122A">
        <w:tc>
          <w:tcPr>
            <w:tcW w:w="4675" w:type="dxa"/>
          </w:tcPr>
          <w:p w14:paraId="4C8131F5" w14:textId="0564F0AA"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At least 4</w:t>
            </w:r>
          </w:p>
        </w:tc>
        <w:tc>
          <w:tcPr>
            <w:tcW w:w="4675" w:type="dxa"/>
          </w:tcPr>
          <w:p w14:paraId="1366548B" w14:textId="0C715DE9"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40%</w:t>
            </w:r>
          </w:p>
        </w:tc>
      </w:tr>
      <w:tr w:rsidR="00D0122A" w:rsidRPr="00D0122A" w14:paraId="112B9B0B" w14:textId="77777777" w:rsidTr="00D0122A">
        <w:tc>
          <w:tcPr>
            <w:tcW w:w="4675" w:type="dxa"/>
          </w:tcPr>
          <w:p w14:paraId="654D0F8A" w14:textId="742C774D"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At least 3</w:t>
            </w:r>
          </w:p>
        </w:tc>
        <w:tc>
          <w:tcPr>
            <w:tcW w:w="4675" w:type="dxa"/>
          </w:tcPr>
          <w:p w14:paraId="585A0982" w14:textId="68E9C5FF"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30%</w:t>
            </w:r>
          </w:p>
        </w:tc>
      </w:tr>
      <w:tr w:rsidR="00D0122A" w:rsidRPr="00D0122A" w14:paraId="2F479892" w14:textId="77777777" w:rsidTr="00D0122A">
        <w:tc>
          <w:tcPr>
            <w:tcW w:w="4675" w:type="dxa"/>
          </w:tcPr>
          <w:p w14:paraId="50E7AE2A" w14:textId="6B5DBFBF"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At least 2</w:t>
            </w:r>
          </w:p>
        </w:tc>
        <w:tc>
          <w:tcPr>
            <w:tcW w:w="4675" w:type="dxa"/>
          </w:tcPr>
          <w:p w14:paraId="631171CC" w14:textId="0691E2C0"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20%</w:t>
            </w:r>
          </w:p>
        </w:tc>
      </w:tr>
      <w:tr w:rsidR="00D0122A" w:rsidRPr="00D0122A" w14:paraId="1D25A5EB" w14:textId="77777777" w:rsidTr="00D0122A">
        <w:tc>
          <w:tcPr>
            <w:tcW w:w="4675" w:type="dxa"/>
          </w:tcPr>
          <w:p w14:paraId="68B4DD5F" w14:textId="25B483A5"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At least 1</w:t>
            </w:r>
          </w:p>
        </w:tc>
        <w:tc>
          <w:tcPr>
            <w:tcW w:w="4675" w:type="dxa"/>
          </w:tcPr>
          <w:p w14:paraId="7D9D7886" w14:textId="192B04A5"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10%</w:t>
            </w:r>
          </w:p>
        </w:tc>
      </w:tr>
      <w:tr w:rsidR="00D0122A" w:rsidRPr="00D0122A" w14:paraId="1713DCF1" w14:textId="77777777" w:rsidTr="00D0122A">
        <w:tc>
          <w:tcPr>
            <w:tcW w:w="4675" w:type="dxa"/>
          </w:tcPr>
          <w:p w14:paraId="485AD7F3" w14:textId="225DEE28"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0</w:t>
            </w:r>
          </w:p>
        </w:tc>
        <w:tc>
          <w:tcPr>
            <w:tcW w:w="4675" w:type="dxa"/>
          </w:tcPr>
          <w:p w14:paraId="601B6C3A" w14:textId="08864190" w:rsidR="00D0122A" w:rsidRPr="00D0122A" w:rsidRDefault="00D0122A" w:rsidP="00D73311">
            <w:pPr>
              <w:spacing w:before="40" w:after="40"/>
              <w:rPr>
                <w:rStyle w:val="Heading5Char"/>
                <w:rFonts w:asciiTheme="minorHAnsi" w:hAnsiTheme="minorHAnsi"/>
                <w:color w:val="auto"/>
              </w:rPr>
            </w:pPr>
            <w:r w:rsidRPr="00D0122A">
              <w:rPr>
                <w:rFonts w:asciiTheme="minorHAnsi" w:hAnsiTheme="minorHAnsi"/>
              </w:rPr>
              <w:t>No quality pool payment</w:t>
            </w:r>
          </w:p>
        </w:tc>
      </w:tr>
    </w:tbl>
    <w:bookmarkEnd w:id="25"/>
    <w:bookmarkEnd w:id="26"/>
    <w:p w14:paraId="70B25690" w14:textId="1D6BD174" w:rsidR="00226EA5" w:rsidRPr="004F086A" w:rsidRDefault="00ED698D" w:rsidP="00226EA5">
      <w:pPr>
        <w:spacing w:before="360"/>
        <w:rPr>
          <w:noProof/>
        </w:rPr>
      </w:pPr>
      <w:r w:rsidRPr="00226EA5">
        <w:rPr>
          <w:rStyle w:val="Heading5Char"/>
        </w:rPr>
        <w:lastRenderedPageBreak/>
        <w:t>The proportion of CCOs that met 90-100</w:t>
      </w:r>
      <w:r w:rsidR="00EB091B">
        <w:rPr>
          <w:rStyle w:val="Heading5Char"/>
        </w:rPr>
        <w:t xml:space="preserve"> percent</w:t>
      </w:r>
      <w:r w:rsidRPr="00226EA5">
        <w:rPr>
          <w:rStyle w:val="Heading5Char"/>
        </w:rPr>
        <w:t>, 75-89</w:t>
      </w:r>
      <w:r w:rsidR="00EB091B">
        <w:rPr>
          <w:rStyle w:val="Heading5Char"/>
        </w:rPr>
        <w:t xml:space="preserve"> percent</w:t>
      </w:r>
      <w:r w:rsidRPr="00226EA5">
        <w:rPr>
          <w:rStyle w:val="Heading5Char"/>
        </w:rPr>
        <w:t xml:space="preserve"> and less than 75</w:t>
      </w:r>
      <w:r w:rsidR="00EB091B">
        <w:rPr>
          <w:rStyle w:val="Heading5Char"/>
        </w:rPr>
        <w:t xml:space="preserve"> percent</w:t>
      </w:r>
      <w:r w:rsidRPr="00226EA5">
        <w:rPr>
          <w:rStyle w:val="Heading5Char"/>
        </w:rPr>
        <w:t xml:space="preserve"> of measures by year</w:t>
      </w:r>
      <w:r>
        <w:rPr>
          <w:noProof/>
        </w:rPr>
        <w:t xml:space="preserve"> </w:t>
      </w:r>
      <w:r w:rsidRPr="4809CD0A">
        <w:rPr>
          <w:rStyle w:val="FootnoteReference"/>
          <w:sz w:val="22"/>
        </w:rPr>
        <w:footnoteReference w:id="15"/>
      </w:r>
      <w:r w:rsidR="004F086A">
        <w:rPr>
          <w:noProof/>
        </w:rPr>
        <w:drawing>
          <wp:inline distT="0" distB="0" distL="0" distR="0" wp14:anchorId="158742C3" wp14:editId="324A4144">
            <wp:extent cx="5943600" cy="2781300"/>
            <wp:effectExtent l="0" t="0" r="0" b="0"/>
            <wp:docPr id="733409225" name="Chart 1" descr="Area chart for proportion of CCOs who met 90-100%, 75-89% and less than 75% of measures from 2013 to 2025. 2020 is not in this chart. In 2020, all benchmarks were changed to report only, which all CCOs met.">
              <a:extLst xmlns:a="http://schemas.openxmlformats.org/drawingml/2006/main">
                <a:ext uri="{FF2B5EF4-FFF2-40B4-BE49-F238E27FC236}">
                  <a16:creationId xmlns:a16="http://schemas.microsoft.com/office/drawing/2014/main" id="{26F6257E-E2C5-4A47-9A0D-1902241A96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0ED0F56" w14:textId="77777777" w:rsidR="00ED698D" w:rsidRPr="009840C9" w:rsidRDefault="00ED698D" w:rsidP="00ED698D">
      <w:pPr>
        <w:pStyle w:val="Heading3"/>
      </w:pPr>
      <w:bookmarkStart w:id="27" w:name="_Toc169183019"/>
      <w:bookmarkStart w:id="28" w:name="_Toc169183067"/>
      <w:bookmarkStart w:id="29" w:name="_Toc169270611"/>
      <w:r w:rsidRPr="00865830">
        <w:rPr>
          <w:shd w:val="clear" w:color="auto" w:fill="FFFFFF"/>
        </w:rPr>
        <w:t>Phase 2: Challenge Pool</w:t>
      </w:r>
      <w:bookmarkEnd w:id="27"/>
      <w:bookmarkEnd w:id="28"/>
      <w:bookmarkEnd w:id="29"/>
    </w:p>
    <w:p w14:paraId="117234F4" w14:textId="601AFEE9" w:rsidR="00ED698D" w:rsidRDefault="00ED698D" w:rsidP="00ED698D">
      <w:pPr>
        <w:spacing w:before="120" w:after="240"/>
      </w:pPr>
      <w:r>
        <w:t xml:space="preserve">Unearned Quality Pool funds are </w:t>
      </w:r>
      <w:r w:rsidR="006A4951">
        <w:t xml:space="preserve">moved </w:t>
      </w:r>
      <w:r>
        <w:t>into the Challenge Pool. All CCOs can earn additional funds through the Challenge Pool. To earn Challenge Pool funds, CCOs must meet a subset of incentive measures.</w:t>
      </w:r>
    </w:p>
    <w:p w14:paraId="40FB58F9" w14:textId="05911E2E" w:rsidR="00072FA7" w:rsidRDefault="00ED698D" w:rsidP="00072FA7">
      <w:pPr>
        <w:spacing w:before="160" w:after="80"/>
        <w:rPr>
          <w:rStyle w:val="Heading3Char"/>
          <w:sz w:val="22"/>
          <w:szCs w:val="22"/>
        </w:rPr>
      </w:pPr>
      <w:r>
        <w:rPr>
          <w:rStyle w:val="Heading4Char"/>
        </w:rPr>
        <w:t xml:space="preserve">In </w:t>
      </w:r>
      <w:r w:rsidRPr="004117F9">
        <w:rPr>
          <w:rStyle w:val="Heading4Char"/>
        </w:rPr>
        <w:t>202</w:t>
      </w:r>
      <w:r w:rsidR="00072FA7">
        <w:rPr>
          <w:rStyle w:val="Heading4Char"/>
        </w:rPr>
        <w:t>5</w:t>
      </w:r>
      <w:r w:rsidRPr="004117F9">
        <w:rPr>
          <w:rStyle w:val="Heading4Char"/>
        </w:rPr>
        <w:t xml:space="preserve">, the Challenge Pool </w:t>
      </w:r>
      <w:r w:rsidR="00072FA7">
        <w:rPr>
          <w:rStyle w:val="Heading4Char"/>
        </w:rPr>
        <w:t>covered several domains</w:t>
      </w:r>
      <w:r w:rsidRPr="004117F9">
        <w:rPr>
          <w:rStyle w:val="Heading4Char"/>
        </w:rPr>
        <w:t>.</w:t>
      </w:r>
    </w:p>
    <w:p w14:paraId="65663EE5" w14:textId="5EBAD7F2" w:rsidR="00ED698D" w:rsidRPr="00180768" w:rsidRDefault="00ED698D" w:rsidP="00ED698D">
      <w:pPr>
        <w:spacing w:before="120" w:after="240"/>
      </w:pPr>
      <w:r w:rsidRPr="00865830">
        <w:rPr>
          <w:szCs w:val="20"/>
        </w:rPr>
        <w:t xml:space="preserve">Challenge Pool funds were distributed to CCOs according to their performance on each of the four Challenge Pool metrics: </w:t>
      </w:r>
    </w:p>
    <w:p w14:paraId="1E87B142" w14:textId="77777777" w:rsidR="00ED698D" w:rsidRPr="00173676" w:rsidRDefault="00ED698D" w:rsidP="00CD585D">
      <w:pPr>
        <w:pStyle w:val="BodyTextindent"/>
        <w:numPr>
          <w:ilvl w:val="0"/>
          <w:numId w:val="6"/>
        </w:numPr>
        <w:spacing w:before="120" w:after="120"/>
        <w:ind w:left="720" w:right="0"/>
        <w:rPr>
          <w:rFonts w:asciiTheme="minorHAnsi" w:hAnsiTheme="minorHAnsi"/>
          <w:color w:val="auto"/>
          <w:szCs w:val="24"/>
        </w:rPr>
      </w:pPr>
      <w:r w:rsidRPr="00173676">
        <w:rPr>
          <w:rFonts w:asciiTheme="minorHAnsi" w:hAnsiTheme="minorHAnsi"/>
          <w:color w:val="auto"/>
          <w:szCs w:val="24"/>
        </w:rPr>
        <w:t>Child and Adolescent Well-Care Visits (Ages 3-6)</w:t>
      </w:r>
    </w:p>
    <w:p w14:paraId="56A7F130" w14:textId="165F3F5C" w:rsidR="00ED698D" w:rsidRPr="00173676" w:rsidRDefault="00072FA7" w:rsidP="00CD585D">
      <w:pPr>
        <w:pStyle w:val="BodyTextindent"/>
        <w:numPr>
          <w:ilvl w:val="0"/>
          <w:numId w:val="6"/>
        </w:numPr>
        <w:spacing w:before="120" w:after="120"/>
        <w:ind w:left="720" w:right="0"/>
        <w:rPr>
          <w:rFonts w:asciiTheme="minorHAnsi" w:hAnsiTheme="minorHAnsi"/>
          <w:color w:val="auto"/>
          <w:szCs w:val="24"/>
        </w:rPr>
      </w:pPr>
      <w:r w:rsidRPr="00173676">
        <w:rPr>
          <w:rFonts w:asciiTheme="minorHAnsi" w:hAnsiTheme="minorHAnsi"/>
          <w:color w:val="auto"/>
          <w:szCs w:val="24"/>
        </w:rPr>
        <w:t>Diabetes Care: Hemoglobin A1c (HbA1c) Poor Control</w:t>
      </w:r>
    </w:p>
    <w:p w14:paraId="4E4B76D2" w14:textId="401A3BAB" w:rsidR="00072FA7" w:rsidRPr="00173676" w:rsidRDefault="00072FA7" w:rsidP="00072FA7">
      <w:pPr>
        <w:pStyle w:val="BodyTextindent"/>
        <w:numPr>
          <w:ilvl w:val="0"/>
          <w:numId w:val="6"/>
        </w:numPr>
        <w:spacing w:before="120" w:after="120"/>
        <w:ind w:left="720" w:right="0"/>
        <w:rPr>
          <w:rStyle w:val="Heading3Char"/>
          <w:rFonts w:asciiTheme="minorHAnsi" w:hAnsiTheme="minorHAnsi"/>
          <w:color w:val="auto"/>
          <w:sz w:val="24"/>
          <w:szCs w:val="24"/>
        </w:rPr>
      </w:pPr>
      <w:r w:rsidRPr="00173676">
        <w:rPr>
          <w:rFonts w:asciiTheme="minorHAnsi" w:hAnsiTheme="minorHAnsi"/>
          <w:color w:val="auto"/>
          <w:szCs w:val="24"/>
        </w:rPr>
        <w:t>Prenatal and Postpartum Care: Postpartum Care</w:t>
      </w:r>
    </w:p>
    <w:p w14:paraId="03DCB1D5" w14:textId="0D1D2342" w:rsidR="00ED698D" w:rsidRPr="00173676" w:rsidRDefault="00ED698D" w:rsidP="00CD585D">
      <w:pPr>
        <w:pStyle w:val="BodyTextindent"/>
        <w:numPr>
          <w:ilvl w:val="0"/>
          <w:numId w:val="6"/>
        </w:numPr>
        <w:spacing w:before="120" w:after="120"/>
        <w:ind w:left="720" w:right="0"/>
        <w:rPr>
          <w:rFonts w:asciiTheme="minorHAnsi" w:hAnsiTheme="minorHAnsi"/>
          <w:color w:val="auto"/>
          <w:szCs w:val="24"/>
        </w:rPr>
      </w:pPr>
      <w:r w:rsidRPr="00173676">
        <w:rPr>
          <w:rFonts w:asciiTheme="minorHAnsi" w:hAnsiTheme="minorHAnsi"/>
          <w:color w:val="auto"/>
          <w:szCs w:val="24"/>
        </w:rPr>
        <w:t>Preventive Dental or Oral Health Services</w:t>
      </w:r>
      <w:r w:rsidR="00072FA7" w:rsidRPr="00173676">
        <w:rPr>
          <w:rFonts w:asciiTheme="minorHAnsi" w:hAnsiTheme="minorHAnsi"/>
          <w:color w:val="auto"/>
          <w:szCs w:val="24"/>
        </w:rPr>
        <w:t xml:space="preserve"> (</w:t>
      </w:r>
      <w:r w:rsidRPr="00173676">
        <w:rPr>
          <w:rFonts w:asciiTheme="minorHAnsi" w:hAnsiTheme="minorHAnsi"/>
          <w:color w:val="auto"/>
          <w:szCs w:val="24"/>
        </w:rPr>
        <w:t>Ages 1-5 and 6-14</w:t>
      </w:r>
      <w:r w:rsidR="00072FA7" w:rsidRPr="00173676">
        <w:rPr>
          <w:rFonts w:asciiTheme="minorHAnsi" w:hAnsiTheme="minorHAnsi"/>
          <w:color w:val="auto"/>
          <w:szCs w:val="24"/>
        </w:rPr>
        <w:t>).</w:t>
      </w:r>
    </w:p>
    <w:p w14:paraId="5E366A5B" w14:textId="2EA81E91" w:rsidR="00AE31EC" w:rsidRPr="00951B71" w:rsidRDefault="00ED698D" w:rsidP="00951B71">
      <w:pPr>
        <w:spacing w:before="240" w:after="120"/>
        <w:rPr>
          <w:rStyle w:val="Heading4Char"/>
          <w:rFonts w:eastAsiaTheme="minorHAnsi" w:cstheme="minorBidi"/>
          <w:color w:val="auto"/>
          <w:sz w:val="22"/>
        </w:rPr>
      </w:pPr>
      <w:r w:rsidRPr="00173676">
        <w:rPr>
          <w:szCs w:val="24"/>
        </w:rPr>
        <w:t>Challenge Pool funds are distributed in equal proportions based on the number of times</w:t>
      </w:r>
      <w:r>
        <w:t xml:space="preserve"> Challenge Pool measures are met. For more information, see the </w:t>
      </w:r>
      <w:hyperlink r:id="rId65" w:history="1">
        <w:r w:rsidRPr="00C57086">
          <w:rPr>
            <w:rStyle w:val="Hyperlink"/>
          </w:rPr>
          <w:t>202</w:t>
        </w:r>
        <w:r w:rsidR="007E637E">
          <w:rPr>
            <w:rStyle w:val="Hyperlink"/>
          </w:rPr>
          <w:t>5</w:t>
        </w:r>
        <w:r w:rsidRPr="00C57086">
          <w:rPr>
            <w:rStyle w:val="Hyperlink"/>
          </w:rPr>
          <w:t xml:space="preserve"> Quality Pool Methodology (Reference Instructions)</w:t>
        </w:r>
      </w:hyperlink>
      <w:r>
        <w:t>.</w:t>
      </w:r>
    </w:p>
    <w:p w14:paraId="3DEF1E14" w14:textId="77777777" w:rsidR="002B714E" w:rsidRDefault="002B714E">
      <w:pPr>
        <w:spacing w:line="278" w:lineRule="auto"/>
        <w:rPr>
          <w:rStyle w:val="Heading4Char"/>
        </w:rPr>
      </w:pPr>
      <w:r>
        <w:rPr>
          <w:rStyle w:val="Heading4Char"/>
        </w:rPr>
        <w:br w:type="page"/>
      </w:r>
    </w:p>
    <w:p w14:paraId="7B9F8220" w14:textId="188C6CCB" w:rsidR="00ED698D" w:rsidRDefault="00ED698D" w:rsidP="00ED698D">
      <w:pPr>
        <w:spacing w:before="240" w:after="0"/>
        <w:rPr>
          <w:rStyle w:val="Heading3Char"/>
          <w:color w:val="0A2F41" w:themeColor="accent1" w:themeShade="80"/>
        </w:rPr>
      </w:pPr>
      <w:r w:rsidRPr="007F3179">
        <w:rPr>
          <w:rStyle w:val="Heading4Char"/>
        </w:rPr>
        <w:lastRenderedPageBreak/>
        <w:t>With the Challenge Pool, CCOs can earn more than 100</w:t>
      </w:r>
      <w:r w:rsidR="00E50F95">
        <w:rPr>
          <w:rStyle w:val="Heading4Char"/>
        </w:rPr>
        <w:t xml:space="preserve"> percent</w:t>
      </w:r>
      <w:r w:rsidRPr="007F3179">
        <w:rPr>
          <w:rStyle w:val="Heading4Char"/>
        </w:rPr>
        <w:t xml:space="preserve"> of eligible </w:t>
      </w:r>
      <w:r>
        <w:rPr>
          <w:rStyle w:val="Heading4Char"/>
        </w:rPr>
        <w:t>bonus</w:t>
      </w:r>
      <w:r w:rsidRPr="007F3179">
        <w:rPr>
          <w:rStyle w:val="Heading4Char"/>
        </w:rPr>
        <w:t xml:space="preserve"> funds.</w:t>
      </w:r>
      <w:r w:rsidRPr="2819BEE2">
        <w:rPr>
          <w:rStyle w:val="Heading3Char"/>
          <w:color w:val="0A2F41" w:themeColor="accent1" w:themeShade="80"/>
        </w:rPr>
        <w:t xml:space="preserve"> </w:t>
      </w:r>
    </w:p>
    <w:p w14:paraId="3150127E" w14:textId="0FCCFD8E" w:rsidR="00ED698D" w:rsidRPr="00D45424" w:rsidRDefault="00ED698D" w:rsidP="00ED698D">
      <w:pPr>
        <w:spacing w:after="120"/>
        <w:rPr>
          <w:rFonts w:asciiTheme="majorHAnsi" w:eastAsiaTheme="majorEastAsia" w:hAnsiTheme="majorHAnsi" w:cstheme="majorBidi"/>
          <w:color w:val="0A2F41" w:themeColor="accent1" w:themeShade="80"/>
        </w:rPr>
      </w:pPr>
      <w:r>
        <w:t>All CCOs—even those that earned all their Quality Pool</w:t>
      </w:r>
      <w:r w:rsidR="76E54A7B">
        <w:t xml:space="preserve"> in </w:t>
      </w:r>
      <w:r w:rsidR="00EF214E">
        <w:t>P</w:t>
      </w:r>
      <w:r w:rsidR="76E54A7B">
        <w:t>hase 1</w:t>
      </w:r>
      <w:r>
        <w:t>—can earn additional bonus money from the Challenge Pool. In all but one year of the program, the majority of CCOs earned more than 100</w:t>
      </w:r>
      <w:r w:rsidR="00E50F95">
        <w:t xml:space="preserve"> percent</w:t>
      </w:r>
      <w:r>
        <w:t xml:space="preserve"> of their bonus by the addition of the Challenge Pool.</w:t>
      </w:r>
    </w:p>
    <w:p w14:paraId="67E231D4" w14:textId="01E0967B" w:rsidR="00ED698D" w:rsidRPr="00183C39" w:rsidRDefault="00ED698D" w:rsidP="00ED698D">
      <w:pPr>
        <w:spacing w:before="120" w:after="240" w:line="240" w:lineRule="auto"/>
      </w:pPr>
      <w:r w:rsidRPr="00735CFB">
        <w:t>Regardless of CCO performance,</w:t>
      </w:r>
      <w:r w:rsidRPr="00735CFB">
        <w:rPr>
          <w:b/>
          <w:bCs/>
        </w:rPr>
        <w:t xml:space="preserve"> </w:t>
      </w:r>
      <w:r w:rsidRPr="007F3179">
        <w:rPr>
          <w:b/>
          <w:bCs/>
        </w:rPr>
        <w:t xml:space="preserve">OHA pays all CCO Quality Incentive Program funds </w:t>
      </w:r>
      <w:r w:rsidRPr="007F3179">
        <w:t>each year</w:t>
      </w:r>
      <w:r w:rsidRPr="007F3179">
        <w:rPr>
          <w:b/>
          <w:bCs/>
        </w:rPr>
        <w:t xml:space="preserve"> </w:t>
      </w:r>
      <w:r w:rsidRPr="007F3179">
        <w:t>to CCOs</w:t>
      </w:r>
      <w:r w:rsidRPr="003D2AA2">
        <w:rPr>
          <w:color w:val="0A2F41" w:themeColor="accent1" w:themeShade="80"/>
        </w:rPr>
        <w:t xml:space="preserve"> </w:t>
      </w:r>
      <w:r>
        <w:t>through the Challenge Pool. No bonus funds are saved</w:t>
      </w:r>
      <w:r w:rsidR="00570782">
        <w:t>,</w:t>
      </w:r>
      <w:r>
        <w:t xml:space="preserve"> carried over to the </w:t>
      </w:r>
      <w:r w:rsidR="00570782">
        <w:t xml:space="preserve">following </w:t>
      </w:r>
      <w:r>
        <w:t>year</w:t>
      </w:r>
      <w:r w:rsidR="00570782">
        <w:t xml:space="preserve"> or returned to </w:t>
      </w:r>
      <w:r w:rsidR="00E806F2">
        <w:t>the state</w:t>
      </w:r>
      <w:r w:rsidR="00A462E9">
        <w:t>’s general funds</w:t>
      </w:r>
      <w:r>
        <w:t xml:space="preserve">. </w:t>
      </w:r>
    </w:p>
    <w:p w14:paraId="3C67EB02" w14:textId="3A4673A0" w:rsidR="00ED698D" w:rsidRPr="00D45424" w:rsidRDefault="00ED698D" w:rsidP="00ED698D">
      <w:pPr>
        <w:spacing w:before="120" w:after="0"/>
        <w:rPr>
          <w:rFonts w:asciiTheme="majorHAnsi" w:hAnsiTheme="majorHAnsi" w:cstheme="majorBidi"/>
          <w:color w:val="0F4761" w:themeColor="accent1" w:themeShade="BF"/>
          <w:sz w:val="26"/>
          <w:szCs w:val="26"/>
        </w:rPr>
      </w:pPr>
      <w:r w:rsidRPr="265446A2">
        <w:rPr>
          <w:rFonts w:asciiTheme="majorHAnsi" w:hAnsiTheme="majorHAnsi" w:cstheme="majorBidi"/>
          <w:color w:val="0F4761" w:themeColor="accent1" w:themeShade="BF"/>
          <w:sz w:val="26"/>
          <w:szCs w:val="26"/>
        </w:rPr>
        <w:t>In 202</w:t>
      </w:r>
      <w:r w:rsidR="001901BB">
        <w:rPr>
          <w:rFonts w:asciiTheme="majorHAnsi" w:hAnsiTheme="majorHAnsi" w:cstheme="majorBidi"/>
          <w:color w:val="0F4761" w:themeColor="accent1" w:themeShade="BF"/>
          <w:sz w:val="26"/>
          <w:szCs w:val="26"/>
        </w:rPr>
        <w:t>5</w:t>
      </w:r>
      <w:r w:rsidRPr="265446A2">
        <w:rPr>
          <w:rFonts w:asciiTheme="majorHAnsi" w:hAnsiTheme="majorHAnsi" w:cstheme="majorBidi"/>
          <w:color w:val="0F4761" w:themeColor="accent1" w:themeShade="BF"/>
          <w:sz w:val="26"/>
          <w:szCs w:val="26"/>
        </w:rPr>
        <w:t xml:space="preserve">, </w:t>
      </w:r>
      <w:r>
        <w:rPr>
          <w:rFonts w:asciiTheme="majorHAnsi" w:hAnsiTheme="majorHAnsi" w:cstheme="majorBidi"/>
          <w:color w:val="0F4761" w:themeColor="accent1" w:themeShade="BF"/>
          <w:sz w:val="26"/>
          <w:szCs w:val="26"/>
        </w:rPr>
        <w:t xml:space="preserve">no </w:t>
      </w:r>
      <w:r w:rsidRPr="265446A2">
        <w:rPr>
          <w:rFonts w:asciiTheme="majorHAnsi" w:hAnsiTheme="majorHAnsi" w:cstheme="majorBidi"/>
          <w:color w:val="0F4761" w:themeColor="accent1" w:themeShade="BF"/>
          <w:sz w:val="26"/>
          <w:szCs w:val="26"/>
        </w:rPr>
        <w:t>CCOs met 100</w:t>
      </w:r>
      <w:r w:rsidR="00E50F95">
        <w:rPr>
          <w:rFonts w:asciiTheme="majorHAnsi" w:hAnsiTheme="majorHAnsi" w:cstheme="majorBidi"/>
          <w:color w:val="0F4761" w:themeColor="accent1" w:themeShade="BF"/>
          <w:sz w:val="26"/>
          <w:szCs w:val="26"/>
        </w:rPr>
        <w:t xml:space="preserve"> percent</w:t>
      </w:r>
      <w:r w:rsidRPr="265446A2">
        <w:rPr>
          <w:rFonts w:asciiTheme="majorHAnsi" w:hAnsiTheme="majorHAnsi" w:cstheme="majorBidi"/>
          <w:color w:val="0F4761" w:themeColor="accent1" w:themeShade="BF"/>
          <w:sz w:val="26"/>
          <w:szCs w:val="26"/>
        </w:rPr>
        <w:t xml:space="preserve"> of the </w:t>
      </w:r>
      <w:r>
        <w:rPr>
          <w:rFonts w:asciiTheme="majorHAnsi" w:hAnsiTheme="majorHAnsi" w:cstheme="majorBidi"/>
          <w:color w:val="0F4761" w:themeColor="accent1" w:themeShade="BF"/>
          <w:sz w:val="26"/>
          <w:szCs w:val="26"/>
        </w:rPr>
        <w:t xml:space="preserve">quality </w:t>
      </w:r>
      <w:r w:rsidRPr="265446A2">
        <w:rPr>
          <w:rFonts w:asciiTheme="majorHAnsi" w:hAnsiTheme="majorHAnsi" w:cstheme="majorBidi"/>
          <w:color w:val="0F4761" w:themeColor="accent1" w:themeShade="BF"/>
          <w:sz w:val="26"/>
          <w:szCs w:val="26"/>
        </w:rPr>
        <w:t>incentive measures</w:t>
      </w:r>
      <w:r>
        <w:rPr>
          <w:rFonts w:asciiTheme="majorHAnsi" w:hAnsiTheme="majorHAnsi" w:cstheme="majorBidi"/>
          <w:color w:val="0F4761" w:themeColor="accent1" w:themeShade="BF"/>
          <w:sz w:val="26"/>
          <w:szCs w:val="26"/>
        </w:rPr>
        <w:t>.</w:t>
      </w:r>
    </w:p>
    <w:p w14:paraId="79AF8A35" w14:textId="0678A80E" w:rsidR="00ED698D" w:rsidRPr="00531E76" w:rsidRDefault="00ED698D" w:rsidP="00ED698D">
      <w:pPr>
        <w:pStyle w:val="NoSpacing"/>
        <w:spacing w:after="120"/>
        <w:rPr>
          <w:color w:val="auto"/>
          <w:sz w:val="22"/>
          <w:szCs w:val="20"/>
        </w:rPr>
      </w:pPr>
      <w:r>
        <w:rPr>
          <w:color w:val="auto"/>
          <w:sz w:val="22"/>
          <w:szCs w:val="20"/>
        </w:rPr>
        <w:t xml:space="preserve">However, </w:t>
      </w:r>
      <w:r w:rsidR="001901BB">
        <w:rPr>
          <w:color w:val="auto"/>
          <w:sz w:val="22"/>
          <w:szCs w:val="20"/>
        </w:rPr>
        <w:t>i</w:t>
      </w:r>
      <w:r>
        <w:rPr>
          <w:color w:val="auto"/>
          <w:sz w:val="22"/>
          <w:szCs w:val="20"/>
        </w:rPr>
        <w:t xml:space="preserve">n </w:t>
      </w:r>
      <w:r w:rsidR="00EF214E">
        <w:rPr>
          <w:color w:val="auto"/>
          <w:sz w:val="22"/>
          <w:szCs w:val="20"/>
        </w:rPr>
        <w:t>P</w:t>
      </w:r>
      <w:r>
        <w:rPr>
          <w:color w:val="auto"/>
          <w:sz w:val="22"/>
          <w:szCs w:val="20"/>
        </w:rPr>
        <w:t>hase</w:t>
      </w:r>
      <w:r w:rsidR="001901BB">
        <w:rPr>
          <w:color w:val="auto"/>
          <w:sz w:val="22"/>
          <w:szCs w:val="20"/>
        </w:rPr>
        <w:t xml:space="preserve"> 1,</w:t>
      </w:r>
      <w:r>
        <w:rPr>
          <w:color w:val="auto"/>
          <w:sz w:val="22"/>
          <w:szCs w:val="20"/>
        </w:rPr>
        <w:t xml:space="preserve"> </w:t>
      </w:r>
      <w:r w:rsidR="001901BB">
        <w:rPr>
          <w:color w:val="auto"/>
          <w:sz w:val="22"/>
          <w:szCs w:val="20"/>
        </w:rPr>
        <w:t>six</w:t>
      </w:r>
      <w:r>
        <w:rPr>
          <w:color w:val="auto"/>
          <w:sz w:val="22"/>
          <w:szCs w:val="20"/>
        </w:rPr>
        <w:t xml:space="preserve"> CCOs were paid 100</w:t>
      </w:r>
      <w:r w:rsidR="00E50F95">
        <w:rPr>
          <w:color w:val="auto"/>
          <w:sz w:val="22"/>
          <w:szCs w:val="20"/>
        </w:rPr>
        <w:t xml:space="preserve"> percent</w:t>
      </w:r>
      <w:r>
        <w:rPr>
          <w:color w:val="auto"/>
          <w:sz w:val="22"/>
          <w:szCs w:val="20"/>
        </w:rPr>
        <w:t xml:space="preserve"> of eligible Quality Pool funds by meeting at least </w:t>
      </w:r>
      <w:r w:rsidR="001026C8">
        <w:rPr>
          <w:color w:val="auto"/>
          <w:sz w:val="22"/>
          <w:szCs w:val="20"/>
        </w:rPr>
        <w:t xml:space="preserve">ten </w:t>
      </w:r>
      <w:r>
        <w:rPr>
          <w:color w:val="auto"/>
          <w:sz w:val="22"/>
          <w:szCs w:val="20"/>
        </w:rPr>
        <w:t>of the 1</w:t>
      </w:r>
      <w:r w:rsidR="001901BB">
        <w:rPr>
          <w:color w:val="auto"/>
          <w:sz w:val="22"/>
          <w:szCs w:val="20"/>
        </w:rPr>
        <w:t>3</w:t>
      </w:r>
      <w:r>
        <w:rPr>
          <w:color w:val="auto"/>
          <w:sz w:val="22"/>
          <w:szCs w:val="20"/>
        </w:rPr>
        <w:t xml:space="preserve"> incentive measures</w:t>
      </w:r>
      <w:r w:rsidR="000C7D77">
        <w:rPr>
          <w:color w:val="auto"/>
          <w:sz w:val="22"/>
          <w:szCs w:val="20"/>
        </w:rPr>
        <w:t>.</w:t>
      </w:r>
    </w:p>
    <w:p w14:paraId="5E561554" w14:textId="01844C07" w:rsidR="00ED698D" w:rsidRDefault="00EB4B21" w:rsidP="00ED698D">
      <w:pPr>
        <w:sectPr w:rsidR="00ED698D" w:rsidSect="00453C19">
          <w:footnotePr>
            <w:numFmt w:val="lowerLetter"/>
          </w:footnotePr>
          <w:type w:val="continuous"/>
          <w:pgSz w:w="12240" w:h="15840"/>
          <w:pgMar w:top="1440" w:right="1440" w:bottom="1440" w:left="1440" w:header="86" w:footer="720" w:gutter="0"/>
          <w:cols w:space="720"/>
          <w:titlePg/>
          <w:docGrid w:linePitch="360"/>
        </w:sectPr>
      </w:pPr>
      <w:r>
        <w:rPr>
          <w:noProof/>
        </w:rPr>
        <mc:AlternateContent>
          <mc:Choice Requires="wpg">
            <w:drawing>
              <wp:anchor distT="0" distB="0" distL="114300" distR="114300" simplePos="0" relativeHeight="251658243" behindDoc="0" locked="0" layoutInCell="1" allowOverlap="1" wp14:anchorId="69C1187E" wp14:editId="40E05945">
                <wp:simplePos x="0" y="0"/>
                <wp:positionH relativeFrom="column">
                  <wp:posOffset>0</wp:posOffset>
                </wp:positionH>
                <wp:positionV relativeFrom="paragraph">
                  <wp:posOffset>0</wp:posOffset>
                </wp:positionV>
                <wp:extent cx="5943600" cy="5572125"/>
                <wp:effectExtent l="0" t="0" r="0" b="9525"/>
                <wp:wrapNone/>
                <wp:docPr id="8" name="Group 7" descr="Bullet chart of proportion of eligible bonuses earned in Phase 1 and Phase 2, as well as proportion of measures met, by each CCO in 2025.">
                  <a:extLst xmlns:a="http://schemas.openxmlformats.org/drawingml/2006/main">
                    <a:ext uri="{FF2B5EF4-FFF2-40B4-BE49-F238E27FC236}">
                      <a16:creationId xmlns:a16="http://schemas.microsoft.com/office/drawing/2014/main" id="{6AE1803D-24C2-4973-B5C1-4C5FE977C30E}"/>
                    </a:ext>
                  </a:extLst>
                </wp:docPr>
                <wp:cNvGraphicFramePr/>
                <a:graphic xmlns:a="http://schemas.openxmlformats.org/drawingml/2006/main">
                  <a:graphicData uri="http://schemas.microsoft.com/office/word/2010/wordprocessingGroup">
                    <wpg:wgp>
                      <wpg:cNvGrpSpPr/>
                      <wpg:grpSpPr>
                        <a:xfrm>
                          <a:off x="0" y="0"/>
                          <a:ext cx="5943600" cy="5572125"/>
                          <a:chOff x="0" y="0"/>
                          <a:chExt cx="5486400" cy="5943600"/>
                        </a:xfrm>
                      </wpg:grpSpPr>
                      <wpg:graphicFrame>
                        <wpg:cNvPr id="544655999" name="Chart 544655999">
                          <a:extLst>
                            <a:ext uri="{FF2B5EF4-FFF2-40B4-BE49-F238E27FC236}">
                              <a16:creationId xmlns:a16="http://schemas.microsoft.com/office/drawing/2014/main" id="{C07CA739-5500-406A-A27C-016C1F63177A}"/>
                            </a:ext>
                          </a:extLst>
                        </wpg:cNvPr>
                        <wpg:cNvFrPr/>
                        <wpg:xfrm>
                          <a:off x="0" y="0"/>
                          <a:ext cx="5486400" cy="5943600"/>
                        </wpg:xfrm>
                        <a:graphic>
                          <a:graphicData uri="http://schemas.openxmlformats.org/drawingml/2006/chart">
                            <c:chart xmlns:c="http://schemas.openxmlformats.org/drawingml/2006/chart" xmlns:r="http://schemas.openxmlformats.org/officeDocument/2006/relationships" r:id="rId66"/>
                          </a:graphicData>
                        </a:graphic>
                      </wpg:graphicFrame>
                      <wps:wsp>
                        <wps:cNvPr id="236201896" name="Straight Connector 236201896">
                          <a:extLst>
                            <a:ext uri="{FF2B5EF4-FFF2-40B4-BE49-F238E27FC236}">
                              <a16:creationId xmlns:a16="http://schemas.microsoft.com/office/drawing/2014/main" id="{4A1DF9BD-0EFB-4D7A-BDB7-81F7B6962FC5}"/>
                            </a:ext>
                          </a:extLst>
                        </wps:cNvPr>
                        <wps:cNvCnPr/>
                        <wps:spPr>
                          <a:xfrm flipH="1">
                            <a:off x="3592392" y="66676"/>
                            <a:ext cx="9525" cy="5857875"/>
                          </a:xfrm>
                          <a:prstGeom prst="line">
                            <a:avLst/>
                          </a:prstGeom>
                          <a:ln w="15875">
                            <a:solidFill>
                              <a:schemeClr val="accent5"/>
                            </a:solidFill>
                          </a:ln>
                        </wps:spPr>
                        <wps:style>
                          <a:lnRef idx="1">
                            <a:schemeClr val="accent1"/>
                          </a:lnRef>
                          <a:fillRef idx="0">
                            <a:schemeClr val="accent1"/>
                          </a:fillRef>
                          <a:effectRef idx="0">
                            <a:schemeClr val="accent1"/>
                          </a:effectRef>
                          <a:fontRef idx="minor">
                            <a:schemeClr val="tx1"/>
                          </a:fontRef>
                        </wps:style>
                        <wps:bodyPr/>
                      </wps:wsp>
                      <wps:wsp>
                        <wps:cNvPr id="502952372" name="TextBox 6">
                          <a:extLst>
                            <a:ext uri="{FF2B5EF4-FFF2-40B4-BE49-F238E27FC236}">
                              <a16:creationId xmlns:a16="http://schemas.microsoft.com/office/drawing/2014/main" id="{7F6D9039-37A3-47B2-BC8E-2CE43FF2F4BD}"/>
                            </a:ext>
                          </a:extLst>
                        </wps:cNvPr>
                        <wps:cNvSpPr txBox="1"/>
                        <wps:spPr>
                          <a:xfrm>
                            <a:off x="3627560" y="75566"/>
                            <a:ext cx="482405" cy="402336"/>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D64B0B3" w14:textId="77777777" w:rsidR="00EB4B21" w:rsidRDefault="00EB4B21" w:rsidP="00EB4B21">
                              <w:pPr>
                                <w:rPr>
                                  <w:rFonts w:ascii="Aptos" w:hAnsi="Aptos" w:cs="Arial"/>
                                  <w:color w:val="000000"/>
                                  <w:kern w:val="0"/>
                                  <w:sz w:val="22"/>
                                  <w14:ligatures w14:val="none"/>
                                </w:rPr>
                              </w:pPr>
                              <w:r>
                                <w:rPr>
                                  <w:rFonts w:ascii="Aptos" w:hAnsi="Aptos" w:cs="Arial"/>
                                  <w:color w:val="000000"/>
                                  <w:sz w:val="22"/>
                                </w:rPr>
                                <w:t>100%</w:t>
                              </w:r>
                            </w:p>
                          </w:txbxContent>
                        </wps:txbx>
                        <wps:bodyPr wrap="none" rtlCol="0" anchor="t">
                          <a:spAutoFit/>
                        </wps:bodyPr>
                      </wps:wsp>
                    </wpg:wgp>
                  </a:graphicData>
                </a:graphic>
              </wp:anchor>
            </w:drawing>
          </mc:Choice>
          <mc:Fallback>
            <w:pict>
              <v:group w14:anchorId="69C1187E" id="_x0000_s1048" alt="Bullet chart of proportion of eligible bonuses earned in Phase 1 and Phase 2, as well as proportion of measures met, by each CCO in 2025." style="position:absolute;margin-left:0;margin-top:0;width:468pt;height:438.75pt;z-index:251658243;mso-position-horizontal-relative:text;mso-position-vertical-relative:text" coordsize="54864,59436"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">
                <v:shape id="Chart 544655999" o:spid="_x0000_s1049" type="#_x0000_t75" style="position:absolute;width:54864;height:59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">
                  <v:imagedata r:id="rId67" o:title=""/>
                  <o:lock v:ext="edit" aspectratio="f"/>
                </v:shape>
                <v:line id="Straight Connector 236201896" o:spid="_x0000_s1050" style="position:absolute;flip:x;visibility:visible;mso-wrap-style:square" from="35923,666" to="36019,59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" strokecolor="#a02b93 [3208]" strokeweight="1.25pt">
                  <v:stroke joinstyle="miter"/>
                </v:line>
                <v:shape id="TextBox 6" o:spid="_x0000_s1051" type="#_x0000_t202" style="position:absolute;left:36275;top:755;width:4824;height:40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" filled="f" stroked="f">
                  <v:textbox style="mso-fit-shape-to-text:t">
                    <w:txbxContent>
                      <w:p w14:paraId="6D64B0B3" w14:textId="77777777" w:rsidR="00EB4B21" w:rsidRDefault="00EB4B21" w:rsidP="00EB4B21">
                        <w:pPr>
                          <w:rPr>
                            <w:rFonts w:ascii="Aptos" w:hAnsi="Aptos" w:cs="Arial"/>
                            <w:color w:val="000000"/>
                            <w:kern w:val="0"/>
                            <w:sz w:val="22"/>
                            <w14:ligatures w14:val="none"/>
                          </w:rPr>
                        </w:pPr>
                        <w:r>
                          <w:rPr>
                            <w:rFonts w:ascii="Aptos" w:hAnsi="Aptos" w:cs="Arial"/>
                            <w:color w:val="000000"/>
                            <w:sz w:val="22"/>
                          </w:rPr>
                          <w:t>100%</w:t>
                        </w:r>
                      </w:p>
                    </w:txbxContent>
                  </v:textbox>
                </v:shape>
              </v:group>
            </w:pict>
          </mc:Fallback>
        </mc:AlternateContent>
      </w:r>
    </w:p>
    <w:p w14:paraId="650C4F8B" w14:textId="77777777" w:rsidR="00ED698D" w:rsidRDefault="00ED698D" w:rsidP="00ED698D">
      <w:pPr>
        <w:pStyle w:val="Heading3"/>
        <w:spacing w:before="0"/>
        <w:rPr>
          <w:noProof/>
        </w:rPr>
      </w:pPr>
      <w:bookmarkStart w:id="30" w:name="_Toc193458082"/>
      <w:r>
        <w:rPr>
          <w:noProof/>
        </w:rPr>
        <w:lastRenderedPageBreak/>
        <w:t>Total Quality Pool dollars paid to CCOs</w:t>
      </w:r>
    </w:p>
    <w:p w14:paraId="486A2773" w14:textId="75E866CD" w:rsidR="00ED698D" w:rsidRPr="00186F6A" w:rsidRDefault="00186F6A" w:rsidP="00D72925">
      <w:pPr>
        <w:spacing w:after="80"/>
        <w:rPr>
          <w:rStyle w:val="Heading3Char"/>
          <w:rFonts w:eastAsiaTheme="minorHAnsi" w:cstheme="minorBidi"/>
          <w:color w:val="auto"/>
          <w:sz w:val="24"/>
          <w:szCs w:val="22"/>
        </w:rPr>
      </w:pPr>
      <w:r>
        <w:rPr>
          <w:noProof/>
        </w:rPr>
        <w:drawing>
          <wp:inline distT="0" distB="0" distL="0" distR="0" wp14:anchorId="26FD4548" wp14:editId="1250B88E">
            <wp:extent cx="4572000" cy="5029200"/>
            <wp:effectExtent l="0" t="0" r="0" b="0"/>
            <wp:docPr id="1164334786" name="Chart 1" descr="Bar chart of total Quality Pool dollars paid to each CCO for 2025.">
              <a:extLst xmlns:a="http://schemas.openxmlformats.org/drawingml/2006/main">
                <a:ext uri="{FF2B5EF4-FFF2-40B4-BE49-F238E27FC236}">
                  <a16:creationId xmlns:a16="http://schemas.microsoft.com/office/drawing/2014/main" id="{EF84FB56-AFC5-4ED4-9FA3-21BC901C5A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00ED698D">
        <w:rPr>
          <w:rStyle w:val="Heading3Char"/>
        </w:rPr>
        <w:br w:type="column"/>
      </w:r>
      <w:r w:rsidR="00ED698D" w:rsidRPr="00DC09AD">
        <w:rPr>
          <w:rStyle w:val="Heading3Char"/>
        </w:rPr>
        <w:t>Total enrolled by CCO (n =</w:t>
      </w:r>
      <w:r w:rsidR="00ED698D">
        <w:rPr>
          <w:rStyle w:val="Heading3Char"/>
        </w:rPr>
        <w:t xml:space="preserve"> </w:t>
      </w:r>
      <w:r w:rsidR="00731379" w:rsidRPr="00731379">
        <w:rPr>
          <w:rStyle w:val="Heading3Char"/>
        </w:rPr>
        <w:t>1,275,873</w:t>
      </w:r>
      <w:r w:rsidR="00ED698D" w:rsidRPr="00DC09AD">
        <w:rPr>
          <w:rStyle w:val="Heading3Char"/>
        </w:rPr>
        <w:t>)</w:t>
      </w:r>
      <w:r w:rsidR="00ED698D" w:rsidRPr="00EA6CEB">
        <w:rPr>
          <w:rStyle w:val="FootnoteReference"/>
          <w:rFonts w:asciiTheme="majorHAnsi" w:eastAsiaTheme="majorEastAsia" w:hAnsiTheme="majorHAnsi" w:cstheme="majorBidi"/>
          <w:b/>
          <w:color w:val="0F4761" w:themeColor="accent1" w:themeShade="BF"/>
          <w:sz w:val="28"/>
          <w:szCs w:val="24"/>
        </w:rPr>
        <w:footnoteReference w:id="16"/>
      </w:r>
    </w:p>
    <w:p w14:paraId="6FDCC269" w14:textId="77777777" w:rsidR="00251F8D" w:rsidRDefault="00186F6A" w:rsidP="00ED698D">
      <w:pPr>
        <w:spacing w:after="0"/>
        <w:rPr>
          <w:rFonts w:eastAsiaTheme="majorEastAsia" w:cstheme="majorBidi"/>
          <w:color w:val="0F4761" w:themeColor="accent1" w:themeShade="BF"/>
          <w:sz w:val="28"/>
          <w:szCs w:val="28"/>
        </w:rPr>
        <w:sectPr w:rsidR="00251F8D" w:rsidSect="008060E3">
          <w:footnotePr>
            <w:numFmt w:val="lowerLetter"/>
          </w:footnotePr>
          <w:type w:val="continuous"/>
          <w:pgSz w:w="15840" w:h="12240" w:orient="landscape"/>
          <w:pgMar w:top="1440" w:right="1440" w:bottom="1440" w:left="1440" w:header="86" w:footer="720" w:gutter="0"/>
          <w:cols w:num="2" w:space="144" w:equalWidth="0">
            <w:col w:w="6912" w:space="144"/>
            <w:col w:w="5904"/>
          </w:cols>
          <w:docGrid w:linePitch="360"/>
          <w15:footnoteColumns w:val="1"/>
        </w:sectPr>
      </w:pPr>
      <w:r>
        <w:rPr>
          <w:noProof/>
        </w:rPr>
        <w:drawing>
          <wp:inline distT="0" distB="0" distL="0" distR="0" wp14:anchorId="06093EF8" wp14:editId="4229CC44">
            <wp:extent cx="4069080" cy="5029200"/>
            <wp:effectExtent l="0" t="0" r="0" b="0"/>
            <wp:docPr id="2128251703" name="Chart 1" descr="Bar chart of total members enrolled in each CCO in 2025. Total enrollment is the average of monthly members in 2025. These estimates come from OHA's Office of Financial and Actuarial Services (OAFA) and are used to calculate Quality Pool payments.">
              <a:extLst xmlns:a="http://schemas.openxmlformats.org/drawingml/2006/main">
                <a:ext uri="{FF2B5EF4-FFF2-40B4-BE49-F238E27FC236}">
                  <a16:creationId xmlns:a16="http://schemas.microsoft.com/office/drawing/2014/main" id="{9A79BD36-E8AC-4A55-A05A-44D99EFD5A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31B2B56" w14:textId="7167D880" w:rsidR="00251F8D" w:rsidRDefault="00251F8D" w:rsidP="00251F8D">
      <w:pPr>
        <w:pStyle w:val="Heading2"/>
        <w:rPr>
          <w:noProof/>
        </w:rPr>
      </w:pPr>
      <w:bookmarkStart w:id="31" w:name="_Toc235090768"/>
      <w:r>
        <w:rPr>
          <w:noProof/>
        </w:rPr>
        <w:lastRenderedPageBreak/>
        <w:t>2025 Quality Pool distribution</w:t>
      </w:r>
      <w:r w:rsidR="00250A13">
        <w:rPr>
          <w:noProof/>
        </w:rPr>
        <w:t xml:space="preserve"> tables</w:t>
      </w:r>
      <w:bookmarkEnd w:id="31"/>
    </w:p>
    <w:tbl>
      <w:tblPr>
        <w:tblW w:w="13495" w:type="dxa"/>
        <w:tblLook w:val="04A0" w:firstRow="1" w:lastRow="0" w:firstColumn="1" w:lastColumn="0" w:noHBand="0" w:noVBand="1"/>
      </w:tblPr>
      <w:tblGrid>
        <w:gridCol w:w="3349"/>
        <w:gridCol w:w="1330"/>
        <w:gridCol w:w="1448"/>
        <w:gridCol w:w="1517"/>
        <w:gridCol w:w="1330"/>
        <w:gridCol w:w="1400"/>
        <w:gridCol w:w="1501"/>
        <w:gridCol w:w="1620"/>
      </w:tblGrid>
      <w:tr w:rsidR="00251F8D" w:rsidRPr="00391018" w14:paraId="372868D6" w14:textId="77777777">
        <w:trPr>
          <w:trHeight w:val="1200"/>
        </w:trPr>
        <w:tc>
          <w:tcPr>
            <w:tcW w:w="3349" w:type="dxa"/>
            <w:tcBorders>
              <w:top w:val="single" w:sz="4" w:space="0" w:color="A6A6A6"/>
              <w:left w:val="single" w:sz="4" w:space="0" w:color="A6A6A6"/>
              <w:bottom w:val="single" w:sz="4" w:space="0" w:color="A6A6A6"/>
              <w:right w:val="single" w:sz="4" w:space="0" w:color="A6A6A6"/>
            </w:tcBorders>
            <w:vAlign w:val="center"/>
            <w:hideMark/>
          </w:tcPr>
          <w:p w14:paraId="445A448E" w14:textId="77777777" w:rsidR="00251F8D" w:rsidRPr="00391018" w:rsidRDefault="00251F8D">
            <w:pPr>
              <w:spacing w:after="0" w:line="240" w:lineRule="auto"/>
              <w:rPr>
                <w:rFonts w:eastAsia="Times New Roman" w:cs="Arial"/>
                <w:kern w:val="0"/>
                <w:sz w:val="22"/>
                <w14:ligatures w14:val="none"/>
              </w:rPr>
            </w:pPr>
            <w:r w:rsidRPr="00391018">
              <w:rPr>
                <w:rFonts w:eastAsia="Times New Roman" w:cs="Arial"/>
                <w:kern w:val="0"/>
                <w:sz w:val="22"/>
                <w14:ligatures w14:val="none"/>
              </w:rPr>
              <w:t>Legend</w:t>
            </w:r>
          </w:p>
          <w:p w14:paraId="5604CBE9" w14:textId="77777777" w:rsidR="00251F8D" w:rsidRPr="00391018" w:rsidRDefault="00251F8D">
            <w:pPr>
              <w:pStyle w:val="NormalWeb"/>
              <w:spacing w:before="0" w:beforeAutospacing="0" w:after="0" w:afterAutospacing="0"/>
              <w:contextualSpacing/>
              <w:rPr>
                <w:sz w:val="22"/>
                <w:szCs w:val="22"/>
              </w:rPr>
            </w:pPr>
            <w:r w:rsidRPr="00391018">
              <w:rPr>
                <w:rFonts w:ascii="Wingdings 2" w:hAnsi="Wingdings 2"/>
                <w:color w:val="6799BF"/>
                <w:sz w:val="22"/>
                <w:szCs w:val="22"/>
              </w:rPr>
              <w:t>¢</w:t>
            </w:r>
            <w:r w:rsidRPr="00391018">
              <w:rPr>
                <w:rFonts w:ascii="Benton Sans Book" w:hAnsi="Benton Sans Book"/>
                <w:color w:val="555555"/>
                <w:sz w:val="22"/>
                <w:szCs w:val="22"/>
              </w:rPr>
              <w:t xml:space="preserve"> </w:t>
            </w:r>
            <w:r w:rsidRPr="00391018">
              <w:rPr>
                <w:rFonts w:asciiTheme="minorHAnsi" w:hAnsiTheme="minorHAnsi" w:cstheme="minorHAnsi"/>
                <w:sz w:val="22"/>
                <w:szCs w:val="22"/>
              </w:rPr>
              <w:t>Phase 1</w:t>
            </w:r>
            <w:r w:rsidRPr="00391018">
              <w:rPr>
                <w:rFonts w:ascii="Arial Narrow" w:hAnsi="Arial Narrow"/>
                <w:sz w:val="22"/>
                <w:szCs w:val="22"/>
              </w:rPr>
              <w:t xml:space="preserve"> </w:t>
            </w:r>
          </w:p>
          <w:p w14:paraId="110F8FB3" w14:textId="77777777" w:rsidR="00251F8D" w:rsidRPr="00391018" w:rsidRDefault="00251F8D">
            <w:pPr>
              <w:contextualSpacing/>
              <w:rPr>
                <w:rFonts w:eastAsia="Times New Roman" w:cstheme="minorHAnsi"/>
                <w:color w:val="071004" w:themeColor="accent6" w:themeShade="1A"/>
                <w:sz w:val="22"/>
              </w:rPr>
            </w:pPr>
            <w:r w:rsidRPr="00391018">
              <w:rPr>
                <w:rFonts w:ascii="Wingdings 2" w:eastAsia="Times New Roman" w:hAnsi="Wingdings 2" w:cs="Times New Roman"/>
                <w:color w:val="005595"/>
                <w:sz w:val="22"/>
              </w:rPr>
              <w:t>¢</w:t>
            </w:r>
            <w:r w:rsidRPr="00391018">
              <w:rPr>
                <w:rFonts w:ascii="Benton Sans Book" w:eastAsia="Times New Roman" w:hAnsi="Benton Sans Book" w:cs="Times New Roman"/>
                <w:color w:val="000000"/>
                <w:sz w:val="22"/>
              </w:rPr>
              <w:t xml:space="preserve"> </w:t>
            </w:r>
            <w:r w:rsidRPr="00391018">
              <w:rPr>
                <w:rFonts w:eastAsia="Times New Roman" w:cstheme="minorHAnsi"/>
                <w:sz w:val="22"/>
              </w:rPr>
              <w:t>Challenge Pool</w:t>
            </w:r>
          </w:p>
          <w:p w14:paraId="1D0888A4" w14:textId="77777777" w:rsidR="00251F8D" w:rsidRPr="00391018" w:rsidRDefault="00251F8D">
            <w:pPr>
              <w:contextualSpacing/>
              <w:rPr>
                <w:rFonts w:ascii="Arial Narrow" w:eastAsia="Times New Roman" w:hAnsi="Arial Narrow" w:cs="Times New Roman"/>
                <w:color w:val="071004" w:themeColor="accent6" w:themeShade="1A"/>
                <w:sz w:val="20"/>
                <w:szCs w:val="20"/>
              </w:rPr>
            </w:pPr>
            <w:r w:rsidRPr="00391018">
              <w:rPr>
                <w:rFonts w:ascii="Wingdings 2" w:eastAsia="Times New Roman" w:hAnsi="Wingdings 2" w:cs="Times New Roman"/>
                <w:color w:val="002B4A"/>
                <w:sz w:val="22"/>
              </w:rPr>
              <w:t>¢</w:t>
            </w:r>
            <w:r w:rsidRPr="00391018">
              <w:rPr>
                <w:rFonts w:ascii="Benton Sans Book" w:eastAsia="Times New Roman" w:hAnsi="Benton Sans Book" w:cs="Times New Roman"/>
                <w:color w:val="000000"/>
                <w:sz w:val="22"/>
              </w:rPr>
              <w:t xml:space="preserve"> </w:t>
            </w:r>
            <w:r w:rsidRPr="00391018">
              <w:rPr>
                <w:rFonts w:eastAsia="Times New Roman" w:cstheme="minorHAnsi"/>
                <w:sz w:val="22"/>
              </w:rPr>
              <w:t>Quality Pool</w:t>
            </w:r>
          </w:p>
        </w:tc>
        <w:tc>
          <w:tcPr>
            <w:tcW w:w="1330" w:type="dxa"/>
            <w:tcBorders>
              <w:top w:val="single" w:sz="4" w:space="0" w:color="A6A6A6"/>
              <w:left w:val="nil"/>
              <w:bottom w:val="nil"/>
              <w:right w:val="single" w:sz="4" w:space="0" w:color="A6A6A6"/>
            </w:tcBorders>
            <w:shd w:val="clear" w:color="000000" w:fill="97CBFF"/>
            <w:vAlign w:val="center"/>
            <w:hideMark/>
          </w:tcPr>
          <w:p w14:paraId="6B6EC169"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Measures met</w:t>
            </w:r>
            <w:r w:rsidRPr="00391018">
              <w:rPr>
                <w:rFonts w:ascii="Aptos" w:eastAsia="Times New Roman" w:hAnsi="Aptos" w:cs="Arial"/>
                <w:kern w:val="0"/>
                <w:sz w:val="22"/>
                <w14:ligatures w14:val="none"/>
              </w:rPr>
              <w:br/>
              <w:t>(13 possible)</w:t>
            </w:r>
          </w:p>
        </w:tc>
        <w:tc>
          <w:tcPr>
            <w:tcW w:w="1448" w:type="dxa"/>
            <w:tcBorders>
              <w:top w:val="single" w:sz="4" w:space="0" w:color="A6A6A6"/>
              <w:left w:val="nil"/>
              <w:bottom w:val="nil"/>
              <w:right w:val="single" w:sz="4" w:space="0" w:color="A6A6A6"/>
            </w:tcBorders>
            <w:shd w:val="clear" w:color="000000" w:fill="97CBFF"/>
            <w:vAlign w:val="center"/>
            <w:hideMark/>
          </w:tcPr>
          <w:p w14:paraId="12FEBE13"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Earned in Phase 1 </w:t>
            </w:r>
            <w:r w:rsidRPr="00391018">
              <w:rPr>
                <w:rFonts w:ascii="Aptos" w:eastAsia="Times New Roman" w:hAnsi="Aptos" w:cs="Arial"/>
                <w:kern w:val="0"/>
                <w:sz w:val="22"/>
                <w14:ligatures w14:val="none"/>
              </w:rPr>
              <w:br/>
              <w:t>(% of eligible bonus)</w:t>
            </w:r>
          </w:p>
        </w:tc>
        <w:tc>
          <w:tcPr>
            <w:tcW w:w="1517" w:type="dxa"/>
            <w:tcBorders>
              <w:top w:val="single" w:sz="4" w:space="0" w:color="A6A6A6"/>
              <w:left w:val="nil"/>
              <w:bottom w:val="nil"/>
              <w:right w:val="single" w:sz="4" w:space="0" w:color="A6A6A6"/>
            </w:tcBorders>
            <w:shd w:val="clear" w:color="000000" w:fill="97CBFF"/>
            <w:vAlign w:val="center"/>
            <w:hideMark/>
          </w:tcPr>
          <w:p w14:paraId="51CEAC27"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Paid in Phase 1</w:t>
            </w:r>
          </w:p>
        </w:tc>
        <w:tc>
          <w:tcPr>
            <w:tcW w:w="1330" w:type="dxa"/>
            <w:tcBorders>
              <w:top w:val="single" w:sz="4" w:space="0" w:color="A6A6A6"/>
              <w:left w:val="nil"/>
              <w:bottom w:val="nil"/>
              <w:right w:val="single" w:sz="4" w:space="0" w:color="A6A6A6"/>
            </w:tcBorders>
            <w:shd w:val="clear" w:color="000000" w:fill="0063C6"/>
            <w:vAlign w:val="center"/>
            <w:hideMark/>
          </w:tcPr>
          <w:p w14:paraId="00AF386D" w14:textId="77777777" w:rsidR="00251F8D" w:rsidRPr="00391018" w:rsidRDefault="00251F8D">
            <w:pPr>
              <w:spacing w:after="0" w:line="240" w:lineRule="auto"/>
              <w:rPr>
                <w:rFonts w:ascii="Aptos" w:eastAsia="Times New Roman" w:hAnsi="Aptos" w:cs="Arial"/>
                <w:color w:val="FFFFFF"/>
                <w:kern w:val="0"/>
                <w:sz w:val="22"/>
                <w14:ligatures w14:val="none"/>
              </w:rPr>
            </w:pPr>
            <w:r w:rsidRPr="00391018">
              <w:rPr>
                <w:rFonts w:ascii="Aptos" w:eastAsia="Times New Roman" w:hAnsi="Aptos" w:cs="Arial"/>
                <w:color w:val="FFFFFF"/>
                <w:kern w:val="0"/>
                <w:sz w:val="22"/>
                <w14:ligatures w14:val="none"/>
              </w:rPr>
              <w:t xml:space="preserve">Measures met </w:t>
            </w:r>
            <w:r w:rsidRPr="00391018">
              <w:rPr>
                <w:rFonts w:ascii="Aptos" w:eastAsia="Times New Roman" w:hAnsi="Aptos" w:cs="Arial"/>
                <w:color w:val="FFFFFF"/>
                <w:kern w:val="0"/>
                <w:sz w:val="22"/>
                <w14:ligatures w14:val="none"/>
              </w:rPr>
              <w:br/>
              <w:t>(4 possible)</w:t>
            </w:r>
          </w:p>
        </w:tc>
        <w:tc>
          <w:tcPr>
            <w:tcW w:w="1400" w:type="dxa"/>
            <w:tcBorders>
              <w:top w:val="single" w:sz="4" w:space="0" w:color="A6A6A6"/>
              <w:left w:val="nil"/>
              <w:bottom w:val="nil"/>
              <w:right w:val="single" w:sz="4" w:space="0" w:color="A6A6A6"/>
            </w:tcBorders>
            <w:shd w:val="clear" w:color="000000" w:fill="0063C6"/>
            <w:vAlign w:val="center"/>
            <w:hideMark/>
          </w:tcPr>
          <w:p w14:paraId="5D14626C" w14:textId="77777777" w:rsidR="00251F8D" w:rsidRPr="00391018" w:rsidRDefault="00251F8D">
            <w:pPr>
              <w:spacing w:after="0" w:line="240" w:lineRule="auto"/>
              <w:rPr>
                <w:rFonts w:ascii="Aptos" w:eastAsia="Times New Roman" w:hAnsi="Aptos" w:cs="Arial"/>
                <w:color w:val="FFFFFF"/>
                <w:kern w:val="0"/>
                <w:sz w:val="22"/>
                <w14:ligatures w14:val="none"/>
              </w:rPr>
            </w:pPr>
            <w:r w:rsidRPr="00391018">
              <w:rPr>
                <w:rFonts w:ascii="Aptos" w:eastAsia="Times New Roman" w:hAnsi="Aptos" w:cs="Arial"/>
                <w:color w:val="FFFFFF"/>
                <w:kern w:val="0"/>
                <w:sz w:val="22"/>
                <w14:ligatures w14:val="none"/>
              </w:rPr>
              <w:t>Challenge Pool paid in Phase 2</w:t>
            </w:r>
          </w:p>
        </w:tc>
        <w:tc>
          <w:tcPr>
            <w:tcW w:w="1501" w:type="dxa"/>
            <w:tcBorders>
              <w:top w:val="single" w:sz="4" w:space="0" w:color="A6A6A6"/>
              <w:left w:val="nil"/>
              <w:bottom w:val="nil"/>
              <w:right w:val="single" w:sz="4" w:space="0" w:color="A6A6A6"/>
            </w:tcBorders>
            <w:shd w:val="clear" w:color="000000" w:fill="0063C6"/>
            <w:vAlign w:val="center"/>
            <w:hideMark/>
          </w:tcPr>
          <w:p w14:paraId="7210A53F" w14:textId="77777777" w:rsidR="00251F8D" w:rsidRPr="00391018" w:rsidRDefault="00251F8D">
            <w:pPr>
              <w:spacing w:after="0" w:line="240" w:lineRule="auto"/>
              <w:rPr>
                <w:rFonts w:ascii="Aptos" w:eastAsia="Times New Roman" w:hAnsi="Aptos" w:cs="Arial"/>
                <w:color w:val="FFFFFF"/>
                <w:kern w:val="0"/>
                <w:sz w:val="22"/>
                <w14:ligatures w14:val="none"/>
              </w:rPr>
            </w:pPr>
            <w:r w:rsidRPr="00391018">
              <w:rPr>
                <w:rFonts w:ascii="Aptos" w:eastAsia="Times New Roman" w:hAnsi="Aptos" w:cs="Arial"/>
                <w:color w:val="FFFFFF"/>
                <w:kern w:val="0"/>
                <w:sz w:val="22"/>
                <w14:ligatures w14:val="none"/>
              </w:rPr>
              <w:t xml:space="preserve">Earned in Phase 2 </w:t>
            </w:r>
            <w:r w:rsidRPr="00391018">
              <w:rPr>
                <w:rFonts w:ascii="Aptos" w:eastAsia="Times New Roman" w:hAnsi="Aptos" w:cs="Arial"/>
                <w:color w:val="FFFFFF"/>
                <w:kern w:val="0"/>
                <w:sz w:val="22"/>
                <w14:ligatures w14:val="none"/>
              </w:rPr>
              <w:br/>
              <w:t>(% of eligible bonus)</w:t>
            </w:r>
          </w:p>
        </w:tc>
        <w:tc>
          <w:tcPr>
            <w:tcW w:w="1620" w:type="dxa"/>
            <w:tcBorders>
              <w:top w:val="single" w:sz="4" w:space="0" w:color="A6A6A6"/>
              <w:left w:val="nil"/>
              <w:bottom w:val="nil"/>
              <w:right w:val="single" w:sz="4" w:space="0" w:color="A6A6A6"/>
            </w:tcBorders>
            <w:shd w:val="clear" w:color="000000" w:fill="00305E"/>
            <w:vAlign w:val="center"/>
            <w:hideMark/>
          </w:tcPr>
          <w:p w14:paraId="03A0494B" w14:textId="77777777" w:rsidR="00251F8D" w:rsidRPr="00391018" w:rsidRDefault="00251F8D">
            <w:pPr>
              <w:spacing w:after="0" w:line="240" w:lineRule="auto"/>
              <w:rPr>
                <w:rFonts w:ascii="Aptos" w:eastAsia="Times New Roman" w:hAnsi="Aptos" w:cs="Arial"/>
                <w:color w:val="FFFFFF"/>
                <w:kern w:val="0"/>
                <w:sz w:val="22"/>
                <w14:ligatures w14:val="none"/>
              </w:rPr>
            </w:pPr>
            <w:r w:rsidRPr="00391018">
              <w:rPr>
                <w:rFonts w:ascii="Aptos" w:eastAsia="Times New Roman" w:hAnsi="Aptos" w:cs="Arial"/>
                <w:color w:val="FFFFFF"/>
                <w:kern w:val="0"/>
                <w:sz w:val="22"/>
                <w14:ligatures w14:val="none"/>
              </w:rPr>
              <w:t>Total Quality Pool earned</w:t>
            </w:r>
          </w:p>
        </w:tc>
      </w:tr>
      <w:tr w:rsidR="00251F8D" w:rsidRPr="00391018" w14:paraId="0A4F74A4"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244AA220"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Advanced Health</w:t>
            </w:r>
          </w:p>
        </w:tc>
        <w:tc>
          <w:tcPr>
            <w:tcW w:w="1330" w:type="dxa"/>
            <w:tcBorders>
              <w:top w:val="single" w:sz="4" w:space="0" w:color="A6A6A6"/>
              <w:left w:val="nil"/>
              <w:bottom w:val="single" w:sz="4" w:space="0" w:color="A6A6A6"/>
              <w:right w:val="single" w:sz="4" w:space="0" w:color="A6A6A6"/>
            </w:tcBorders>
            <w:vAlign w:val="center"/>
            <w:hideMark/>
          </w:tcPr>
          <w:p w14:paraId="5E3A6AEF"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6</w:t>
            </w:r>
          </w:p>
        </w:tc>
        <w:tc>
          <w:tcPr>
            <w:tcW w:w="1448" w:type="dxa"/>
            <w:tcBorders>
              <w:top w:val="single" w:sz="4" w:space="0" w:color="A6A6A6"/>
              <w:left w:val="nil"/>
              <w:bottom w:val="single" w:sz="4" w:space="0" w:color="A6A6A6"/>
              <w:right w:val="single" w:sz="4" w:space="0" w:color="A6A6A6"/>
            </w:tcBorders>
            <w:vAlign w:val="center"/>
            <w:hideMark/>
          </w:tcPr>
          <w:p w14:paraId="02252D57"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60%</w:t>
            </w:r>
          </w:p>
        </w:tc>
        <w:tc>
          <w:tcPr>
            <w:tcW w:w="1517" w:type="dxa"/>
            <w:tcBorders>
              <w:top w:val="single" w:sz="4" w:space="0" w:color="A6A6A6"/>
              <w:left w:val="nil"/>
              <w:bottom w:val="single" w:sz="4" w:space="0" w:color="A6A6A6"/>
              <w:right w:val="single" w:sz="4" w:space="0" w:color="A6A6A6"/>
            </w:tcBorders>
            <w:vAlign w:val="center"/>
            <w:hideMark/>
          </w:tcPr>
          <w:p w14:paraId="67492643"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$3,194,716 </w:t>
            </w:r>
          </w:p>
        </w:tc>
        <w:tc>
          <w:tcPr>
            <w:tcW w:w="1330" w:type="dxa"/>
            <w:tcBorders>
              <w:top w:val="single" w:sz="4" w:space="0" w:color="A6A6A6"/>
              <w:left w:val="nil"/>
              <w:bottom w:val="single" w:sz="4" w:space="0" w:color="A6A6A6"/>
              <w:right w:val="single" w:sz="4" w:space="0" w:color="A6A6A6"/>
            </w:tcBorders>
            <w:vAlign w:val="center"/>
            <w:hideMark/>
          </w:tcPr>
          <w:p w14:paraId="7C4DD95E"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2</w:t>
            </w:r>
          </w:p>
        </w:tc>
        <w:tc>
          <w:tcPr>
            <w:tcW w:w="1400" w:type="dxa"/>
            <w:tcBorders>
              <w:top w:val="single" w:sz="4" w:space="0" w:color="A6A6A6"/>
              <w:left w:val="nil"/>
              <w:bottom w:val="single" w:sz="4" w:space="0" w:color="A6A6A6"/>
              <w:right w:val="single" w:sz="4" w:space="0" w:color="A6A6A6"/>
            </w:tcBorders>
            <w:vAlign w:val="center"/>
            <w:hideMark/>
          </w:tcPr>
          <w:p w14:paraId="5198D3BF"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$483,092</w:t>
            </w:r>
          </w:p>
        </w:tc>
        <w:tc>
          <w:tcPr>
            <w:tcW w:w="1501" w:type="dxa"/>
            <w:tcBorders>
              <w:top w:val="single" w:sz="4" w:space="0" w:color="A6A6A6"/>
              <w:left w:val="nil"/>
              <w:bottom w:val="single" w:sz="4" w:space="0" w:color="A6A6A6"/>
              <w:right w:val="single" w:sz="4" w:space="0" w:color="A6A6A6"/>
            </w:tcBorders>
            <w:vAlign w:val="center"/>
            <w:hideMark/>
          </w:tcPr>
          <w:p w14:paraId="6F00361A"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69%</w:t>
            </w:r>
          </w:p>
        </w:tc>
        <w:tc>
          <w:tcPr>
            <w:tcW w:w="1620" w:type="dxa"/>
            <w:tcBorders>
              <w:top w:val="single" w:sz="4" w:space="0" w:color="A6A6A6"/>
              <w:left w:val="nil"/>
              <w:bottom w:val="single" w:sz="4" w:space="0" w:color="A6A6A6"/>
              <w:right w:val="single" w:sz="4" w:space="0" w:color="A6A6A6"/>
            </w:tcBorders>
            <w:vAlign w:val="center"/>
            <w:hideMark/>
          </w:tcPr>
          <w:p w14:paraId="76287CFA"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$3,677,808 </w:t>
            </w:r>
          </w:p>
        </w:tc>
      </w:tr>
      <w:tr w:rsidR="00251F8D" w:rsidRPr="00391018" w14:paraId="5C026920"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253A67C2"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AllCare Health Plan</w:t>
            </w:r>
          </w:p>
        </w:tc>
        <w:tc>
          <w:tcPr>
            <w:tcW w:w="1330" w:type="dxa"/>
            <w:tcBorders>
              <w:top w:val="nil"/>
              <w:left w:val="nil"/>
              <w:bottom w:val="single" w:sz="4" w:space="0" w:color="A6A6A6"/>
              <w:right w:val="single" w:sz="4" w:space="0" w:color="A6A6A6"/>
            </w:tcBorders>
            <w:vAlign w:val="center"/>
            <w:hideMark/>
          </w:tcPr>
          <w:p w14:paraId="4CAB4F73"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7</w:t>
            </w:r>
          </w:p>
        </w:tc>
        <w:tc>
          <w:tcPr>
            <w:tcW w:w="1448" w:type="dxa"/>
            <w:tcBorders>
              <w:top w:val="nil"/>
              <w:left w:val="nil"/>
              <w:bottom w:val="single" w:sz="4" w:space="0" w:color="A6A6A6"/>
              <w:right w:val="single" w:sz="4" w:space="0" w:color="A6A6A6"/>
            </w:tcBorders>
            <w:vAlign w:val="center"/>
            <w:hideMark/>
          </w:tcPr>
          <w:p w14:paraId="6313BDAD"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70%</w:t>
            </w:r>
          </w:p>
        </w:tc>
        <w:tc>
          <w:tcPr>
            <w:tcW w:w="1517" w:type="dxa"/>
            <w:tcBorders>
              <w:top w:val="nil"/>
              <w:left w:val="nil"/>
              <w:bottom w:val="single" w:sz="4" w:space="0" w:color="A6A6A6"/>
              <w:right w:val="single" w:sz="4" w:space="0" w:color="A6A6A6"/>
            </w:tcBorders>
            <w:vAlign w:val="center"/>
            <w:hideMark/>
          </w:tcPr>
          <w:p w14:paraId="076079F5"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$7,713,189 </w:t>
            </w:r>
          </w:p>
        </w:tc>
        <w:tc>
          <w:tcPr>
            <w:tcW w:w="1330" w:type="dxa"/>
            <w:tcBorders>
              <w:top w:val="nil"/>
              <w:left w:val="nil"/>
              <w:bottom w:val="single" w:sz="4" w:space="0" w:color="A6A6A6"/>
              <w:right w:val="single" w:sz="4" w:space="0" w:color="A6A6A6"/>
            </w:tcBorders>
            <w:vAlign w:val="center"/>
            <w:hideMark/>
          </w:tcPr>
          <w:p w14:paraId="1B3352E5"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3</w:t>
            </w:r>
          </w:p>
        </w:tc>
        <w:tc>
          <w:tcPr>
            <w:tcW w:w="1400" w:type="dxa"/>
            <w:tcBorders>
              <w:top w:val="nil"/>
              <w:left w:val="nil"/>
              <w:bottom w:val="single" w:sz="4" w:space="0" w:color="A6A6A6"/>
              <w:right w:val="single" w:sz="4" w:space="0" w:color="A6A6A6"/>
            </w:tcBorders>
            <w:vAlign w:val="center"/>
            <w:hideMark/>
          </w:tcPr>
          <w:p w14:paraId="1AFFD916"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$2,100,574</w:t>
            </w:r>
          </w:p>
        </w:tc>
        <w:tc>
          <w:tcPr>
            <w:tcW w:w="1501" w:type="dxa"/>
            <w:tcBorders>
              <w:top w:val="nil"/>
              <w:left w:val="nil"/>
              <w:bottom w:val="single" w:sz="4" w:space="0" w:color="A6A6A6"/>
              <w:right w:val="single" w:sz="4" w:space="0" w:color="A6A6A6"/>
            </w:tcBorders>
            <w:vAlign w:val="center"/>
            <w:hideMark/>
          </w:tcPr>
          <w:p w14:paraId="6437D5D1"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89%</w:t>
            </w:r>
          </w:p>
        </w:tc>
        <w:tc>
          <w:tcPr>
            <w:tcW w:w="1620" w:type="dxa"/>
            <w:tcBorders>
              <w:top w:val="nil"/>
              <w:left w:val="nil"/>
              <w:bottom w:val="single" w:sz="4" w:space="0" w:color="A6A6A6"/>
              <w:right w:val="single" w:sz="4" w:space="0" w:color="A6A6A6"/>
            </w:tcBorders>
            <w:vAlign w:val="center"/>
            <w:hideMark/>
          </w:tcPr>
          <w:p w14:paraId="4D128EF0"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$9,813,762 </w:t>
            </w:r>
          </w:p>
        </w:tc>
      </w:tr>
      <w:tr w:rsidR="00251F8D" w:rsidRPr="00391018" w14:paraId="3CA6C8E3"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6387C598"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Cascade Health Alliance</w:t>
            </w:r>
          </w:p>
        </w:tc>
        <w:tc>
          <w:tcPr>
            <w:tcW w:w="1330" w:type="dxa"/>
            <w:tcBorders>
              <w:top w:val="nil"/>
              <w:left w:val="nil"/>
              <w:bottom w:val="single" w:sz="4" w:space="0" w:color="A6A6A6"/>
              <w:right w:val="single" w:sz="4" w:space="0" w:color="A6A6A6"/>
            </w:tcBorders>
            <w:vAlign w:val="center"/>
            <w:hideMark/>
          </w:tcPr>
          <w:p w14:paraId="6AB4314E"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11</w:t>
            </w:r>
          </w:p>
        </w:tc>
        <w:tc>
          <w:tcPr>
            <w:tcW w:w="1448" w:type="dxa"/>
            <w:tcBorders>
              <w:top w:val="nil"/>
              <w:left w:val="nil"/>
              <w:bottom w:val="single" w:sz="4" w:space="0" w:color="A6A6A6"/>
              <w:right w:val="single" w:sz="4" w:space="0" w:color="A6A6A6"/>
            </w:tcBorders>
            <w:vAlign w:val="center"/>
            <w:hideMark/>
          </w:tcPr>
          <w:p w14:paraId="1DD47C6B"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100%</w:t>
            </w:r>
          </w:p>
        </w:tc>
        <w:tc>
          <w:tcPr>
            <w:tcW w:w="1517" w:type="dxa"/>
            <w:tcBorders>
              <w:top w:val="nil"/>
              <w:left w:val="nil"/>
              <w:bottom w:val="single" w:sz="4" w:space="0" w:color="A6A6A6"/>
              <w:right w:val="single" w:sz="4" w:space="0" w:color="A6A6A6"/>
            </w:tcBorders>
            <w:vAlign w:val="center"/>
            <w:hideMark/>
          </w:tcPr>
          <w:p w14:paraId="7BB5CABE"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$4,668,854 </w:t>
            </w:r>
          </w:p>
        </w:tc>
        <w:tc>
          <w:tcPr>
            <w:tcW w:w="1330" w:type="dxa"/>
            <w:tcBorders>
              <w:top w:val="nil"/>
              <w:left w:val="nil"/>
              <w:bottom w:val="single" w:sz="4" w:space="0" w:color="A6A6A6"/>
              <w:right w:val="single" w:sz="4" w:space="0" w:color="A6A6A6"/>
            </w:tcBorders>
            <w:vAlign w:val="center"/>
            <w:hideMark/>
          </w:tcPr>
          <w:p w14:paraId="082FCBDF"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3</w:t>
            </w:r>
          </w:p>
        </w:tc>
        <w:tc>
          <w:tcPr>
            <w:tcW w:w="1400" w:type="dxa"/>
            <w:tcBorders>
              <w:top w:val="nil"/>
              <w:left w:val="nil"/>
              <w:bottom w:val="single" w:sz="4" w:space="0" w:color="A6A6A6"/>
              <w:right w:val="single" w:sz="4" w:space="0" w:color="A6A6A6"/>
            </w:tcBorders>
            <w:vAlign w:val="center"/>
            <w:hideMark/>
          </w:tcPr>
          <w:p w14:paraId="2CACCC68"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$879,580</w:t>
            </w:r>
          </w:p>
        </w:tc>
        <w:tc>
          <w:tcPr>
            <w:tcW w:w="1501" w:type="dxa"/>
            <w:tcBorders>
              <w:top w:val="nil"/>
              <w:left w:val="nil"/>
              <w:bottom w:val="single" w:sz="4" w:space="0" w:color="A6A6A6"/>
              <w:right w:val="single" w:sz="4" w:space="0" w:color="A6A6A6"/>
            </w:tcBorders>
            <w:vAlign w:val="center"/>
            <w:hideMark/>
          </w:tcPr>
          <w:p w14:paraId="7C2A7391"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119%</w:t>
            </w:r>
          </w:p>
        </w:tc>
        <w:tc>
          <w:tcPr>
            <w:tcW w:w="1620" w:type="dxa"/>
            <w:tcBorders>
              <w:top w:val="nil"/>
              <w:left w:val="nil"/>
              <w:bottom w:val="single" w:sz="4" w:space="0" w:color="A6A6A6"/>
              <w:right w:val="single" w:sz="4" w:space="0" w:color="A6A6A6"/>
            </w:tcBorders>
            <w:vAlign w:val="center"/>
            <w:hideMark/>
          </w:tcPr>
          <w:p w14:paraId="03A06DF4"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$5,548,434 </w:t>
            </w:r>
          </w:p>
        </w:tc>
      </w:tr>
      <w:tr w:rsidR="00251F8D" w:rsidRPr="00391018" w14:paraId="11DA73F7"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65757C7C"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Columbia Pacific</w:t>
            </w:r>
          </w:p>
        </w:tc>
        <w:tc>
          <w:tcPr>
            <w:tcW w:w="1330" w:type="dxa"/>
            <w:tcBorders>
              <w:top w:val="nil"/>
              <w:left w:val="nil"/>
              <w:bottom w:val="single" w:sz="4" w:space="0" w:color="A6A6A6"/>
              <w:right w:val="single" w:sz="4" w:space="0" w:color="A6A6A6"/>
            </w:tcBorders>
            <w:vAlign w:val="center"/>
            <w:hideMark/>
          </w:tcPr>
          <w:p w14:paraId="6735A0F3"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6</w:t>
            </w:r>
          </w:p>
        </w:tc>
        <w:tc>
          <w:tcPr>
            <w:tcW w:w="1448" w:type="dxa"/>
            <w:tcBorders>
              <w:top w:val="nil"/>
              <w:left w:val="nil"/>
              <w:bottom w:val="single" w:sz="4" w:space="0" w:color="A6A6A6"/>
              <w:right w:val="single" w:sz="4" w:space="0" w:color="A6A6A6"/>
            </w:tcBorders>
            <w:vAlign w:val="center"/>
            <w:hideMark/>
          </w:tcPr>
          <w:p w14:paraId="0F6C6671"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60%</w:t>
            </w:r>
          </w:p>
        </w:tc>
        <w:tc>
          <w:tcPr>
            <w:tcW w:w="1517" w:type="dxa"/>
            <w:tcBorders>
              <w:top w:val="nil"/>
              <w:left w:val="nil"/>
              <w:bottom w:val="single" w:sz="4" w:space="0" w:color="A6A6A6"/>
              <w:right w:val="single" w:sz="4" w:space="0" w:color="A6A6A6"/>
            </w:tcBorders>
            <w:vAlign w:val="center"/>
            <w:hideMark/>
          </w:tcPr>
          <w:p w14:paraId="4CA2C090"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$4,624,340 </w:t>
            </w:r>
          </w:p>
        </w:tc>
        <w:tc>
          <w:tcPr>
            <w:tcW w:w="1330" w:type="dxa"/>
            <w:tcBorders>
              <w:top w:val="nil"/>
              <w:left w:val="nil"/>
              <w:bottom w:val="single" w:sz="4" w:space="0" w:color="A6A6A6"/>
              <w:right w:val="single" w:sz="4" w:space="0" w:color="A6A6A6"/>
            </w:tcBorders>
            <w:vAlign w:val="center"/>
            <w:hideMark/>
          </w:tcPr>
          <w:p w14:paraId="1AC2210B"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2</w:t>
            </w:r>
          </w:p>
        </w:tc>
        <w:tc>
          <w:tcPr>
            <w:tcW w:w="1400" w:type="dxa"/>
            <w:tcBorders>
              <w:top w:val="nil"/>
              <w:left w:val="nil"/>
              <w:bottom w:val="single" w:sz="4" w:space="0" w:color="A6A6A6"/>
              <w:right w:val="single" w:sz="4" w:space="0" w:color="A6A6A6"/>
            </w:tcBorders>
            <w:vAlign w:val="center"/>
            <w:hideMark/>
          </w:tcPr>
          <w:p w14:paraId="247A5679"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$697,878</w:t>
            </w:r>
          </w:p>
        </w:tc>
        <w:tc>
          <w:tcPr>
            <w:tcW w:w="1501" w:type="dxa"/>
            <w:tcBorders>
              <w:top w:val="nil"/>
              <w:left w:val="nil"/>
              <w:bottom w:val="single" w:sz="4" w:space="0" w:color="A6A6A6"/>
              <w:right w:val="single" w:sz="4" w:space="0" w:color="A6A6A6"/>
            </w:tcBorders>
            <w:vAlign w:val="center"/>
            <w:hideMark/>
          </w:tcPr>
          <w:p w14:paraId="045431A2"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69%</w:t>
            </w:r>
          </w:p>
        </w:tc>
        <w:tc>
          <w:tcPr>
            <w:tcW w:w="1620" w:type="dxa"/>
            <w:tcBorders>
              <w:top w:val="nil"/>
              <w:left w:val="nil"/>
              <w:bottom w:val="single" w:sz="4" w:space="0" w:color="A6A6A6"/>
              <w:right w:val="single" w:sz="4" w:space="0" w:color="A6A6A6"/>
            </w:tcBorders>
            <w:vAlign w:val="center"/>
            <w:hideMark/>
          </w:tcPr>
          <w:p w14:paraId="2D00C6E1"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$5,322,218 </w:t>
            </w:r>
          </w:p>
        </w:tc>
      </w:tr>
      <w:tr w:rsidR="00251F8D" w:rsidRPr="00391018" w14:paraId="58DCCC87"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049F967D"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Eastern Oregon</w:t>
            </w:r>
          </w:p>
        </w:tc>
        <w:tc>
          <w:tcPr>
            <w:tcW w:w="1330" w:type="dxa"/>
            <w:tcBorders>
              <w:top w:val="nil"/>
              <w:left w:val="nil"/>
              <w:bottom w:val="single" w:sz="4" w:space="0" w:color="A6A6A6"/>
              <w:right w:val="single" w:sz="4" w:space="0" w:color="A6A6A6"/>
            </w:tcBorders>
            <w:vAlign w:val="center"/>
            <w:hideMark/>
          </w:tcPr>
          <w:p w14:paraId="795CDF05"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8</w:t>
            </w:r>
          </w:p>
        </w:tc>
        <w:tc>
          <w:tcPr>
            <w:tcW w:w="1448" w:type="dxa"/>
            <w:tcBorders>
              <w:top w:val="nil"/>
              <w:left w:val="nil"/>
              <w:bottom w:val="single" w:sz="4" w:space="0" w:color="A6A6A6"/>
              <w:right w:val="single" w:sz="4" w:space="0" w:color="A6A6A6"/>
            </w:tcBorders>
            <w:vAlign w:val="center"/>
            <w:hideMark/>
          </w:tcPr>
          <w:p w14:paraId="7AE4CA0F"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80%</w:t>
            </w:r>
          </w:p>
        </w:tc>
        <w:tc>
          <w:tcPr>
            <w:tcW w:w="1517" w:type="dxa"/>
            <w:tcBorders>
              <w:top w:val="nil"/>
              <w:left w:val="nil"/>
              <w:bottom w:val="single" w:sz="4" w:space="0" w:color="A6A6A6"/>
              <w:right w:val="single" w:sz="4" w:space="0" w:color="A6A6A6"/>
            </w:tcBorders>
            <w:vAlign w:val="center"/>
            <w:hideMark/>
          </w:tcPr>
          <w:p w14:paraId="36289C68"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$11,690,879 </w:t>
            </w:r>
          </w:p>
        </w:tc>
        <w:tc>
          <w:tcPr>
            <w:tcW w:w="1330" w:type="dxa"/>
            <w:tcBorders>
              <w:top w:val="nil"/>
              <w:left w:val="nil"/>
              <w:bottom w:val="single" w:sz="4" w:space="0" w:color="A6A6A6"/>
              <w:right w:val="single" w:sz="4" w:space="0" w:color="A6A6A6"/>
            </w:tcBorders>
            <w:vAlign w:val="center"/>
            <w:hideMark/>
          </w:tcPr>
          <w:p w14:paraId="4F051E78"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4</w:t>
            </w:r>
          </w:p>
        </w:tc>
        <w:tc>
          <w:tcPr>
            <w:tcW w:w="1400" w:type="dxa"/>
            <w:tcBorders>
              <w:top w:val="nil"/>
              <w:left w:val="nil"/>
              <w:bottom w:val="single" w:sz="4" w:space="0" w:color="A6A6A6"/>
              <w:right w:val="single" w:sz="4" w:space="0" w:color="A6A6A6"/>
            </w:tcBorders>
            <w:vAlign w:val="center"/>
            <w:hideMark/>
          </w:tcPr>
          <w:p w14:paraId="126EAF86"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$2,964,934</w:t>
            </w:r>
          </w:p>
        </w:tc>
        <w:tc>
          <w:tcPr>
            <w:tcW w:w="1501" w:type="dxa"/>
            <w:tcBorders>
              <w:top w:val="nil"/>
              <w:left w:val="nil"/>
              <w:bottom w:val="single" w:sz="4" w:space="0" w:color="A6A6A6"/>
              <w:right w:val="single" w:sz="4" w:space="0" w:color="A6A6A6"/>
            </w:tcBorders>
            <w:vAlign w:val="center"/>
            <w:hideMark/>
          </w:tcPr>
          <w:p w14:paraId="3B50578F"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100%</w:t>
            </w:r>
          </w:p>
        </w:tc>
        <w:tc>
          <w:tcPr>
            <w:tcW w:w="1620" w:type="dxa"/>
            <w:tcBorders>
              <w:top w:val="nil"/>
              <w:left w:val="nil"/>
              <w:bottom w:val="single" w:sz="4" w:space="0" w:color="A6A6A6"/>
              <w:right w:val="single" w:sz="4" w:space="0" w:color="A6A6A6"/>
            </w:tcBorders>
            <w:vAlign w:val="center"/>
            <w:hideMark/>
          </w:tcPr>
          <w:p w14:paraId="143BE56A"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$14,655,813 </w:t>
            </w:r>
          </w:p>
        </w:tc>
      </w:tr>
      <w:tr w:rsidR="00251F8D" w:rsidRPr="00391018" w14:paraId="59B782AA"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299F39A6"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Health Share of Oregon</w:t>
            </w:r>
          </w:p>
        </w:tc>
        <w:tc>
          <w:tcPr>
            <w:tcW w:w="1330" w:type="dxa"/>
            <w:tcBorders>
              <w:top w:val="nil"/>
              <w:left w:val="nil"/>
              <w:bottom w:val="single" w:sz="4" w:space="0" w:color="A6A6A6"/>
              <w:right w:val="single" w:sz="4" w:space="0" w:color="A6A6A6"/>
            </w:tcBorders>
            <w:vAlign w:val="center"/>
            <w:hideMark/>
          </w:tcPr>
          <w:p w14:paraId="5C7370A4"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9</w:t>
            </w:r>
          </w:p>
        </w:tc>
        <w:tc>
          <w:tcPr>
            <w:tcW w:w="1448" w:type="dxa"/>
            <w:tcBorders>
              <w:top w:val="nil"/>
              <w:left w:val="nil"/>
              <w:bottom w:val="single" w:sz="4" w:space="0" w:color="A6A6A6"/>
              <w:right w:val="single" w:sz="4" w:space="0" w:color="A6A6A6"/>
            </w:tcBorders>
            <w:vAlign w:val="center"/>
            <w:hideMark/>
          </w:tcPr>
          <w:p w14:paraId="53B52D87"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90%</w:t>
            </w:r>
          </w:p>
        </w:tc>
        <w:tc>
          <w:tcPr>
            <w:tcW w:w="1517" w:type="dxa"/>
            <w:tcBorders>
              <w:top w:val="nil"/>
              <w:left w:val="nil"/>
              <w:bottom w:val="single" w:sz="4" w:space="0" w:color="A6A6A6"/>
              <w:right w:val="single" w:sz="4" w:space="0" w:color="A6A6A6"/>
            </w:tcBorders>
            <w:vAlign w:val="center"/>
            <w:hideMark/>
          </w:tcPr>
          <w:p w14:paraId="68A067BC"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$67,371,800 </w:t>
            </w:r>
          </w:p>
        </w:tc>
        <w:tc>
          <w:tcPr>
            <w:tcW w:w="1330" w:type="dxa"/>
            <w:tcBorders>
              <w:top w:val="nil"/>
              <w:left w:val="nil"/>
              <w:bottom w:val="single" w:sz="4" w:space="0" w:color="A6A6A6"/>
              <w:right w:val="single" w:sz="4" w:space="0" w:color="A6A6A6"/>
            </w:tcBorders>
            <w:vAlign w:val="center"/>
            <w:hideMark/>
          </w:tcPr>
          <w:p w14:paraId="6CB89360"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3</w:t>
            </w:r>
          </w:p>
        </w:tc>
        <w:tc>
          <w:tcPr>
            <w:tcW w:w="1400" w:type="dxa"/>
            <w:tcBorders>
              <w:top w:val="nil"/>
              <w:left w:val="nil"/>
              <w:bottom w:val="single" w:sz="4" w:space="0" w:color="A6A6A6"/>
              <w:right w:val="single" w:sz="4" w:space="0" w:color="A6A6A6"/>
            </w:tcBorders>
            <w:vAlign w:val="center"/>
            <w:hideMark/>
          </w:tcPr>
          <w:p w14:paraId="7FFAC248"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$11,344,438</w:t>
            </w:r>
          </w:p>
        </w:tc>
        <w:tc>
          <w:tcPr>
            <w:tcW w:w="1501" w:type="dxa"/>
            <w:tcBorders>
              <w:top w:val="nil"/>
              <w:left w:val="nil"/>
              <w:bottom w:val="single" w:sz="4" w:space="0" w:color="A6A6A6"/>
              <w:right w:val="single" w:sz="4" w:space="0" w:color="A6A6A6"/>
            </w:tcBorders>
            <w:vAlign w:val="center"/>
            <w:hideMark/>
          </w:tcPr>
          <w:p w14:paraId="51FC4076"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105%</w:t>
            </w:r>
          </w:p>
        </w:tc>
        <w:tc>
          <w:tcPr>
            <w:tcW w:w="1620" w:type="dxa"/>
            <w:tcBorders>
              <w:top w:val="nil"/>
              <w:left w:val="nil"/>
              <w:bottom w:val="single" w:sz="4" w:space="0" w:color="A6A6A6"/>
              <w:right w:val="single" w:sz="4" w:space="0" w:color="A6A6A6"/>
            </w:tcBorders>
            <w:vAlign w:val="center"/>
            <w:hideMark/>
          </w:tcPr>
          <w:p w14:paraId="5541D5E5"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$78,716,238 </w:t>
            </w:r>
          </w:p>
        </w:tc>
      </w:tr>
      <w:tr w:rsidR="00251F8D" w:rsidRPr="00391018" w14:paraId="47E79D4E"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701C90BE"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InterCommunity Health Network</w:t>
            </w:r>
          </w:p>
        </w:tc>
        <w:tc>
          <w:tcPr>
            <w:tcW w:w="1330" w:type="dxa"/>
            <w:tcBorders>
              <w:top w:val="nil"/>
              <w:left w:val="nil"/>
              <w:bottom w:val="single" w:sz="4" w:space="0" w:color="A6A6A6"/>
              <w:right w:val="single" w:sz="4" w:space="0" w:color="A6A6A6"/>
            </w:tcBorders>
            <w:vAlign w:val="center"/>
            <w:hideMark/>
          </w:tcPr>
          <w:p w14:paraId="12E9B2D3"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9</w:t>
            </w:r>
          </w:p>
        </w:tc>
        <w:tc>
          <w:tcPr>
            <w:tcW w:w="1448" w:type="dxa"/>
            <w:tcBorders>
              <w:top w:val="nil"/>
              <w:left w:val="nil"/>
              <w:bottom w:val="single" w:sz="4" w:space="0" w:color="A6A6A6"/>
              <w:right w:val="single" w:sz="4" w:space="0" w:color="A6A6A6"/>
            </w:tcBorders>
            <w:vAlign w:val="center"/>
            <w:hideMark/>
          </w:tcPr>
          <w:p w14:paraId="2A7E0E6A"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90%</w:t>
            </w:r>
          </w:p>
        </w:tc>
        <w:tc>
          <w:tcPr>
            <w:tcW w:w="1517" w:type="dxa"/>
            <w:tcBorders>
              <w:top w:val="nil"/>
              <w:left w:val="nil"/>
              <w:bottom w:val="single" w:sz="4" w:space="0" w:color="A6A6A6"/>
              <w:right w:val="single" w:sz="4" w:space="0" w:color="A6A6A6"/>
            </w:tcBorders>
            <w:vAlign w:val="center"/>
            <w:hideMark/>
          </w:tcPr>
          <w:p w14:paraId="40FBB01B"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$14,277,018 </w:t>
            </w:r>
          </w:p>
        </w:tc>
        <w:tc>
          <w:tcPr>
            <w:tcW w:w="1330" w:type="dxa"/>
            <w:tcBorders>
              <w:top w:val="nil"/>
              <w:left w:val="nil"/>
              <w:bottom w:val="single" w:sz="4" w:space="0" w:color="A6A6A6"/>
              <w:right w:val="single" w:sz="4" w:space="0" w:color="A6A6A6"/>
            </w:tcBorders>
            <w:vAlign w:val="center"/>
            <w:hideMark/>
          </w:tcPr>
          <w:p w14:paraId="129FCD1C"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4</w:t>
            </w:r>
          </w:p>
        </w:tc>
        <w:tc>
          <w:tcPr>
            <w:tcW w:w="1400" w:type="dxa"/>
            <w:tcBorders>
              <w:top w:val="nil"/>
              <w:left w:val="nil"/>
              <w:bottom w:val="single" w:sz="4" w:space="0" w:color="A6A6A6"/>
              <w:right w:val="single" w:sz="4" w:space="0" w:color="A6A6A6"/>
            </w:tcBorders>
            <w:vAlign w:val="center"/>
            <w:hideMark/>
          </w:tcPr>
          <w:p w14:paraId="178C61B9"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$3,319,185</w:t>
            </w:r>
          </w:p>
        </w:tc>
        <w:tc>
          <w:tcPr>
            <w:tcW w:w="1501" w:type="dxa"/>
            <w:tcBorders>
              <w:top w:val="nil"/>
              <w:left w:val="nil"/>
              <w:bottom w:val="single" w:sz="4" w:space="0" w:color="A6A6A6"/>
              <w:right w:val="single" w:sz="4" w:space="0" w:color="A6A6A6"/>
            </w:tcBorders>
            <w:vAlign w:val="center"/>
            <w:hideMark/>
          </w:tcPr>
          <w:p w14:paraId="7F8DB2AC"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111%</w:t>
            </w:r>
          </w:p>
        </w:tc>
        <w:tc>
          <w:tcPr>
            <w:tcW w:w="1620" w:type="dxa"/>
            <w:tcBorders>
              <w:top w:val="nil"/>
              <w:left w:val="nil"/>
              <w:bottom w:val="single" w:sz="4" w:space="0" w:color="A6A6A6"/>
              <w:right w:val="single" w:sz="4" w:space="0" w:color="A6A6A6"/>
            </w:tcBorders>
            <w:vAlign w:val="center"/>
            <w:hideMark/>
          </w:tcPr>
          <w:p w14:paraId="7A0C60B9"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$17,596,203 </w:t>
            </w:r>
          </w:p>
        </w:tc>
      </w:tr>
      <w:tr w:rsidR="00251F8D" w:rsidRPr="00391018" w14:paraId="35900377"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1B8A9C2B"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Jackson Care Connect</w:t>
            </w:r>
          </w:p>
        </w:tc>
        <w:tc>
          <w:tcPr>
            <w:tcW w:w="1330" w:type="dxa"/>
            <w:tcBorders>
              <w:top w:val="nil"/>
              <w:left w:val="nil"/>
              <w:bottom w:val="single" w:sz="4" w:space="0" w:color="A6A6A6"/>
              <w:right w:val="single" w:sz="4" w:space="0" w:color="A6A6A6"/>
            </w:tcBorders>
            <w:vAlign w:val="center"/>
            <w:hideMark/>
          </w:tcPr>
          <w:p w14:paraId="2F95E780"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7</w:t>
            </w:r>
          </w:p>
        </w:tc>
        <w:tc>
          <w:tcPr>
            <w:tcW w:w="1448" w:type="dxa"/>
            <w:tcBorders>
              <w:top w:val="nil"/>
              <w:left w:val="nil"/>
              <w:bottom w:val="single" w:sz="4" w:space="0" w:color="A6A6A6"/>
              <w:right w:val="single" w:sz="4" w:space="0" w:color="A6A6A6"/>
            </w:tcBorders>
            <w:vAlign w:val="center"/>
            <w:hideMark/>
          </w:tcPr>
          <w:p w14:paraId="24DEF716"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70%</w:t>
            </w:r>
          </w:p>
        </w:tc>
        <w:tc>
          <w:tcPr>
            <w:tcW w:w="1517" w:type="dxa"/>
            <w:tcBorders>
              <w:top w:val="nil"/>
              <w:left w:val="nil"/>
              <w:bottom w:val="single" w:sz="4" w:space="0" w:color="A6A6A6"/>
              <w:right w:val="single" w:sz="4" w:space="0" w:color="A6A6A6"/>
            </w:tcBorders>
            <w:vAlign w:val="center"/>
            <w:hideMark/>
          </w:tcPr>
          <w:p w14:paraId="18B9DBD0"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$7,786,797 </w:t>
            </w:r>
          </w:p>
        </w:tc>
        <w:tc>
          <w:tcPr>
            <w:tcW w:w="1330" w:type="dxa"/>
            <w:tcBorders>
              <w:top w:val="nil"/>
              <w:left w:val="nil"/>
              <w:bottom w:val="single" w:sz="4" w:space="0" w:color="A6A6A6"/>
              <w:right w:val="single" w:sz="4" w:space="0" w:color="A6A6A6"/>
            </w:tcBorders>
            <w:vAlign w:val="center"/>
            <w:hideMark/>
          </w:tcPr>
          <w:p w14:paraId="2D3285B8"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2</w:t>
            </w:r>
          </w:p>
        </w:tc>
        <w:tc>
          <w:tcPr>
            <w:tcW w:w="1400" w:type="dxa"/>
            <w:tcBorders>
              <w:top w:val="nil"/>
              <w:left w:val="nil"/>
              <w:bottom w:val="single" w:sz="4" w:space="0" w:color="A6A6A6"/>
              <w:right w:val="single" w:sz="4" w:space="0" w:color="A6A6A6"/>
            </w:tcBorders>
            <w:vAlign w:val="center"/>
            <w:hideMark/>
          </w:tcPr>
          <w:p w14:paraId="06409E71"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$1,220,977</w:t>
            </w:r>
          </w:p>
        </w:tc>
        <w:tc>
          <w:tcPr>
            <w:tcW w:w="1501" w:type="dxa"/>
            <w:tcBorders>
              <w:top w:val="nil"/>
              <w:left w:val="nil"/>
              <w:bottom w:val="single" w:sz="4" w:space="0" w:color="A6A6A6"/>
              <w:right w:val="single" w:sz="4" w:space="0" w:color="A6A6A6"/>
            </w:tcBorders>
            <w:vAlign w:val="center"/>
            <w:hideMark/>
          </w:tcPr>
          <w:p w14:paraId="780B0A2C"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81%</w:t>
            </w:r>
          </w:p>
        </w:tc>
        <w:tc>
          <w:tcPr>
            <w:tcW w:w="1620" w:type="dxa"/>
            <w:tcBorders>
              <w:top w:val="nil"/>
              <w:left w:val="nil"/>
              <w:bottom w:val="single" w:sz="4" w:space="0" w:color="A6A6A6"/>
              <w:right w:val="single" w:sz="4" w:space="0" w:color="A6A6A6"/>
            </w:tcBorders>
            <w:vAlign w:val="center"/>
            <w:hideMark/>
          </w:tcPr>
          <w:p w14:paraId="5A9231DE"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$9,007,774 </w:t>
            </w:r>
          </w:p>
        </w:tc>
      </w:tr>
      <w:tr w:rsidR="00251F8D" w:rsidRPr="00391018" w14:paraId="2B763133"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70E1C2B2"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PacificSource Central </w:t>
            </w:r>
          </w:p>
        </w:tc>
        <w:tc>
          <w:tcPr>
            <w:tcW w:w="1330" w:type="dxa"/>
            <w:tcBorders>
              <w:top w:val="nil"/>
              <w:left w:val="nil"/>
              <w:bottom w:val="single" w:sz="4" w:space="0" w:color="A6A6A6"/>
              <w:right w:val="single" w:sz="4" w:space="0" w:color="A6A6A6"/>
            </w:tcBorders>
            <w:vAlign w:val="center"/>
            <w:hideMark/>
          </w:tcPr>
          <w:p w14:paraId="1FF71808"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7</w:t>
            </w:r>
          </w:p>
        </w:tc>
        <w:tc>
          <w:tcPr>
            <w:tcW w:w="1448" w:type="dxa"/>
            <w:tcBorders>
              <w:top w:val="nil"/>
              <w:left w:val="nil"/>
              <w:bottom w:val="single" w:sz="4" w:space="0" w:color="A6A6A6"/>
              <w:right w:val="single" w:sz="4" w:space="0" w:color="A6A6A6"/>
            </w:tcBorders>
            <w:vAlign w:val="center"/>
            <w:hideMark/>
          </w:tcPr>
          <w:p w14:paraId="6561BE00"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70%</w:t>
            </w:r>
          </w:p>
        </w:tc>
        <w:tc>
          <w:tcPr>
            <w:tcW w:w="1517" w:type="dxa"/>
            <w:tcBorders>
              <w:top w:val="nil"/>
              <w:left w:val="nil"/>
              <w:bottom w:val="single" w:sz="4" w:space="0" w:color="A6A6A6"/>
              <w:right w:val="single" w:sz="4" w:space="0" w:color="A6A6A6"/>
            </w:tcBorders>
            <w:vAlign w:val="center"/>
            <w:hideMark/>
          </w:tcPr>
          <w:p w14:paraId="71C2F0B2"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$11,038,910 </w:t>
            </w:r>
          </w:p>
        </w:tc>
        <w:tc>
          <w:tcPr>
            <w:tcW w:w="1330" w:type="dxa"/>
            <w:tcBorders>
              <w:top w:val="nil"/>
              <w:left w:val="nil"/>
              <w:bottom w:val="single" w:sz="4" w:space="0" w:color="A6A6A6"/>
              <w:right w:val="single" w:sz="4" w:space="0" w:color="A6A6A6"/>
            </w:tcBorders>
            <w:vAlign w:val="center"/>
            <w:hideMark/>
          </w:tcPr>
          <w:p w14:paraId="5E98CFAD"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3</w:t>
            </w:r>
          </w:p>
        </w:tc>
        <w:tc>
          <w:tcPr>
            <w:tcW w:w="1400" w:type="dxa"/>
            <w:tcBorders>
              <w:top w:val="nil"/>
              <w:left w:val="nil"/>
              <w:bottom w:val="single" w:sz="4" w:space="0" w:color="A6A6A6"/>
              <w:right w:val="single" w:sz="4" w:space="0" w:color="A6A6A6"/>
            </w:tcBorders>
            <w:vAlign w:val="center"/>
            <w:hideMark/>
          </w:tcPr>
          <w:p w14:paraId="27641929"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$2,453,799</w:t>
            </w:r>
          </w:p>
        </w:tc>
        <w:tc>
          <w:tcPr>
            <w:tcW w:w="1501" w:type="dxa"/>
            <w:tcBorders>
              <w:top w:val="nil"/>
              <w:left w:val="nil"/>
              <w:bottom w:val="single" w:sz="4" w:space="0" w:color="A6A6A6"/>
              <w:right w:val="single" w:sz="4" w:space="0" w:color="A6A6A6"/>
            </w:tcBorders>
            <w:vAlign w:val="center"/>
            <w:hideMark/>
          </w:tcPr>
          <w:p w14:paraId="4625F04B"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86%</w:t>
            </w:r>
          </w:p>
        </w:tc>
        <w:tc>
          <w:tcPr>
            <w:tcW w:w="1620" w:type="dxa"/>
            <w:tcBorders>
              <w:top w:val="nil"/>
              <w:left w:val="nil"/>
              <w:bottom w:val="single" w:sz="4" w:space="0" w:color="A6A6A6"/>
              <w:right w:val="single" w:sz="4" w:space="0" w:color="A6A6A6"/>
            </w:tcBorders>
            <w:vAlign w:val="center"/>
            <w:hideMark/>
          </w:tcPr>
          <w:p w14:paraId="38804224"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$13,492,710 </w:t>
            </w:r>
          </w:p>
        </w:tc>
      </w:tr>
      <w:tr w:rsidR="00251F8D" w:rsidRPr="00391018" w14:paraId="628F9DF7"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704A4E5C"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PacificSource Gorge</w:t>
            </w:r>
          </w:p>
        </w:tc>
        <w:tc>
          <w:tcPr>
            <w:tcW w:w="1330" w:type="dxa"/>
            <w:tcBorders>
              <w:top w:val="nil"/>
              <w:left w:val="nil"/>
              <w:bottom w:val="single" w:sz="4" w:space="0" w:color="A6A6A6"/>
              <w:right w:val="single" w:sz="4" w:space="0" w:color="A6A6A6"/>
            </w:tcBorders>
            <w:vAlign w:val="center"/>
            <w:hideMark/>
          </w:tcPr>
          <w:p w14:paraId="6DAD21A5"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12</w:t>
            </w:r>
          </w:p>
        </w:tc>
        <w:tc>
          <w:tcPr>
            <w:tcW w:w="1448" w:type="dxa"/>
            <w:tcBorders>
              <w:top w:val="nil"/>
              <w:left w:val="nil"/>
              <w:bottom w:val="single" w:sz="4" w:space="0" w:color="A6A6A6"/>
              <w:right w:val="single" w:sz="4" w:space="0" w:color="A6A6A6"/>
            </w:tcBorders>
            <w:vAlign w:val="center"/>
            <w:hideMark/>
          </w:tcPr>
          <w:p w14:paraId="25F0AB75"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100%</w:t>
            </w:r>
          </w:p>
        </w:tc>
        <w:tc>
          <w:tcPr>
            <w:tcW w:w="1517" w:type="dxa"/>
            <w:tcBorders>
              <w:top w:val="nil"/>
              <w:left w:val="nil"/>
              <w:bottom w:val="single" w:sz="4" w:space="0" w:color="A6A6A6"/>
              <w:right w:val="single" w:sz="4" w:space="0" w:color="A6A6A6"/>
            </w:tcBorders>
            <w:vAlign w:val="center"/>
            <w:hideMark/>
          </w:tcPr>
          <w:p w14:paraId="1CEE6C5E"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$3,183,913 </w:t>
            </w:r>
          </w:p>
        </w:tc>
        <w:tc>
          <w:tcPr>
            <w:tcW w:w="1330" w:type="dxa"/>
            <w:tcBorders>
              <w:top w:val="nil"/>
              <w:left w:val="nil"/>
              <w:bottom w:val="single" w:sz="4" w:space="0" w:color="A6A6A6"/>
              <w:right w:val="single" w:sz="4" w:space="0" w:color="A6A6A6"/>
            </w:tcBorders>
            <w:vAlign w:val="center"/>
            <w:hideMark/>
          </w:tcPr>
          <w:p w14:paraId="01C002DB"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4</w:t>
            </w:r>
          </w:p>
        </w:tc>
        <w:tc>
          <w:tcPr>
            <w:tcW w:w="1400" w:type="dxa"/>
            <w:tcBorders>
              <w:top w:val="nil"/>
              <w:left w:val="nil"/>
              <w:bottom w:val="single" w:sz="4" w:space="0" w:color="A6A6A6"/>
              <w:right w:val="single" w:sz="4" w:space="0" w:color="A6A6A6"/>
            </w:tcBorders>
            <w:vAlign w:val="center"/>
            <w:hideMark/>
          </w:tcPr>
          <w:p w14:paraId="3E3A4195"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$680,519</w:t>
            </w:r>
          </w:p>
        </w:tc>
        <w:tc>
          <w:tcPr>
            <w:tcW w:w="1501" w:type="dxa"/>
            <w:tcBorders>
              <w:top w:val="nil"/>
              <w:left w:val="nil"/>
              <w:bottom w:val="single" w:sz="4" w:space="0" w:color="A6A6A6"/>
              <w:right w:val="single" w:sz="4" w:space="0" w:color="A6A6A6"/>
            </w:tcBorders>
            <w:vAlign w:val="center"/>
            <w:hideMark/>
          </w:tcPr>
          <w:p w14:paraId="5BF2C98C"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121%</w:t>
            </w:r>
          </w:p>
        </w:tc>
        <w:tc>
          <w:tcPr>
            <w:tcW w:w="1620" w:type="dxa"/>
            <w:tcBorders>
              <w:top w:val="nil"/>
              <w:left w:val="nil"/>
              <w:bottom w:val="single" w:sz="4" w:space="0" w:color="A6A6A6"/>
              <w:right w:val="single" w:sz="4" w:space="0" w:color="A6A6A6"/>
            </w:tcBorders>
            <w:vAlign w:val="center"/>
            <w:hideMark/>
          </w:tcPr>
          <w:p w14:paraId="0C2AD73B"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$3,864,432 </w:t>
            </w:r>
          </w:p>
        </w:tc>
      </w:tr>
      <w:tr w:rsidR="00251F8D" w:rsidRPr="00391018" w14:paraId="41518AF1"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3AABFB07"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PacificSource Lane </w:t>
            </w:r>
          </w:p>
        </w:tc>
        <w:tc>
          <w:tcPr>
            <w:tcW w:w="1330" w:type="dxa"/>
            <w:tcBorders>
              <w:top w:val="nil"/>
              <w:left w:val="nil"/>
              <w:bottom w:val="single" w:sz="4" w:space="0" w:color="A6A6A6"/>
              <w:right w:val="single" w:sz="4" w:space="0" w:color="A6A6A6"/>
            </w:tcBorders>
            <w:vAlign w:val="center"/>
            <w:hideMark/>
          </w:tcPr>
          <w:p w14:paraId="72C9FD67"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10</w:t>
            </w:r>
          </w:p>
        </w:tc>
        <w:tc>
          <w:tcPr>
            <w:tcW w:w="1448" w:type="dxa"/>
            <w:tcBorders>
              <w:top w:val="nil"/>
              <w:left w:val="nil"/>
              <w:bottom w:val="single" w:sz="4" w:space="0" w:color="A6A6A6"/>
              <w:right w:val="single" w:sz="4" w:space="0" w:color="A6A6A6"/>
            </w:tcBorders>
            <w:vAlign w:val="center"/>
            <w:hideMark/>
          </w:tcPr>
          <w:p w14:paraId="4A0B4BA8"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100%</w:t>
            </w:r>
          </w:p>
        </w:tc>
        <w:tc>
          <w:tcPr>
            <w:tcW w:w="1517" w:type="dxa"/>
            <w:tcBorders>
              <w:top w:val="nil"/>
              <w:left w:val="nil"/>
              <w:bottom w:val="single" w:sz="4" w:space="0" w:color="A6A6A6"/>
              <w:right w:val="single" w:sz="4" w:space="0" w:color="A6A6A6"/>
            </w:tcBorders>
            <w:vAlign w:val="center"/>
            <w:hideMark/>
          </w:tcPr>
          <w:p w14:paraId="2E6253F5"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$15,931,566 </w:t>
            </w:r>
          </w:p>
        </w:tc>
        <w:tc>
          <w:tcPr>
            <w:tcW w:w="1330" w:type="dxa"/>
            <w:tcBorders>
              <w:top w:val="nil"/>
              <w:left w:val="nil"/>
              <w:bottom w:val="single" w:sz="4" w:space="0" w:color="A6A6A6"/>
              <w:right w:val="single" w:sz="4" w:space="0" w:color="A6A6A6"/>
            </w:tcBorders>
            <w:vAlign w:val="center"/>
            <w:hideMark/>
          </w:tcPr>
          <w:p w14:paraId="0D3BB560"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4</w:t>
            </w:r>
          </w:p>
        </w:tc>
        <w:tc>
          <w:tcPr>
            <w:tcW w:w="1400" w:type="dxa"/>
            <w:tcBorders>
              <w:top w:val="nil"/>
              <w:left w:val="nil"/>
              <w:bottom w:val="single" w:sz="4" w:space="0" w:color="A6A6A6"/>
              <w:right w:val="single" w:sz="4" w:space="0" w:color="A6A6A6"/>
            </w:tcBorders>
            <w:vAlign w:val="center"/>
            <w:hideMark/>
          </w:tcPr>
          <w:p w14:paraId="46A9CF69"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$3,658,869</w:t>
            </w:r>
          </w:p>
        </w:tc>
        <w:tc>
          <w:tcPr>
            <w:tcW w:w="1501" w:type="dxa"/>
            <w:tcBorders>
              <w:top w:val="nil"/>
              <w:left w:val="nil"/>
              <w:bottom w:val="single" w:sz="4" w:space="0" w:color="A6A6A6"/>
              <w:right w:val="single" w:sz="4" w:space="0" w:color="A6A6A6"/>
            </w:tcBorders>
            <w:vAlign w:val="center"/>
            <w:hideMark/>
          </w:tcPr>
          <w:p w14:paraId="7B86B713"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123%</w:t>
            </w:r>
          </w:p>
        </w:tc>
        <w:tc>
          <w:tcPr>
            <w:tcW w:w="1620" w:type="dxa"/>
            <w:tcBorders>
              <w:top w:val="nil"/>
              <w:left w:val="nil"/>
              <w:bottom w:val="single" w:sz="4" w:space="0" w:color="A6A6A6"/>
              <w:right w:val="single" w:sz="4" w:space="0" w:color="A6A6A6"/>
            </w:tcBorders>
            <w:vAlign w:val="center"/>
            <w:hideMark/>
          </w:tcPr>
          <w:p w14:paraId="7A2A3C20"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$19,590,435 </w:t>
            </w:r>
          </w:p>
        </w:tc>
      </w:tr>
      <w:tr w:rsidR="00251F8D" w:rsidRPr="00391018" w14:paraId="15105B88"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704C0801"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PacificSource Marion Polk</w:t>
            </w:r>
          </w:p>
        </w:tc>
        <w:tc>
          <w:tcPr>
            <w:tcW w:w="1330" w:type="dxa"/>
            <w:tcBorders>
              <w:top w:val="nil"/>
              <w:left w:val="nil"/>
              <w:bottom w:val="single" w:sz="4" w:space="0" w:color="A6A6A6"/>
              <w:right w:val="single" w:sz="4" w:space="0" w:color="A6A6A6"/>
            </w:tcBorders>
            <w:vAlign w:val="center"/>
            <w:hideMark/>
          </w:tcPr>
          <w:p w14:paraId="2FDC0101"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7</w:t>
            </w:r>
          </w:p>
        </w:tc>
        <w:tc>
          <w:tcPr>
            <w:tcW w:w="1448" w:type="dxa"/>
            <w:tcBorders>
              <w:top w:val="nil"/>
              <w:left w:val="nil"/>
              <w:bottom w:val="single" w:sz="4" w:space="0" w:color="A6A6A6"/>
              <w:right w:val="single" w:sz="4" w:space="0" w:color="A6A6A6"/>
            </w:tcBorders>
            <w:vAlign w:val="center"/>
            <w:hideMark/>
          </w:tcPr>
          <w:p w14:paraId="261F59E8"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70%</w:t>
            </w:r>
          </w:p>
        </w:tc>
        <w:tc>
          <w:tcPr>
            <w:tcW w:w="1517" w:type="dxa"/>
            <w:tcBorders>
              <w:top w:val="nil"/>
              <w:left w:val="nil"/>
              <w:bottom w:val="single" w:sz="4" w:space="0" w:color="A6A6A6"/>
              <w:right w:val="single" w:sz="4" w:space="0" w:color="A6A6A6"/>
            </w:tcBorders>
            <w:vAlign w:val="center"/>
            <w:hideMark/>
          </w:tcPr>
          <w:p w14:paraId="1BC8EB41"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$17,895,137 </w:t>
            </w:r>
          </w:p>
        </w:tc>
        <w:tc>
          <w:tcPr>
            <w:tcW w:w="1330" w:type="dxa"/>
            <w:tcBorders>
              <w:top w:val="nil"/>
              <w:left w:val="nil"/>
              <w:bottom w:val="single" w:sz="4" w:space="0" w:color="A6A6A6"/>
              <w:right w:val="single" w:sz="4" w:space="0" w:color="A6A6A6"/>
            </w:tcBorders>
            <w:vAlign w:val="center"/>
            <w:hideMark/>
          </w:tcPr>
          <w:p w14:paraId="05F5EB84"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3</w:t>
            </w:r>
          </w:p>
        </w:tc>
        <w:tc>
          <w:tcPr>
            <w:tcW w:w="1400" w:type="dxa"/>
            <w:tcBorders>
              <w:top w:val="nil"/>
              <w:left w:val="nil"/>
              <w:bottom w:val="single" w:sz="4" w:space="0" w:color="A6A6A6"/>
              <w:right w:val="single" w:sz="4" w:space="0" w:color="A6A6A6"/>
            </w:tcBorders>
            <w:vAlign w:val="center"/>
            <w:hideMark/>
          </w:tcPr>
          <w:p w14:paraId="4658E4B2"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$3,834,285</w:t>
            </w:r>
          </w:p>
        </w:tc>
        <w:tc>
          <w:tcPr>
            <w:tcW w:w="1501" w:type="dxa"/>
            <w:tcBorders>
              <w:top w:val="nil"/>
              <w:left w:val="nil"/>
              <w:bottom w:val="single" w:sz="4" w:space="0" w:color="A6A6A6"/>
              <w:right w:val="single" w:sz="4" w:space="0" w:color="A6A6A6"/>
            </w:tcBorders>
            <w:vAlign w:val="center"/>
            <w:hideMark/>
          </w:tcPr>
          <w:p w14:paraId="5B4A4DEA"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85%</w:t>
            </w:r>
          </w:p>
        </w:tc>
        <w:tc>
          <w:tcPr>
            <w:tcW w:w="1620" w:type="dxa"/>
            <w:tcBorders>
              <w:top w:val="nil"/>
              <w:left w:val="nil"/>
              <w:bottom w:val="single" w:sz="4" w:space="0" w:color="A6A6A6"/>
              <w:right w:val="single" w:sz="4" w:space="0" w:color="A6A6A6"/>
            </w:tcBorders>
            <w:vAlign w:val="center"/>
            <w:hideMark/>
          </w:tcPr>
          <w:p w14:paraId="4C9BEE43"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$21,729,423 </w:t>
            </w:r>
          </w:p>
        </w:tc>
      </w:tr>
      <w:tr w:rsidR="00251F8D" w:rsidRPr="00391018" w14:paraId="60DA7795"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2F94260E"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Trillium North</w:t>
            </w:r>
          </w:p>
        </w:tc>
        <w:tc>
          <w:tcPr>
            <w:tcW w:w="1330" w:type="dxa"/>
            <w:tcBorders>
              <w:top w:val="nil"/>
              <w:left w:val="nil"/>
              <w:bottom w:val="single" w:sz="4" w:space="0" w:color="A6A6A6"/>
              <w:right w:val="single" w:sz="4" w:space="0" w:color="A6A6A6"/>
            </w:tcBorders>
            <w:vAlign w:val="center"/>
            <w:hideMark/>
          </w:tcPr>
          <w:p w14:paraId="6184C305"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11</w:t>
            </w:r>
          </w:p>
        </w:tc>
        <w:tc>
          <w:tcPr>
            <w:tcW w:w="1448" w:type="dxa"/>
            <w:tcBorders>
              <w:top w:val="nil"/>
              <w:left w:val="nil"/>
              <w:bottom w:val="single" w:sz="4" w:space="0" w:color="A6A6A6"/>
              <w:right w:val="single" w:sz="4" w:space="0" w:color="A6A6A6"/>
            </w:tcBorders>
            <w:vAlign w:val="center"/>
            <w:hideMark/>
          </w:tcPr>
          <w:p w14:paraId="3D3A9226"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100%</w:t>
            </w:r>
          </w:p>
        </w:tc>
        <w:tc>
          <w:tcPr>
            <w:tcW w:w="1517" w:type="dxa"/>
            <w:tcBorders>
              <w:top w:val="nil"/>
              <w:left w:val="nil"/>
              <w:bottom w:val="single" w:sz="4" w:space="0" w:color="A6A6A6"/>
              <w:right w:val="single" w:sz="4" w:space="0" w:color="A6A6A6"/>
            </w:tcBorders>
            <w:vAlign w:val="center"/>
            <w:hideMark/>
          </w:tcPr>
          <w:p w14:paraId="0B0594E6"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$8,398,421 </w:t>
            </w:r>
          </w:p>
        </w:tc>
        <w:tc>
          <w:tcPr>
            <w:tcW w:w="1330" w:type="dxa"/>
            <w:tcBorders>
              <w:top w:val="nil"/>
              <w:left w:val="nil"/>
              <w:bottom w:val="single" w:sz="4" w:space="0" w:color="A6A6A6"/>
              <w:right w:val="single" w:sz="4" w:space="0" w:color="A6A6A6"/>
            </w:tcBorders>
            <w:vAlign w:val="center"/>
            <w:hideMark/>
          </w:tcPr>
          <w:p w14:paraId="702DEDE7"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4</w:t>
            </w:r>
          </w:p>
        </w:tc>
        <w:tc>
          <w:tcPr>
            <w:tcW w:w="1400" w:type="dxa"/>
            <w:tcBorders>
              <w:top w:val="nil"/>
              <w:left w:val="nil"/>
              <w:bottom w:val="single" w:sz="4" w:space="0" w:color="A6A6A6"/>
              <w:right w:val="single" w:sz="4" w:space="0" w:color="A6A6A6"/>
            </w:tcBorders>
            <w:vAlign w:val="center"/>
            <w:hideMark/>
          </w:tcPr>
          <w:p w14:paraId="2D0CB985"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$2,397,966</w:t>
            </w:r>
          </w:p>
        </w:tc>
        <w:tc>
          <w:tcPr>
            <w:tcW w:w="1501" w:type="dxa"/>
            <w:tcBorders>
              <w:top w:val="nil"/>
              <w:left w:val="nil"/>
              <w:bottom w:val="single" w:sz="4" w:space="0" w:color="A6A6A6"/>
              <w:right w:val="single" w:sz="4" w:space="0" w:color="A6A6A6"/>
            </w:tcBorders>
            <w:vAlign w:val="center"/>
            <w:hideMark/>
          </w:tcPr>
          <w:p w14:paraId="5C35EDDE"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129%</w:t>
            </w:r>
          </w:p>
        </w:tc>
        <w:tc>
          <w:tcPr>
            <w:tcW w:w="1620" w:type="dxa"/>
            <w:tcBorders>
              <w:top w:val="nil"/>
              <w:left w:val="nil"/>
              <w:bottom w:val="single" w:sz="4" w:space="0" w:color="A6A6A6"/>
              <w:right w:val="single" w:sz="4" w:space="0" w:color="A6A6A6"/>
            </w:tcBorders>
            <w:vAlign w:val="center"/>
            <w:hideMark/>
          </w:tcPr>
          <w:p w14:paraId="1BF35397"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 $10,796,387 </w:t>
            </w:r>
          </w:p>
        </w:tc>
      </w:tr>
      <w:tr w:rsidR="00251F8D" w:rsidRPr="00391018" w14:paraId="6A801568"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382A8405"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Trillium South</w:t>
            </w:r>
          </w:p>
        </w:tc>
        <w:tc>
          <w:tcPr>
            <w:tcW w:w="1330" w:type="dxa"/>
            <w:tcBorders>
              <w:top w:val="nil"/>
              <w:left w:val="nil"/>
              <w:bottom w:val="single" w:sz="4" w:space="0" w:color="A6A6A6"/>
              <w:right w:val="single" w:sz="4" w:space="0" w:color="A6A6A6"/>
            </w:tcBorders>
            <w:vAlign w:val="center"/>
            <w:hideMark/>
          </w:tcPr>
          <w:p w14:paraId="52177514"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6</w:t>
            </w:r>
          </w:p>
        </w:tc>
        <w:tc>
          <w:tcPr>
            <w:tcW w:w="1448" w:type="dxa"/>
            <w:tcBorders>
              <w:top w:val="nil"/>
              <w:left w:val="nil"/>
              <w:bottom w:val="single" w:sz="4" w:space="0" w:color="A6A6A6"/>
              <w:right w:val="single" w:sz="4" w:space="0" w:color="A6A6A6"/>
            </w:tcBorders>
            <w:vAlign w:val="center"/>
            <w:hideMark/>
          </w:tcPr>
          <w:p w14:paraId="68F3621F"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60%</w:t>
            </w:r>
          </w:p>
        </w:tc>
        <w:tc>
          <w:tcPr>
            <w:tcW w:w="1517" w:type="dxa"/>
            <w:tcBorders>
              <w:top w:val="nil"/>
              <w:left w:val="nil"/>
              <w:bottom w:val="single" w:sz="4" w:space="0" w:color="A6A6A6"/>
              <w:right w:val="single" w:sz="4" w:space="0" w:color="A6A6A6"/>
            </w:tcBorders>
            <w:vAlign w:val="center"/>
            <w:hideMark/>
          </w:tcPr>
          <w:p w14:paraId="5C0821A4"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$3,550,521 </w:t>
            </w:r>
          </w:p>
        </w:tc>
        <w:tc>
          <w:tcPr>
            <w:tcW w:w="1330" w:type="dxa"/>
            <w:tcBorders>
              <w:top w:val="nil"/>
              <w:left w:val="nil"/>
              <w:bottom w:val="single" w:sz="4" w:space="0" w:color="A6A6A6"/>
              <w:right w:val="single" w:sz="4" w:space="0" w:color="A6A6A6"/>
            </w:tcBorders>
            <w:vAlign w:val="center"/>
            <w:hideMark/>
          </w:tcPr>
          <w:p w14:paraId="3EFF7D60"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w:t>
            </w:r>
          </w:p>
        </w:tc>
        <w:tc>
          <w:tcPr>
            <w:tcW w:w="1400" w:type="dxa"/>
            <w:tcBorders>
              <w:top w:val="nil"/>
              <w:left w:val="nil"/>
              <w:bottom w:val="single" w:sz="4" w:space="0" w:color="A6A6A6"/>
              <w:right w:val="single" w:sz="4" w:space="0" w:color="A6A6A6"/>
            </w:tcBorders>
            <w:vAlign w:val="center"/>
            <w:hideMark/>
          </w:tcPr>
          <w:p w14:paraId="6A799BD2"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$348,628</w:t>
            </w:r>
          </w:p>
        </w:tc>
        <w:tc>
          <w:tcPr>
            <w:tcW w:w="1501" w:type="dxa"/>
            <w:tcBorders>
              <w:top w:val="nil"/>
              <w:left w:val="nil"/>
              <w:bottom w:val="single" w:sz="4" w:space="0" w:color="A6A6A6"/>
              <w:right w:val="single" w:sz="4" w:space="0" w:color="A6A6A6"/>
            </w:tcBorders>
            <w:vAlign w:val="center"/>
            <w:hideMark/>
          </w:tcPr>
          <w:p w14:paraId="565BC039"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66%</w:t>
            </w:r>
          </w:p>
        </w:tc>
        <w:tc>
          <w:tcPr>
            <w:tcW w:w="1620" w:type="dxa"/>
            <w:tcBorders>
              <w:top w:val="nil"/>
              <w:left w:val="nil"/>
              <w:bottom w:val="single" w:sz="4" w:space="0" w:color="A6A6A6"/>
              <w:right w:val="single" w:sz="4" w:space="0" w:color="A6A6A6"/>
            </w:tcBorders>
            <w:vAlign w:val="center"/>
            <w:hideMark/>
          </w:tcPr>
          <w:p w14:paraId="18EA2AFE"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 $3,899,149 </w:t>
            </w:r>
          </w:p>
        </w:tc>
      </w:tr>
      <w:tr w:rsidR="00251F8D" w:rsidRPr="00391018" w14:paraId="47BD12CA"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4EC22D64"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Umpqua Health Alliance</w:t>
            </w:r>
          </w:p>
        </w:tc>
        <w:tc>
          <w:tcPr>
            <w:tcW w:w="1330" w:type="dxa"/>
            <w:tcBorders>
              <w:top w:val="nil"/>
              <w:left w:val="nil"/>
              <w:bottom w:val="single" w:sz="4" w:space="0" w:color="A6A6A6"/>
              <w:right w:val="single" w:sz="4" w:space="0" w:color="A6A6A6"/>
            </w:tcBorders>
            <w:vAlign w:val="center"/>
            <w:hideMark/>
          </w:tcPr>
          <w:p w14:paraId="0A5443C7"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11</w:t>
            </w:r>
          </w:p>
        </w:tc>
        <w:tc>
          <w:tcPr>
            <w:tcW w:w="1448" w:type="dxa"/>
            <w:tcBorders>
              <w:top w:val="nil"/>
              <w:left w:val="nil"/>
              <w:bottom w:val="single" w:sz="4" w:space="0" w:color="A6A6A6"/>
              <w:right w:val="single" w:sz="4" w:space="0" w:color="A6A6A6"/>
            </w:tcBorders>
            <w:vAlign w:val="center"/>
            <w:hideMark/>
          </w:tcPr>
          <w:p w14:paraId="5DB8D2BA"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100%</w:t>
            </w:r>
          </w:p>
        </w:tc>
        <w:tc>
          <w:tcPr>
            <w:tcW w:w="1517" w:type="dxa"/>
            <w:tcBorders>
              <w:top w:val="nil"/>
              <w:left w:val="nil"/>
              <w:bottom w:val="single" w:sz="4" w:space="0" w:color="A6A6A6"/>
              <w:right w:val="single" w:sz="4" w:space="0" w:color="A6A6A6"/>
            </w:tcBorders>
            <w:vAlign w:val="center"/>
            <w:hideMark/>
          </w:tcPr>
          <w:p w14:paraId="16791492"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$7,273,438 </w:t>
            </w:r>
          </w:p>
        </w:tc>
        <w:tc>
          <w:tcPr>
            <w:tcW w:w="1330" w:type="dxa"/>
            <w:tcBorders>
              <w:top w:val="nil"/>
              <w:left w:val="nil"/>
              <w:bottom w:val="single" w:sz="4" w:space="0" w:color="A6A6A6"/>
              <w:right w:val="single" w:sz="4" w:space="0" w:color="A6A6A6"/>
            </w:tcBorders>
            <w:vAlign w:val="center"/>
            <w:hideMark/>
          </w:tcPr>
          <w:p w14:paraId="3E16E734"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3</w:t>
            </w:r>
          </w:p>
        </w:tc>
        <w:tc>
          <w:tcPr>
            <w:tcW w:w="1400" w:type="dxa"/>
            <w:tcBorders>
              <w:top w:val="nil"/>
              <w:left w:val="nil"/>
              <w:bottom w:val="single" w:sz="4" w:space="0" w:color="A6A6A6"/>
              <w:right w:val="single" w:sz="4" w:space="0" w:color="A6A6A6"/>
            </w:tcBorders>
            <w:vAlign w:val="center"/>
            <w:hideMark/>
          </w:tcPr>
          <w:p w14:paraId="0FB07848"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$1,296,679</w:t>
            </w:r>
          </w:p>
        </w:tc>
        <w:tc>
          <w:tcPr>
            <w:tcW w:w="1501" w:type="dxa"/>
            <w:tcBorders>
              <w:top w:val="nil"/>
              <w:left w:val="nil"/>
              <w:bottom w:val="single" w:sz="4" w:space="0" w:color="A6A6A6"/>
              <w:right w:val="single" w:sz="4" w:space="0" w:color="A6A6A6"/>
            </w:tcBorders>
            <w:vAlign w:val="center"/>
            <w:hideMark/>
          </w:tcPr>
          <w:p w14:paraId="00031317"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118%</w:t>
            </w:r>
          </w:p>
        </w:tc>
        <w:tc>
          <w:tcPr>
            <w:tcW w:w="1620" w:type="dxa"/>
            <w:tcBorders>
              <w:top w:val="nil"/>
              <w:left w:val="nil"/>
              <w:bottom w:val="single" w:sz="4" w:space="0" w:color="A6A6A6"/>
              <w:right w:val="single" w:sz="4" w:space="0" w:color="A6A6A6"/>
            </w:tcBorders>
            <w:vAlign w:val="center"/>
            <w:hideMark/>
          </w:tcPr>
          <w:p w14:paraId="10FFFDEC"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$8,570,116 </w:t>
            </w:r>
          </w:p>
        </w:tc>
      </w:tr>
      <w:tr w:rsidR="00251F8D" w:rsidRPr="00391018" w14:paraId="7D50FD92"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3B869EB2" w14:textId="77777777" w:rsidR="00251F8D" w:rsidRPr="00391018" w:rsidRDefault="00251F8D">
            <w:pPr>
              <w:spacing w:after="0" w:line="240" w:lineRule="auto"/>
              <w:rPr>
                <w:rFonts w:ascii="Aptos" w:eastAsia="Times New Roman" w:hAnsi="Aptos" w:cs="Arial"/>
                <w:kern w:val="0"/>
                <w:sz w:val="22"/>
                <w14:ligatures w14:val="none"/>
              </w:rPr>
            </w:pPr>
            <w:r w:rsidRPr="00391018">
              <w:rPr>
                <w:rFonts w:ascii="Aptos" w:eastAsia="Times New Roman" w:hAnsi="Aptos" w:cs="Arial"/>
                <w:kern w:val="0"/>
                <w:sz w:val="22"/>
                <w14:ligatures w14:val="none"/>
              </w:rPr>
              <w:t>Yamhill Community Care</w:t>
            </w:r>
          </w:p>
        </w:tc>
        <w:tc>
          <w:tcPr>
            <w:tcW w:w="1330" w:type="dxa"/>
            <w:tcBorders>
              <w:top w:val="nil"/>
              <w:left w:val="nil"/>
              <w:bottom w:val="single" w:sz="4" w:space="0" w:color="A6A6A6"/>
              <w:right w:val="single" w:sz="4" w:space="0" w:color="A6A6A6"/>
            </w:tcBorders>
            <w:vAlign w:val="center"/>
            <w:hideMark/>
          </w:tcPr>
          <w:p w14:paraId="3682E396"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10</w:t>
            </w:r>
          </w:p>
        </w:tc>
        <w:tc>
          <w:tcPr>
            <w:tcW w:w="1448" w:type="dxa"/>
            <w:tcBorders>
              <w:top w:val="nil"/>
              <w:left w:val="nil"/>
              <w:bottom w:val="single" w:sz="4" w:space="0" w:color="A6A6A6"/>
              <w:right w:val="single" w:sz="4" w:space="0" w:color="A6A6A6"/>
            </w:tcBorders>
            <w:vAlign w:val="center"/>
            <w:hideMark/>
          </w:tcPr>
          <w:p w14:paraId="5661D1ED"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100%</w:t>
            </w:r>
          </w:p>
        </w:tc>
        <w:tc>
          <w:tcPr>
            <w:tcW w:w="1517" w:type="dxa"/>
            <w:tcBorders>
              <w:top w:val="nil"/>
              <w:left w:val="nil"/>
              <w:bottom w:val="single" w:sz="4" w:space="0" w:color="A6A6A6"/>
              <w:right w:val="single" w:sz="4" w:space="0" w:color="A6A6A6"/>
            </w:tcBorders>
            <w:vAlign w:val="center"/>
            <w:hideMark/>
          </w:tcPr>
          <w:p w14:paraId="01BF422D"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$6,338,460 </w:t>
            </w:r>
          </w:p>
        </w:tc>
        <w:tc>
          <w:tcPr>
            <w:tcW w:w="1330" w:type="dxa"/>
            <w:tcBorders>
              <w:top w:val="nil"/>
              <w:left w:val="nil"/>
              <w:bottom w:val="single" w:sz="4" w:space="0" w:color="A6A6A6"/>
              <w:right w:val="single" w:sz="4" w:space="0" w:color="A6A6A6"/>
            </w:tcBorders>
            <w:vAlign w:val="center"/>
            <w:hideMark/>
          </w:tcPr>
          <w:p w14:paraId="215A59FE"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3</w:t>
            </w:r>
          </w:p>
        </w:tc>
        <w:tc>
          <w:tcPr>
            <w:tcW w:w="1400" w:type="dxa"/>
            <w:tcBorders>
              <w:top w:val="nil"/>
              <w:left w:val="nil"/>
              <w:bottom w:val="single" w:sz="4" w:space="0" w:color="A6A6A6"/>
              <w:right w:val="single" w:sz="4" w:space="0" w:color="A6A6A6"/>
            </w:tcBorders>
            <w:vAlign w:val="center"/>
            <w:hideMark/>
          </w:tcPr>
          <w:p w14:paraId="223B2E1C"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$936,282</w:t>
            </w:r>
          </w:p>
        </w:tc>
        <w:tc>
          <w:tcPr>
            <w:tcW w:w="1501" w:type="dxa"/>
            <w:tcBorders>
              <w:top w:val="nil"/>
              <w:left w:val="nil"/>
              <w:bottom w:val="single" w:sz="4" w:space="0" w:color="A6A6A6"/>
              <w:right w:val="single" w:sz="4" w:space="0" w:color="A6A6A6"/>
            </w:tcBorders>
            <w:vAlign w:val="center"/>
            <w:hideMark/>
          </w:tcPr>
          <w:p w14:paraId="5364A191"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115%</w:t>
            </w:r>
          </w:p>
        </w:tc>
        <w:tc>
          <w:tcPr>
            <w:tcW w:w="1620" w:type="dxa"/>
            <w:tcBorders>
              <w:top w:val="nil"/>
              <w:left w:val="nil"/>
              <w:bottom w:val="single" w:sz="4" w:space="0" w:color="A6A6A6"/>
              <w:right w:val="single" w:sz="4" w:space="0" w:color="A6A6A6"/>
            </w:tcBorders>
            <w:vAlign w:val="center"/>
            <w:hideMark/>
          </w:tcPr>
          <w:p w14:paraId="569716C2"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$7,274,742 </w:t>
            </w:r>
          </w:p>
        </w:tc>
      </w:tr>
      <w:tr w:rsidR="00251F8D" w:rsidRPr="00391018" w14:paraId="0BB3C955" w14:textId="77777777">
        <w:trPr>
          <w:trHeight w:val="360"/>
        </w:trPr>
        <w:tc>
          <w:tcPr>
            <w:tcW w:w="3349" w:type="dxa"/>
            <w:tcBorders>
              <w:top w:val="nil"/>
              <w:left w:val="single" w:sz="4" w:space="0" w:color="A6A6A6"/>
              <w:bottom w:val="single" w:sz="4" w:space="0" w:color="A6A6A6"/>
              <w:right w:val="single" w:sz="4" w:space="0" w:color="A6A6A6"/>
            </w:tcBorders>
            <w:vAlign w:val="center"/>
            <w:hideMark/>
          </w:tcPr>
          <w:p w14:paraId="271CB5DD"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Total</w:t>
            </w:r>
          </w:p>
        </w:tc>
        <w:tc>
          <w:tcPr>
            <w:tcW w:w="1330" w:type="dxa"/>
            <w:tcBorders>
              <w:top w:val="nil"/>
              <w:left w:val="nil"/>
              <w:bottom w:val="single" w:sz="4" w:space="0" w:color="A6A6A6"/>
              <w:right w:val="single" w:sz="4" w:space="0" w:color="A6A6A6"/>
            </w:tcBorders>
            <w:vAlign w:val="center"/>
            <w:hideMark/>
          </w:tcPr>
          <w:p w14:paraId="1379A173"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w:t>
            </w:r>
          </w:p>
        </w:tc>
        <w:tc>
          <w:tcPr>
            <w:tcW w:w="1448" w:type="dxa"/>
            <w:tcBorders>
              <w:top w:val="nil"/>
              <w:left w:val="nil"/>
              <w:bottom w:val="single" w:sz="4" w:space="0" w:color="A6A6A6"/>
              <w:right w:val="single" w:sz="4" w:space="0" w:color="A6A6A6"/>
            </w:tcBorders>
            <w:vAlign w:val="center"/>
            <w:hideMark/>
          </w:tcPr>
          <w:p w14:paraId="3C337B2A"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w:t>
            </w:r>
          </w:p>
        </w:tc>
        <w:tc>
          <w:tcPr>
            <w:tcW w:w="1517" w:type="dxa"/>
            <w:tcBorders>
              <w:top w:val="nil"/>
              <w:left w:val="nil"/>
              <w:bottom w:val="single" w:sz="4" w:space="0" w:color="A6A6A6"/>
              <w:right w:val="single" w:sz="4" w:space="0" w:color="A6A6A6"/>
            </w:tcBorders>
            <w:vAlign w:val="center"/>
            <w:hideMark/>
          </w:tcPr>
          <w:p w14:paraId="1E08D18D"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$194,937,960 </w:t>
            </w:r>
          </w:p>
        </w:tc>
        <w:tc>
          <w:tcPr>
            <w:tcW w:w="1330" w:type="dxa"/>
            <w:tcBorders>
              <w:top w:val="nil"/>
              <w:left w:val="nil"/>
              <w:bottom w:val="single" w:sz="4" w:space="0" w:color="A6A6A6"/>
              <w:right w:val="single" w:sz="4" w:space="0" w:color="A6A6A6"/>
            </w:tcBorders>
            <w:vAlign w:val="center"/>
            <w:hideMark/>
          </w:tcPr>
          <w:p w14:paraId="535BD926"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w:t>
            </w:r>
          </w:p>
        </w:tc>
        <w:tc>
          <w:tcPr>
            <w:tcW w:w="1400" w:type="dxa"/>
            <w:tcBorders>
              <w:top w:val="nil"/>
              <w:left w:val="nil"/>
              <w:bottom w:val="single" w:sz="4" w:space="0" w:color="A6A6A6"/>
              <w:right w:val="single" w:sz="4" w:space="0" w:color="A6A6A6"/>
            </w:tcBorders>
            <w:vAlign w:val="center"/>
            <w:hideMark/>
          </w:tcPr>
          <w:p w14:paraId="05A67939"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$38,617,686</w:t>
            </w:r>
          </w:p>
        </w:tc>
        <w:tc>
          <w:tcPr>
            <w:tcW w:w="1501" w:type="dxa"/>
            <w:tcBorders>
              <w:top w:val="nil"/>
              <w:left w:val="nil"/>
              <w:bottom w:val="single" w:sz="4" w:space="0" w:color="A6A6A6"/>
              <w:right w:val="single" w:sz="4" w:space="0" w:color="A6A6A6"/>
            </w:tcBorders>
            <w:vAlign w:val="center"/>
            <w:hideMark/>
          </w:tcPr>
          <w:p w14:paraId="5E854131"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w:t>
            </w:r>
          </w:p>
        </w:tc>
        <w:tc>
          <w:tcPr>
            <w:tcW w:w="1620" w:type="dxa"/>
            <w:tcBorders>
              <w:top w:val="nil"/>
              <w:left w:val="nil"/>
              <w:bottom w:val="single" w:sz="4" w:space="0" w:color="A6A6A6"/>
              <w:right w:val="single" w:sz="4" w:space="0" w:color="A6A6A6"/>
            </w:tcBorders>
            <w:vAlign w:val="center"/>
            <w:hideMark/>
          </w:tcPr>
          <w:p w14:paraId="3922EB90" w14:textId="77777777" w:rsidR="00251F8D" w:rsidRPr="00391018" w:rsidRDefault="00251F8D">
            <w:pPr>
              <w:spacing w:after="0" w:line="240" w:lineRule="auto"/>
              <w:jc w:val="right"/>
              <w:rPr>
                <w:rFonts w:ascii="Aptos" w:eastAsia="Times New Roman" w:hAnsi="Aptos" w:cs="Arial"/>
                <w:kern w:val="0"/>
                <w:sz w:val="22"/>
                <w14:ligatures w14:val="none"/>
              </w:rPr>
            </w:pPr>
            <w:r w:rsidRPr="00391018">
              <w:rPr>
                <w:rFonts w:ascii="Aptos" w:eastAsia="Times New Roman" w:hAnsi="Aptos" w:cs="Arial"/>
                <w:kern w:val="0"/>
                <w:sz w:val="22"/>
                <w14:ligatures w14:val="none"/>
              </w:rPr>
              <w:t xml:space="preserve">$233,555,646 </w:t>
            </w:r>
          </w:p>
        </w:tc>
      </w:tr>
    </w:tbl>
    <w:p w14:paraId="0B3F8970" w14:textId="3BD4E60A" w:rsidR="00251F8D" w:rsidRDefault="00A66425" w:rsidP="00251F8D">
      <w:pPr>
        <w:rPr>
          <w:noProof/>
        </w:rPr>
        <w:sectPr w:rsidR="00251F8D" w:rsidSect="00251F8D">
          <w:footnotePr>
            <w:numFmt w:val="lowerLetter"/>
          </w:footnotePr>
          <w:pgSz w:w="15840" w:h="12240" w:orient="landscape"/>
          <w:pgMar w:top="1440" w:right="1440" w:bottom="1440" w:left="1440" w:header="86" w:footer="720" w:gutter="0"/>
          <w:cols w:space="144"/>
          <w:docGrid w:linePitch="360"/>
        </w:sectPr>
      </w:pPr>
      <w:r>
        <w:rPr>
          <w:noProof/>
        </w:rPr>
        <w:t>Continued on next page.</w:t>
      </w:r>
    </w:p>
    <w:p w14:paraId="1F885313" w14:textId="04FD1719" w:rsidR="00251F8D" w:rsidRDefault="00251F8D" w:rsidP="00251F8D">
      <w:pPr>
        <w:spacing w:before="120"/>
        <w:rPr>
          <w:noProof/>
        </w:rPr>
      </w:pPr>
    </w:p>
    <w:tbl>
      <w:tblPr>
        <w:tblW w:w="12640" w:type="dxa"/>
        <w:tblLook w:val="04A0" w:firstRow="1" w:lastRow="0" w:firstColumn="1" w:lastColumn="0" w:noHBand="0" w:noVBand="1"/>
      </w:tblPr>
      <w:tblGrid>
        <w:gridCol w:w="3440"/>
        <w:gridCol w:w="1840"/>
        <w:gridCol w:w="1840"/>
        <w:gridCol w:w="1840"/>
        <w:gridCol w:w="1840"/>
        <w:gridCol w:w="1840"/>
      </w:tblGrid>
      <w:tr w:rsidR="003C4353" w:rsidRPr="003C4353" w14:paraId="472FC344" w14:textId="77777777" w:rsidTr="003C4353">
        <w:trPr>
          <w:trHeight w:val="1099"/>
        </w:trPr>
        <w:tc>
          <w:tcPr>
            <w:tcW w:w="3440" w:type="dxa"/>
            <w:tcBorders>
              <w:top w:val="single" w:sz="4" w:space="0" w:color="A6A6A6"/>
              <w:left w:val="single" w:sz="4" w:space="0" w:color="A6A6A6"/>
              <w:bottom w:val="single" w:sz="4" w:space="0" w:color="A6A6A6"/>
              <w:right w:val="single" w:sz="4" w:space="0" w:color="A6A6A6"/>
            </w:tcBorders>
            <w:vAlign w:val="center"/>
            <w:hideMark/>
          </w:tcPr>
          <w:p w14:paraId="2A971F66" w14:textId="77777777" w:rsidR="003C4353" w:rsidRPr="00391018" w:rsidRDefault="003C4353" w:rsidP="003C4353">
            <w:pPr>
              <w:spacing w:after="0" w:line="240" w:lineRule="auto"/>
              <w:rPr>
                <w:rFonts w:eastAsia="Times New Roman" w:cs="Arial"/>
                <w:kern w:val="0"/>
                <w:sz w:val="22"/>
                <w14:ligatures w14:val="none"/>
              </w:rPr>
            </w:pPr>
            <w:r w:rsidRPr="00391018">
              <w:rPr>
                <w:rFonts w:eastAsia="Times New Roman" w:cs="Arial"/>
                <w:kern w:val="0"/>
                <w:sz w:val="22"/>
                <w14:ligatures w14:val="none"/>
              </w:rPr>
              <w:t>Legend</w:t>
            </w:r>
          </w:p>
          <w:p w14:paraId="029C65E6" w14:textId="77777777" w:rsidR="003C4353" w:rsidRDefault="003C4353" w:rsidP="003C4353">
            <w:pPr>
              <w:spacing w:after="0" w:line="240" w:lineRule="auto"/>
              <w:rPr>
                <w:rFonts w:eastAsia="Times New Roman" w:cstheme="minorHAnsi"/>
                <w:sz w:val="22"/>
              </w:rPr>
            </w:pPr>
            <w:r w:rsidRPr="00391018">
              <w:rPr>
                <w:rFonts w:ascii="Wingdings 2" w:eastAsia="Times New Roman" w:hAnsi="Wingdings 2" w:cs="Times New Roman"/>
                <w:color w:val="002B4A"/>
                <w:sz w:val="22"/>
              </w:rPr>
              <w:t>¢</w:t>
            </w:r>
            <w:r w:rsidRPr="00391018">
              <w:rPr>
                <w:rFonts w:ascii="Benton Sans Book" w:eastAsia="Times New Roman" w:hAnsi="Benton Sans Book" w:cs="Times New Roman"/>
                <w:color w:val="000000"/>
                <w:sz w:val="22"/>
              </w:rPr>
              <w:t xml:space="preserve"> </w:t>
            </w:r>
            <w:r w:rsidRPr="00391018">
              <w:rPr>
                <w:rFonts w:eastAsia="Times New Roman" w:cstheme="minorHAnsi"/>
                <w:sz w:val="22"/>
              </w:rPr>
              <w:t>Quality Pool</w:t>
            </w:r>
          </w:p>
          <w:p w14:paraId="161C9560" w14:textId="44FDD3DD" w:rsidR="003C4353" w:rsidRPr="003C4353" w:rsidRDefault="003C4353" w:rsidP="003C4353">
            <w:pPr>
              <w:spacing w:after="0" w:line="240" w:lineRule="auto"/>
              <w:rPr>
                <w:rFonts w:ascii="Aptos" w:eastAsia="Times New Roman" w:hAnsi="Aptos" w:cs="Arial"/>
                <w:color w:val="0065C6"/>
                <w:kern w:val="0"/>
                <w:sz w:val="22"/>
                <w:u w:val="single"/>
                <w14:ligatures w14:val="none"/>
              </w:rPr>
            </w:pPr>
            <w:r w:rsidRPr="00246DCC">
              <w:rPr>
                <w:rFonts w:ascii="Wingdings 2" w:eastAsia="Times New Roman" w:hAnsi="Wingdings 2" w:cs="Times New Roman"/>
                <w:color w:val="CD76C7"/>
                <w:sz w:val="22"/>
              </w:rPr>
              <w:t>¢</w:t>
            </w:r>
            <w:r w:rsidRPr="00391018">
              <w:rPr>
                <w:rFonts w:ascii="Benton Sans Book" w:eastAsia="Times New Roman" w:hAnsi="Benton Sans Book" w:cs="Times New Roman"/>
                <w:color w:val="000000"/>
                <w:sz w:val="22"/>
              </w:rPr>
              <w:t xml:space="preserve"> </w:t>
            </w:r>
            <w:r>
              <w:rPr>
                <w:rFonts w:eastAsia="Times New Roman" w:cstheme="minorHAnsi"/>
                <w:sz w:val="22"/>
              </w:rPr>
              <w:t>Per-member per-month (PMPM)</w:t>
            </w:r>
          </w:p>
        </w:tc>
        <w:tc>
          <w:tcPr>
            <w:tcW w:w="1840" w:type="dxa"/>
            <w:tcBorders>
              <w:top w:val="single" w:sz="4" w:space="0" w:color="A6A6A6"/>
              <w:left w:val="nil"/>
              <w:bottom w:val="single" w:sz="4" w:space="0" w:color="A6A6A6"/>
              <w:right w:val="single" w:sz="4" w:space="0" w:color="A6A6A6"/>
            </w:tcBorders>
            <w:shd w:val="clear" w:color="000000" w:fill="00305E"/>
            <w:vAlign w:val="center"/>
            <w:hideMark/>
          </w:tcPr>
          <w:p w14:paraId="619B33AE" w14:textId="77777777" w:rsidR="003C4353" w:rsidRPr="003C4353" w:rsidRDefault="003C4353" w:rsidP="003C4353">
            <w:pPr>
              <w:spacing w:after="0" w:line="240" w:lineRule="auto"/>
              <w:rPr>
                <w:rFonts w:ascii="Aptos" w:eastAsia="Times New Roman" w:hAnsi="Aptos" w:cs="Arial"/>
                <w:color w:val="FFFFFF"/>
                <w:kern w:val="0"/>
                <w:sz w:val="22"/>
                <w14:ligatures w14:val="none"/>
              </w:rPr>
            </w:pPr>
            <w:r w:rsidRPr="003C4353">
              <w:rPr>
                <w:rFonts w:ascii="Aptos" w:eastAsia="Times New Roman" w:hAnsi="Aptos" w:cs="Arial"/>
                <w:color w:val="FFFFFF"/>
                <w:kern w:val="0"/>
                <w:sz w:val="22"/>
                <w14:ligatures w14:val="none"/>
              </w:rPr>
              <w:t>Total Quality Pool earned</w:t>
            </w:r>
          </w:p>
        </w:tc>
        <w:tc>
          <w:tcPr>
            <w:tcW w:w="1840" w:type="dxa"/>
            <w:tcBorders>
              <w:top w:val="single" w:sz="4" w:space="0" w:color="A6A6A6"/>
              <w:left w:val="nil"/>
              <w:bottom w:val="single" w:sz="4" w:space="0" w:color="A6A6A6"/>
              <w:right w:val="single" w:sz="4" w:space="0" w:color="A6A6A6"/>
            </w:tcBorders>
            <w:shd w:val="clear" w:color="000000" w:fill="00305E"/>
            <w:vAlign w:val="center"/>
            <w:hideMark/>
          </w:tcPr>
          <w:p w14:paraId="1A1A86B6" w14:textId="77510032" w:rsidR="003C4353" w:rsidRPr="003C4353" w:rsidRDefault="003C4353" w:rsidP="003C4353">
            <w:pPr>
              <w:spacing w:after="0" w:line="240" w:lineRule="auto"/>
              <w:rPr>
                <w:rFonts w:ascii="Aptos" w:eastAsia="Times New Roman" w:hAnsi="Aptos" w:cs="Arial"/>
                <w:color w:val="FFFFFF"/>
                <w:kern w:val="0"/>
                <w:sz w:val="22"/>
                <w14:ligatures w14:val="none"/>
              </w:rPr>
            </w:pPr>
            <w:r w:rsidRPr="003C4353">
              <w:rPr>
                <w:rFonts w:ascii="Aptos" w:eastAsia="Times New Roman" w:hAnsi="Aptos" w:cs="Arial"/>
                <w:color w:val="FFFFFF"/>
                <w:kern w:val="0"/>
                <w:sz w:val="22"/>
                <w14:ligatures w14:val="none"/>
              </w:rPr>
              <w:t xml:space="preserve">MCO tax cost paid to CCOs </w:t>
            </w:r>
            <w:r w:rsidR="006503C5" w:rsidRPr="003C4353">
              <w:rPr>
                <w:rFonts w:ascii="Aptos" w:eastAsia="Times New Roman" w:hAnsi="Aptos" w:cs="Arial"/>
                <w:color w:val="FFFFFF"/>
                <w:kern w:val="0"/>
                <w:sz w:val="22"/>
                <w14:ligatures w14:val="none"/>
              </w:rPr>
              <w:t>through</w:t>
            </w:r>
            <w:r w:rsidRPr="003C4353">
              <w:rPr>
                <w:rFonts w:ascii="Aptos" w:eastAsia="Times New Roman" w:hAnsi="Aptos" w:cs="Arial"/>
                <w:color w:val="FFFFFF"/>
                <w:kern w:val="0"/>
                <w:sz w:val="22"/>
                <w14:ligatures w14:val="none"/>
              </w:rPr>
              <w:t xml:space="preserve"> Quality Pool</w:t>
            </w:r>
            <w:r>
              <w:rPr>
                <w:rStyle w:val="FootnoteReference"/>
                <w:rFonts w:ascii="Aptos" w:eastAsia="Times New Roman" w:hAnsi="Aptos" w:cs="Arial"/>
                <w:color w:val="FFFFFF"/>
                <w:kern w:val="0"/>
                <w:sz w:val="22"/>
                <w14:ligatures w14:val="none"/>
              </w:rPr>
              <w:footnoteReference w:id="17"/>
            </w:r>
          </w:p>
        </w:tc>
        <w:tc>
          <w:tcPr>
            <w:tcW w:w="1840" w:type="dxa"/>
            <w:tcBorders>
              <w:top w:val="single" w:sz="4" w:space="0" w:color="A6A6A6"/>
              <w:left w:val="nil"/>
              <w:bottom w:val="single" w:sz="4" w:space="0" w:color="A6A6A6"/>
              <w:right w:val="single" w:sz="4" w:space="0" w:color="A6A6A6"/>
            </w:tcBorders>
            <w:shd w:val="clear" w:color="000000" w:fill="00305E"/>
            <w:vAlign w:val="center"/>
            <w:hideMark/>
          </w:tcPr>
          <w:p w14:paraId="06AEA832" w14:textId="77777777" w:rsidR="003C4353" w:rsidRPr="003C4353" w:rsidRDefault="003C4353" w:rsidP="003C4353">
            <w:pPr>
              <w:spacing w:after="0" w:line="240" w:lineRule="auto"/>
              <w:rPr>
                <w:rFonts w:ascii="Aptos" w:eastAsia="Times New Roman" w:hAnsi="Aptos" w:cs="Arial"/>
                <w:color w:val="FFFFFF"/>
                <w:kern w:val="0"/>
                <w:sz w:val="22"/>
                <w14:ligatures w14:val="none"/>
              </w:rPr>
            </w:pPr>
            <w:r w:rsidRPr="003C4353">
              <w:rPr>
                <w:rFonts w:ascii="Aptos" w:eastAsia="Times New Roman" w:hAnsi="Aptos" w:cs="Arial"/>
                <w:color w:val="FFFFFF"/>
                <w:kern w:val="0"/>
                <w:sz w:val="22"/>
                <w14:ligatures w14:val="none"/>
              </w:rPr>
              <w:t>Total Quality Pool paid</w:t>
            </w:r>
          </w:p>
        </w:tc>
        <w:tc>
          <w:tcPr>
            <w:tcW w:w="1840" w:type="dxa"/>
            <w:tcBorders>
              <w:top w:val="single" w:sz="4" w:space="0" w:color="A6A6A6"/>
              <w:left w:val="nil"/>
              <w:bottom w:val="single" w:sz="4" w:space="0" w:color="A6A6A6"/>
              <w:right w:val="single" w:sz="4" w:space="0" w:color="A6A6A6"/>
            </w:tcBorders>
            <w:shd w:val="clear" w:color="000000" w:fill="CD76C7"/>
            <w:vAlign w:val="center"/>
            <w:hideMark/>
          </w:tcPr>
          <w:p w14:paraId="757742DA" w14:textId="77777777" w:rsidR="003C4353" w:rsidRPr="003C4353" w:rsidRDefault="003C4353" w:rsidP="003C4353">
            <w:pPr>
              <w:spacing w:after="0" w:line="240" w:lineRule="auto"/>
              <w:rPr>
                <w:rFonts w:ascii="Aptos" w:eastAsia="Times New Roman" w:hAnsi="Aptos" w:cs="Arial"/>
                <w:color w:val="000000"/>
                <w:kern w:val="0"/>
                <w:sz w:val="22"/>
                <w14:ligatures w14:val="none"/>
              </w:rPr>
            </w:pPr>
            <w:r w:rsidRPr="003C4353">
              <w:rPr>
                <w:rFonts w:ascii="Aptos" w:eastAsia="Times New Roman" w:hAnsi="Aptos" w:cs="Arial"/>
                <w:color w:val="000000"/>
                <w:kern w:val="0"/>
                <w:sz w:val="22"/>
                <w14:ligatures w14:val="none"/>
              </w:rPr>
              <w:t>Total PMPM paid</w:t>
            </w:r>
          </w:p>
        </w:tc>
        <w:tc>
          <w:tcPr>
            <w:tcW w:w="1840" w:type="dxa"/>
            <w:tcBorders>
              <w:top w:val="single" w:sz="4" w:space="0" w:color="A6A6A6"/>
              <w:left w:val="nil"/>
              <w:bottom w:val="single" w:sz="4" w:space="0" w:color="A6A6A6"/>
              <w:right w:val="single" w:sz="4" w:space="0" w:color="A6A6A6"/>
            </w:tcBorders>
            <w:shd w:val="clear" w:color="000000" w:fill="CD76C7"/>
            <w:vAlign w:val="center"/>
            <w:hideMark/>
          </w:tcPr>
          <w:p w14:paraId="7B4CAA57" w14:textId="77777777" w:rsidR="003C4353" w:rsidRPr="003C4353" w:rsidRDefault="003C4353" w:rsidP="003C4353">
            <w:pPr>
              <w:spacing w:after="0" w:line="240" w:lineRule="auto"/>
              <w:rPr>
                <w:rFonts w:ascii="Aptos" w:eastAsia="Times New Roman" w:hAnsi="Aptos" w:cs="Arial"/>
                <w:color w:val="000000"/>
                <w:kern w:val="0"/>
                <w:sz w:val="22"/>
                <w14:ligatures w14:val="none"/>
              </w:rPr>
            </w:pPr>
            <w:r w:rsidRPr="003C4353">
              <w:rPr>
                <w:rFonts w:ascii="Aptos" w:eastAsia="Times New Roman" w:hAnsi="Aptos" w:cs="Arial"/>
                <w:color w:val="000000"/>
                <w:kern w:val="0"/>
                <w:sz w:val="22"/>
                <w14:ligatures w14:val="none"/>
              </w:rPr>
              <w:t>Total CCO payment (% of PMPM)</w:t>
            </w:r>
          </w:p>
        </w:tc>
      </w:tr>
      <w:tr w:rsidR="003C4353" w:rsidRPr="003C4353" w14:paraId="4BCB81BD"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0E62E4B1"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Advanced Health</w:t>
            </w:r>
          </w:p>
        </w:tc>
        <w:tc>
          <w:tcPr>
            <w:tcW w:w="1840" w:type="dxa"/>
            <w:tcBorders>
              <w:top w:val="nil"/>
              <w:left w:val="nil"/>
              <w:bottom w:val="single" w:sz="4" w:space="0" w:color="A6A6A6"/>
              <w:right w:val="single" w:sz="4" w:space="0" w:color="A6A6A6"/>
            </w:tcBorders>
            <w:vAlign w:val="center"/>
            <w:hideMark/>
          </w:tcPr>
          <w:p w14:paraId="02EC1DBE"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$3,677,808</w:t>
            </w:r>
          </w:p>
        </w:tc>
        <w:tc>
          <w:tcPr>
            <w:tcW w:w="1840" w:type="dxa"/>
            <w:tcBorders>
              <w:top w:val="nil"/>
              <w:left w:val="nil"/>
              <w:bottom w:val="single" w:sz="4" w:space="0" w:color="A6A6A6"/>
              <w:right w:val="single" w:sz="4" w:space="0" w:color="A6A6A6"/>
            </w:tcBorders>
            <w:vAlign w:val="center"/>
            <w:hideMark/>
          </w:tcPr>
          <w:p w14:paraId="373DA16B"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$75,057</w:t>
            </w:r>
          </w:p>
        </w:tc>
        <w:tc>
          <w:tcPr>
            <w:tcW w:w="1840" w:type="dxa"/>
            <w:tcBorders>
              <w:top w:val="nil"/>
              <w:left w:val="nil"/>
              <w:bottom w:val="single" w:sz="4" w:space="0" w:color="A6A6A6"/>
              <w:right w:val="single" w:sz="4" w:space="0" w:color="A6A6A6"/>
            </w:tcBorders>
            <w:vAlign w:val="center"/>
            <w:hideMark/>
          </w:tcPr>
          <w:p w14:paraId="526663D5"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$3,752,865</w:t>
            </w:r>
          </w:p>
        </w:tc>
        <w:tc>
          <w:tcPr>
            <w:tcW w:w="1840" w:type="dxa"/>
            <w:tcBorders>
              <w:top w:val="nil"/>
              <w:left w:val="nil"/>
              <w:bottom w:val="single" w:sz="4" w:space="0" w:color="A6A6A6"/>
              <w:right w:val="single" w:sz="4" w:space="0" w:color="A6A6A6"/>
            </w:tcBorders>
            <w:vAlign w:val="center"/>
            <w:hideMark/>
          </w:tcPr>
          <w:p w14:paraId="3D10CAAE"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$181,106,375</w:t>
            </w:r>
          </w:p>
        </w:tc>
        <w:tc>
          <w:tcPr>
            <w:tcW w:w="1840" w:type="dxa"/>
            <w:tcBorders>
              <w:top w:val="nil"/>
              <w:left w:val="nil"/>
              <w:bottom w:val="single" w:sz="4" w:space="0" w:color="A6A6A6"/>
              <w:right w:val="single" w:sz="4" w:space="0" w:color="A6A6A6"/>
            </w:tcBorders>
            <w:vAlign w:val="center"/>
            <w:hideMark/>
          </w:tcPr>
          <w:p w14:paraId="483C490E"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102.1%</w:t>
            </w:r>
          </w:p>
        </w:tc>
      </w:tr>
      <w:tr w:rsidR="003C4353" w:rsidRPr="003C4353" w14:paraId="0CB8576E"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593D1FD4"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AllCare Health Plan</w:t>
            </w:r>
          </w:p>
        </w:tc>
        <w:tc>
          <w:tcPr>
            <w:tcW w:w="1840" w:type="dxa"/>
            <w:tcBorders>
              <w:top w:val="nil"/>
              <w:left w:val="nil"/>
              <w:bottom w:val="single" w:sz="4" w:space="0" w:color="A6A6A6"/>
              <w:right w:val="single" w:sz="4" w:space="0" w:color="A6A6A6"/>
            </w:tcBorders>
            <w:vAlign w:val="center"/>
            <w:hideMark/>
          </w:tcPr>
          <w:p w14:paraId="18FADEA3"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$9,813,762</w:t>
            </w:r>
          </w:p>
        </w:tc>
        <w:tc>
          <w:tcPr>
            <w:tcW w:w="1840" w:type="dxa"/>
            <w:tcBorders>
              <w:top w:val="nil"/>
              <w:left w:val="nil"/>
              <w:bottom w:val="single" w:sz="4" w:space="0" w:color="A6A6A6"/>
              <w:right w:val="single" w:sz="4" w:space="0" w:color="A6A6A6"/>
            </w:tcBorders>
            <w:vAlign w:val="center"/>
            <w:hideMark/>
          </w:tcPr>
          <w:p w14:paraId="6B3BC5CA"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$200,281</w:t>
            </w:r>
          </w:p>
        </w:tc>
        <w:tc>
          <w:tcPr>
            <w:tcW w:w="1840" w:type="dxa"/>
            <w:tcBorders>
              <w:top w:val="nil"/>
              <w:left w:val="nil"/>
              <w:bottom w:val="single" w:sz="4" w:space="0" w:color="A6A6A6"/>
              <w:right w:val="single" w:sz="4" w:space="0" w:color="A6A6A6"/>
            </w:tcBorders>
            <w:vAlign w:val="center"/>
            <w:hideMark/>
          </w:tcPr>
          <w:p w14:paraId="6F1FC786"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$10,014,043</w:t>
            </w:r>
          </w:p>
        </w:tc>
        <w:tc>
          <w:tcPr>
            <w:tcW w:w="1840" w:type="dxa"/>
            <w:tcBorders>
              <w:top w:val="nil"/>
              <w:left w:val="nil"/>
              <w:bottom w:val="single" w:sz="4" w:space="0" w:color="A6A6A6"/>
              <w:right w:val="single" w:sz="4" w:space="0" w:color="A6A6A6"/>
            </w:tcBorders>
            <w:vAlign w:val="center"/>
            <w:hideMark/>
          </w:tcPr>
          <w:p w14:paraId="3136444F"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$374,790,515</w:t>
            </w:r>
          </w:p>
        </w:tc>
        <w:tc>
          <w:tcPr>
            <w:tcW w:w="1840" w:type="dxa"/>
            <w:tcBorders>
              <w:top w:val="nil"/>
              <w:left w:val="nil"/>
              <w:bottom w:val="single" w:sz="4" w:space="0" w:color="A6A6A6"/>
              <w:right w:val="single" w:sz="4" w:space="0" w:color="A6A6A6"/>
            </w:tcBorders>
            <w:vAlign w:val="center"/>
            <w:hideMark/>
          </w:tcPr>
          <w:p w14:paraId="09E76272"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102.7%</w:t>
            </w:r>
          </w:p>
        </w:tc>
      </w:tr>
      <w:tr w:rsidR="003C4353" w:rsidRPr="003C4353" w14:paraId="65392CBE"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16FECA4A"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Cascade Health Alliance</w:t>
            </w:r>
          </w:p>
        </w:tc>
        <w:tc>
          <w:tcPr>
            <w:tcW w:w="1840" w:type="dxa"/>
            <w:tcBorders>
              <w:top w:val="nil"/>
              <w:left w:val="nil"/>
              <w:bottom w:val="single" w:sz="4" w:space="0" w:color="A6A6A6"/>
              <w:right w:val="single" w:sz="4" w:space="0" w:color="A6A6A6"/>
            </w:tcBorders>
            <w:vAlign w:val="center"/>
            <w:hideMark/>
          </w:tcPr>
          <w:p w14:paraId="47A33C9E"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$5,548,434</w:t>
            </w:r>
          </w:p>
        </w:tc>
        <w:tc>
          <w:tcPr>
            <w:tcW w:w="1840" w:type="dxa"/>
            <w:tcBorders>
              <w:top w:val="nil"/>
              <w:left w:val="nil"/>
              <w:bottom w:val="single" w:sz="4" w:space="0" w:color="A6A6A6"/>
              <w:right w:val="single" w:sz="4" w:space="0" w:color="A6A6A6"/>
            </w:tcBorders>
            <w:vAlign w:val="center"/>
            <w:hideMark/>
          </w:tcPr>
          <w:p w14:paraId="5C595B07"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$113,233</w:t>
            </w:r>
          </w:p>
        </w:tc>
        <w:tc>
          <w:tcPr>
            <w:tcW w:w="1840" w:type="dxa"/>
            <w:tcBorders>
              <w:top w:val="nil"/>
              <w:left w:val="nil"/>
              <w:bottom w:val="single" w:sz="4" w:space="0" w:color="A6A6A6"/>
              <w:right w:val="single" w:sz="4" w:space="0" w:color="A6A6A6"/>
            </w:tcBorders>
            <w:vAlign w:val="center"/>
            <w:hideMark/>
          </w:tcPr>
          <w:p w14:paraId="6B060F61"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$5,661,668</w:t>
            </w:r>
          </w:p>
        </w:tc>
        <w:tc>
          <w:tcPr>
            <w:tcW w:w="1840" w:type="dxa"/>
            <w:tcBorders>
              <w:top w:val="nil"/>
              <w:left w:val="nil"/>
              <w:bottom w:val="single" w:sz="4" w:space="0" w:color="A6A6A6"/>
              <w:right w:val="single" w:sz="4" w:space="0" w:color="A6A6A6"/>
            </w:tcBorders>
            <w:vAlign w:val="center"/>
            <w:hideMark/>
          </w:tcPr>
          <w:p w14:paraId="6288F565"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$158,804,564</w:t>
            </w:r>
          </w:p>
        </w:tc>
        <w:tc>
          <w:tcPr>
            <w:tcW w:w="1840" w:type="dxa"/>
            <w:tcBorders>
              <w:top w:val="nil"/>
              <w:left w:val="nil"/>
              <w:bottom w:val="single" w:sz="4" w:space="0" w:color="A6A6A6"/>
              <w:right w:val="single" w:sz="4" w:space="0" w:color="A6A6A6"/>
            </w:tcBorders>
            <w:vAlign w:val="center"/>
            <w:hideMark/>
          </w:tcPr>
          <w:p w14:paraId="3B3B18F4"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103.6%</w:t>
            </w:r>
          </w:p>
        </w:tc>
      </w:tr>
      <w:tr w:rsidR="003C4353" w:rsidRPr="003C4353" w14:paraId="6527811C"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5D7668A3"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Columbia Pacific</w:t>
            </w:r>
          </w:p>
        </w:tc>
        <w:tc>
          <w:tcPr>
            <w:tcW w:w="1840" w:type="dxa"/>
            <w:tcBorders>
              <w:top w:val="nil"/>
              <w:left w:val="nil"/>
              <w:bottom w:val="single" w:sz="4" w:space="0" w:color="A6A6A6"/>
              <w:right w:val="single" w:sz="4" w:space="0" w:color="A6A6A6"/>
            </w:tcBorders>
            <w:vAlign w:val="center"/>
            <w:hideMark/>
          </w:tcPr>
          <w:p w14:paraId="22991979"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$5,322,218</w:t>
            </w:r>
          </w:p>
        </w:tc>
        <w:tc>
          <w:tcPr>
            <w:tcW w:w="1840" w:type="dxa"/>
            <w:tcBorders>
              <w:top w:val="nil"/>
              <w:left w:val="nil"/>
              <w:bottom w:val="single" w:sz="4" w:space="0" w:color="A6A6A6"/>
              <w:right w:val="single" w:sz="4" w:space="0" w:color="A6A6A6"/>
            </w:tcBorders>
            <w:vAlign w:val="center"/>
            <w:hideMark/>
          </w:tcPr>
          <w:p w14:paraId="6672EBC8"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$108,617</w:t>
            </w:r>
          </w:p>
        </w:tc>
        <w:tc>
          <w:tcPr>
            <w:tcW w:w="1840" w:type="dxa"/>
            <w:tcBorders>
              <w:top w:val="nil"/>
              <w:left w:val="nil"/>
              <w:bottom w:val="single" w:sz="4" w:space="0" w:color="A6A6A6"/>
              <w:right w:val="single" w:sz="4" w:space="0" w:color="A6A6A6"/>
            </w:tcBorders>
            <w:vAlign w:val="center"/>
            <w:hideMark/>
          </w:tcPr>
          <w:p w14:paraId="61CC33AB"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$5,430,835</w:t>
            </w:r>
          </w:p>
        </w:tc>
        <w:tc>
          <w:tcPr>
            <w:tcW w:w="1840" w:type="dxa"/>
            <w:tcBorders>
              <w:top w:val="nil"/>
              <w:left w:val="nil"/>
              <w:bottom w:val="single" w:sz="4" w:space="0" w:color="A6A6A6"/>
              <w:right w:val="single" w:sz="4" w:space="0" w:color="A6A6A6"/>
            </w:tcBorders>
            <w:vAlign w:val="center"/>
            <w:hideMark/>
          </w:tcPr>
          <w:p w14:paraId="71E7030E"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$262,150,771</w:t>
            </w:r>
          </w:p>
        </w:tc>
        <w:tc>
          <w:tcPr>
            <w:tcW w:w="1840" w:type="dxa"/>
            <w:tcBorders>
              <w:top w:val="nil"/>
              <w:left w:val="nil"/>
              <w:bottom w:val="single" w:sz="4" w:space="0" w:color="A6A6A6"/>
              <w:right w:val="single" w:sz="4" w:space="0" w:color="A6A6A6"/>
            </w:tcBorders>
            <w:vAlign w:val="center"/>
            <w:hideMark/>
          </w:tcPr>
          <w:p w14:paraId="466D2B6B"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102.1%</w:t>
            </w:r>
          </w:p>
        </w:tc>
      </w:tr>
      <w:tr w:rsidR="003C4353" w:rsidRPr="003C4353" w14:paraId="7FB793F2"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3790F5D3"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Eastern Oregon</w:t>
            </w:r>
          </w:p>
        </w:tc>
        <w:tc>
          <w:tcPr>
            <w:tcW w:w="1840" w:type="dxa"/>
            <w:tcBorders>
              <w:top w:val="nil"/>
              <w:left w:val="nil"/>
              <w:bottom w:val="single" w:sz="4" w:space="0" w:color="A6A6A6"/>
              <w:right w:val="single" w:sz="4" w:space="0" w:color="A6A6A6"/>
            </w:tcBorders>
            <w:vAlign w:val="center"/>
            <w:hideMark/>
          </w:tcPr>
          <w:p w14:paraId="4F3373A5"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$14,655,813</w:t>
            </w:r>
          </w:p>
        </w:tc>
        <w:tc>
          <w:tcPr>
            <w:tcW w:w="1840" w:type="dxa"/>
            <w:tcBorders>
              <w:top w:val="nil"/>
              <w:left w:val="nil"/>
              <w:bottom w:val="single" w:sz="4" w:space="0" w:color="A6A6A6"/>
              <w:right w:val="single" w:sz="4" w:space="0" w:color="A6A6A6"/>
            </w:tcBorders>
            <w:vAlign w:val="center"/>
            <w:hideMark/>
          </w:tcPr>
          <w:p w14:paraId="03E87289"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$299,098</w:t>
            </w:r>
          </w:p>
        </w:tc>
        <w:tc>
          <w:tcPr>
            <w:tcW w:w="1840" w:type="dxa"/>
            <w:tcBorders>
              <w:top w:val="nil"/>
              <w:left w:val="nil"/>
              <w:bottom w:val="single" w:sz="4" w:space="0" w:color="A6A6A6"/>
              <w:right w:val="single" w:sz="4" w:space="0" w:color="A6A6A6"/>
            </w:tcBorders>
            <w:vAlign w:val="center"/>
            <w:hideMark/>
          </w:tcPr>
          <w:p w14:paraId="077EB356"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$14,954,912</w:t>
            </w:r>
          </w:p>
        </w:tc>
        <w:tc>
          <w:tcPr>
            <w:tcW w:w="1840" w:type="dxa"/>
            <w:tcBorders>
              <w:top w:val="nil"/>
              <w:left w:val="nil"/>
              <w:bottom w:val="single" w:sz="4" w:space="0" w:color="A6A6A6"/>
              <w:right w:val="single" w:sz="4" w:space="0" w:color="A6A6A6"/>
            </w:tcBorders>
            <w:vAlign w:val="center"/>
            <w:hideMark/>
          </w:tcPr>
          <w:p w14:paraId="22B29B3F"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$497,061,200</w:t>
            </w:r>
          </w:p>
        </w:tc>
        <w:tc>
          <w:tcPr>
            <w:tcW w:w="1840" w:type="dxa"/>
            <w:tcBorders>
              <w:top w:val="nil"/>
              <w:left w:val="nil"/>
              <w:bottom w:val="single" w:sz="4" w:space="0" w:color="A6A6A6"/>
              <w:right w:val="single" w:sz="4" w:space="0" w:color="A6A6A6"/>
            </w:tcBorders>
            <w:vAlign w:val="center"/>
            <w:hideMark/>
          </w:tcPr>
          <w:p w14:paraId="38FA91C9"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103.0%</w:t>
            </w:r>
          </w:p>
        </w:tc>
      </w:tr>
      <w:tr w:rsidR="003C4353" w:rsidRPr="003C4353" w14:paraId="5EF37ED0"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40B3B981"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Health Share of Oregon</w:t>
            </w:r>
          </w:p>
        </w:tc>
        <w:tc>
          <w:tcPr>
            <w:tcW w:w="1840" w:type="dxa"/>
            <w:tcBorders>
              <w:top w:val="nil"/>
              <w:left w:val="nil"/>
              <w:bottom w:val="single" w:sz="4" w:space="0" w:color="A6A6A6"/>
              <w:right w:val="single" w:sz="4" w:space="0" w:color="A6A6A6"/>
            </w:tcBorders>
            <w:vAlign w:val="center"/>
            <w:hideMark/>
          </w:tcPr>
          <w:p w14:paraId="49E056D0"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$78,716,238</w:t>
            </w:r>
          </w:p>
        </w:tc>
        <w:tc>
          <w:tcPr>
            <w:tcW w:w="1840" w:type="dxa"/>
            <w:tcBorders>
              <w:top w:val="nil"/>
              <w:left w:val="nil"/>
              <w:bottom w:val="single" w:sz="4" w:space="0" w:color="A6A6A6"/>
              <w:right w:val="single" w:sz="4" w:space="0" w:color="A6A6A6"/>
            </w:tcBorders>
            <w:vAlign w:val="center"/>
            <w:hideMark/>
          </w:tcPr>
          <w:p w14:paraId="3E6F584F"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$1,606,454</w:t>
            </w:r>
          </w:p>
        </w:tc>
        <w:tc>
          <w:tcPr>
            <w:tcW w:w="1840" w:type="dxa"/>
            <w:tcBorders>
              <w:top w:val="nil"/>
              <w:left w:val="nil"/>
              <w:bottom w:val="single" w:sz="4" w:space="0" w:color="A6A6A6"/>
              <w:right w:val="single" w:sz="4" w:space="0" w:color="A6A6A6"/>
            </w:tcBorders>
            <w:vAlign w:val="center"/>
            <w:hideMark/>
          </w:tcPr>
          <w:p w14:paraId="509B9402"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$80,322,692</w:t>
            </w:r>
          </w:p>
        </w:tc>
        <w:tc>
          <w:tcPr>
            <w:tcW w:w="1840" w:type="dxa"/>
            <w:tcBorders>
              <w:top w:val="nil"/>
              <w:left w:val="nil"/>
              <w:bottom w:val="single" w:sz="4" w:space="0" w:color="A6A6A6"/>
              <w:right w:val="single" w:sz="4" w:space="0" w:color="A6A6A6"/>
            </w:tcBorders>
            <w:vAlign w:val="center"/>
            <w:hideMark/>
          </w:tcPr>
          <w:p w14:paraId="7B89EB3D"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$2,546,175,365</w:t>
            </w:r>
          </w:p>
        </w:tc>
        <w:tc>
          <w:tcPr>
            <w:tcW w:w="1840" w:type="dxa"/>
            <w:tcBorders>
              <w:top w:val="nil"/>
              <w:left w:val="nil"/>
              <w:bottom w:val="single" w:sz="4" w:space="0" w:color="A6A6A6"/>
              <w:right w:val="single" w:sz="4" w:space="0" w:color="A6A6A6"/>
            </w:tcBorders>
            <w:vAlign w:val="center"/>
            <w:hideMark/>
          </w:tcPr>
          <w:p w14:paraId="75126D2E"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103.2%</w:t>
            </w:r>
          </w:p>
        </w:tc>
      </w:tr>
      <w:tr w:rsidR="003C4353" w:rsidRPr="003C4353" w14:paraId="369592FC"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3E54CA34"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InterCommunity Health Network</w:t>
            </w:r>
          </w:p>
        </w:tc>
        <w:tc>
          <w:tcPr>
            <w:tcW w:w="1840" w:type="dxa"/>
            <w:tcBorders>
              <w:top w:val="nil"/>
              <w:left w:val="nil"/>
              <w:bottom w:val="single" w:sz="4" w:space="0" w:color="A6A6A6"/>
              <w:right w:val="single" w:sz="4" w:space="0" w:color="A6A6A6"/>
            </w:tcBorders>
            <w:vAlign w:val="center"/>
            <w:hideMark/>
          </w:tcPr>
          <w:p w14:paraId="55DE0228"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$17,596,203</w:t>
            </w:r>
          </w:p>
        </w:tc>
        <w:tc>
          <w:tcPr>
            <w:tcW w:w="1840" w:type="dxa"/>
            <w:tcBorders>
              <w:top w:val="nil"/>
              <w:left w:val="nil"/>
              <w:bottom w:val="single" w:sz="4" w:space="0" w:color="A6A6A6"/>
              <w:right w:val="single" w:sz="4" w:space="0" w:color="A6A6A6"/>
            </w:tcBorders>
            <w:vAlign w:val="center"/>
            <w:hideMark/>
          </w:tcPr>
          <w:p w14:paraId="4105AD7F"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$359,106</w:t>
            </w:r>
          </w:p>
        </w:tc>
        <w:tc>
          <w:tcPr>
            <w:tcW w:w="1840" w:type="dxa"/>
            <w:tcBorders>
              <w:top w:val="nil"/>
              <w:left w:val="nil"/>
              <w:bottom w:val="single" w:sz="4" w:space="0" w:color="A6A6A6"/>
              <w:right w:val="single" w:sz="4" w:space="0" w:color="A6A6A6"/>
            </w:tcBorders>
            <w:vAlign w:val="center"/>
            <w:hideMark/>
          </w:tcPr>
          <w:p w14:paraId="11DDA95F"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$17,955,309</w:t>
            </w:r>
          </w:p>
        </w:tc>
        <w:tc>
          <w:tcPr>
            <w:tcW w:w="1840" w:type="dxa"/>
            <w:tcBorders>
              <w:top w:val="nil"/>
              <w:left w:val="nil"/>
              <w:bottom w:val="single" w:sz="4" w:space="0" w:color="A6A6A6"/>
              <w:right w:val="single" w:sz="4" w:space="0" w:color="A6A6A6"/>
            </w:tcBorders>
            <w:vAlign w:val="center"/>
            <w:hideMark/>
          </w:tcPr>
          <w:p w14:paraId="7FB758E1"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$539,569,840</w:t>
            </w:r>
          </w:p>
        </w:tc>
        <w:tc>
          <w:tcPr>
            <w:tcW w:w="1840" w:type="dxa"/>
            <w:tcBorders>
              <w:top w:val="nil"/>
              <w:left w:val="nil"/>
              <w:bottom w:val="single" w:sz="4" w:space="0" w:color="A6A6A6"/>
              <w:right w:val="single" w:sz="4" w:space="0" w:color="A6A6A6"/>
            </w:tcBorders>
            <w:vAlign w:val="center"/>
            <w:hideMark/>
          </w:tcPr>
          <w:p w14:paraId="37D9B8DC"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103.3%</w:t>
            </w:r>
          </w:p>
        </w:tc>
      </w:tr>
      <w:tr w:rsidR="003C4353" w:rsidRPr="003C4353" w14:paraId="6BC358AB"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233496D4"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Jackson Care Connect</w:t>
            </w:r>
          </w:p>
        </w:tc>
        <w:tc>
          <w:tcPr>
            <w:tcW w:w="1840" w:type="dxa"/>
            <w:tcBorders>
              <w:top w:val="nil"/>
              <w:left w:val="nil"/>
              <w:bottom w:val="single" w:sz="4" w:space="0" w:color="A6A6A6"/>
              <w:right w:val="single" w:sz="4" w:space="0" w:color="A6A6A6"/>
            </w:tcBorders>
            <w:vAlign w:val="center"/>
            <w:hideMark/>
          </w:tcPr>
          <w:p w14:paraId="338B0F38"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$9,007,774</w:t>
            </w:r>
          </w:p>
        </w:tc>
        <w:tc>
          <w:tcPr>
            <w:tcW w:w="1840" w:type="dxa"/>
            <w:tcBorders>
              <w:top w:val="nil"/>
              <w:left w:val="nil"/>
              <w:bottom w:val="single" w:sz="4" w:space="0" w:color="A6A6A6"/>
              <w:right w:val="single" w:sz="4" w:space="0" w:color="A6A6A6"/>
            </w:tcBorders>
            <w:vAlign w:val="center"/>
            <w:hideMark/>
          </w:tcPr>
          <w:p w14:paraId="78D3A6C4"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$183,832</w:t>
            </w:r>
          </w:p>
        </w:tc>
        <w:tc>
          <w:tcPr>
            <w:tcW w:w="1840" w:type="dxa"/>
            <w:tcBorders>
              <w:top w:val="nil"/>
              <w:left w:val="nil"/>
              <w:bottom w:val="single" w:sz="4" w:space="0" w:color="A6A6A6"/>
              <w:right w:val="single" w:sz="4" w:space="0" w:color="A6A6A6"/>
            </w:tcBorders>
            <w:vAlign w:val="center"/>
            <w:hideMark/>
          </w:tcPr>
          <w:p w14:paraId="6AB19BB8"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$9,191,607</w:t>
            </w:r>
          </w:p>
        </w:tc>
        <w:tc>
          <w:tcPr>
            <w:tcW w:w="1840" w:type="dxa"/>
            <w:tcBorders>
              <w:top w:val="nil"/>
              <w:left w:val="nil"/>
              <w:bottom w:val="single" w:sz="4" w:space="0" w:color="A6A6A6"/>
              <w:right w:val="single" w:sz="4" w:space="0" w:color="A6A6A6"/>
            </w:tcBorders>
            <w:vAlign w:val="center"/>
            <w:hideMark/>
          </w:tcPr>
          <w:p w14:paraId="3AAFDF0D"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$378,367,215</w:t>
            </w:r>
          </w:p>
        </w:tc>
        <w:tc>
          <w:tcPr>
            <w:tcW w:w="1840" w:type="dxa"/>
            <w:tcBorders>
              <w:top w:val="nil"/>
              <w:left w:val="nil"/>
              <w:bottom w:val="single" w:sz="4" w:space="0" w:color="A6A6A6"/>
              <w:right w:val="single" w:sz="4" w:space="0" w:color="A6A6A6"/>
            </w:tcBorders>
            <w:vAlign w:val="center"/>
            <w:hideMark/>
          </w:tcPr>
          <w:p w14:paraId="080CBD35"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102.4%</w:t>
            </w:r>
          </w:p>
        </w:tc>
      </w:tr>
      <w:tr w:rsidR="003C4353" w:rsidRPr="003C4353" w14:paraId="1562E186"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402D7DB9"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 xml:space="preserve">PacificSource Central </w:t>
            </w:r>
          </w:p>
        </w:tc>
        <w:tc>
          <w:tcPr>
            <w:tcW w:w="1840" w:type="dxa"/>
            <w:tcBorders>
              <w:top w:val="nil"/>
              <w:left w:val="nil"/>
              <w:bottom w:val="single" w:sz="4" w:space="0" w:color="A6A6A6"/>
              <w:right w:val="single" w:sz="4" w:space="0" w:color="A6A6A6"/>
            </w:tcBorders>
            <w:vAlign w:val="center"/>
            <w:hideMark/>
          </w:tcPr>
          <w:p w14:paraId="2C3D07BD"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$13,492,710</w:t>
            </w:r>
          </w:p>
        </w:tc>
        <w:tc>
          <w:tcPr>
            <w:tcW w:w="1840" w:type="dxa"/>
            <w:tcBorders>
              <w:top w:val="nil"/>
              <w:left w:val="nil"/>
              <w:bottom w:val="single" w:sz="4" w:space="0" w:color="A6A6A6"/>
              <w:right w:val="single" w:sz="4" w:space="0" w:color="A6A6A6"/>
            </w:tcBorders>
            <w:vAlign w:val="center"/>
            <w:hideMark/>
          </w:tcPr>
          <w:p w14:paraId="3C5E95DB"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$275,361</w:t>
            </w:r>
          </w:p>
        </w:tc>
        <w:tc>
          <w:tcPr>
            <w:tcW w:w="1840" w:type="dxa"/>
            <w:tcBorders>
              <w:top w:val="nil"/>
              <w:left w:val="nil"/>
              <w:bottom w:val="single" w:sz="4" w:space="0" w:color="A6A6A6"/>
              <w:right w:val="single" w:sz="4" w:space="0" w:color="A6A6A6"/>
            </w:tcBorders>
            <w:vAlign w:val="center"/>
            <w:hideMark/>
          </w:tcPr>
          <w:p w14:paraId="13A7D53E"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$13,768,071</w:t>
            </w:r>
          </w:p>
        </w:tc>
        <w:tc>
          <w:tcPr>
            <w:tcW w:w="1840" w:type="dxa"/>
            <w:tcBorders>
              <w:top w:val="nil"/>
              <w:left w:val="nil"/>
              <w:bottom w:val="single" w:sz="4" w:space="0" w:color="A6A6A6"/>
              <w:right w:val="single" w:sz="4" w:space="0" w:color="A6A6A6"/>
            </w:tcBorders>
            <w:vAlign w:val="center"/>
            <w:hideMark/>
          </w:tcPr>
          <w:p w14:paraId="28AC6778"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$536,390,197</w:t>
            </w:r>
          </w:p>
        </w:tc>
        <w:tc>
          <w:tcPr>
            <w:tcW w:w="1840" w:type="dxa"/>
            <w:tcBorders>
              <w:top w:val="nil"/>
              <w:left w:val="nil"/>
              <w:bottom w:val="single" w:sz="4" w:space="0" w:color="A6A6A6"/>
              <w:right w:val="single" w:sz="4" w:space="0" w:color="A6A6A6"/>
            </w:tcBorders>
            <w:vAlign w:val="center"/>
            <w:hideMark/>
          </w:tcPr>
          <w:p w14:paraId="790A260E"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102.6%</w:t>
            </w:r>
          </w:p>
        </w:tc>
      </w:tr>
      <w:tr w:rsidR="003C4353" w:rsidRPr="003C4353" w14:paraId="737233CC"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0D727DAA"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PacificSource Gorge</w:t>
            </w:r>
          </w:p>
        </w:tc>
        <w:tc>
          <w:tcPr>
            <w:tcW w:w="1840" w:type="dxa"/>
            <w:tcBorders>
              <w:top w:val="nil"/>
              <w:left w:val="nil"/>
              <w:bottom w:val="single" w:sz="4" w:space="0" w:color="A6A6A6"/>
              <w:right w:val="single" w:sz="4" w:space="0" w:color="A6A6A6"/>
            </w:tcBorders>
            <w:vAlign w:val="center"/>
            <w:hideMark/>
          </w:tcPr>
          <w:p w14:paraId="7C4BAE22"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$3,864,432</w:t>
            </w:r>
          </w:p>
        </w:tc>
        <w:tc>
          <w:tcPr>
            <w:tcW w:w="1840" w:type="dxa"/>
            <w:tcBorders>
              <w:top w:val="nil"/>
              <w:left w:val="nil"/>
              <w:bottom w:val="single" w:sz="4" w:space="0" w:color="A6A6A6"/>
              <w:right w:val="single" w:sz="4" w:space="0" w:color="A6A6A6"/>
            </w:tcBorders>
            <w:vAlign w:val="center"/>
            <w:hideMark/>
          </w:tcPr>
          <w:p w14:paraId="7E644436"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$78,866</w:t>
            </w:r>
          </w:p>
        </w:tc>
        <w:tc>
          <w:tcPr>
            <w:tcW w:w="1840" w:type="dxa"/>
            <w:tcBorders>
              <w:top w:val="nil"/>
              <w:left w:val="nil"/>
              <w:bottom w:val="single" w:sz="4" w:space="0" w:color="A6A6A6"/>
              <w:right w:val="single" w:sz="4" w:space="0" w:color="A6A6A6"/>
            </w:tcBorders>
            <w:vAlign w:val="center"/>
            <w:hideMark/>
          </w:tcPr>
          <w:p w14:paraId="6799C12D"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$3,943,298</w:t>
            </w:r>
          </w:p>
        </w:tc>
        <w:tc>
          <w:tcPr>
            <w:tcW w:w="1840" w:type="dxa"/>
            <w:tcBorders>
              <w:top w:val="nil"/>
              <w:left w:val="nil"/>
              <w:bottom w:val="single" w:sz="4" w:space="0" w:color="A6A6A6"/>
              <w:right w:val="single" w:sz="4" w:space="0" w:color="A6A6A6"/>
            </w:tcBorders>
            <w:vAlign w:val="center"/>
            <w:hideMark/>
          </w:tcPr>
          <w:p w14:paraId="1094DB67"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$108,296,346</w:t>
            </w:r>
          </w:p>
        </w:tc>
        <w:tc>
          <w:tcPr>
            <w:tcW w:w="1840" w:type="dxa"/>
            <w:tcBorders>
              <w:top w:val="nil"/>
              <w:left w:val="nil"/>
              <w:bottom w:val="single" w:sz="4" w:space="0" w:color="A6A6A6"/>
              <w:right w:val="single" w:sz="4" w:space="0" w:color="A6A6A6"/>
            </w:tcBorders>
            <w:vAlign w:val="center"/>
            <w:hideMark/>
          </w:tcPr>
          <w:p w14:paraId="39B1C227"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103.6%</w:t>
            </w:r>
          </w:p>
        </w:tc>
      </w:tr>
      <w:tr w:rsidR="003C4353" w:rsidRPr="003C4353" w14:paraId="6840BED9"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7F3A0CF2"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 xml:space="preserve">PacificSource Lane </w:t>
            </w:r>
          </w:p>
        </w:tc>
        <w:tc>
          <w:tcPr>
            <w:tcW w:w="1840" w:type="dxa"/>
            <w:tcBorders>
              <w:top w:val="nil"/>
              <w:left w:val="nil"/>
              <w:bottom w:val="single" w:sz="4" w:space="0" w:color="A6A6A6"/>
              <w:right w:val="single" w:sz="4" w:space="0" w:color="A6A6A6"/>
            </w:tcBorders>
            <w:vAlign w:val="center"/>
            <w:hideMark/>
          </w:tcPr>
          <w:p w14:paraId="710F9938"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$19,590,435</w:t>
            </w:r>
          </w:p>
        </w:tc>
        <w:tc>
          <w:tcPr>
            <w:tcW w:w="1840" w:type="dxa"/>
            <w:tcBorders>
              <w:top w:val="nil"/>
              <w:left w:val="nil"/>
              <w:bottom w:val="single" w:sz="4" w:space="0" w:color="A6A6A6"/>
              <w:right w:val="single" w:sz="4" w:space="0" w:color="A6A6A6"/>
            </w:tcBorders>
            <w:vAlign w:val="center"/>
            <w:hideMark/>
          </w:tcPr>
          <w:p w14:paraId="7E75FC8A"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$399,805</w:t>
            </w:r>
          </w:p>
        </w:tc>
        <w:tc>
          <w:tcPr>
            <w:tcW w:w="1840" w:type="dxa"/>
            <w:tcBorders>
              <w:top w:val="nil"/>
              <w:left w:val="nil"/>
              <w:bottom w:val="single" w:sz="4" w:space="0" w:color="A6A6A6"/>
              <w:right w:val="single" w:sz="4" w:space="0" w:color="A6A6A6"/>
            </w:tcBorders>
            <w:vAlign w:val="center"/>
            <w:hideMark/>
          </w:tcPr>
          <w:p w14:paraId="0F663C70"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$19,990,240</w:t>
            </w:r>
          </w:p>
        </w:tc>
        <w:tc>
          <w:tcPr>
            <w:tcW w:w="1840" w:type="dxa"/>
            <w:tcBorders>
              <w:top w:val="nil"/>
              <w:left w:val="nil"/>
              <w:bottom w:val="single" w:sz="4" w:space="0" w:color="A6A6A6"/>
              <w:right w:val="single" w:sz="4" w:space="0" w:color="A6A6A6"/>
            </w:tcBorders>
            <w:vAlign w:val="center"/>
            <w:hideMark/>
          </w:tcPr>
          <w:p w14:paraId="6029435E"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$541,890,012</w:t>
            </w:r>
          </w:p>
        </w:tc>
        <w:tc>
          <w:tcPr>
            <w:tcW w:w="1840" w:type="dxa"/>
            <w:tcBorders>
              <w:top w:val="nil"/>
              <w:left w:val="nil"/>
              <w:bottom w:val="single" w:sz="4" w:space="0" w:color="A6A6A6"/>
              <w:right w:val="single" w:sz="4" w:space="0" w:color="A6A6A6"/>
            </w:tcBorders>
            <w:vAlign w:val="center"/>
            <w:hideMark/>
          </w:tcPr>
          <w:p w14:paraId="2A0A4D35"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103.7%</w:t>
            </w:r>
          </w:p>
        </w:tc>
      </w:tr>
      <w:tr w:rsidR="003C4353" w:rsidRPr="003C4353" w14:paraId="417A62C2"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16E66772"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PacificSource Marion Polk</w:t>
            </w:r>
          </w:p>
        </w:tc>
        <w:tc>
          <w:tcPr>
            <w:tcW w:w="1840" w:type="dxa"/>
            <w:tcBorders>
              <w:top w:val="nil"/>
              <w:left w:val="nil"/>
              <w:bottom w:val="single" w:sz="4" w:space="0" w:color="A6A6A6"/>
              <w:right w:val="single" w:sz="4" w:space="0" w:color="A6A6A6"/>
            </w:tcBorders>
            <w:vAlign w:val="center"/>
            <w:hideMark/>
          </w:tcPr>
          <w:p w14:paraId="201B4760"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$21,729,423</w:t>
            </w:r>
          </w:p>
        </w:tc>
        <w:tc>
          <w:tcPr>
            <w:tcW w:w="1840" w:type="dxa"/>
            <w:tcBorders>
              <w:top w:val="nil"/>
              <w:left w:val="nil"/>
              <w:bottom w:val="single" w:sz="4" w:space="0" w:color="A6A6A6"/>
              <w:right w:val="single" w:sz="4" w:space="0" w:color="A6A6A6"/>
            </w:tcBorders>
            <w:vAlign w:val="center"/>
            <w:hideMark/>
          </w:tcPr>
          <w:p w14:paraId="518DE1E0"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$443,458</w:t>
            </w:r>
          </w:p>
        </w:tc>
        <w:tc>
          <w:tcPr>
            <w:tcW w:w="1840" w:type="dxa"/>
            <w:tcBorders>
              <w:top w:val="nil"/>
              <w:left w:val="nil"/>
              <w:bottom w:val="single" w:sz="4" w:space="0" w:color="A6A6A6"/>
              <w:right w:val="single" w:sz="4" w:space="0" w:color="A6A6A6"/>
            </w:tcBorders>
            <w:vAlign w:val="center"/>
            <w:hideMark/>
          </w:tcPr>
          <w:p w14:paraId="4B1F2A76"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$22,172,880</w:t>
            </w:r>
          </w:p>
        </w:tc>
        <w:tc>
          <w:tcPr>
            <w:tcW w:w="1840" w:type="dxa"/>
            <w:tcBorders>
              <w:top w:val="nil"/>
              <w:left w:val="nil"/>
              <w:bottom w:val="single" w:sz="4" w:space="0" w:color="A6A6A6"/>
              <w:right w:val="single" w:sz="4" w:space="0" w:color="A6A6A6"/>
            </w:tcBorders>
            <w:vAlign w:val="center"/>
            <w:hideMark/>
          </w:tcPr>
          <w:p w14:paraId="05ACD3C7"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$869,540,203</w:t>
            </w:r>
          </w:p>
        </w:tc>
        <w:tc>
          <w:tcPr>
            <w:tcW w:w="1840" w:type="dxa"/>
            <w:tcBorders>
              <w:top w:val="nil"/>
              <w:left w:val="nil"/>
              <w:bottom w:val="single" w:sz="4" w:space="0" w:color="A6A6A6"/>
              <w:right w:val="single" w:sz="4" w:space="0" w:color="A6A6A6"/>
            </w:tcBorders>
            <w:vAlign w:val="center"/>
            <w:hideMark/>
          </w:tcPr>
          <w:p w14:paraId="524523C7"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102.5%</w:t>
            </w:r>
          </w:p>
        </w:tc>
      </w:tr>
      <w:tr w:rsidR="003C4353" w:rsidRPr="003C4353" w14:paraId="65D04082"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0F2B81AC"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Trillium North</w:t>
            </w:r>
          </w:p>
        </w:tc>
        <w:tc>
          <w:tcPr>
            <w:tcW w:w="1840" w:type="dxa"/>
            <w:tcBorders>
              <w:top w:val="nil"/>
              <w:left w:val="nil"/>
              <w:bottom w:val="single" w:sz="4" w:space="0" w:color="A6A6A6"/>
              <w:right w:val="single" w:sz="4" w:space="0" w:color="A6A6A6"/>
            </w:tcBorders>
            <w:vAlign w:val="center"/>
            <w:hideMark/>
          </w:tcPr>
          <w:p w14:paraId="131A6B1E"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$10,796,387</w:t>
            </w:r>
          </w:p>
        </w:tc>
        <w:tc>
          <w:tcPr>
            <w:tcW w:w="1840" w:type="dxa"/>
            <w:tcBorders>
              <w:top w:val="nil"/>
              <w:left w:val="nil"/>
              <w:bottom w:val="single" w:sz="4" w:space="0" w:color="A6A6A6"/>
              <w:right w:val="single" w:sz="4" w:space="0" w:color="A6A6A6"/>
            </w:tcBorders>
            <w:vAlign w:val="center"/>
            <w:hideMark/>
          </w:tcPr>
          <w:p w14:paraId="778C2A3F"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$220,334</w:t>
            </w:r>
          </w:p>
        </w:tc>
        <w:tc>
          <w:tcPr>
            <w:tcW w:w="1840" w:type="dxa"/>
            <w:tcBorders>
              <w:top w:val="nil"/>
              <w:left w:val="nil"/>
              <w:bottom w:val="single" w:sz="4" w:space="0" w:color="A6A6A6"/>
              <w:right w:val="single" w:sz="4" w:space="0" w:color="A6A6A6"/>
            </w:tcBorders>
            <w:vAlign w:val="center"/>
            <w:hideMark/>
          </w:tcPr>
          <w:p w14:paraId="573DB69C"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$11,016,722</w:t>
            </w:r>
          </w:p>
        </w:tc>
        <w:tc>
          <w:tcPr>
            <w:tcW w:w="1840" w:type="dxa"/>
            <w:tcBorders>
              <w:top w:val="nil"/>
              <w:left w:val="nil"/>
              <w:bottom w:val="single" w:sz="4" w:space="0" w:color="A6A6A6"/>
              <w:right w:val="single" w:sz="4" w:space="0" w:color="A6A6A6"/>
            </w:tcBorders>
            <w:vAlign w:val="center"/>
            <w:hideMark/>
          </w:tcPr>
          <w:p w14:paraId="75936519"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$285,660,573</w:t>
            </w:r>
          </w:p>
        </w:tc>
        <w:tc>
          <w:tcPr>
            <w:tcW w:w="1840" w:type="dxa"/>
            <w:tcBorders>
              <w:top w:val="nil"/>
              <w:left w:val="nil"/>
              <w:bottom w:val="single" w:sz="4" w:space="0" w:color="A6A6A6"/>
              <w:right w:val="single" w:sz="4" w:space="0" w:color="A6A6A6"/>
            </w:tcBorders>
            <w:vAlign w:val="center"/>
            <w:hideMark/>
          </w:tcPr>
          <w:p w14:paraId="329A5589"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103.9%</w:t>
            </w:r>
          </w:p>
        </w:tc>
      </w:tr>
      <w:tr w:rsidR="003C4353" w:rsidRPr="003C4353" w14:paraId="0578CD62"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0147AFF8"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Trillium South</w:t>
            </w:r>
          </w:p>
        </w:tc>
        <w:tc>
          <w:tcPr>
            <w:tcW w:w="1840" w:type="dxa"/>
            <w:tcBorders>
              <w:top w:val="nil"/>
              <w:left w:val="nil"/>
              <w:bottom w:val="single" w:sz="4" w:space="0" w:color="A6A6A6"/>
              <w:right w:val="single" w:sz="4" w:space="0" w:color="A6A6A6"/>
            </w:tcBorders>
            <w:vAlign w:val="center"/>
            <w:hideMark/>
          </w:tcPr>
          <w:p w14:paraId="3636706C"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$3,899,149</w:t>
            </w:r>
          </w:p>
        </w:tc>
        <w:tc>
          <w:tcPr>
            <w:tcW w:w="1840" w:type="dxa"/>
            <w:tcBorders>
              <w:top w:val="nil"/>
              <w:left w:val="nil"/>
              <w:bottom w:val="single" w:sz="4" w:space="0" w:color="A6A6A6"/>
              <w:right w:val="single" w:sz="4" w:space="0" w:color="A6A6A6"/>
            </w:tcBorders>
            <w:vAlign w:val="center"/>
            <w:hideMark/>
          </w:tcPr>
          <w:p w14:paraId="6183A2F8"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$79,574</w:t>
            </w:r>
          </w:p>
        </w:tc>
        <w:tc>
          <w:tcPr>
            <w:tcW w:w="1840" w:type="dxa"/>
            <w:tcBorders>
              <w:top w:val="nil"/>
              <w:left w:val="nil"/>
              <w:bottom w:val="single" w:sz="4" w:space="0" w:color="A6A6A6"/>
              <w:right w:val="single" w:sz="4" w:space="0" w:color="A6A6A6"/>
            </w:tcBorders>
            <w:vAlign w:val="center"/>
            <w:hideMark/>
          </w:tcPr>
          <w:p w14:paraId="120FF131"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$3,978,724</w:t>
            </w:r>
          </w:p>
        </w:tc>
        <w:tc>
          <w:tcPr>
            <w:tcW w:w="1840" w:type="dxa"/>
            <w:tcBorders>
              <w:top w:val="nil"/>
              <w:left w:val="nil"/>
              <w:bottom w:val="single" w:sz="4" w:space="0" w:color="A6A6A6"/>
              <w:right w:val="single" w:sz="4" w:space="0" w:color="A6A6A6"/>
            </w:tcBorders>
            <w:vAlign w:val="center"/>
            <w:hideMark/>
          </w:tcPr>
          <w:p w14:paraId="08A4AA43"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$201,276,685</w:t>
            </w:r>
          </w:p>
        </w:tc>
        <w:tc>
          <w:tcPr>
            <w:tcW w:w="1840" w:type="dxa"/>
            <w:tcBorders>
              <w:top w:val="nil"/>
              <w:left w:val="nil"/>
              <w:bottom w:val="single" w:sz="4" w:space="0" w:color="A6A6A6"/>
              <w:right w:val="single" w:sz="4" w:space="0" w:color="A6A6A6"/>
            </w:tcBorders>
            <w:vAlign w:val="center"/>
            <w:hideMark/>
          </w:tcPr>
          <w:p w14:paraId="30248E6E"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102.0%</w:t>
            </w:r>
          </w:p>
        </w:tc>
      </w:tr>
      <w:tr w:rsidR="003C4353" w:rsidRPr="003C4353" w14:paraId="54DC29D9"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066BDDA8"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Umpqua Health Alliance</w:t>
            </w:r>
          </w:p>
        </w:tc>
        <w:tc>
          <w:tcPr>
            <w:tcW w:w="1840" w:type="dxa"/>
            <w:tcBorders>
              <w:top w:val="nil"/>
              <w:left w:val="nil"/>
              <w:bottom w:val="single" w:sz="4" w:space="0" w:color="A6A6A6"/>
              <w:right w:val="single" w:sz="4" w:space="0" w:color="A6A6A6"/>
            </w:tcBorders>
            <w:vAlign w:val="center"/>
            <w:hideMark/>
          </w:tcPr>
          <w:p w14:paraId="73231A38"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$8,570,116</w:t>
            </w:r>
          </w:p>
        </w:tc>
        <w:tc>
          <w:tcPr>
            <w:tcW w:w="1840" w:type="dxa"/>
            <w:tcBorders>
              <w:top w:val="nil"/>
              <w:left w:val="nil"/>
              <w:bottom w:val="single" w:sz="4" w:space="0" w:color="A6A6A6"/>
              <w:right w:val="single" w:sz="4" w:space="0" w:color="A6A6A6"/>
            </w:tcBorders>
            <w:vAlign w:val="center"/>
            <w:hideMark/>
          </w:tcPr>
          <w:p w14:paraId="24B1CC48"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$174,900</w:t>
            </w:r>
          </w:p>
        </w:tc>
        <w:tc>
          <w:tcPr>
            <w:tcW w:w="1840" w:type="dxa"/>
            <w:tcBorders>
              <w:top w:val="nil"/>
              <w:left w:val="nil"/>
              <w:bottom w:val="single" w:sz="4" w:space="0" w:color="A6A6A6"/>
              <w:right w:val="single" w:sz="4" w:space="0" w:color="A6A6A6"/>
            </w:tcBorders>
            <w:vAlign w:val="center"/>
            <w:hideMark/>
          </w:tcPr>
          <w:p w14:paraId="53F6BC66"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$8,745,017</w:t>
            </w:r>
          </w:p>
        </w:tc>
        <w:tc>
          <w:tcPr>
            <w:tcW w:w="1840" w:type="dxa"/>
            <w:tcBorders>
              <w:top w:val="nil"/>
              <w:left w:val="nil"/>
              <w:bottom w:val="single" w:sz="4" w:space="0" w:color="A6A6A6"/>
              <w:right w:val="single" w:sz="4" w:space="0" w:color="A6A6A6"/>
            </w:tcBorders>
            <w:vAlign w:val="center"/>
            <w:hideMark/>
          </w:tcPr>
          <w:p w14:paraId="3BA67184"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$247,395,838</w:t>
            </w:r>
          </w:p>
        </w:tc>
        <w:tc>
          <w:tcPr>
            <w:tcW w:w="1840" w:type="dxa"/>
            <w:tcBorders>
              <w:top w:val="nil"/>
              <w:left w:val="nil"/>
              <w:bottom w:val="single" w:sz="4" w:space="0" w:color="A6A6A6"/>
              <w:right w:val="single" w:sz="4" w:space="0" w:color="A6A6A6"/>
            </w:tcBorders>
            <w:vAlign w:val="center"/>
            <w:hideMark/>
          </w:tcPr>
          <w:p w14:paraId="7B5DB455"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103.5%</w:t>
            </w:r>
          </w:p>
        </w:tc>
      </w:tr>
      <w:tr w:rsidR="003C4353" w:rsidRPr="003C4353" w14:paraId="772AB768"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1D3E452C"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Yamhill Community Care</w:t>
            </w:r>
          </w:p>
        </w:tc>
        <w:tc>
          <w:tcPr>
            <w:tcW w:w="1840" w:type="dxa"/>
            <w:tcBorders>
              <w:top w:val="nil"/>
              <w:left w:val="nil"/>
              <w:bottom w:val="single" w:sz="4" w:space="0" w:color="A6A6A6"/>
              <w:right w:val="single" w:sz="4" w:space="0" w:color="A6A6A6"/>
            </w:tcBorders>
            <w:vAlign w:val="center"/>
            <w:hideMark/>
          </w:tcPr>
          <w:p w14:paraId="78F06C91"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$7,274,742</w:t>
            </w:r>
          </w:p>
        </w:tc>
        <w:tc>
          <w:tcPr>
            <w:tcW w:w="1840" w:type="dxa"/>
            <w:tcBorders>
              <w:top w:val="nil"/>
              <w:left w:val="nil"/>
              <w:bottom w:val="single" w:sz="4" w:space="0" w:color="A6A6A6"/>
              <w:right w:val="single" w:sz="4" w:space="0" w:color="A6A6A6"/>
            </w:tcBorders>
            <w:vAlign w:val="center"/>
            <w:hideMark/>
          </w:tcPr>
          <w:p w14:paraId="3A81F0BC"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$148,464</w:t>
            </w:r>
          </w:p>
        </w:tc>
        <w:tc>
          <w:tcPr>
            <w:tcW w:w="1840" w:type="dxa"/>
            <w:tcBorders>
              <w:top w:val="nil"/>
              <w:left w:val="nil"/>
              <w:bottom w:val="single" w:sz="4" w:space="0" w:color="A6A6A6"/>
              <w:right w:val="single" w:sz="4" w:space="0" w:color="A6A6A6"/>
            </w:tcBorders>
            <w:vAlign w:val="center"/>
            <w:hideMark/>
          </w:tcPr>
          <w:p w14:paraId="25FD3217"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$7,423,206</w:t>
            </w:r>
          </w:p>
        </w:tc>
        <w:tc>
          <w:tcPr>
            <w:tcW w:w="1840" w:type="dxa"/>
            <w:tcBorders>
              <w:top w:val="nil"/>
              <w:left w:val="nil"/>
              <w:bottom w:val="single" w:sz="4" w:space="0" w:color="A6A6A6"/>
              <w:right w:val="single" w:sz="4" w:space="0" w:color="A6A6A6"/>
            </w:tcBorders>
            <w:vAlign w:val="center"/>
            <w:hideMark/>
          </w:tcPr>
          <w:p w14:paraId="7D77755E"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$215,593,885</w:t>
            </w:r>
          </w:p>
        </w:tc>
        <w:tc>
          <w:tcPr>
            <w:tcW w:w="1840" w:type="dxa"/>
            <w:tcBorders>
              <w:top w:val="nil"/>
              <w:left w:val="nil"/>
              <w:bottom w:val="single" w:sz="4" w:space="0" w:color="A6A6A6"/>
              <w:right w:val="single" w:sz="4" w:space="0" w:color="A6A6A6"/>
            </w:tcBorders>
            <w:vAlign w:val="center"/>
            <w:hideMark/>
          </w:tcPr>
          <w:p w14:paraId="6ADE8F42"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103.4%</w:t>
            </w:r>
          </w:p>
        </w:tc>
      </w:tr>
      <w:tr w:rsidR="003C4353" w:rsidRPr="003C4353" w14:paraId="3F5FA1D8" w14:textId="77777777" w:rsidTr="003C4353">
        <w:trPr>
          <w:trHeight w:val="360"/>
        </w:trPr>
        <w:tc>
          <w:tcPr>
            <w:tcW w:w="3440" w:type="dxa"/>
            <w:tcBorders>
              <w:top w:val="nil"/>
              <w:left w:val="single" w:sz="4" w:space="0" w:color="A6A6A6"/>
              <w:bottom w:val="single" w:sz="4" w:space="0" w:color="A6A6A6"/>
              <w:right w:val="single" w:sz="4" w:space="0" w:color="A6A6A6"/>
            </w:tcBorders>
            <w:vAlign w:val="center"/>
            <w:hideMark/>
          </w:tcPr>
          <w:p w14:paraId="3CCB084B"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Total</w:t>
            </w:r>
          </w:p>
        </w:tc>
        <w:tc>
          <w:tcPr>
            <w:tcW w:w="1840" w:type="dxa"/>
            <w:tcBorders>
              <w:top w:val="nil"/>
              <w:left w:val="nil"/>
              <w:bottom w:val="single" w:sz="4" w:space="0" w:color="A6A6A6"/>
              <w:right w:val="single" w:sz="4" w:space="0" w:color="A6A6A6"/>
            </w:tcBorders>
            <w:vAlign w:val="center"/>
            <w:hideMark/>
          </w:tcPr>
          <w:p w14:paraId="5409F44B"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$233,555,646</w:t>
            </w:r>
          </w:p>
        </w:tc>
        <w:tc>
          <w:tcPr>
            <w:tcW w:w="1840" w:type="dxa"/>
            <w:tcBorders>
              <w:top w:val="nil"/>
              <w:left w:val="nil"/>
              <w:bottom w:val="single" w:sz="4" w:space="0" w:color="A6A6A6"/>
              <w:right w:val="single" w:sz="4" w:space="0" w:color="A6A6A6"/>
            </w:tcBorders>
            <w:vAlign w:val="center"/>
            <w:hideMark/>
          </w:tcPr>
          <w:p w14:paraId="1CEDD34A"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$4,766,442</w:t>
            </w:r>
          </w:p>
        </w:tc>
        <w:tc>
          <w:tcPr>
            <w:tcW w:w="1840" w:type="dxa"/>
            <w:tcBorders>
              <w:top w:val="nil"/>
              <w:left w:val="nil"/>
              <w:bottom w:val="single" w:sz="4" w:space="0" w:color="A6A6A6"/>
              <w:right w:val="single" w:sz="4" w:space="0" w:color="A6A6A6"/>
            </w:tcBorders>
            <w:vAlign w:val="center"/>
            <w:hideMark/>
          </w:tcPr>
          <w:p w14:paraId="6ACF82E4"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$238,322,088</w:t>
            </w:r>
          </w:p>
        </w:tc>
        <w:tc>
          <w:tcPr>
            <w:tcW w:w="1840" w:type="dxa"/>
            <w:tcBorders>
              <w:top w:val="nil"/>
              <w:left w:val="nil"/>
              <w:bottom w:val="single" w:sz="4" w:space="0" w:color="A6A6A6"/>
              <w:right w:val="single" w:sz="4" w:space="0" w:color="A6A6A6"/>
            </w:tcBorders>
            <w:vAlign w:val="center"/>
            <w:hideMark/>
          </w:tcPr>
          <w:p w14:paraId="35DD49D5" w14:textId="77777777" w:rsidR="003C4353" w:rsidRPr="003C4353" w:rsidRDefault="003C4353" w:rsidP="003C4353">
            <w:pPr>
              <w:spacing w:after="0" w:line="240" w:lineRule="auto"/>
              <w:jc w:val="right"/>
              <w:rPr>
                <w:rFonts w:ascii="Aptos" w:eastAsia="Times New Roman" w:hAnsi="Aptos" w:cs="Arial"/>
                <w:kern w:val="0"/>
                <w:sz w:val="22"/>
                <w14:ligatures w14:val="none"/>
              </w:rPr>
            </w:pPr>
            <w:r w:rsidRPr="003C4353">
              <w:rPr>
                <w:rFonts w:ascii="Aptos" w:eastAsia="Times New Roman" w:hAnsi="Aptos" w:cs="Arial"/>
                <w:kern w:val="0"/>
                <w:sz w:val="22"/>
                <w14:ligatures w14:val="none"/>
              </w:rPr>
              <w:t>$7,944,069,584</w:t>
            </w:r>
          </w:p>
        </w:tc>
        <w:tc>
          <w:tcPr>
            <w:tcW w:w="1840" w:type="dxa"/>
            <w:tcBorders>
              <w:top w:val="nil"/>
              <w:left w:val="nil"/>
              <w:bottom w:val="single" w:sz="4" w:space="0" w:color="A6A6A6"/>
              <w:right w:val="single" w:sz="4" w:space="0" w:color="A6A6A6"/>
            </w:tcBorders>
            <w:vAlign w:val="center"/>
            <w:hideMark/>
          </w:tcPr>
          <w:p w14:paraId="05664487" w14:textId="77777777" w:rsidR="003C4353" w:rsidRPr="003C4353" w:rsidRDefault="003C4353" w:rsidP="003C4353">
            <w:pPr>
              <w:spacing w:after="0" w:line="240" w:lineRule="auto"/>
              <w:rPr>
                <w:rFonts w:ascii="Aptos" w:eastAsia="Times New Roman" w:hAnsi="Aptos" w:cs="Arial"/>
                <w:kern w:val="0"/>
                <w:sz w:val="22"/>
                <w14:ligatures w14:val="none"/>
              </w:rPr>
            </w:pPr>
            <w:r w:rsidRPr="003C4353">
              <w:rPr>
                <w:rFonts w:ascii="Aptos" w:eastAsia="Times New Roman" w:hAnsi="Aptos" w:cs="Arial"/>
                <w:kern w:val="0"/>
                <w:sz w:val="22"/>
                <w14:ligatures w14:val="none"/>
              </w:rPr>
              <w:t> </w:t>
            </w:r>
          </w:p>
        </w:tc>
      </w:tr>
    </w:tbl>
    <w:p w14:paraId="011A04EF" w14:textId="7CE4163E" w:rsidR="00FF1545" w:rsidRDefault="00A66425" w:rsidP="00A66425">
      <w:pPr>
        <w:spacing w:after="0"/>
        <w:rPr>
          <w:rFonts w:eastAsiaTheme="majorEastAsia" w:cstheme="majorBidi"/>
          <w:color w:val="0F4761" w:themeColor="accent1" w:themeShade="BF"/>
          <w:sz w:val="28"/>
          <w:szCs w:val="28"/>
        </w:rPr>
        <w:sectPr w:rsidR="00FF1545" w:rsidSect="00C20449">
          <w:footnotePr>
            <w:numFmt w:val="lowerLetter"/>
          </w:footnotePr>
          <w:pgSz w:w="15840" w:h="12240" w:orient="landscape"/>
          <w:pgMar w:top="1440" w:right="1440" w:bottom="1440" w:left="1440" w:header="86" w:footer="720" w:gutter="0"/>
          <w:cols w:num="2" w:space="144" w:equalWidth="0">
            <w:col w:w="6912" w:space="144"/>
            <w:col w:w="5904"/>
          </w:cols>
          <w:docGrid w:linePitch="360"/>
          <w15:footnoteColumns w:val="1"/>
        </w:sectPr>
      </w:pPr>
      <w:r>
        <w:rPr>
          <w:noProof/>
        </w:rPr>
        <w:t>Continued on next page.</w:t>
      </w:r>
    </w:p>
    <w:tbl>
      <w:tblPr>
        <w:tblW w:w="12618" w:type="dxa"/>
        <w:tblLook w:val="04A0" w:firstRow="1" w:lastRow="0" w:firstColumn="1" w:lastColumn="0" w:noHBand="0" w:noVBand="1"/>
      </w:tblPr>
      <w:tblGrid>
        <w:gridCol w:w="4546"/>
        <w:gridCol w:w="2638"/>
        <w:gridCol w:w="2664"/>
        <w:gridCol w:w="2770"/>
      </w:tblGrid>
      <w:tr w:rsidR="00B64FE3" w:rsidRPr="00FF1545" w14:paraId="3762C975" w14:textId="77777777" w:rsidTr="002B1C2A">
        <w:trPr>
          <w:trHeight w:val="1100"/>
        </w:trPr>
        <w:tc>
          <w:tcPr>
            <w:tcW w:w="4546" w:type="dxa"/>
            <w:tcBorders>
              <w:top w:val="single" w:sz="4" w:space="0" w:color="A6A6A6"/>
              <w:left w:val="single" w:sz="4" w:space="0" w:color="A6A6A6"/>
              <w:bottom w:val="single" w:sz="4" w:space="0" w:color="A6A6A6"/>
              <w:right w:val="single" w:sz="4" w:space="0" w:color="A6A6A6"/>
            </w:tcBorders>
            <w:vAlign w:val="center"/>
            <w:hideMark/>
          </w:tcPr>
          <w:p w14:paraId="7CF6F734" w14:textId="5B4AAA92" w:rsidR="00B64FE3" w:rsidRPr="00391018" w:rsidRDefault="00B64FE3" w:rsidP="00FF1545">
            <w:pPr>
              <w:spacing w:after="0" w:line="240" w:lineRule="auto"/>
              <w:rPr>
                <w:rFonts w:eastAsia="Times New Roman" w:cs="Arial"/>
                <w:kern w:val="0"/>
                <w:sz w:val="22"/>
                <w14:ligatures w14:val="none"/>
              </w:rPr>
            </w:pPr>
            <w:r w:rsidRPr="00391018">
              <w:rPr>
                <w:rFonts w:eastAsia="Times New Roman" w:cs="Arial"/>
                <w:kern w:val="0"/>
                <w:sz w:val="22"/>
                <w14:ligatures w14:val="none"/>
              </w:rPr>
              <w:lastRenderedPageBreak/>
              <w:t>Legend</w:t>
            </w:r>
          </w:p>
          <w:p w14:paraId="29767828" w14:textId="77777777" w:rsidR="00B64FE3" w:rsidRDefault="00B64FE3" w:rsidP="00FF1545">
            <w:pPr>
              <w:spacing w:after="0" w:line="240" w:lineRule="auto"/>
              <w:rPr>
                <w:rFonts w:eastAsia="Times New Roman" w:cstheme="minorHAnsi"/>
                <w:sz w:val="22"/>
              </w:rPr>
            </w:pPr>
            <w:r w:rsidRPr="00391018">
              <w:rPr>
                <w:rFonts w:ascii="Wingdings 2" w:eastAsia="Times New Roman" w:hAnsi="Wingdings 2" w:cs="Times New Roman"/>
                <w:color w:val="002B4A"/>
                <w:sz w:val="22"/>
              </w:rPr>
              <w:t>¢</w:t>
            </w:r>
            <w:r w:rsidRPr="00391018">
              <w:rPr>
                <w:rFonts w:ascii="Benton Sans Book" w:eastAsia="Times New Roman" w:hAnsi="Benton Sans Book" w:cs="Times New Roman"/>
                <w:color w:val="000000"/>
                <w:sz w:val="22"/>
              </w:rPr>
              <w:t xml:space="preserve"> </w:t>
            </w:r>
            <w:r w:rsidRPr="00391018">
              <w:rPr>
                <w:rFonts w:eastAsia="Times New Roman" w:cstheme="minorHAnsi"/>
                <w:sz w:val="22"/>
              </w:rPr>
              <w:t>Quality Pool</w:t>
            </w:r>
          </w:p>
          <w:p w14:paraId="5A2AB1E4" w14:textId="40EC7085" w:rsidR="00B64FE3" w:rsidRPr="00FF1545" w:rsidRDefault="00B64FE3" w:rsidP="00FF1545">
            <w:pPr>
              <w:spacing w:after="0" w:line="240" w:lineRule="auto"/>
              <w:rPr>
                <w:rFonts w:ascii="Aptos" w:eastAsia="Times New Roman" w:hAnsi="Aptos" w:cs="Arial"/>
                <w:color w:val="0065C6"/>
                <w:kern w:val="0"/>
                <w:sz w:val="22"/>
                <w:u w:val="single"/>
                <w14:ligatures w14:val="none"/>
              </w:rPr>
            </w:pPr>
            <w:r w:rsidRPr="00246DCC">
              <w:rPr>
                <w:rFonts w:ascii="Wingdings 2" w:eastAsia="Times New Roman" w:hAnsi="Wingdings 2" w:cs="Times New Roman"/>
                <w:color w:val="CD76C7"/>
                <w:sz w:val="22"/>
              </w:rPr>
              <w:t>¢</w:t>
            </w:r>
            <w:r w:rsidRPr="00391018">
              <w:rPr>
                <w:rFonts w:ascii="Benton Sans Book" w:eastAsia="Times New Roman" w:hAnsi="Benton Sans Book" w:cs="Times New Roman"/>
                <w:color w:val="000000"/>
                <w:sz w:val="22"/>
              </w:rPr>
              <w:t xml:space="preserve"> </w:t>
            </w:r>
            <w:r>
              <w:rPr>
                <w:rFonts w:eastAsia="Times New Roman" w:cstheme="minorHAnsi"/>
                <w:sz w:val="22"/>
              </w:rPr>
              <w:t>Per-member per-month (PMPM)</w:t>
            </w:r>
          </w:p>
        </w:tc>
        <w:tc>
          <w:tcPr>
            <w:tcW w:w="2638" w:type="dxa"/>
            <w:tcBorders>
              <w:top w:val="single" w:sz="4" w:space="0" w:color="A6A6A6"/>
              <w:left w:val="nil"/>
              <w:bottom w:val="single" w:sz="4" w:space="0" w:color="A6A6A6"/>
              <w:right w:val="single" w:sz="4" w:space="0" w:color="A6A6A6"/>
            </w:tcBorders>
            <w:shd w:val="clear" w:color="000000" w:fill="CD76C7"/>
            <w:vAlign w:val="center"/>
            <w:hideMark/>
          </w:tcPr>
          <w:p w14:paraId="0F076542" w14:textId="77777777" w:rsidR="00B64FE3" w:rsidRPr="00FF1545" w:rsidRDefault="00B64FE3" w:rsidP="00FF1545">
            <w:pPr>
              <w:spacing w:after="0" w:line="240" w:lineRule="auto"/>
              <w:rPr>
                <w:rFonts w:ascii="Aptos" w:eastAsia="Times New Roman" w:hAnsi="Aptos" w:cs="Arial"/>
                <w:color w:val="000000"/>
                <w:kern w:val="0"/>
                <w:sz w:val="22"/>
                <w14:ligatures w14:val="none"/>
              </w:rPr>
            </w:pPr>
            <w:r w:rsidRPr="00FF1545">
              <w:rPr>
                <w:rFonts w:ascii="Aptos" w:eastAsia="Times New Roman" w:hAnsi="Aptos" w:cs="Arial"/>
                <w:color w:val="000000"/>
                <w:kern w:val="0"/>
                <w:sz w:val="22"/>
                <w14:ligatures w14:val="none"/>
              </w:rPr>
              <w:t>Annual Member Months for PMPM payments</w:t>
            </w:r>
          </w:p>
        </w:tc>
        <w:tc>
          <w:tcPr>
            <w:tcW w:w="2664" w:type="dxa"/>
            <w:tcBorders>
              <w:top w:val="single" w:sz="4" w:space="0" w:color="A6A6A6"/>
              <w:left w:val="nil"/>
              <w:bottom w:val="single" w:sz="4" w:space="0" w:color="A6A6A6"/>
              <w:right w:val="single" w:sz="4" w:space="0" w:color="A6A6A6"/>
            </w:tcBorders>
            <w:shd w:val="clear" w:color="000000" w:fill="CD76C7"/>
            <w:vAlign w:val="center"/>
            <w:hideMark/>
          </w:tcPr>
          <w:p w14:paraId="29C44FA6" w14:textId="0B8C0CEB" w:rsidR="00B64FE3" w:rsidRPr="00FF1545" w:rsidRDefault="00B64FE3" w:rsidP="00FF1545">
            <w:pPr>
              <w:spacing w:after="0" w:line="240" w:lineRule="auto"/>
              <w:rPr>
                <w:rFonts w:ascii="Aptos" w:eastAsia="Times New Roman" w:hAnsi="Aptos" w:cs="Arial"/>
                <w:color w:val="000000"/>
                <w:kern w:val="0"/>
                <w:sz w:val="22"/>
                <w14:ligatures w14:val="none"/>
              </w:rPr>
            </w:pPr>
            <w:r w:rsidRPr="00FF1545">
              <w:rPr>
                <w:rFonts w:ascii="Aptos" w:eastAsia="Times New Roman" w:hAnsi="Aptos" w:cs="Arial"/>
                <w:color w:val="000000"/>
                <w:kern w:val="0"/>
                <w:sz w:val="22"/>
                <w14:ligatures w14:val="none"/>
              </w:rPr>
              <w:t>Average PMPM paid</w:t>
            </w:r>
            <w:r w:rsidR="00AB7D7D">
              <w:rPr>
                <w:rFonts w:ascii="Aptos" w:eastAsia="Times New Roman" w:hAnsi="Aptos" w:cs="Arial"/>
                <w:color w:val="000000"/>
                <w:kern w:val="0"/>
                <w:sz w:val="22"/>
                <w14:ligatures w14:val="none"/>
              </w:rPr>
              <w:t xml:space="preserve"> (capitation payment)</w:t>
            </w:r>
          </w:p>
        </w:tc>
        <w:tc>
          <w:tcPr>
            <w:tcW w:w="2770" w:type="dxa"/>
            <w:tcBorders>
              <w:top w:val="single" w:sz="4" w:space="0" w:color="A6A6A6"/>
              <w:left w:val="nil"/>
              <w:bottom w:val="single" w:sz="4" w:space="0" w:color="A6A6A6"/>
              <w:right w:val="single" w:sz="4" w:space="0" w:color="A6A6A6"/>
            </w:tcBorders>
            <w:shd w:val="clear" w:color="000000" w:fill="00305E"/>
            <w:vAlign w:val="center"/>
            <w:hideMark/>
          </w:tcPr>
          <w:p w14:paraId="6B304F65" w14:textId="7AE0843E" w:rsidR="00B64FE3" w:rsidRPr="00FF1545" w:rsidRDefault="00B64FE3" w:rsidP="00FF1545">
            <w:pPr>
              <w:spacing w:after="0" w:line="240" w:lineRule="auto"/>
              <w:rPr>
                <w:rFonts w:ascii="Aptos" w:eastAsia="Times New Roman" w:hAnsi="Aptos" w:cs="Arial"/>
                <w:color w:val="FFFFFF"/>
                <w:kern w:val="0"/>
                <w:sz w:val="22"/>
                <w14:ligatures w14:val="none"/>
              </w:rPr>
            </w:pPr>
            <w:r w:rsidRPr="00FF1545">
              <w:rPr>
                <w:rFonts w:ascii="Aptos" w:eastAsia="Times New Roman" w:hAnsi="Aptos" w:cs="Arial"/>
                <w:color w:val="FFFFFF"/>
                <w:kern w:val="0"/>
                <w:sz w:val="22"/>
                <w14:ligatures w14:val="none"/>
              </w:rPr>
              <w:t xml:space="preserve">Average Quality Pool paid </w:t>
            </w:r>
            <w:r w:rsidR="00EE6C39">
              <w:rPr>
                <w:rFonts w:ascii="Aptos" w:eastAsia="Times New Roman" w:hAnsi="Aptos" w:cs="Arial"/>
                <w:color w:val="FFFFFF"/>
                <w:kern w:val="0"/>
                <w:sz w:val="22"/>
                <w14:ligatures w14:val="none"/>
              </w:rPr>
              <w:t xml:space="preserve">(as </w:t>
            </w:r>
            <w:r w:rsidRPr="00FF1545">
              <w:rPr>
                <w:rFonts w:ascii="Aptos" w:eastAsia="Times New Roman" w:hAnsi="Aptos" w:cs="Arial"/>
                <w:color w:val="FFFFFF"/>
                <w:kern w:val="0"/>
                <w:sz w:val="22"/>
                <w14:ligatures w14:val="none"/>
              </w:rPr>
              <w:t>PMPM</w:t>
            </w:r>
            <w:r w:rsidR="00EE6C39">
              <w:rPr>
                <w:rFonts w:ascii="Aptos" w:eastAsia="Times New Roman" w:hAnsi="Aptos" w:cs="Arial"/>
                <w:color w:val="FFFFFF"/>
                <w:kern w:val="0"/>
                <w:sz w:val="22"/>
                <w14:ligatures w14:val="none"/>
              </w:rPr>
              <w:t>)</w:t>
            </w:r>
          </w:p>
        </w:tc>
      </w:tr>
      <w:tr w:rsidR="00B64FE3" w:rsidRPr="00FF1545" w14:paraId="3007B6C3"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63D75968"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Advanced Health</w:t>
            </w:r>
          </w:p>
        </w:tc>
        <w:tc>
          <w:tcPr>
            <w:tcW w:w="2638" w:type="dxa"/>
            <w:tcBorders>
              <w:top w:val="nil"/>
              <w:left w:val="nil"/>
              <w:bottom w:val="single" w:sz="4" w:space="0" w:color="A6A6A6"/>
              <w:right w:val="single" w:sz="4" w:space="0" w:color="A6A6A6"/>
            </w:tcBorders>
            <w:noWrap/>
            <w:vAlign w:val="center"/>
            <w:hideMark/>
          </w:tcPr>
          <w:p w14:paraId="7A34BA9A"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325,837 </w:t>
            </w:r>
          </w:p>
        </w:tc>
        <w:tc>
          <w:tcPr>
            <w:tcW w:w="2664" w:type="dxa"/>
            <w:tcBorders>
              <w:top w:val="nil"/>
              <w:left w:val="nil"/>
              <w:bottom w:val="single" w:sz="4" w:space="0" w:color="A6A6A6"/>
              <w:right w:val="single" w:sz="4" w:space="0" w:color="A6A6A6"/>
            </w:tcBorders>
            <w:noWrap/>
            <w:vAlign w:val="center"/>
            <w:hideMark/>
          </w:tcPr>
          <w:p w14:paraId="53E79B0F"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$555.82</w:t>
            </w:r>
          </w:p>
        </w:tc>
        <w:tc>
          <w:tcPr>
            <w:tcW w:w="2770" w:type="dxa"/>
            <w:tcBorders>
              <w:top w:val="nil"/>
              <w:left w:val="nil"/>
              <w:bottom w:val="single" w:sz="4" w:space="0" w:color="A6A6A6"/>
              <w:right w:val="single" w:sz="4" w:space="0" w:color="A6A6A6"/>
            </w:tcBorders>
            <w:noWrap/>
            <w:vAlign w:val="center"/>
            <w:hideMark/>
          </w:tcPr>
          <w:p w14:paraId="773464B0"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$11.52</w:t>
            </w:r>
          </w:p>
        </w:tc>
      </w:tr>
      <w:tr w:rsidR="00B64FE3" w:rsidRPr="00FF1545" w14:paraId="3A7734FA"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32FB3660"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AllCare Health Plan</w:t>
            </w:r>
          </w:p>
        </w:tc>
        <w:tc>
          <w:tcPr>
            <w:tcW w:w="2638" w:type="dxa"/>
            <w:tcBorders>
              <w:top w:val="nil"/>
              <w:left w:val="nil"/>
              <w:bottom w:val="single" w:sz="4" w:space="0" w:color="A6A6A6"/>
              <w:right w:val="single" w:sz="4" w:space="0" w:color="A6A6A6"/>
            </w:tcBorders>
            <w:noWrap/>
            <w:vAlign w:val="center"/>
            <w:hideMark/>
          </w:tcPr>
          <w:p w14:paraId="552EEE68"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757,014 </w:t>
            </w:r>
          </w:p>
        </w:tc>
        <w:tc>
          <w:tcPr>
            <w:tcW w:w="2664" w:type="dxa"/>
            <w:tcBorders>
              <w:top w:val="nil"/>
              <w:left w:val="nil"/>
              <w:bottom w:val="single" w:sz="4" w:space="0" w:color="A6A6A6"/>
              <w:right w:val="single" w:sz="4" w:space="0" w:color="A6A6A6"/>
            </w:tcBorders>
            <w:noWrap/>
            <w:vAlign w:val="center"/>
            <w:hideMark/>
          </w:tcPr>
          <w:p w14:paraId="047CFECD"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$495.09</w:t>
            </w:r>
          </w:p>
        </w:tc>
        <w:tc>
          <w:tcPr>
            <w:tcW w:w="2770" w:type="dxa"/>
            <w:tcBorders>
              <w:top w:val="nil"/>
              <w:left w:val="nil"/>
              <w:bottom w:val="single" w:sz="4" w:space="0" w:color="A6A6A6"/>
              <w:right w:val="single" w:sz="4" w:space="0" w:color="A6A6A6"/>
            </w:tcBorders>
            <w:noWrap/>
            <w:vAlign w:val="center"/>
            <w:hideMark/>
          </w:tcPr>
          <w:p w14:paraId="4A47AAFB"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$13.23</w:t>
            </w:r>
          </w:p>
        </w:tc>
      </w:tr>
      <w:tr w:rsidR="00B64FE3" w:rsidRPr="00FF1545" w14:paraId="14023B0E"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0A3833D7"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Cascade Health Alliance</w:t>
            </w:r>
          </w:p>
        </w:tc>
        <w:tc>
          <w:tcPr>
            <w:tcW w:w="2638" w:type="dxa"/>
            <w:tcBorders>
              <w:top w:val="nil"/>
              <w:left w:val="nil"/>
              <w:bottom w:val="single" w:sz="4" w:space="0" w:color="A6A6A6"/>
              <w:right w:val="single" w:sz="4" w:space="0" w:color="A6A6A6"/>
            </w:tcBorders>
            <w:noWrap/>
            <w:vAlign w:val="center"/>
            <w:hideMark/>
          </w:tcPr>
          <w:p w14:paraId="216DD8AC"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316,987 </w:t>
            </w:r>
          </w:p>
        </w:tc>
        <w:tc>
          <w:tcPr>
            <w:tcW w:w="2664" w:type="dxa"/>
            <w:tcBorders>
              <w:top w:val="nil"/>
              <w:left w:val="nil"/>
              <w:bottom w:val="single" w:sz="4" w:space="0" w:color="A6A6A6"/>
              <w:right w:val="single" w:sz="4" w:space="0" w:color="A6A6A6"/>
            </w:tcBorders>
            <w:noWrap/>
            <w:vAlign w:val="center"/>
            <w:hideMark/>
          </w:tcPr>
          <w:p w14:paraId="0E1E0A9D"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$500.98</w:t>
            </w:r>
          </w:p>
        </w:tc>
        <w:tc>
          <w:tcPr>
            <w:tcW w:w="2770" w:type="dxa"/>
            <w:tcBorders>
              <w:top w:val="nil"/>
              <w:left w:val="nil"/>
              <w:bottom w:val="single" w:sz="4" w:space="0" w:color="A6A6A6"/>
              <w:right w:val="single" w:sz="4" w:space="0" w:color="A6A6A6"/>
            </w:tcBorders>
            <w:noWrap/>
            <w:vAlign w:val="center"/>
            <w:hideMark/>
          </w:tcPr>
          <w:p w14:paraId="3189F17E"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$17.86</w:t>
            </w:r>
          </w:p>
        </w:tc>
      </w:tr>
      <w:tr w:rsidR="00B64FE3" w:rsidRPr="00FF1545" w14:paraId="7C089B79"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34A0381E"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Columbia Pacific</w:t>
            </w:r>
          </w:p>
        </w:tc>
        <w:tc>
          <w:tcPr>
            <w:tcW w:w="2638" w:type="dxa"/>
            <w:tcBorders>
              <w:top w:val="nil"/>
              <w:left w:val="nil"/>
              <w:bottom w:val="single" w:sz="4" w:space="0" w:color="A6A6A6"/>
              <w:right w:val="single" w:sz="4" w:space="0" w:color="A6A6A6"/>
            </w:tcBorders>
            <w:noWrap/>
            <w:vAlign w:val="center"/>
            <w:hideMark/>
          </w:tcPr>
          <w:p w14:paraId="4BD07C16"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432,436 </w:t>
            </w:r>
          </w:p>
        </w:tc>
        <w:tc>
          <w:tcPr>
            <w:tcW w:w="2664" w:type="dxa"/>
            <w:tcBorders>
              <w:top w:val="nil"/>
              <w:left w:val="nil"/>
              <w:bottom w:val="single" w:sz="4" w:space="0" w:color="A6A6A6"/>
              <w:right w:val="single" w:sz="4" w:space="0" w:color="A6A6A6"/>
            </w:tcBorders>
            <w:noWrap/>
            <w:vAlign w:val="center"/>
            <w:hideMark/>
          </w:tcPr>
          <w:p w14:paraId="183537C1"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$606.22</w:t>
            </w:r>
          </w:p>
        </w:tc>
        <w:tc>
          <w:tcPr>
            <w:tcW w:w="2770" w:type="dxa"/>
            <w:tcBorders>
              <w:top w:val="nil"/>
              <w:left w:val="nil"/>
              <w:bottom w:val="single" w:sz="4" w:space="0" w:color="A6A6A6"/>
              <w:right w:val="single" w:sz="4" w:space="0" w:color="A6A6A6"/>
            </w:tcBorders>
            <w:noWrap/>
            <w:vAlign w:val="center"/>
            <w:hideMark/>
          </w:tcPr>
          <w:p w14:paraId="4CA89FD5"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$12.56</w:t>
            </w:r>
          </w:p>
        </w:tc>
      </w:tr>
      <w:tr w:rsidR="00B64FE3" w:rsidRPr="00FF1545" w14:paraId="69BCA5B7"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71415CC7"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Eastern Oregon</w:t>
            </w:r>
          </w:p>
        </w:tc>
        <w:tc>
          <w:tcPr>
            <w:tcW w:w="2638" w:type="dxa"/>
            <w:tcBorders>
              <w:top w:val="nil"/>
              <w:left w:val="nil"/>
              <w:bottom w:val="single" w:sz="4" w:space="0" w:color="A6A6A6"/>
              <w:right w:val="single" w:sz="4" w:space="0" w:color="A6A6A6"/>
            </w:tcBorders>
            <w:noWrap/>
            <w:vAlign w:val="center"/>
            <w:hideMark/>
          </w:tcPr>
          <w:p w14:paraId="4ADB8C16"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867,786 </w:t>
            </w:r>
          </w:p>
        </w:tc>
        <w:tc>
          <w:tcPr>
            <w:tcW w:w="2664" w:type="dxa"/>
            <w:tcBorders>
              <w:top w:val="nil"/>
              <w:left w:val="nil"/>
              <w:bottom w:val="single" w:sz="4" w:space="0" w:color="A6A6A6"/>
              <w:right w:val="single" w:sz="4" w:space="0" w:color="A6A6A6"/>
            </w:tcBorders>
            <w:noWrap/>
            <w:vAlign w:val="center"/>
            <w:hideMark/>
          </w:tcPr>
          <w:p w14:paraId="6399F5C4"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$572.79</w:t>
            </w:r>
          </w:p>
        </w:tc>
        <w:tc>
          <w:tcPr>
            <w:tcW w:w="2770" w:type="dxa"/>
            <w:tcBorders>
              <w:top w:val="nil"/>
              <w:left w:val="nil"/>
              <w:bottom w:val="single" w:sz="4" w:space="0" w:color="A6A6A6"/>
              <w:right w:val="single" w:sz="4" w:space="0" w:color="A6A6A6"/>
            </w:tcBorders>
            <w:noWrap/>
            <w:vAlign w:val="center"/>
            <w:hideMark/>
          </w:tcPr>
          <w:p w14:paraId="24764EE0"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$17.23</w:t>
            </w:r>
          </w:p>
        </w:tc>
      </w:tr>
      <w:tr w:rsidR="00B64FE3" w:rsidRPr="00FF1545" w14:paraId="15131924"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052E3C1E"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Health Share of Oregon</w:t>
            </w:r>
          </w:p>
        </w:tc>
        <w:tc>
          <w:tcPr>
            <w:tcW w:w="2638" w:type="dxa"/>
            <w:tcBorders>
              <w:top w:val="nil"/>
              <w:left w:val="nil"/>
              <w:bottom w:val="single" w:sz="4" w:space="0" w:color="A6A6A6"/>
              <w:right w:val="single" w:sz="4" w:space="0" w:color="A6A6A6"/>
            </w:tcBorders>
            <w:noWrap/>
            <w:vAlign w:val="center"/>
            <w:hideMark/>
          </w:tcPr>
          <w:p w14:paraId="4EF66D2E"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5,029,281 </w:t>
            </w:r>
          </w:p>
        </w:tc>
        <w:tc>
          <w:tcPr>
            <w:tcW w:w="2664" w:type="dxa"/>
            <w:tcBorders>
              <w:top w:val="nil"/>
              <w:left w:val="nil"/>
              <w:bottom w:val="single" w:sz="4" w:space="0" w:color="A6A6A6"/>
              <w:right w:val="single" w:sz="4" w:space="0" w:color="A6A6A6"/>
            </w:tcBorders>
            <w:noWrap/>
            <w:vAlign w:val="center"/>
            <w:hideMark/>
          </w:tcPr>
          <w:p w14:paraId="5EC74E42"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$506.27</w:t>
            </w:r>
          </w:p>
        </w:tc>
        <w:tc>
          <w:tcPr>
            <w:tcW w:w="2770" w:type="dxa"/>
            <w:tcBorders>
              <w:top w:val="nil"/>
              <w:left w:val="nil"/>
              <w:bottom w:val="single" w:sz="4" w:space="0" w:color="A6A6A6"/>
              <w:right w:val="single" w:sz="4" w:space="0" w:color="A6A6A6"/>
            </w:tcBorders>
            <w:noWrap/>
            <w:vAlign w:val="center"/>
            <w:hideMark/>
          </w:tcPr>
          <w:p w14:paraId="1F121DEF"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$15.97</w:t>
            </w:r>
          </w:p>
        </w:tc>
      </w:tr>
      <w:tr w:rsidR="00B64FE3" w:rsidRPr="00FF1545" w14:paraId="4B6061FA"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18B84037"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InterCommunity Health Network</w:t>
            </w:r>
          </w:p>
        </w:tc>
        <w:tc>
          <w:tcPr>
            <w:tcW w:w="2638" w:type="dxa"/>
            <w:tcBorders>
              <w:top w:val="nil"/>
              <w:left w:val="nil"/>
              <w:bottom w:val="single" w:sz="4" w:space="0" w:color="A6A6A6"/>
              <w:right w:val="single" w:sz="4" w:space="0" w:color="A6A6A6"/>
            </w:tcBorders>
            <w:noWrap/>
            <w:vAlign w:val="center"/>
            <w:hideMark/>
          </w:tcPr>
          <w:p w14:paraId="1EA11204"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971,469 </w:t>
            </w:r>
          </w:p>
        </w:tc>
        <w:tc>
          <w:tcPr>
            <w:tcW w:w="2664" w:type="dxa"/>
            <w:tcBorders>
              <w:top w:val="nil"/>
              <w:left w:val="nil"/>
              <w:bottom w:val="single" w:sz="4" w:space="0" w:color="A6A6A6"/>
              <w:right w:val="single" w:sz="4" w:space="0" w:color="A6A6A6"/>
            </w:tcBorders>
            <w:noWrap/>
            <w:vAlign w:val="center"/>
            <w:hideMark/>
          </w:tcPr>
          <w:p w14:paraId="243CDC40"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$555.42</w:t>
            </w:r>
          </w:p>
        </w:tc>
        <w:tc>
          <w:tcPr>
            <w:tcW w:w="2770" w:type="dxa"/>
            <w:tcBorders>
              <w:top w:val="nil"/>
              <w:left w:val="nil"/>
              <w:bottom w:val="single" w:sz="4" w:space="0" w:color="A6A6A6"/>
              <w:right w:val="single" w:sz="4" w:space="0" w:color="A6A6A6"/>
            </w:tcBorders>
            <w:noWrap/>
            <w:vAlign w:val="center"/>
            <w:hideMark/>
          </w:tcPr>
          <w:p w14:paraId="4DDA50F3"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$18.48</w:t>
            </w:r>
          </w:p>
        </w:tc>
      </w:tr>
      <w:tr w:rsidR="00B64FE3" w:rsidRPr="00FF1545" w14:paraId="5E204CCA"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4B9B9CA5"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Jackson Care Connect</w:t>
            </w:r>
          </w:p>
        </w:tc>
        <w:tc>
          <w:tcPr>
            <w:tcW w:w="2638" w:type="dxa"/>
            <w:tcBorders>
              <w:top w:val="nil"/>
              <w:left w:val="nil"/>
              <w:bottom w:val="single" w:sz="4" w:space="0" w:color="A6A6A6"/>
              <w:right w:val="single" w:sz="4" w:space="0" w:color="A6A6A6"/>
            </w:tcBorders>
            <w:noWrap/>
            <w:vAlign w:val="center"/>
            <w:hideMark/>
          </w:tcPr>
          <w:p w14:paraId="18CCB075"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756,571 </w:t>
            </w:r>
          </w:p>
        </w:tc>
        <w:tc>
          <w:tcPr>
            <w:tcW w:w="2664" w:type="dxa"/>
            <w:tcBorders>
              <w:top w:val="nil"/>
              <w:left w:val="nil"/>
              <w:bottom w:val="single" w:sz="4" w:space="0" w:color="A6A6A6"/>
              <w:right w:val="single" w:sz="4" w:space="0" w:color="A6A6A6"/>
            </w:tcBorders>
            <w:noWrap/>
            <w:vAlign w:val="center"/>
            <w:hideMark/>
          </w:tcPr>
          <w:p w14:paraId="7F9A3677"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$500.11</w:t>
            </w:r>
          </w:p>
        </w:tc>
        <w:tc>
          <w:tcPr>
            <w:tcW w:w="2770" w:type="dxa"/>
            <w:tcBorders>
              <w:top w:val="nil"/>
              <w:left w:val="nil"/>
              <w:bottom w:val="single" w:sz="4" w:space="0" w:color="A6A6A6"/>
              <w:right w:val="single" w:sz="4" w:space="0" w:color="A6A6A6"/>
            </w:tcBorders>
            <w:noWrap/>
            <w:vAlign w:val="center"/>
            <w:hideMark/>
          </w:tcPr>
          <w:p w14:paraId="5A287BC0"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$12.15</w:t>
            </w:r>
          </w:p>
        </w:tc>
      </w:tr>
      <w:tr w:rsidR="00B64FE3" w:rsidRPr="00FF1545" w14:paraId="6A256C87"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182ECBA2"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 xml:space="preserve">PacificSource Central </w:t>
            </w:r>
          </w:p>
        </w:tc>
        <w:tc>
          <w:tcPr>
            <w:tcW w:w="2638" w:type="dxa"/>
            <w:tcBorders>
              <w:top w:val="nil"/>
              <w:left w:val="nil"/>
              <w:bottom w:val="single" w:sz="4" w:space="0" w:color="A6A6A6"/>
              <w:right w:val="single" w:sz="4" w:space="0" w:color="A6A6A6"/>
            </w:tcBorders>
            <w:noWrap/>
            <w:vAlign w:val="center"/>
            <w:hideMark/>
          </w:tcPr>
          <w:p w14:paraId="1F9F081F"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884,311 </w:t>
            </w:r>
          </w:p>
        </w:tc>
        <w:tc>
          <w:tcPr>
            <w:tcW w:w="2664" w:type="dxa"/>
            <w:tcBorders>
              <w:top w:val="nil"/>
              <w:left w:val="nil"/>
              <w:bottom w:val="single" w:sz="4" w:space="0" w:color="A6A6A6"/>
              <w:right w:val="single" w:sz="4" w:space="0" w:color="A6A6A6"/>
            </w:tcBorders>
            <w:noWrap/>
            <w:vAlign w:val="center"/>
            <w:hideMark/>
          </w:tcPr>
          <w:p w14:paraId="3307551E"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$606.56</w:t>
            </w:r>
          </w:p>
        </w:tc>
        <w:tc>
          <w:tcPr>
            <w:tcW w:w="2770" w:type="dxa"/>
            <w:tcBorders>
              <w:top w:val="nil"/>
              <w:left w:val="nil"/>
              <w:bottom w:val="single" w:sz="4" w:space="0" w:color="A6A6A6"/>
              <w:right w:val="single" w:sz="4" w:space="0" w:color="A6A6A6"/>
            </w:tcBorders>
            <w:noWrap/>
            <w:vAlign w:val="center"/>
            <w:hideMark/>
          </w:tcPr>
          <w:p w14:paraId="3B594128"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$15.57</w:t>
            </w:r>
          </w:p>
        </w:tc>
      </w:tr>
      <w:tr w:rsidR="00B64FE3" w:rsidRPr="00FF1545" w14:paraId="721A0AAD"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38C15E72"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PacificSource Gorge</w:t>
            </w:r>
          </w:p>
        </w:tc>
        <w:tc>
          <w:tcPr>
            <w:tcW w:w="2638" w:type="dxa"/>
            <w:tcBorders>
              <w:top w:val="nil"/>
              <w:left w:val="nil"/>
              <w:bottom w:val="single" w:sz="4" w:space="0" w:color="A6A6A6"/>
              <w:right w:val="single" w:sz="4" w:space="0" w:color="A6A6A6"/>
            </w:tcBorders>
            <w:noWrap/>
            <w:vAlign w:val="center"/>
            <w:hideMark/>
          </w:tcPr>
          <w:p w14:paraId="105F14DE"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199,177 </w:t>
            </w:r>
          </w:p>
        </w:tc>
        <w:tc>
          <w:tcPr>
            <w:tcW w:w="2664" w:type="dxa"/>
            <w:tcBorders>
              <w:top w:val="nil"/>
              <w:left w:val="nil"/>
              <w:bottom w:val="single" w:sz="4" w:space="0" w:color="A6A6A6"/>
              <w:right w:val="single" w:sz="4" w:space="0" w:color="A6A6A6"/>
            </w:tcBorders>
            <w:noWrap/>
            <w:vAlign w:val="center"/>
            <w:hideMark/>
          </w:tcPr>
          <w:p w14:paraId="2AB04ABD"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$543.72</w:t>
            </w:r>
          </w:p>
        </w:tc>
        <w:tc>
          <w:tcPr>
            <w:tcW w:w="2770" w:type="dxa"/>
            <w:tcBorders>
              <w:top w:val="nil"/>
              <w:left w:val="nil"/>
              <w:bottom w:val="single" w:sz="4" w:space="0" w:color="A6A6A6"/>
              <w:right w:val="single" w:sz="4" w:space="0" w:color="A6A6A6"/>
            </w:tcBorders>
            <w:noWrap/>
            <w:vAlign w:val="center"/>
            <w:hideMark/>
          </w:tcPr>
          <w:p w14:paraId="482FF014"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$19.80</w:t>
            </w:r>
          </w:p>
        </w:tc>
      </w:tr>
      <w:tr w:rsidR="00B64FE3" w:rsidRPr="00FF1545" w14:paraId="436CD17A"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6C187FC3"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 xml:space="preserve">PacificSource Lane </w:t>
            </w:r>
          </w:p>
        </w:tc>
        <w:tc>
          <w:tcPr>
            <w:tcW w:w="2638" w:type="dxa"/>
            <w:tcBorders>
              <w:top w:val="nil"/>
              <w:left w:val="nil"/>
              <w:bottom w:val="single" w:sz="4" w:space="0" w:color="A6A6A6"/>
              <w:right w:val="single" w:sz="4" w:space="0" w:color="A6A6A6"/>
            </w:tcBorders>
            <w:noWrap/>
            <w:vAlign w:val="center"/>
            <w:hideMark/>
          </w:tcPr>
          <w:p w14:paraId="739A8F40"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1,070,889 </w:t>
            </w:r>
          </w:p>
        </w:tc>
        <w:tc>
          <w:tcPr>
            <w:tcW w:w="2664" w:type="dxa"/>
            <w:tcBorders>
              <w:top w:val="nil"/>
              <w:left w:val="nil"/>
              <w:bottom w:val="single" w:sz="4" w:space="0" w:color="A6A6A6"/>
              <w:right w:val="single" w:sz="4" w:space="0" w:color="A6A6A6"/>
            </w:tcBorders>
            <w:noWrap/>
            <w:vAlign w:val="center"/>
            <w:hideMark/>
          </w:tcPr>
          <w:p w14:paraId="0B768536"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$506.02</w:t>
            </w:r>
          </w:p>
        </w:tc>
        <w:tc>
          <w:tcPr>
            <w:tcW w:w="2770" w:type="dxa"/>
            <w:tcBorders>
              <w:top w:val="nil"/>
              <w:left w:val="nil"/>
              <w:bottom w:val="single" w:sz="4" w:space="0" w:color="A6A6A6"/>
              <w:right w:val="single" w:sz="4" w:space="0" w:color="A6A6A6"/>
            </w:tcBorders>
            <w:noWrap/>
            <w:vAlign w:val="center"/>
            <w:hideMark/>
          </w:tcPr>
          <w:p w14:paraId="5CE11EF0"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$18.67</w:t>
            </w:r>
          </w:p>
        </w:tc>
      </w:tr>
      <w:tr w:rsidR="00B64FE3" w:rsidRPr="00FF1545" w14:paraId="1173CBD7"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40AD0B90"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PacificSource Marion Polk</w:t>
            </w:r>
          </w:p>
        </w:tc>
        <w:tc>
          <w:tcPr>
            <w:tcW w:w="2638" w:type="dxa"/>
            <w:tcBorders>
              <w:top w:val="nil"/>
              <w:left w:val="nil"/>
              <w:bottom w:val="single" w:sz="4" w:space="0" w:color="A6A6A6"/>
              <w:right w:val="single" w:sz="4" w:space="0" w:color="A6A6A6"/>
            </w:tcBorders>
            <w:noWrap/>
            <w:vAlign w:val="center"/>
            <w:hideMark/>
          </w:tcPr>
          <w:p w14:paraId="19E285AC"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1,699,837 </w:t>
            </w:r>
          </w:p>
        </w:tc>
        <w:tc>
          <w:tcPr>
            <w:tcW w:w="2664" w:type="dxa"/>
            <w:tcBorders>
              <w:top w:val="nil"/>
              <w:left w:val="nil"/>
              <w:bottom w:val="single" w:sz="4" w:space="0" w:color="A6A6A6"/>
              <w:right w:val="single" w:sz="4" w:space="0" w:color="A6A6A6"/>
            </w:tcBorders>
            <w:noWrap/>
            <w:vAlign w:val="center"/>
            <w:hideMark/>
          </w:tcPr>
          <w:p w14:paraId="222ECC76"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$511.54</w:t>
            </w:r>
          </w:p>
        </w:tc>
        <w:tc>
          <w:tcPr>
            <w:tcW w:w="2770" w:type="dxa"/>
            <w:tcBorders>
              <w:top w:val="nil"/>
              <w:left w:val="nil"/>
              <w:bottom w:val="single" w:sz="4" w:space="0" w:color="A6A6A6"/>
              <w:right w:val="single" w:sz="4" w:space="0" w:color="A6A6A6"/>
            </w:tcBorders>
            <w:noWrap/>
            <w:vAlign w:val="center"/>
            <w:hideMark/>
          </w:tcPr>
          <w:p w14:paraId="78668E73"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$13.04</w:t>
            </w:r>
          </w:p>
        </w:tc>
      </w:tr>
      <w:tr w:rsidR="00B64FE3" w:rsidRPr="00FF1545" w14:paraId="26CC3875"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225FA68A"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Trillium North</w:t>
            </w:r>
          </w:p>
        </w:tc>
        <w:tc>
          <w:tcPr>
            <w:tcW w:w="2638" w:type="dxa"/>
            <w:tcBorders>
              <w:top w:val="nil"/>
              <w:left w:val="nil"/>
              <w:bottom w:val="single" w:sz="4" w:space="0" w:color="A6A6A6"/>
              <w:right w:val="single" w:sz="4" w:space="0" w:color="A6A6A6"/>
            </w:tcBorders>
            <w:noWrap/>
            <w:vAlign w:val="center"/>
            <w:hideMark/>
          </w:tcPr>
          <w:p w14:paraId="22060D90" w14:textId="10F5FAB4" w:rsidR="00B64FE3" w:rsidRPr="00EA3EE8" w:rsidRDefault="0051311E" w:rsidP="00FF1545">
            <w:pPr>
              <w:spacing w:after="0" w:line="240" w:lineRule="auto"/>
              <w:jc w:val="right"/>
              <w:rPr>
                <w:rFonts w:ascii="Aptos" w:eastAsia="Times New Roman" w:hAnsi="Aptos" w:cs="Arial"/>
                <w:kern w:val="0"/>
                <w:sz w:val="22"/>
                <w14:ligatures w14:val="none"/>
              </w:rPr>
            </w:pPr>
            <w:r w:rsidRPr="0051311E">
              <w:rPr>
                <w:rFonts w:ascii="Aptos" w:eastAsia="Times New Roman" w:hAnsi="Aptos" w:cs="Arial"/>
                <w:kern w:val="0"/>
                <w:sz w:val="22"/>
                <w14:ligatures w14:val="none"/>
              </w:rPr>
              <w:t xml:space="preserve">701,844 </w:t>
            </w:r>
          </w:p>
        </w:tc>
        <w:tc>
          <w:tcPr>
            <w:tcW w:w="2664" w:type="dxa"/>
            <w:tcBorders>
              <w:top w:val="nil"/>
              <w:left w:val="nil"/>
              <w:bottom w:val="single" w:sz="4" w:space="0" w:color="A6A6A6"/>
              <w:right w:val="single" w:sz="4" w:space="0" w:color="A6A6A6"/>
            </w:tcBorders>
            <w:noWrap/>
            <w:vAlign w:val="center"/>
            <w:hideMark/>
          </w:tcPr>
          <w:p w14:paraId="5D43176A" w14:textId="3C367AF5" w:rsidR="00B64FE3" w:rsidRPr="00EA3EE8" w:rsidRDefault="0051311E" w:rsidP="00FF1545">
            <w:pPr>
              <w:spacing w:after="0" w:line="240" w:lineRule="auto"/>
              <w:jc w:val="right"/>
              <w:rPr>
                <w:rFonts w:ascii="Aptos" w:eastAsia="Times New Roman" w:hAnsi="Aptos" w:cs="Arial"/>
                <w:kern w:val="0"/>
                <w:sz w:val="22"/>
                <w14:ligatures w14:val="none"/>
              </w:rPr>
            </w:pPr>
            <w:r w:rsidRPr="0051311E">
              <w:rPr>
                <w:rFonts w:ascii="Aptos" w:eastAsia="Times New Roman" w:hAnsi="Aptos" w:cs="Arial"/>
                <w:kern w:val="0"/>
                <w:sz w:val="22"/>
                <w14:ligatures w14:val="none"/>
              </w:rPr>
              <w:t>$407.01</w:t>
            </w:r>
          </w:p>
        </w:tc>
        <w:tc>
          <w:tcPr>
            <w:tcW w:w="2770" w:type="dxa"/>
            <w:tcBorders>
              <w:top w:val="nil"/>
              <w:left w:val="nil"/>
              <w:bottom w:val="single" w:sz="4" w:space="0" w:color="A6A6A6"/>
              <w:right w:val="single" w:sz="4" w:space="0" w:color="A6A6A6"/>
            </w:tcBorders>
            <w:noWrap/>
            <w:vAlign w:val="center"/>
            <w:hideMark/>
          </w:tcPr>
          <w:p w14:paraId="71E62FFF" w14:textId="78ACD7AB" w:rsidR="00B64FE3" w:rsidRPr="00EA3EE8" w:rsidRDefault="0051311E" w:rsidP="00FF1545">
            <w:pPr>
              <w:spacing w:after="0" w:line="240" w:lineRule="auto"/>
              <w:jc w:val="right"/>
              <w:rPr>
                <w:rFonts w:ascii="Aptos" w:eastAsia="Times New Roman" w:hAnsi="Aptos" w:cs="Arial"/>
                <w:kern w:val="0"/>
                <w:sz w:val="22"/>
                <w14:ligatures w14:val="none"/>
              </w:rPr>
            </w:pPr>
            <w:r w:rsidRPr="0051311E">
              <w:rPr>
                <w:rFonts w:ascii="Aptos" w:eastAsia="Times New Roman" w:hAnsi="Aptos" w:cs="Arial"/>
                <w:kern w:val="0"/>
                <w:sz w:val="22"/>
                <w14:ligatures w14:val="none"/>
              </w:rPr>
              <w:t>$15.70</w:t>
            </w:r>
          </w:p>
        </w:tc>
      </w:tr>
      <w:tr w:rsidR="00B64FE3" w:rsidRPr="00FF1545" w14:paraId="6627EF50"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039EACDC"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Trillium South</w:t>
            </w:r>
          </w:p>
        </w:tc>
        <w:tc>
          <w:tcPr>
            <w:tcW w:w="2638" w:type="dxa"/>
            <w:tcBorders>
              <w:top w:val="nil"/>
              <w:left w:val="nil"/>
              <w:bottom w:val="single" w:sz="4" w:space="0" w:color="A6A6A6"/>
              <w:right w:val="single" w:sz="4" w:space="0" w:color="A6A6A6"/>
            </w:tcBorders>
            <w:noWrap/>
            <w:vAlign w:val="center"/>
            <w:hideMark/>
          </w:tcPr>
          <w:p w14:paraId="4EBB3AE5" w14:textId="7500032A" w:rsidR="00B64FE3" w:rsidRPr="00EA3EE8" w:rsidRDefault="0051311E" w:rsidP="00FF1545">
            <w:pPr>
              <w:spacing w:after="0" w:line="240" w:lineRule="auto"/>
              <w:jc w:val="right"/>
              <w:rPr>
                <w:rFonts w:ascii="Aptos" w:eastAsia="Times New Roman" w:hAnsi="Aptos" w:cs="Arial"/>
                <w:kern w:val="0"/>
                <w:sz w:val="22"/>
                <w14:ligatures w14:val="none"/>
              </w:rPr>
            </w:pPr>
            <w:r w:rsidRPr="0051311E">
              <w:rPr>
                <w:rFonts w:ascii="Aptos" w:eastAsia="Times New Roman" w:hAnsi="Aptos" w:cs="Arial"/>
                <w:kern w:val="0"/>
                <w:sz w:val="22"/>
                <w14:ligatures w14:val="none"/>
              </w:rPr>
              <w:t xml:space="preserve">414,655 </w:t>
            </w:r>
          </w:p>
        </w:tc>
        <w:tc>
          <w:tcPr>
            <w:tcW w:w="2664" w:type="dxa"/>
            <w:tcBorders>
              <w:top w:val="nil"/>
              <w:left w:val="nil"/>
              <w:bottom w:val="single" w:sz="4" w:space="0" w:color="A6A6A6"/>
              <w:right w:val="single" w:sz="4" w:space="0" w:color="A6A6A6"/>
            </w:tcBorders>
            <w:noWrap/>
            <w:vAlign w:val="center"/>
            <w:hideMark/>
          </w:tcPr>
          <w:p w14:paraId="7FCF49FD" w14:textId="5B19EE6E" w:rsidR="00B64FE3" w:rsidRPr="00EA3EE8" w:rsidRDefault="0051311E" w:rsidP="00FF1545">
            <w:pPr>
              <w:spacing w:after="0" w:line="240" w:lineRule="auto"/>
              <w:jc w:val="right"/>
              <w:rPr>
                <w:rFonts w:ascii="Aptos" w:eastAsia="Times New Roman" w:hAnsi="Aptos" w:cs="Arial"/>
                <w:kern w:val="0"/>
                <w:sz w:val="22"/>
                <w14:ligatures w14:val="none"/>
              </w:rPr>
            </w:pPr>
            <w:r w:rsidRPr="0051311E">
              <w:rPr>
                <w:rFonts w:ascii="Aptos" w:eastAsia="Times New Roman" w:hAnsi="Aptos" w:cs="Arial"/>
                <w:kern w:val="0"/>
                <w:sz w:val="22"/>
                <w14:ligatures w14:val="none"/>
              </w:rPr>
              <w:t>$485.41</w:t>
            </w:r>
          </w:p>
        </w:tc>
        <w:tc>
          <w:tcPr>
            <w:tcW w:w="2770" w:type="dxa"/>
            <w:tcBorders>
              <w:top w:val="nil"/>
              <w:left w:val="nil"/>
              <w:bottom w:val="single" w:sz="4" w:space="0" w:color="A6A6A6"/>
              <w:right w:val="single" w:sz="4" w:space="0" w:color="A6A6A6"/>
            </w:tcBorders>
            <w:noWrap/>
            <w:vAlign w:val="center"/>
            <w:hideMark/>
          </w:tcPr>
          <w:p w14:paraId="4E567734" w14:textId="3CA49A46" w:rsidR="00B64FE3" w:rsidRPr="00EA3EE8" w:rsidRDefault="0051311E" w:rsidP="00FF1545">
            <w:pPr>
              <w:spacing w:after="0" w:line="240" w:lineRule="auto"/>
              <w:jc w:val="right"/>
              <w:rPr>
                <w:rFonts w:ascii="Aptos" w:eastAsia="Times New Roman" w:hAnsi="Aptos" w:cs="Arial"/>
                <w:kern w:val="0"/>
                <w:sz w:val="22"/>
                <w14:ligatures w14:val="none"/>
              </w:rPr>
            </w:pPr>
            <w:r w:rsidRPr="0051311E">
              <w:rPr>
                <w:rFonts w:ascii="Aptos" w:eastAsia="Times New Roman" w:hAnsi="Aptos" w:cs="Arial"/>
                <w:kern w:val="0"/>
                <w:sz w:val="22"/>
                <w14:ligatures w14:val="none"/>
              </w:rPr>
              <w:t>$9.60</w:t>
            </w:r>
          </w:p>
        </w:tc>
      </w:tr>
      <w:tr w:rsidR="00B64FE3" w:rsidRPr="00FF1545" w14:paraId="567CBCC0"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2514BFB5"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Umpqua Health Alliance</w:t>
            </w:r>
          </w:p>
        </w:tc>
        <w:tc>
          <w:tcPr>
            <w:tcW w:w="2638" w:type="dxa"/>
            <w:tcBorders>
              <w:top w:val="nil"/>
              <w:left w:val="nil"/>
              <w:bottom w:val="single" w:sz="4" w:space="0" w:color="A6A6A6"/>
              <w:right w:val="single" w:sz="4" w:space="0" w:color="A6A6A6"/>
            </w:tcBorders>
            <w:noWrap/>
            <w:vAlign w:val="center"/>
            <w:hideMark/>
          </w:tcPr>
          <w:p w14:paraId="5175301E"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467,302 </w:t>
            </w:r>
          </w:p>
        </w:tc>
        <w:tc>
          <w:tcPr>
            <w:tcW w:w="2664" w:type="dxa"/>
            <w:tcBorders>
              <w:top w:val="nil"/>
              <w:left w:val="nil"/>
              <w:bottom w:val="single" w:sz="4" w:space="0" w:color="A6A6A6"/>
              <w:right w:val="single" w:sz="4" w:space="0" w:color="A6A6A6"/>
            </w:tcBorders>
            <w:noWrap/>
            <w:vAlign w:val="center"/>
            <w:hideMark/>
          </w:tcPr>
          <w:p w14:paraId="17C3C5AB"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$529.41</w:t>
            </w:r>
          </w:p>
        </w:tc>
        <w:tc>
          <w:tcPr>
            <w:tcW w:w="2770" w:type="dxa"/>
            <w:tcBorders>
              <w:top w:val="nil"/>
              <w:left w:val="nil"/>
              <w:bottom w:val="single" w:sz="4" w:space="0" w:color="A6A6A6"/>
              <w:right w:val="single" w:sz="4" w:space="0" w:color="A6A6A6"/>
            </w:tcBorders>
            <w:noWrap/>
            <w:vAlign w:val="center"/>
            <w:hideMark/>
          </w:tcPr>
          <w:p w14:paraId="4C82F1A2"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$18.71</w:t>
            </w:r>
          </w:p>
        </w:tc>
      </w:tr>
      <w:tr w:rsidR="00B64FE3" w:rsidRPr="00FF1545" w14:paraId="7E258B8F"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0A61F6FB" w14:textId="77777777" w:rsidR="00B64FE3" w:rsidRPr="00FF1545" w:rsidRDefault="00B64FE3" w:rsidP="00FF1545">
            <w:pPr>
              <w:spacing w:after="0" w:line="240" w:lineRule="auto"/>
              <w:rPr>
                <w:rFonts w:ascii="Aptos" w:eastAsia="Times New Roman" w:hAnsi="Aptos" w:cs="Arial"/>
                <w:kern w:val="0"/>
                <w:sz w:val="22"/>
                <w14:ligatures w14:val="none"/>
              </w:rPr>
            </w:pPr>
            <w:r w:rsidRPr="00FF1545">
              <w:rPr>
                <w:rFonts w:ascii="Aptos" w:eastAsia="Times New Roman" w:hAnsi="Aptos" w:cs="Arial"/>
                <w:kern w:val="0"/>
                <w:sz w:val="22"/>
                <w14:ligatures w14:val="none"/>
              </w:rPr>
              <w:t>Yamhill Community Care</w:t>
            </w:r>
          </w:p>
        </w:tc>
        <w:tc>
          <w:tcPr>
            <w:tcW w:w="2638" w:type="dxa"/>
            <w:tcBorders>
              <w:top w:val="nil"/>
              <w:left w:val="nil"/>
              <w:bottom w:val="single" w:sz="4" w:space="0" w:color="A6A6A6"/>
              <w:right w:val="single" w:sz="4" w:space="0" w:color="A6A6A6"/>
            </w:tcBorders>
            <w:noWrap/>
            <w:vAlign w:val="center"/>
            <w:hideMark/>
          </w:tcPr>
          <w:p w14:paraId="40E96C72"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415,078 </w:t>
            </w:r>
          </w:p>
        </w:tc>
        <w:tc>
          <w:tcPr>
            <w:tcW w:w="2664" w:type="dxa"/>
            <w:tcBorders>
              <w:top w:val="nil"/>
              <w:left w:val="nil"/>
              <w:bottom w:val="single" w:sz="4" w:space="0" w:color="A6A6A6"/>
              <w:right w:val="single" w:sz="4" w:space="0" w:color="A6A6A6"/>
            </w:tcBorders>
            <w:noWrap/>
            <w:vAlign w:val="center"/>
            <w:hideMark/>
          </w:tcPr>
          <w:p w14:paraId="55F22602"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$519.41</w:t>
            </w:r>
          </w:p>
        </w:tc>
        <w:tc>
          <w:tcPr>
            <w:tcW w:w="2770" w:type="dxa"/>
            <w:tcBorders>
              <w:top w:val="nil"/>
              <w:left w:val="nil"/>
              <w:bottom w:val="single" w:sz="4" w:space="0" w:color="A6A6A6"/>
              <w:right w:val="single" w:sz="4" w:space="0" w:color="A6A6A6"/>
            </w:tcBorders>
            <w:noWrap/>
            <w:vAlign w:val="center"/>
            <w:hideMark/>
          </w:tcPr>
          <w:p w14:paraId="45A8F757"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$17.88</w:t>
            </w:r>
          </w:p>
        </w:tc>
      </w:tr>
      <w:tr w:rsidR="00B64FE3" w:rsidRPr="00FF1545" w14:paraId="68AEF404" w14:textId="77777777" w:rsidTr="002B1C2A">
        <w:trPr>
          <w:trHeight w:val="359"/>
        </w:trPr>
        <w:tc>
          <w:tcPr>
            <w:tcW w:w="4546" w:type="dxa"/>
            <w:tcBorders>
              <w:top w:val="nil"/>
              <w:left w:val="single" w:sz="4" w:space="0" w:color="A6A6A6"/>
              <w:bottom w:val="single" w:sz="4" w:space="0" w:color="A6A6A6"/>
              <w:right w:val="single" w:sz="4" w:space="0" w:color="A6A6A6"/>
            </w:tcBorders>
            <w:vAlign w:val="center"/>
            <w:hideMark/>
          </w:tcPr>
          <w:p w14:paraId="0167EDAE" w14:textId="77777777" w:rsidR="00B64FE3" w:rsidRPr="00FF1545" w:rsidRDefault="00B64FE3" w:rsidP="00FF1545">
            <w:pPr>
              <w:spacing w:after="0" w:line="240" w:lineRule="auto"/>
              <w:jc w:val="right"/>
              <w:rPr>
                <w:rFonts w:ascii="Aptos" w:eastAsia="Times New Roman" w:hAnsi="Aptos" w:cs="Arial"/>
                <w:kern w:val="0"/>
                <w:sz w:val="22"/>
                <w14:ligatures w14:val="none"/>
              </w:rPr>
            </w:pPr>
            <w:r w:rsidRPr="00FF1545">
              <w:rPr>
                <w:rFonts w:ascii="Aptos" w:eastAsia="Times New Roman" w:hAnsi="Aptos" w:cs="Arial"/>
                <w:kern w:val="0"/>
                <w:sz w:val="22"/>
                <w14:ligatures w14:val="none"/>
              </w:rPr>
              <w:t>Total</w:t>
            </w:r>
          </w:p>
        </w:tc>
        <w:tc>
          <w:tcPr>
            <w:tcW w:w="2638" w:type="dxa"/>
            <w:tcBorders>
              <w:top w:val="nil"/>
              <w:left w:val="nil"/>
              <w:bottom w:val="single" w:sz="4" w:space="0" w:color="A6A6A6"/>
              <w:right w:val="single" w:sz="4" w:space="0" w:color="A6A6A6"/>
            </w:tcBorders>
            <w:noWrap/>
            <w:vAlign w:val="center"/>
            <w:hideMark/>
          </w:tcPr>
          <w:p w14:paraId="4D436610" w14:textId="77777777" w:rsidR="00B64FE3" w:rsidRPr="00EA3EE8" w:rsidRDefault="00B64FE3" w:rsidP="00FF1545">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xml:space="preserve">15,310,474 </w:t>
            </w:r>
          </w:p>
        </w:tc>
        <w:tc>
          <w:tcPr>
            <w:tcW w:w="2664" w:type="dxa"/>
            <w:tcBorders>
              <w:top w:val="nil"/>
              <w:left w:val="nil"/>
              <w:bottom w:val="single" w:sz="4" w:space="0" w:color="A6A6A6"/>
              <w:right w:val="single" w:sz="4" w:space="0" w:color="A6A6A6"/>
            </w:tcBorders>
            <w:noWrap/>
            <w:vAlign w:val="center"/>
            <w:hideMark/>
          </w:tcPr>
          <w:p w14:paraId="2DAF5CB7" w14:textId="77777777" w:rsidR="00B64FE3" w:rsidRPr="00EA3EE8" w:rsidRDefault="00B64FE3" w:rsidP="00EA3EE8">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w:t>
            </w:r>
          </w:p>
        </w:tc>
        <w:tc>
          <w:tcPr>
            <w:tcW w:w="2770" w:type="dxa"/>
            <w:tcBorders>
              <w:top w:val="nil"/>
              <w:left w:val="nil"/>
              <w:bottom w:val="single" w:sz="4" w:space="0" w:color="A6A6A6"/>
              <w:right w:val="single" w:sz="4" w:space="0" w:color="A6A6A6"/>
            </w:tcBorders>
            <w:noWrap/>
            <w:vAlign w:val="center"/>
            <w:hideMark/>
          </w:tcPr>
          <w:p w14:paraId="3B849759" w14:textId="77777777" w:rsidR="00B64FE3" w:rsidRPr="00EA3EE8" w:rsidRDefault="00B64FE3" w:rsidP="00EA3EE8">
            <w:pPr>
              <w:spacing w:after="0" w:line="240" w:lineRule="auto"/>
              <w:jc w:val="right"/>
              <w:rPr>
                <w:rFonts w:ascii="Aptos" w:eastAsia="Times New Roman" w:hAnsi="Aptos" w:cs="Arial"/>
                <w:kern w:val="0"/>
                <w:sz w:val="22"/>
                <w14:ligatures w14:val="none"/>
              </w:rPr>
            </w:pPr>
            <w:r w:rsidRPr="00EA3EE8">
              <w:rPr>
                <w:rFonts w:ascii="Aptos" w:eastAsia="Times New Roman" w:hAnsi="Aptos" w:cs="Arial"/>
                <w:kern w:val="0"/>
                <w:sz w:val="22"/>
                <w14:ligatures w14:val="none"/>
              </w:rPr>
              <w:t> </w:t>
            </w:r>
          </w:p>
        </w:tc>
      </w:tr>
    </w:tbl>
    <w:p w14:paraId="2454786A" w14:textId="77777777" w:rsidR="00186F6A" w:rsidRPr="00186F6A" w:rsidRDefault="00186F6A" w:rsidP="00ED698D">
      <w:pPr>
        <w:spacing w:after="0"/>
        <w:rPr>
          <w:rFonts w:eastAsiaTheme="majorEastAsia" w:cstheme="majorBidi"/>
          <w:color w:val="0F4761" w:themeColor="accent1" w:themeShade="BF"/>
          <w:sz w:val="28"/>
          <w:szCs w:val="28"/>
        </w:rPr>
        <w:sectPr w:rsidR="00186F6A" w:rsidRPr="00186F6A" w:rsidSect="00C20449">
          <w:footnotePr>
            <w:numFmt w:val="lowerLetter"/>
          </w:footnotePr>
          <w:pgSz w:w="15840" w:h="12240" w:orient="landscape"/>
          <w:pgMar w:top="1440" w:right="1440" w:bottom="1440" w:left="1440" w:header="86" w:footer="720" w:gutter="0"/>
          <w:cols w:num="2" w:space="144" w:equalWidth="0">
            <w:col w:w="6912" w:space="144"/>
            <w:col w:w="5904"/>
          </w:cols>
          <w:docGrid w:linePitch="360"/>
        </w:sectPr>
      </w:pPr>
    </w:p>
    <w:p w14:paraId="579C4A15" w14:textId="77777777" w:rsidR="00ED698D" w:rsidRDefault="00ED698D" w:rsidP="00ED698D">
      <w:pPr>
        <w:pStyle w:val="Heading1"/>
      </w:pPr>
      <w:bookmarkStart w:id="32" w:name="_Appendix_A:_How"/>
      <w:bookmarkStart w:id="33" w:name="_Toc235090769"/>
      <w:bookmarkEnd w:id="30"/>
      <w:bookmarkEnd w:id="32"/>
      <w:r>
        <w:lastRenderedPageBreak/>
        <w:t>Appendices</w:t>
      </w:r>
      <w:bookmarkEnd w:id="33"/>
    </w:p>
    <w:p w14:paraId="21D2DDB9" w14:textId="77777777" w:rsidR="00ED698D" w:rsidRDefault="00ED698D" w:rsidP="00ED698D">
      <w:pPr>
        <w:pStyle w:val="Heading2"/>
      </w:pPr>
      <w:bookmarkStart w:id="34" w:name="_Toc235090770"/>
      <w:r>
        <w:t>Appendix A: Background</w:t>
      </w:r>
      <w:bookmarkEnd w:id="34"/>
    </w:p>
    <w:p w14:paraId="3190D0BC" w14:textId="77777777" w:rsidR="00ED698D" w:rsidRPr="00C16634" w:rsidRDefault="00ED698D" w:rsidP="00946A72">
      <w:pPr>
        <w:pStyle w:val="Heading3"/>
      </w:pPr>
      <w:r w:rsidRPr="00C16634">
        <w:t xml:space="preserve">About the </w:t>
      </w:r>
      <w:r>
        <w:t>CCO Quality Incentive P</w:t>
      </w:r>
      <w:r w:rsidRPr="00C16634">
        <w:t>rogram</w:t>
      </w:r>
    </w:p>
    <w:p w14:paraId="1BA47D90" w14:textId="77777777" w:rsidR="00ED698D" w:rsidRPr="00C16634" w:rsidRDefault="00ED698D" w:rsidP="00A83E5B">
      <w:r w:rsidRPr="265446A2">
        <w:t xml:space="preserve">The CCO </w:t>
      </w:r>
      <w:r>
        <w:t>Q</w:t>
      </w:r>
      <w:r w:rsidRPr="265446A2">
        <w:t xml:space="preserve">uality </w:t>
      </w:r>
      <w:r>
        <w:t>I</w:t>
      </w:r>
      <w:r w:rsidRPr="265446A2">
        <w:t xml:space="preserve">ncentive </w:t>
      </w:r>
      <w:r>
        <w:t>P</w:t>
      </w:r>
      <w:r w:rsidRPr="265446A2">
        <w:t>rogram rewards exceptional care and continuous quality improvement by CCOs, which serve over one million Oregonians on the Oregon Health Plan (Medicaid). The program is an important part of the coordinated care model</w:t>
      </w:r>
      <w:r w:rsidRPr="00F8507D">
        <w:rPr>
          <w:szCs w:val="24"/>
        </w:rPr>
        <w:t xml:space="preserve">. </w:t>
      </w:r>
      <w:hyperlink r:id="rId70">
        <w:r w:rsidRPr="00F8507D">
          <w:rPr>
            <w:rStyle w:val="Hyperlink"/>
            <w:szCs w:val="24"/>
          </w:rPr>
          <w:t>Independent evaluation</w:t>
        </w:r>
      </w:hyperlink>
      <w:r w:rsidRPr="265446A2">
        <w:t xml:space="preserve"> showed that the program successfully drove improvements overall from 2012 to 2017.</w:t>
      </w:r>
    </w:p>
    <w:p w14:paraId="1071B8CF" w14:textId="77777777" w:rsidR="00ED698D" w:rsidRPr="00C16634" w:rsidRDefault="00ED698D" w:rsidP="00946A72">
      <w:pPr>
        <w:pStyle w:val="Heading3"/>
      </w:pPr>
      <w:r w:rsidRPr="00C16634">
        <w:t>Medicaid</w:t>
      </w:r>
    </w:p>
    <w:p w14:paraId="75CB9937" w14:textId="6B2CB1EA" w:rsidR="00ED698D" w:rsidRPr="00C16634" w:rsidRDefault="00ED698D" w:rsidP="00A83E5B">
      <w:r w:rsidRPr="00C16634">
        <w:t>Medicaid is a federal program that provides health coverage for people earning less than 138</w:t>
      </w:r>
      <w:r w:rsidR="00E50F95">
        <w:t xml:space="preserve"> percent</w:t>
      </w:r>
      <w:r w:rsidRPr="00C16634">
        <w:t xml:space="preserve"> of the federal poverty level and people with disabilities. Each state administers Medicaid and must follow federal requirements. S</w:t>
      </w:r>
      <w:r>
        <w:t>ome s</w:t>
      </w:r>
      <w:r w:rsidRPr="00C16634">
        <w:t>tates obtain waivers from the federal government</w:t>
      </w:r>
      <w:r>
        <w:t xml:space="preserve"> for following certain federal requirements</w:t>
      </w:r>
      <w:r w:rsidRPr="00C16634">
        <w:t xml:space="preserve">. These waivers grant states flexibility in how they use federal Medicaid funds in their state, with the goal of improving health care outcomes. </w:t>
      </w:r>
    </w:p>
    <w:p w14:paraId="1EC1BFC7" w14:textId="339E8F09" w:rsidR="00ED698D" w:rsidRPr="00C16634" w:rsidRDefault="00ED698D" w:rsidP="00A83E5B">
      <w:r w:rsidRPr="00C16634">
        <w:t xml:space="preserve">Oregon has had a type of waiver, known as an 1115 </w:t>
      </w:r>
      <w:r w:rsidR="00EC6B07">
        <w:t xml:space="preserve">demonstration </w:t>
      </w:r>
      <w:r w:rsidRPr="00C16634">
        <w:t xml:space="preserve">waiver, since 1994. The waiver allows Oregon to deliver Medicaid services in unique ways, such as through the coordinated care model. Some of the key elements of Oregon’s coordinated care model include using best practices to manage and coordinate care; transparency in price and quality; and paying for better quality care and better health outcomes, rather than just more services. </w:t>
      </w:r>
    </w:p>
    <w:p w14:paraId="09E7053F" w14:textId="77777777" w:rsidR="00ED698D" w:rsidRPr="00C16634" w:rsidRDefault="00ED698D" w:rsidP="00A83E5B">
      <w:r w:rsidRPr="00C16634">
        <w:t xml:space="preserve">In October 2022, </w:t>
      </w:r>
      <w:r w:rsidRPr="00F8507D">
        <w:rPr>
          <w:szCs w:val="24"/>
        </w:rPr>
        <w:t xml:space="preserve">Oregon began a </w:t>
      </w:r>
      <w:hyperlink r:id="rId71" w:history="1">
        <w:r w:rsidRPr="00F8507D">
          <w:rPr>
            <w:rStyle w:val="Hyperlink"/>
            <w:szCs w:val="24"/>
          </w:rPr>
          <w:t>new demonstration period</w:t>
        </w:r>
      </w:hyperlink>
      <w:r w:rsidRPr="00C16634">
        <w:t xml:space="preserve"> which will run through September 2027. The </w:t>
      </w:r>
      <w:r>
        <w:t xml:space="preserve">goal </w:t>
      </w:r>
      <w:r w:rsidRPr="00C16634">
        <w:t xml:space="preserve">of the new waiver is to advance OHA’s goal of eliminating health inequities by 2030. </w:t>
      </w:r>
    </w:p>
    <w:p w14:paraId="7EC0EE17" w14:textId="77777777" w:rsidR="00ED698D" w:rsidRPr="00C16634" w:rsidRDefault="00ED698D" w:rsidP="00946A72">
      <w:pPr>
        <w:pStyle w:val="Heading3"/>
      </w:pPr>
      <w:r w:rsidRPr="00C16634">
        <w:t>Coordinated care</w:t>
      </w:r>
    </w:p>
    <w:p w14:paraId="4A7AEF00" w14:textId="77777777" w:rsidR="00ED698D" w:rsidRPr="00C16634" w:rsidRDefault="00ED698D" w:rsidP="00A83E5B">
      <w:r w:rsidRPr="00C16634">
        <w:t xml:space="preserve">A coordinated care organization (CCO) is a network of health care providers (physical, behavioral, and oral health care providers). Each CCO agrees to work together with their local communities to serve people who receive health care coverage under the Oregon Health Plan (Medicaid). CCOs were formed in Oregon in late 2012. </w:t>
      </w:r>
    </w:p>
    <w:p w14:paraId="692FBC92" w14:textId="77777777" w:rsidR="00ED698D" w:rsidRPr="00C16634" w:rsidRDefault="00ED698D" w:rsidP="00A83E5B">
      <w:r w:rsidRPr="00C16634">
        <w:t xml:space="preserve">CCOs have the flexibility to support new models of care that are patient-centered and team-focused and eliminate health inequities. CCOs are able to better coordinate services and focus on prevention, chronic illness management and person-centered care. They have flexibility within their budgets to provide services beyond medical benefits. </w:t>
      </w:r>
    </w:p>
    <w:p w14:paraId="67622A9E" w14:textId="77777777" w:rsidR="00ED698D" w:rsidRDefault="00ED698D" w:rsidP="00A83E5B">
      <w:pPr>
        <w:sectPr w:rsidR="00ED698D" w:rsidSect="00ED698D">
          <w:headerReference w:type="default" r:id="rId72"/>
          <w:footnotePr>
            <w:numFmt w:val="lowerLetter"/>
          </w:footnotePr>
          <w:pgSz w:w="12240" w:h="15840"/>
          <w:pgMar w:top="1440" w:right="1440" w:bottom="1440" w:left="1440" w:header="86" w:footer="720" w:gutter="0"/>
          <w:cols w:space="720"/>
          <w:docGrid w:linePitch="360"/>
        </w:sectPr>
      </w:pPr>
      <w:r w:rsidRPr="00C16634">
        <w:lastRenderedPageBreak/>
        <w:t>Requirements for CCOs have evolved over time and a new phase, CCO 2.0, began in 2020. CCO 2.0 priority areas include work to improve the behavioral health system</w:t>
      </w:r>
      <w:r>
        <w:t>,</w:t>
      </w:r>
      <w:r w:rsidRPr="00C16634">
        <w:t xml:space="preserve"> increase value and pay for performance</w:t>
      </w:r>
      <w:r>
        <w:t>,</w:t>
      </w:r>
      <w:r w:rsidRPr="00C16634">
        <w:t xml:space="preserve"> focus on social determinants of health and health equity</w:t>
      </w:r>
      <w:r>
        <w:t>,</w:t>
      </w:r>
      <w:r w:rsidRPr="00C16634">
        <w:t xml:space="preserve"> and maintain sustainable cost growth.</w:t>
      </w:r>
    </w:p>
    <w:p w14:paraId="3C09D9B9" w14:textId="77777777" w:rsidR="00ED698D" w:rsidRDefault="00ED698D" w:rsidP="00ED698D">
      <w:pPr>
        <w:pStyle w:val="Heading2"/>
      </w:pPr>
      <w:bookmarkStart w:id="35" w:name="_Appendix_B:_How_1"/>
      <w:bookmarkStart w:id="36" w:name="_Toc235090771"/>
      <w:bookmarkEnd w:id="35"/>
      <w:r>
        <w:lastRenderedPageBreak/>
        <w:t>Appendix B: How improvement targets are calculated</w:t>
      </w:r>
      <w:bookmarkEnd w:id="36"/>
    </w:p>
    <w:p w14:paraId="60F25E61" w14:textId="387D87E6" w:rsidR="00ED698D" w:rsidRPr="00F47F69" w:rsidRDefault="00ED698D" w:rsidP="00ED698D">
      <w:r w:rsidRPr="00F47F69">
        <w:t xml:space="preserve">Improvement targets are calculated for each CCO based on the Minnesota Department of Health Quality Incentive Payment System method (called the </w:t>
      </w:r>
      <w:r w:rsidRPr="00F47F69">
        <w:rPr>
          <w:b/>
          <w:bCs/>
        </w:rPr>
        <w:t>Minnesota or MN method</w:t>
      </w:r>
      <w:r w:rsidRPr="00F47F69">
        <w:t xml:space="preserve">). A CCO meets its improvement target by reducing the gap between its baseline (the previous year’s performance) and the benchmark (the aspirational goal). </w:t>
      </w:r>
    </w:p>
    <w:p w14:paraId="4D1B96B7" w14:textId="77777777" w:rsidR="00ED698D" w:rsidRPr="00F47F69" w:rsidRDefault="00ED698D" w:rsidP="00ED698D">
      <w:r w:rsidRPr="00F47F69">
        <w:t xml:space="preserve">A CCO must show at least a 10 percent reduction in the gap between baseline and the benchmark to meet its improvement target. To ensure meaningful progress toward the benchmark, typically a floor is applied to each CCO’s improvement target. </w:t>
      </w:r>
    </w:p>
    <w:p w14:paraId="3671BE67" w14:textId="25286A53" w:rsidR="00ED698D" w:rsidRPr="007A7F68" w:rsidRDefault="00ED698D" w:rsidP="00ED698D">
      <w:r w:rsidRPr="00F47F69">
        <w:t>Suppose CCO A’s performance in 202</w:t>
      </w:r>
      <w:r w:rsidR="004A3531">
        <w:t>4</w:t>
      </w:r>
      <w:r w:rsidRPr="00F47F69">
        <w:t xml:space="preserve"> (</w:t>
      </w:r>
      <w:r>
        <w:t>their</w:t>
      </w:r>
      <w:r w:rsidRPr="00F47F69">
        <w:t xml:space="preserve"> baseline) on </w:t>
      </w:r>
      <w:r>
        <w:t>a measure</w:t>
      </w:r>
      <w:r w:rsidRPr="00F47F69">
        <w:t xml:space="preserve"> was 60.0</w:t>
      </w:r>
      <w:r w:rsidR="00E50F95">
        <w:t xml:space="preserve"> percent</w:t>
      </w:r>
      <w:r w:rsidRPr="00F47F69">
        <w:t xml:space="preserve"> and the benchmark is 100.0</w:t>
      </w:r>
      <w:r w:rsidR="00E50F95">
        <w:t xml:space="preserve"> percent</w:t>
      </w:r>
      <w:r w:rsidRPr="00F47F69">
        <w:t>.</w:t>
      </w:r>
    </w:p>
    <w:p w14:paraId="44A239AD" w14:textId="77777777" w:rsidR="00ED698D" w:rsidRPr="00BF56B1" w:rsidRDefault="00ED698D" w:rsidP="00ED698D">
      <w:pPr>
        <w:pStyle w:val="BodyTextindent"/>
        <w:ind w:left="0" w:right="0"/>
        <w:jc w:val="center"/>
        <w:rPr>
          <w:sz w:val="22"/>
        </w:rPr>
      </w:pPr>
      <w:r>
        <w:rPr>
          <w:noProof/>
        </w:rPr>
        <w:drawing>
          <wp:inline distT="0" distB="0" distL="0" distR="0" wp14:anchorId="5E133E6C" wp14:editId="21F40BE4">
            <wp:extent cx="4572000" cy="866774"/>
            <wp:effectExtent l="0" t="0" r="0" b="0"/>
            <wp:docPr id="288" name="Chart 288" descr="Hollow dot representing CCO A's performance in 2024 at 60% and a line at 100% representing a benchmarking.">
              <a:extLst xmlns:a="http://schemas.openxmlformats.org/drawingml/2006/main">
                <a:ext uri="{FF2B5EF4-FFF2-40B4-BE49-F238E27FC236}">
                  <a16:creationId xmlns:a16="http://schemas.microsoft.com/office/drawing/2014/main" id="{C9B80D71-5C69-4C79-BD5A-51551C429A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E8B8DE6" w14:textId="77777777" w:rsidR="00ED698D" w:rsidRPr="00C16634" w:rsidRDefault="00ED698D" w:rsidP="00D93AC3">
      <w:r w:rsidRPr="00C16634">
        <w:t xml:space="preserve">The gap between baseline and the benchmark is </w:t>
      </w:r>
      <w:r w:rsidRPr="00DF34DD">
        <w:t>100% - 60% = 40%.</w:t>
      </w:r>
    </w:p>
    <w:p w14:paraId="6ACF612E" w14:textId="481C9BA9" w:rsidR="00ED698D" w:rsidRPr="00C16634" w:rsidRDefault="00ED698D" w:rsidP="00D93AC3">
      <w:r w:rsidRPr="00BB1CFB">
        <w:t>Ten percent of 40% = 4%.</w:t>
      </w:r>
      <w:r w:rsidRPr="00C16634">
        <w:t xml:space="preserve"> Thus, </w:t>
      </w:r>
      <w:r w:rsidRPr="00BB1CFB">
        <w:t>CCO A must improve by 4 percentage points in 202</w:t>
      </w:r>
      <w:r w:rsidR="004A3531">
        <w:t>5</w:t>
      </w:r>
      <w:r w:rsidRPr="00BB1CFB">
        <w:t>.</w:t>
      </w:r>
      <w:r w:rsidRPr="00C16634">
        <w:t xml:space="preserve"> Their </w:t>
      </w:r>
      <w:r w:rsidRPr="00DF34DD">
        <w:t>improvement target</w:t>
      </w:r>
      <w:r w:rsidRPr="00C16634">
        <w:t xml:space="preserve"> is [baseline + 4%] =</w:t>
      </w:r>
      <w:r w:rsidRPr="00DF34DD">
        <w:t xml:space="preserve"> 60% + 4% = 64%. </w:t>
      </w:r>
    </w:p>
    <w:p w14:paraId="30D01D7E" w14:textId="03226B82" w:rsidR="00ED698D" w:rsidRPr="00C16634" w:rsidRDefault="00ED698D" w:rsidP="00D93AC3">
      <w:r w:rsidRPr="00C16634">
        <w:t xml:space="preserve">Suppose that CCO A’s performance in </w:t>
      </w:r>
      <w:r w:rsidRPr="00BB1CFB">
        <w:t>202</w:t>
      </w:r>
      <w:r w:rsidR="004A3531">
        <w:t>5</w:t>
      </w:r>
      <w:r w:rsidRPr="00C16634">
        <w:t xml:space="preserve"> is </w:t>
      </w:r>
      <w:r>
        <w:t>6</w:t>
      </w:r>
      <w:r w:rsidRPr="00C16634">
        <w:t>5%</w:t>
      </w:r>
      <w:r>
        <w:t>. T</w:t>
      </w:r>
      <w:r w:rsidRPr="00C16634">
        <w:t xml:space="preserve">hey </w:t>
      </w:r>
      <w:r>
        <w:rPr>
          <w:b/>
          <w:bCs/>
        </w:rPr>
        <w:t>reached</w:t>
      </w:r>
      <w:r w:rsidRPr="00C16634">
        <w:rPr>
          <w:b/>
          <w:bCs/>
        </w:rPr>
        <w:t xml:space="preserve"> their improvement target and </w:t>
      </w:r>
      <w:r w:rsidRPr="00591DD9">
        <w:rPr>
          <w:b/>
          <w:bCs/>
        </w:rPr>
        <w:t>met the measure</w:t>
      </w:r>
      <w:r w:rsidRPr="00C16634">
        <w:t>.</w:t>
      </w:r>
      <w:r w:rsidRPr="00C16634">
        <w:rPr>
          <w:noProof/>
          <w:shd w:val="clear" w:color="auto" w:fill="E6E6E6"/>
        </w:rPr>
        <w:t xml:space="preserve"> </w:t>
      </w:r>
      <w:r>
        <w:rPr>
          <w:noProof/>
        </w:rPr>
        <w:drawing>
          <wp:inline distT="0" distB="0" distL="0" distR="0" wp14:anchorId="1B4BD59D" wp14:editId="0DAACF2E">
            <wp:extent cx="5943600" cy="855357"/>
            <wp:effectExtent l="0" t="0" r="0" b="1905"/>
            <wp:docPr id="2125827185" name="Chart 1" descr="Hollow dot representing CCO A's performance in 2024 at 60% and a dark blue dot at 65% for their 2025 performance. A line at 100% represents the benchmarking and a dashed line at 64% represents CCO's improvement target.">
              <a:extLst xmlns:a="http://schemas.openxmlformats.org/drawingml/2006/main">
                <a:ext uri="{FF2B5EF4-FFF2-40B4-BE49-F238E27FC236}">
                  <a16:creationId xmlns:a16="http://schemas.microsoft.com/office/drawing/2014/main" id="{6899C589-339F-43A0-92D6-B9BFE219CD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B08474F" w14:textId="77777777" w:rsidR="00ED698D" w:rsidRPr="004E6788" w:rsidRDefault="00ED698D" w:rsidP="00ED698D">
      <w:pPr>
        <w:pStyle w:val="BodyTextindent"/>
        <w:ind w:left="0" w:right="0"/>
        <w:jc w:val="center"/>
        <w:rPr>
          <w:color w:val="auto"/>
          <w:sz w:val="22"/>
        </w:rPr>
      </w:pPr>
      <w:r w:rsidRPr="00C16634">
        <w:rPr>
          <w:rFonts w:asciiTheme="minorHAnsi" w:hAnsiTheme="minorHAnsi" w:cstheme="minorHAnsi"/>
          <w:noProof/>
          <w:color w:val="2B579A"/>
          <w:sz w:val="22"/>
          <w:shd w:val="clear" w:color="auto" w:fill="E6E6E6"/>
        </w:rPr>
        <mc:AlternateContent>
          <mc:Choice Requires="wps">
            <w:drawing>
              <wp:inline distT="0" distB="0" distL="0" distR="0" wp14:anchorId="3242ADA1" wp14:editId="3565CF55">
                <wp:extent cx="6372225" cy="1162050"/>
                <wp:effectExtent l="0" t="0" r="9525" b="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162050"/>
                        </a:xfrm>
                        <a:prstGeom prst="rect">
                          <a:avLst/>
                        </a:prstGeom>
                        <a:solidFill>
                          <a:schemeClr val="bg1">
                            <a:lumMod val="95000"/>
                          </a:schemeClr>
                        </a:solidFill>
                        <a:ln w="9525">
                          <a:noFill/>
                          <a:miter lim="800000"/>
                          <a:headEnd/>
                          <a:tailEnd/>
                        </a:ln>
                      </wps:spPr>
                      <wps:txbx>
                        <w:txbxContent>
                          <w:p w14:paraId="7561F249" w14:textId="77777777" w:rsidR="00ED698D" w:rsidRPr="00C16634" w:rsidRDefault="00ED698D" w:rsidP="00D93AC3">
                            <w:pPr>
                              <w:rPr>
                                <w:rFonts w:eastAsiaTheme="minorEastAsia" w:cstheme="minorHAnsi"/>
                              </w:rPr>
                            </w:pPr>
                            <w:r w:rsidRPr="00C16634">
                              <w:rPr>
                                <w:rFonts w:cstheme="minorHAnsi"/>
                              </w:rPr>
                              <w:t>Stated as a formula:</w:t>
                            </w:r>
                            <w:r w:rsidRPr="00C16634">
                              <w:rPr>
                                <w:rFonts w:cstheme="minorHAnsi"/>
                                <w:sz w:val="18"/>
                                <w:szCs w:val="16"/>
                              </w:rPr>
                              <w:t xml:space="preserve"> </w:t>
                            </w:r>
                            <w:r w:rsidRPr="00C16634">
                              <w:rPr>
                                <w:rFonts w:cstheme="minorHAnsi"/>
                                <w:sz w:val="18"/>
                                <w:szCs w:val="16"/>
                              </w:rPr>
                              <w:br/>
                            </w:r>
                            <m:oMathPara>
                              <m:oMath>
                                <m:f>
                                  <m:fPr>
                                    <m:ctrlPr>
                                      <w:rPr>
                                        <w:rFonts w:ascii="Cambria Math" w:hAnsi="Cambria Math"/>
                                      </w:rPr>
                                    </m:ctrlPr>
                                  </m:fPr>
                                  <m:num>
                                    <m:d>
                                      <m:dPr>
                                        <m:begChr m:val="["/>
                                        <m:endChr m:val="]"/>
                                        <m:ctrlPr>
                                          <w:rPr>
                                            <w:rFonts w:ascii="Cambria Math" w:hAnsi="Cambria Math"/>
                                            <w:i/>
                                          </w:rPr>
                                        </m:ctrlPr>
                                      </m:dPr>
                                      <m:e>
                                        <m:r>
                                          <m:rPr>
                                            <m:nor/>
                                          </m:rPr>
                                          <m:t>Benchmark</m:t>
                                        </m:r>
                                      </m:e>
                                    </m:d>
                                    <m:r>
                                      <w:rPr>
                                        <w:rFonts w:ascii="Cambria Math" w:hAnsi="Cambria Math"/>
                                      </w:rPr>
                                      <m:t xml:space="preserve"> </m:t>
                                    </m:r>
                                    <m:r>
                                      <m:rPr>
                                        <m:nor/>
                                      </m:rPr>
                                      <m:t>-</m:t>
                                    </m:r>
                                    <m:r>
                                      <m:rPr>
                                        <m:nor/>
                                      </m:rPr>
                                      <w:rPr>
                                        <w:rFonts w:ascii="Cambria Math"/>
                                      </w:rPr>
                                      <m:t xml:space="preserve"> </m:t>
                                    </m:r>
                                    <m:r>
                                      <m:rPr>
                                        <m:nor/>
                                      </m:rPr>
                                      <m:t>[CCO baseline]</m:t>
                                    </m:r>
                                  </m:num>
                                  <m:den>
                                    <m:r>
                                      <m:rPr>
                                        <m:nor/>
                                      </m:rPr>
                                      <m:t>10</m:t>
                                    </m:r>
                                  </m:den>
                                </m:f>
                                <m:r>
                                  <m:rPr>
                                    <m:nor/>
                                  </m:rPr>
                                  <w:rPr>
                                    <w:rFonts w:ascii="Cambria Math"/>
                                  </w:rPr>
                                  <m:t xml:space="preserve"> </m:t>
                                </m:r>
                                <m:r>
                                  <m:rPr>
                                    <m:nor/>
                                  </m:rPr>
                                  <m:t>=</m:t>
                                </m:r>
                                <m:r>
                                  <m:rPr>
                                    <m:nor/>
                                  </m:rPr>
                                  <w:rPr>
                                    <w:rFonts w:ascii="Cambria Math"/>
                                  </w:rPr>
                                  <m:t xml:space="preserve"> </m:t>
                                </m:r>
                                <m:r>
                                  <m:rPr>
                                    <m:nor/>
                                  </m:rPr>
                                  <m:t>X</m:t>
                                </m:r>
                              </m:oMath>
                            </m:oMathPara>
                          </w:p>
                          <w:p w14:paraId="4998C4B1" w14:textId="77777777" w:rsidR="00ED698D" w:rsidRPr="00C16634" w:rsidRDefault="00ED698D" w:rsidP="00D93AC3">
                            <w:pPr>
                              <w:rPr>
                                <w:rFonts w:cstheme="minorHAnsi"/>
                                <w:sz w:val="18"/>
                                <w:szCs w:val="16"/>
                              </w:rPr>
                            </w:pPr>
                            <w:r w:rsidRPr="00C16634">
                              <w:rPr>
                                <w:rFonts w:eastAsiaTheme="minorEastAsia" w:cstheme="minorHAnsi"/>
                                <w:sz w:val="18"/>
                                <w:szCs w:val="16"/>
                              </w:rPr>
                              <w:br/>
                            </w:r>
                            <m:oMathPara>
                              <m:oMath>
                                <m:d>
                                  <m:dPr>
                                    <m:begChr m:val="["/>
                                    <m:endChr m:val="]"/>
                                    <m:ctrlPr>
                                      <w:rPr>
                                        <w:rFonts w:ascii="Cambria Math" w:hAnsi="Cambria Math"/>
                                        <w:i/>
                                      </w:rPr>
                                    </m:ctrlPr>
                                  </m:dPr>
                                  <m:e>
                                    <m:r>
                                      <m:rPr>
                                        <m:nor/>
                                      </m:rPr>
                                      <m:t>CCO baseline</m:t>
                                    </m:r>
                                  </m:e>
                                </m:d>
                                <m:r>
                                  <m:rPr>
                                    <m:nor/>
                                  </m:rPr>
                                  <w:rPr>
                                    <w:rFonts w:ascii="Cambria Math"/>
                                  </w:rPr>
                                  <m:t xml:space="preserve"> </m:t>
                                </m:r>
                                <m:r>
                                  <m:rPr>
                                    <m:nor/>
                                  </m:rPr>
                                  <m:t>+</m:t>
                                </m:r>
                                <m:r>
                                  <m:rPr>
                                    <m:nor/>
                                  </m:rPr>
                                  <w:rPr>
                                    <w:rFonts w:ascii="Cambria Math"/>
                                  </w:rPr>
                                  <m:t xml:space="preserve"> </m:t>
                                </m:r>
                                <m:d>
                                  <m:dPr>
                                    <m:begChr m:val="["/>
                                    <m:endChr m:val="]"/>
                                    <m:ctrlPr>
                                      <w:rPr>
                                        <w:rFonts w:ascii="Cambria Math" w:hAnsi="Cambria Math"/>
                                        <w:i/>
                                      </w:rPr>
                                    </m:ctrlPr>
                                  </m:dPr>
                                  <m:e>
                                    <m:r>
                                      <m:rPr>
                                        <m:nor/>
                                      </m:rPr>
                                      <m:t>X</m:t>
                                    </m:r>
                                  </m:e>
                                </m:d>
                                <m:r>
                                  <m:rPr>
                                    <m:nor/>
                                  </m:rPr>
                                  <w:rPr>
                                    <w:rFonts w:ascii="Cambria Math"/>
                                  </w:rPr>
                                  <m:t xml:space="preserve"> </m:t>
                                </m:r>
                                <m:r>
                                  <m:rPr>
                                    <m:nor/>
                                  </m:rPr>
                                  <m:t>=</m:t>
                                </m:r>
                                <m:r>
                                  <m:rPr>
                                    <m:nor/>
                                  </m:rPr>
                                  <w:rPr>
                                    <w:rFonts w:ascii="Cambria Math"/>
                                  </w:rPr>
                                  <m:t xml:space="preserve"> </m:t>
                                </m:r>
                                <m:r>
                                  <m:rPr>
                                    <m:nor/>
                                  </m:rPr>
                                  <m:t>Improvement target</m:t>
                                </m:r>
                              </m:oMath>
                            </m:oMathPara>
                          </w:p>
                          <w:p w14:paraId="04BEA2FB" w14:textId="77777777" w:rsidR="00ED698D" w:rsidRDefault="00ED698D" w:rsidP="00ED698D"/>
                        </w:txbxContent>
                      </wps:txbx>
                      <wps:bodyPr rot="0" vert="horz" wrap="square" lIns="91440" tIns="45720" rIns="91440" bIns="45720" anchor="t" anchorCtr="0">
                        <a:noAutofit/>
                      </wps:bodyPr>
                    </wps:wsp>
                  </a:graphicData>
                </a:graphic>
              </wp:inline>
            </w:drawing>
          </mc:Choice>
          <mc:Fallback>
            <w:pict>
              <v:shape w14:anchorId="3242ADA1" id="Text Box 21" o:spid="_x0000_s1052" type="#_x0000_t202" style="width:501.75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" fillcolor="#f2f2f2 [3052]" stroked="f">
                <v:textbox>
                  <w:txbxContent>
                    <w:p w14:paraId="7561F249" w14:textId="77777777" w:rsidR="00ED698D" w:rsidRPr="00C16634" w:rsidRDefault="00ED698D" w:rsidP="00D93AC3">
                      <w:pPr>
                        <w:rPr>
                          <w:rFonts w:eastAsiaTheme="minorEastAsia" w:cstheme="minorHAnsi"/>
                        </w:rPr>
                      </w:pPr>
                      <w:r w:rsidRPr="00C16634">
                        <w:rPr>
                          <w:rFonts w:cstheme="minorHAnsi"/>
                        </w:rPr>
                        <w:t>Stated as a formula:</w:t>
                      </w:r>
                      <w:r w:rsidRPr="00C16634">
                        <w:rPr>
                          <w:rFonts w:cstheme="minorHAnsi"/>
                          <w:sz w:val="18"/>
                          <w:szCs w:val="16"/>
                        </w:rPr>
                        <w:t xml:space="preserve"> </w:t>
                      </w:r>
                      <w:r w:rsidRPr="00C16634">
                        <w:rPr>
                          <w:rFonts w:cstheme="minorHAnsi"/>
                          <w:sz w:val="18"/>
                          <w:szCs w:val="16"/>
                        </w:rPr>
                        <w:br/>
                      </w:r>
                      <m:oMathPara>
                        <m:oMath>
                          <m:f>
                            <m:fPr>
                              <m:ctrlPr>
                                <w:rPr>
                                  <w:rFonts w:ascii="Cambria Math" w:hAnsi="Cambria Math"/>
                                </w:rPr>
                              </m:ctrlPr>
                            </m:fPr>
                            <m:num>
                              <m:d>
                                <m:dPr>
                                  <m:begChr m:val="["/>
                                  <m:endChr m:val="]"/>
                                  <m:ctrlPr>
                                    <w:rPr>
                                      <w:rFonts w:ascii="Cambria Math" w:hAnsi="Cambria Math"/>
                                      <w:i/>
                                    </w:rPr>
                                  </m:ctrlPr>
                                </m:dPr>
                                <m:e>
                                  <m:r>
                                    <m:rPr>
                                      <m:nor/>
                                    </m:rPr>
                                    <m:t>Benchmark</m:t>
                                  </m:r>
                                </m:e>
                              </m:d>
                              <m:r>
                                <w:rPr>
                                  <w:rFonts w:ascii="Cambria Math" w:hAnsi="Cambria Math"/>
                                </w:rPr>
                                <m:t xml:space="preserve"> </m:t>
                              </m:r>
                              <m:r>
                                <m:rPr>
                                  <m:nor/>
                                </m:rPr>
                                <m:t>-</m:t>
                              </m:r>
                              <m:r>
                                <m:rPr>
                                  <m:nor/>
                                </m:rPr>
                                <w:rPr>
                                  <w:rFonts w:ascii="Cambria Math"/>
                                </w:rPr>
                                <m:t xml:space="preserve"> </m:t>
                              </m:r>
                              <m:r>
                                <m:rPr>
                                  <m:nor/>
                                </m:rPr>
                                <m:t>[CCO baseline]</m:t>
                              </m:r>
                            </m:num>
                            <m:den>
                              <m:r>
                                <m:rPr>
                                  <m:nor/>
                                </m:rPr>
                                <m:t>10</m:t>
                              </m:r>
                            </m:den>
                          </m:f>
                          <m:r>
                            <m:rPr>
                              <m:nor/>
                            </m:rPr>
                            <w:rPr>
                              <w:rFonts w:ascii="Cambria Math"/>
                            </w:rPr>
                            <m:t xml:space="preserve"> </m:t>
                          </m:r>
                          <m:r>
                            <m:rPr>
                              <m:nor/>
                            </m:rPr>
                            <m:t>=</m:t>
                          </m:r>
                          <m:r>
                            <m:rPr>
                              <m:nor/>
                            </m:rPr>
                            <w:rPr>
                              <w:rFonts w:ascii="Cambria Math"/>
                            </w:rPr>
                            <m:t xml:space="preserve"> </m:t>
                          </m:r>
                          <m:r>
                            <m:rPr>
                              <m:nor/>
                            </m:rPr>
                            <m:t>X</m:t>
                          </m:r>
                        </m:oMath>
                      </m:oMathPara>
                    </w:p>
                    <w:p w14:paraId="4998C4B1" w14:textId="77777777" w:rsidR="00ED698D" w:rsidRPr="00C16634" w:rsidRDefault="00ED698D" w:rsidP="00D93AC3">
                      <w:pPr>
                        <w:rPr>
                          <w:rFonts w:cstheme="minorHAnsi"/>
                          <w:sz w:val="18"/>
                          <w:szCs w:val="16"/>
                        </w:rPr>
                      </w:pPr>
                      <w:r w:rsidRPr="00C16634">
                        <w:rPr>
                          <w:rFonts w:eastAsiaTheme="minorEastAsia" w:cstheme="minorHAnsi"/>
                          <w:sz w:val="18"/>
                          <w:szCs w:val="16"/>
                        </w:rPr>
                        <w:br/>
                      </w:r>
                      <m:oMathPara>
                        <m:oMath>
                          <m:d>
                            <m:dPr>
                              <m:begChr m:val="["/>
                              <m:endChr m:val="]"/>
                              <m:ctrlPr>
                                <w:rPr>
                                  <w:rFonts w:ascii="Cambria Math" w:hAnsi="Cambria Math"/>
                                  <w:i/>
                                </w:rPr>
                              </m:ctrlPr>
                            </m:dPr>
                            <m:e>
                              <m:r>
                                <m:rPr>
                                  <m:nor/>
                                </m:rPr>
                                <m:t>CCO baseline</m:t>
                              </m:r>
                            </m:e>
                          </m:d>
                          <m:r>
                            <m:rPr>
                              <m:nor/>
                            </m:rPr>
                            <w:rPr>
                              <w:rFonts w:ascii="Cambria Math"/>
                            </w:rPr>
                            <m:t xml:space="preserve"> </m:t>
                          </m:r>
                          <m:r>
                            <m:rPr>
                              <m:nor/>
                            </m:rPr>
                            <m:t>+</m:t>
                          </m:r>
                          <m:r>
                            <m:rPr>
                              <m:nor/>
                            </m:rPr>
                            <w:rPr>
                              <w:rFonts w:ascii="Cambria Math"/>
                            </w:rPr>
                            <m:t xml:space="preserve"> </m:t>
                          </m:r>
                          <m:d>
                            <m:dPr>
                              <m:begChr m:val="["/>
                              <m:endChr m:val="]"/>
                              <m:ctrlPr>
                                <w:rPr>
                                  <w:rFonts w:ascii="Cambria Math" w:hAnsi="Cambria Math"/>
                                  <w:i/>
                                </w:rPr>
                              </m:ctrlPr>
                            </m:dPr>
                            <m:e>
                              <m:r>
                                <m:rPr>
                                  <m:nor/>
                                </m:rPr>
                                <m:t>X</m:t>
                              </m:r>
                            </m:e>
                          </m:d>
                          <m:r>
                            <m:rPr>
                              <m:nor/>
                            </m:rPr>
                            <w:rPr>
                              <w:rFonts w:ascii="Cambria Math"/>
                            </w:rPr>
                            <m:t xml:space="preserve"> </m:t>
                          </m:r>
                          <m:r>
                            <m:rPr>
                              <m:nor/>
                            </m:rPr>
                            <m:t>=</m:t>
                          </m:r>
                          <m:r>
                            <m:rPr>
                              <m:nor/>
                            </m:rPr>
                            <w:rPr>
                              <w:rFonts w:ascii="Cambria Math"/>
                            </w:rPr>
                            <m:t xml:space="preserve"> </m:t>
                          </m:r>
                          <m:r>
                            <m:rPr>
                              <m:nor/>
                            </m:rPr>
                            <m:t>Improvement target</m:t>
                          </m:r>
                        </m:oMath>
                      </m:oMathPara>
                    </w:p>
                    <w:p w14:paraId="04BEA2FB" w14:textId="77777777" w:rsidR="00ED698D" w:rsidRDefault="00ED698D" w:rsidP="00ED698D"/>
                  </w:txbxContent>
                </v:textbox>
                <w10:anchorlock/>
              </v:shape>
            </w:pict>
          </mc:Fallback>
        </mc:AlternateContent>
      </w:r>
    </w:p>
    <w:p w14:paraId="47A4880D" w14:textId="7277AFA1" w:rsidR="00ED698D" w:rsidRPr="00C16634" w:rsidRDefault="00ED698D" w:rsidP="00D93AC3">
      <w:r w:rsidRPr="00C16634">
        <w:t>In some cases, depending on the difference between the CCO’s baseline and the benchmark, the Minnesota method may result in a very small improvement that may not represent a meaningful change. For example, suppose the benchmark was 75 percent, and CCO B’s performance in 202</w:t>
      </w:r>
      <w:r w:rsidR="004A3531">
        <w:t>4</w:t>
      </w:r>
      <w:r w:rsidRPr="00C16634">
        <w:t xml:space="preserve"> was 60 percent. In this case, CCO B’s improvement target using the formula would be:</w:t>
      </w:r>
    </w:p>
    <w:p w14:paraId="0E043936" w14:textId="77777777" w:rsidR="00ED698D" w:rsidRPr="00C16634" w:rsidRDefault="000A78E7" w:rsidP="00D93AC3">
      <w:pPr>
        <w:rPr>
          <w:rFonts w:eastAsiaTheme="minorEastAsia"/>
          <w:i/>
        </w:rPr>
      </w:pPr>
      <m:oMathPara>
        <m:oMath>
          <m:f>
            <m:fPr>
              <m:ctrlPr>
                <w:rPr>
                  <w:rFonts w:ascii="Cambria Math" w:hAnsi="Cambria Math"/>
                </w:rPr>
              </m:ctrlPr>
            </m:fPr>
            <m:num>
              <m:r>
                <m:rPr>
                  <m:nor/>
                </m:rPr>
                <m:t>75%</m:t>
              </m:r>
              <m:r>
                <m:rPr>
                  <m:nor/>
                </m:rPr>
                <w:rPr>
                  <w:rFonts w:ascii="Cambria Math"/>
                </w:rPr>
                <m:t xml:space="preserve"> </m:t>
              </m:r>
              <m:r>
                <m:rPr>
                  <m:nor/>
                </m:rPr>
                <m:t>-</m:t>
              </m:r>
              <m:r>
                <m:rPr>
                  <m:nor/>
                </m:rPr>
                <w:rPr>
                  <w:rFonts w:ascii="Cambria Math"/>
                </w:rPr>
                <m:t xml:space="preserve"> </m:t>
              </m:r>
              <m:r>
                <m:rPr>
                  <m:nor/>
                </m:rPr>
                <m:t>60%</m:t>
              </m:r>
            </m:num>
            <m:den>
              <m:r>
                <m:rPr>
                  <m:nor/>
                </m:rPr>
                <m:t>10</m:t>
              </m:r>
            </m:den>
          </m:f>
          <m:r>
            <m:rPr>
              <m:nor/>
            </m:rPr>
            <w:rPr>
              <w:rFonts w:ascii="Cambria Math" w:eastAsiaTheme="minorEastAsia"/>
            </w:rPr>
            <m:t xml:space="preserve"> </m:t>
          </m:r>
          <m:r>
            <m:rPr>
              <m:nor/>
            </m:rPr>
            <w:rPr>
              <w:rFonts w:eastAsiaTheme="minorEastAsia"/>
            </w:rPr>
            <m:t>=</m:t>
          </m:r>
          <m:r>
            <m:rPr>
              <m:nor/>
            </m:rPr>
            <w:rPr>
              <w:rFonts w:ascii="Cambria Math" w:eastAsiaTheme="minorEastAsia"/>
            </w:rPr>
            <m:t xml:space="preserve"> </m:t>
          </m:r>
          <m:r>
            <m:rPr>
              <m:nor/>
            </m:rPr>
            <w:rPr>
              <w:rFonts w:eastAsiaTheme="minorEastAsia"/>
            </w:rPr>
            <m:t>1.5%</m:t>
          </m:r>
        </m:oMath>
      </m:oMathPara>
    </w:p>
    <w:p w14:paraId="531381F7" w14:textId="77777777" w:rsidR="00ED698D" w:rsidRPr="00C16634" w:rsidRDefault="00ED698D" w:rsidP="00ED698D">
      <w:pPr>
        <w:pStyle w:val="BodyTextindent"/>
        <w:spacing w:after="0"/>
        <w:ind w:left="0" w:right="0"/>
        <w:jc w:val="center"/>
        <w:rPr>
          <w:rFonts w:eastAsiaTheme="minorEastAsia"/>
          <w:color w:val="auto"/>
          <w:sz w:val="22"/>
          <w:szCs w:val="20"/>
        </w:rPr>
      </w:pPr>
    </w:p>
    <w:p w14:paraId="2E6DC729" w14:textId="77777777" w:rsidR="00ED698D" w:rsidRPr="00C16634" w:rsidRDefault="00ED698D" w:rsidP="00D93AC3">
      <w:pPr>
        <w:jc w:val="center"/>
      </w:pPr>
      <w:r w:rsidRPr="00C16634">
        <w:t xml:space="preserve">60% + 1.5% = </w:t>
      </w:r>
      <w:r w:rsidRPr="00CF50B5">
        <w:t>61.5%</w:t>
      </w:r>
    </w:p>
    <w:p w14:paraId="447E2EFC" w14:textId="07D4F4AF" w:rsidR="00ED698D" w:rsidRPr="005C613C" w:rsidRDefault="00ED698D" w:rsidP="00D93AC3">
      <w:r w:rsidRPr="00C16634">
        <w:t xml:space="preserve">Where the Minnesota method results in small improvement targets like this, the Metrics and Scoring Committee typically has established a “floor” or minimum level of required improvement before the CCO would meet its improvement target. In this example, suppose the floor is </w:t>
      </w:r>
      <w:r>
        <w:t>three</w:t>
      </w:r>
      <w:r w:rsidRPr="00C16634">
        <w:t xml:space="preserve"> percentage points. The Minnesota method formula results in 1.5</w:t>
      </w:r>
      <w:r w:rsidR="00E50F95">
        <w:t xml:space="preserve"> percent</w:t>
      </w:r>
      <w:r w:rsidRPr="00C16634">
        <w:t xml:space="preserve"> increase. Instead of 61.5</w:t>
      </w:r>
      <w:r w:rsidR="00E50F95">
        <w:t xml:space="preserve"> percent</w:t>
      </w:r>
      <w:r w:rsidRPr="00C16634">
        <w:t>, CCO B’s improvement target with the 3</w:t>
      </w:r>
      <w:r w:rsidR="00E50F95">
        <w:t xml:space="preserve"> percent</w:t>
      </w:r>
      <w:r w:rsidRPr="00C16634">
        <w:t xml:space="preserve"> floor applied would be: [baseline + floor] = 60% + 3% = 63%. </w:t>
      </w:r>
    </w:p>
    <w:p w14:paraId="37DD5124" w14:textId="77777777" w:rsidR="00ED698D" w:rsidRDefault="00ED698D" w:rsidP="00ED698D"/>
    <w:p w14:paraId="407E9284" w14:textId="77777777" w:rsidR="00ED698D" w:rsidRDefault="00ED698D" w:rsidP="00ED698D">
      <w:pPr>
        <w:pStyle w:val="Heading2"/>
        <w:sectPr w:rsidR="00ED698D" w:rsidSect="00ED698D">
          <w:footnotePr>
            <w:numFmt w:val="lowerLetter"/>
          </w:footnotePr>
          <w:pgSz w:w="12240" w:h="15840"/>
          <w:pgMar w:top="1440" w:right="1440" w:bottom="1440" w:left="1440" w:header="86" w:footer="720" w:gutter="0"/>
          <w:cols w:space="720"/>
          <w:docGrid w:linePitch="360"/>
        </w:sectPr>
      </w:pPr>
      <w:bookmarkStart w:id="37" w:name="_Appendix_B:_How"/>
      <w:bookmarkStart w:id="38" w:name="_Toc193458087"/>
      <w:bookmarkEnd w:id="37"/>
    </w:p>
    <w:p w14:paraId="52C7B3E2" w14:textId="77777777" w:rsidR="00ED698D" w:rsidRDefault="00ED698D" w:rsidP="00ED698D">
      <w:pPr>
        <w:pStyle w:val="Heading2"/>
      </w:pPr>
      <w:bookmarkStart w:id="39" w:name="_Toc235090772"/>
      <w:r>
        <w:lastRenderedPageBreak/>
        <w:t>Appendix C: How we describe change over time</w:t>
      </w:r>
      <w:bookmarkEnd w:id="38"/>
      <w:bookmarkEnd w:id="39"/>
    </w:p>
    <w:p w14:paraId="4A6B8F4E" w14:textId="77777777" w:rsidR="002D7E0F" w:rsidRDefault="00ED698D" w:rsidP="00ED698D">
      <w:r>
        <w:t>For some charts</w:t>
      </w:r>
      <w:r w:rsidRPr="00937F3B">
        <w:t xml:space="preserve"> we describe the change in CCO performance over time. Descriptions are based on </w:t>
      </w:r>
      <w:r w:rsidRPr="00937F3B">
        <w:rPr>
          <w:b/>
          <w:bCs/>
        </w:rPr>
        <w:t>percent change</w:t>
      </w:r>
      <w:r w:rsidRPr="00937F3B">
        <w:t xml:space="preserve">, or the </w:t>
      </w:r>
      <w:r w:rsidRPr="00925BC1">
        <w:rPr>
          <w:b/>
          <w:bCs/>
        </w:rPr>
        <w:t>relative</w:t>
      </w:r>
      <w:r w:rsidRPr="00937F3B">
        <w:t xml:space="preserve"> rate of change. For example, a 100</w:t>
      </w:r>
      <w:r w:rsidR="00E50F95">
        <w:t xml:space="preserve"> percent</w:t>
      </w:r>
      <w:r w:rsidRPr="00937F3B">
        <w:t xml:space="preserve"> increase means th</w:t>
      </w:r>
      <w:r w:rsidR="00946A72">
        <w:t xml:space="preserve">e rate </w:t>
      </w:r>
      <w:r w:rsidRPr="00937F3B">
        <w:t xml:space="preserve">doubled from one year to the next. </w:t>
      </w:r>
    </w:p>
    <w:p w14:paraId="524CCE73" w14:textId="5BE06410" w:rsidR="00ED698D" w:rsidRPr="00937F3B" w:rsidRDefault="00ED698D" w:rsidP="00ED698D">
      <w:pPr>
        <w:rPr>
          <w:sz w:val="18"/>
          <w:szCs w:val="18"/>
        </w:rPr>
      </w:pPr>
      <w:r w:rsidRPr="00937F3B">
        <w:t>For consistency, we use the following descriptions for ranges in percent change:</w:t>
      </w:r>
    </w:p>
    <w:p w14:paraId="6798FA73" w14:textId="6F509AB5" w:rsidR="00ED698D" w:rsidRPr="00937F3B" w:rsidRDefault="00ED698D" w:rsidP="00CD585D">
      <w:pPr>
        <w:pStyle w:val="ListParagraph"/>
        <w:numPr>
          <w:ilvl w:val="0"/>
          <w:numId w:val="1"/>
        </w:numPr>
        <w:contextualSpacing w:val="0"/>
        <w:rPr>
          <w:sz w:val="18"/>
          <w:szCs w:val="18"/>
        </w:rPr>
      </w:pPr>
      <w:r w:rsidRPr="00937F3B">
        <w:t>Improved: 10</w:t>
      </w:r>
      <w:r w:rsidR="00E50F95">
        <w:t xml:space="preserve"> percent</w:t>
      </w:r>
      <w:r w:rsidRPr="00937F3B">
        <w:t xml:space="preserve"> or more</w:t>
      </w:r>
    </w:p>
    <w:p w14:paraId="72CD0476" w14:textId="0EFA882D" w:rsidR="00ED698D" w:rsidRPr="00937F3B" w:rsidRDefault="00ED698D" w:rsidP="00CD585D">
      <w:pPr>
        <w:pStyle w:val="ListParagraph"/>
        <w:numPr>
          <w:ilvl w:val="0"/>
          <w:numId w:val="1"/>
        </w:numPr>
        <w:contextualSpacing w:val="0"/>
        <w:rPr>
          <w:sz w:val="18"/>
          <w:szCs w:val="18"/>
        </w:rPr>
      </w:pPr>
      <w:r w:rsidRPr="00937F3B">
        <w:t>Slightly improved: 3.01 to 9.99</w:t>
      </w:r>
      <w:r w:rsidR="00E50F95">
        <w:t xml:space="preserve"> percent</w:t>
      </w:r>
    </w:p>
    <w:p w14:paraId="3E311848" w14:textId="1EE7A794" w:rsidR="00ED698D" w:rsidRPr="00937F3B" w:rsidRDefault="00ED698D" w:rsidP="00CD585D">
      <w:pPr>
        <w:pStyle w:val="ListParagraph"/>
        <w:numPr>
          <w:ilvl w:val="0"/>
          <w:numId w:val="1"/>
        </w:numPr>
        <w:contextualSpacing w:val="0"/>
        <w:rPr>
          <w:sz w:val="18"/>
          <w:szCs w:val="18"/>
        </w:rPr>
      </w:pPr>
      <w:r w:rsidRPr="00937F3B">
        <w:t>Held steady: -3 to 3</w:t>
      </w:r>
      <w:r w:rsidR="00E50F95">
        <w:t xml:space="preserve"> percent</w:t>
      </w:r>
    </w:p>
    <w:p w14:paraId="7C7D4DE8" w14:textId="2E38C98B" w:rsidR="00ED698D" w:rsidRPr="00937F3B" w:rsidRDefault="00ED698D" w:rsidP="00CD585D">
      <w:pPr>
        <w:pStyle w:val="ListParagraph"/>
        <w:numPr>
          <w:ilvl w:val="0"/>
          <w:numId w:val="1"/>
        </w:numPr>
        <w:contextualSpacing w:val="0"/>
        <w:rPr>
          <w:sz w:val="18"/>
          <w:szCs w:val="18"/>
        </w:rPr>
      </w:pPr>
      <w:r w:rsidRPr="00937F3B">
        <w:t>Slightly worsened: -3.01 to -9.99</w:t>
      </w:r>
      <w:r w:rsidR="00E50F95">
        <w:t xml:space="preserve"> percent</w:t>
      </w:r>
    </w:p>
    <w:p w14:paraId="6E22AF9F" w14:textId="3EEB76AB" w:rsidR="00ED698D" w:rsidRDefault="00ED698D" w:rsidP="00CD585D">
      <w:pPr>
        <w:pStyle w:val="ListParagraph"/>
        <w:numPr>
          <w:ilvl w:val="0"/>
          <w:numId w:val="1"/>
        </w:numPr>
        <w:contextualSpacing w:val="0"/>
      </w:pPr>
      <w:r w:rsidRPr="00937F3B">
        <w:t>Worsened: Less than 10</w:t>
      </w:r>
      <w:r w:rsidR="00E50F95">
        <w:t xml:space="preserve"> percent</w:t>
      </w:r>
    </w:p>
    <w:p w14:paraId="43B847CB" w14:textId="77777777" w:rsidR="00ED698D" w:rsidRDefault="00ED698D" w:rsidP="00ED698D"/>
    <w:p w14:paraId="0FA71948" w14:textId="77777777" w:rsidR="00ED698D" w:rsidRDefault="00ED698D" w:rsidP="00ED698D">
      <w:pPr>
        <w:sectPr w:rsidR="00ED698D" w:rsidSect="00ED698D">
          <w:footnotePr>
            <w:numFmt w:val="lowerLetter"/>
          </w:footnotePr>
          <w:pgSz w:w="12240" w:h="15840"/>
          <w:pgMar w:top="1440" w:right="1440" w:bottom="1440" w:left="1440" w:header="86" w:footer="720" w:gutter="0"/>
          <w:cols w:space="720"/>
          <w:docGrid w:linePitch="360"/>
        </w:sectPr>
      </w:pPr>
    </w:p>
    <w:p w14:paraId="18818D2A" w14:textId="34AC2DB0" w:rsidR="00ED698D" w:rsidRDefault="00ED698D" w:rsidP="00FF4E55">
      <w:pPr>
        <w:pStyle w:val="Heading2"/>
        <w:spacing w:after="120"/>
      </w:pPr>
      <w:bookmarkStart w:id="40" w:name="_Appendix_D:_2024"/>
      <w:bookmarkStart w:id="41" w:name="_Toc235090773"/>
      <w:bookmarkEnd w:id="40"/>
      <w:r>
        <w:lastRenderedPageBreak/>
        <w:t>Appendix D: 202</w:t>
      </w:r>
      <w:r w:rsidR="00E507EE">
        <w:t xml:space="preserve">5 </w:t>
      </w:r>
      <w:r>
        <w:t xml:space="preserve">CCO </w:t>
      </w:r>
      <w:r w:rsidR="00E507EE">
        <w:t xml:space="preserve">service </w:t>
      </w:r>
      <w:r>
        <w:t>rates</w:t>
      </w:r>
      <w:bookmarkEnd w:id="41"/>
    </w:p>
    <w:p w14:paraId="1D25B01C" w14:textId="484DCEE9" w:rsidR="00E61720" w:rsidRPr="00DD2FFD" w:rsidRDefault="00E61720" w:rsidP="00B81257">
      <w:pPr>
        <w:spacing w:after="0"/>
        <w:rPr>
          <w:sz w:val="22"/>
          <w:szCs w:val="20"/>
        </w:rPr>
      </w:pPr>
      <w:r w:rsidRPr="00B52A1F">
        <w:rPr>
          <w:sz w:val="22"/>
          <w:szCs w:val="20"/>
        </w:rPr>
        <w:t>§ A lower rate is better</w:t>
      </w:r>
    </w:p>
    <w:p w14:paraId="739458F5" w14:textId="77F41F92" w:rsidR="00E61720" w:rsidRPr="00E61720" w:rsidRDefault="00E61720" w:rsidP="00B81257">
      <w:pPr>
        <w:spacing w:after="120"/>
      </w:pPr>
      <w:r w:rsidRPr="00DD2FFD">
        <w:rPr>
          <w:sz w:val="22"/>
          <w:szCs w:val="20"/>
        </w:rPr>
        <w:t xml:space="preserve">*Fewer than 30 </w:t>
      </w:r>
      <w:r w:rsidR="005141FF">
        <w:rPr>
          <w:sz w:val="22"/>
          <w:szCs w:val="20"/>
        </w:rPr>
        <w:t>eligible members</w:t>
      </w:r>
    </w:p>
    <w:tbl>
      <w:tblPr>
        <w:tblW w:w="13683" w:type="dxa"/>
        <w:tblCellMar>
          <w:left w:w="29" w:type="dxa"/>
          <w:right w:w="29" w:type="dxa"/>
        </w:tblCellMar>
        <w:tblLook w:val="06A0" w:firstRow="1" w:lastRow="0" w:firstColumn="1" w:lastColumn="0" w:noHBand="1" w:noVBand="1"/>
      </w:tblPr>
      <w:tblGrid>
        <w:gridCol w:w="2592"/>
        <w:gridCol w:w="648"/>
        <w:gridCol w:w="648"/>
        <w:gridCol w:w="648"/>
        <w:gridCol w:w="663"/>
        <w:gridCol w:w="648"/>
        <w:gridCol w:w="648"/>
        <w:gridCol w:w="648"/>
        <w:gridCol w:w="648"/>
        <w:gridCol w:w="648"/>
        <w:gridCol w:w="663"/>
        <w:gridCol w:w="663"/>
        <w:gridCol w:w="663"/>
        <w:gridCol w:w="648"/>
        <w:gridCol w:w="648"/>
        <w:gridCol w:w="648"/>
        <w:gridCol w:w="663"/>
        <w:gridCol w:w="648"/>
      </w:tblGrid>
      <w:tr w:rsidR="00D702AF" w:rsidRPr="00D702AF" w14:paraId="2BE5C1D5" w14:textId="77777777" w:rsidTr="00CF74BD">
        <w:trPr>
          <w:trHeight w:val="2865"/>
          <w:tblHeader/>
        </w:trPr>
        <w:tc>
          <w:tcPr>
            <w:tcW w:w="2592" w:type="dxa"/>
            <w:tcBorders>
              <w:top w:val="single" w:sz="4" w:space="0" w:color="auto"/>
              <w:left w:val="single" w:sz="4" w:space="0" w:color="auto"/>
              <w:bottom w:val="single" w:sz="4" w:space="0" w:color="auto"/>
              <w:right w:val="single" w:sz="4" w:space="0" w:color="auto"/>
            </w:tcBorders>
            <w:vAlign w:val="center"/>
            <w:hideMark/>
          </w:tcPr>
          <w:p w14:paraId="375C2D80" w14:textId="77777777" w:rsidR="00D702AF" w:rsidRPr="00D702AF" w:rsidRDefault="00D702AF" w:rsidP="00D702AF">
            <w:pPr>
              <w:spacing w:after="0" w:line="240" w:lineRule="auto"/>
              <w:rPr>
                <w:rFonts w:ascii="Aptos Display" w:eastAsia="Times New Roman" w:hAnsi="Aptos Display" w:cs="Arial"/>
                <w:color w:val="FFFFFF"/>
                <w:kern w:val="0"/>
                <w:sz w:val="20"/>
                <w:szCs w:val="20"/>
                <w14:ligatures w14:val="none"/>
              </w:rPr>
            </w:pPr>
            <w:r w:rsidRPr="00D702AF">
              <w:rPr>
                <w:rFonts w:ascii="Aptos Display" w:eastAsia="Times New Roman" w:hAnsi="Aptos Display" w:cs="Arial"/>
                <w:color w:val="FFFFFF"/>
                <w:kern w:val="0"/>
                <w:sz w:val="20"/>
                <w:szCs w:val="20"/>
                <w14:ligatures w14:val="none"/>
              </w:rPr>
              <w:t>***DO NOT CHANGE SORT ORDER</w:t>
            </w:r>
          </w:p>
        </w:tc>
        <w:tc>
          <w:tcPr>
            <w:tcW w:w="648" w:type="dxa"/>
            <w:tcBorders>
              <w:top w:val="single" w:sz="4" w:space="0" w:color="auto"/>
              <w:left w:val="single" w:sz="4" w:space="0" w:color="auto"/>
              <w:bottom w:val="single" w:sz="4" w:space="0" w:color="auto"/>
              <w:right w:val="single" w:sz="4" w:space="0" w:color="auto"/>
            </w:tcBorders>
            <w:noWrap/>
            <w:textDirection w:val="btLr"/>
            <w:vAlign w:val="center"/>
            <w:hideMark/>
          </w:tcPr>
          <w:p w14:paraId="664A654F"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Advanced Health</w:t>
            </w:r>
          </w:p>
        </w:tc>
        <w:tc>
          <w:tcPr>
            <w:tcW w:w="648" w:type="dxa"/>
            <w:tcBorders>
              <w:top w:val="single" w:sz="4" w:space="0" w:color="auto"/>
              <w:left w:val="single" w:sz="4" w:space="0" w:color="auto"/>
              <w:bottom w:val="single" w:sz="4" w:space="0" w:color="auto"/>
              <w:right w:val="single" w:sz="4" w:space="0" w:color="auto"/>
            </w:tcBorders>
            <w:noWrap/>
            <w:textDirection w:val="btLr"/>
            <w:vAlign w:val="center"/>
            <w:hideMark/>
          </w:tcPr>
          <w:p w14:paraId="4F1D716C"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AllCare Health Plan</w:t>
            </w:r>
          </w:p>
        </w:tc>
        <w:tc>
          <w:tcPr>
            <w:tcW w:w="648" w:type="dxa"/>
            <w:tcBorders>
              <w:top w:val="single" w:sz="4" w:space="0" w:color="auto"/>
              <w:left w:val="single" w:sz="4" w:space="0" w:color="auto"/>
              <w:bottom w:val="single" w:sz="4" w:space="0" w:color="auto"/>
              <w:right w:val="single" w:sz="4" w:space="0" w:color="auto"/>
            </w:tcBorders>
            <w:noWrap/>
            <w:textDirection w:val="btLr"/>
            <w:vAlign w:val="center"/>
            <w:hideMark/>
          </w:tcPr>
          <w:p w14:paraId="37952163"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Cascade Health Alliance</w:t>
            </w:r>
          </w:p>
        </w:tc>
        <w:tc>
          <w:tcPr>
            <w:tcW w:w="663" w:type="dxa"/>
            <w:tcBorders>
              <w:top w:val="single" w:sz="4" w:space="0" w:color="auto"/>
              <w:left w:val="single" w:sz="4" w:space="0" w:color="auto"/>
              <w:bottom w:val="single" w:sz="4" w:space="0" w:color="auto"/>
              <w:right w:val="single" w:sz="4" w:space="0" w:color="auto"/>
            </w:tcBorders>
            <w:noWrap/>
            <w:textDirection w:val="btLr"/>
            <w:vAlign w:val="center"/>
            <w:hideMark/>
          </w:tcPr>
          <w:p w14:paraId="6F2EB50B"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Columbia Pacific</w:t>
            </w:r>
          </w:p>
        </w:tc>
        <w:tc>
          <w:tcPr>
            <w:tcW w:w="648" w:type="dxa"/>
            <w:tcBorders>
              <w:top w:val="single" w:sz="4" w:space="0" w:color="auto"/>
              <w:left w:val="single" w:sz="4" w:space="0" w:color="auto"/>
              <w:bottom w:val="single" w:sz="4" w:space="0" w:color="auto"/>
              <w:right w:val="single" w:sz="4" w:space="0" w:color="auto"/>
            </w:tcBorders>
            <w:noWrap/>
            <w:textDirection w:val="btLr"/>
            <w:vAlign w:val="center"/>
            <w:hideMark/>
          </w:tcPr>
          <w:p w14:paraId="6DE45E48"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Eastern Oregon</w:t>
            </w:r>
          </w:p>
        </w:tc>
        <w:tc>
          <w:tcPr>
            <w:tcW w:w="648" w:type="dxa"/>
            <w:tcBorders>
              <w:top w:val="single" w:sz="4" w:space="0" w:color="auto"/>
              <w:left w:val="single" w:sz="4" w:space="0" w:color="auto"/>
              <w:bottom w:val="single" w:sz="4" w:space="0" w:color="auto"/>
              <w:right w:val="single" w:sz="4" w:space="0" w:color="auto"/>
            </w:tcBorders>
            <w:noWrap/>
            <w:textDirection w:val="btLr"/>
            <w:vAlign w:val="center"/>
            <w:hideMark/>
          </w:tcPr>
          <w:p w14:paraId="6D01D096"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Health Share of Oregon</w:t>
            </w:r>
          </w:p>
        </w:tc>
        <w:tc>
          <w:tcPr>
            <w:tcW w:w="648" w:type="dxa"/>
            <w:tcBorders>
              <w:top w:val="single" w:sz="4" w:space="0" w:color="auto"/>
              <w:left w:val="single" w:sz="4" w:space="0" w:color="auto"/>
              <w:bottom w:val="single" w:sz="4" w:space="0" w:color="auto"/>
              <w:right w:val="single" w:sz="4" w:space="0" w:color="auto"/>
            </w:tcBorders>
            <w:noWrap/>
            <w:textDirection w:val="btLr"/>
            <w:vAlign w:val="center"/>
            <w:hideMark/>
          </w:tcPr>
          <w:p w14:paraId="79AC0200"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InterCommunity Health Network</w:t>
            </w:r>
          </w:p>
        </w:tc>
        <w:tc>
          <w:tcPr>
            <w:tcW w:w="648" w:type="dxa"/>
            <w:tcBorders>
              <w:top w:val="single" w:sz="4" w:space="0" w:color="auto"/>
              <w:left w:val="single" w:sz="4" w:space="0" w:color="auto"/>
              <w:bottom w:val="single" w:sz="4" w:space="0" w:color="auto"/>
              <w:right w:val="single" w:sz="4" w:space="0" w:color="auto"/>
            </w:tcBorders>
            <w:noWrap/>
            <w:textDirection w:val="btLr"/>
            <w:vAlign w:val="center"/>
            <w:hideMark/>
          </w:tcPr>
          <w:p w14:paraId="56D5AF69"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Jackson Care Connect</w:t>
            </w:r>
          </w:p>
        </w:tc>
        <w:tc>
          <w:tcPr>
            <w:tcW w:w="648" w:type="dxa"/>
            <w:tcBorders>
              <w:top w:val="single" w:sz="4" w:space="0" w:color="auto"/>
              <w:left w:val="single" w:sz="4" w:space="0" w:color="auto"/>
              <w:bottom w:val="single" w:sz="4" w:space="0" w:color="auto"/>
              <w:right w:val="single" w:sz="4" w:space="0" w:color="auto"/>
            </w:tcBorders>
            <w:noWrap/>
            <w:textDirection w:val="btLr"/>
            <w:vAlign w:val="center"/>
            <w:hideMark/>
          </w:tcPr>
          <w:p w14:paraId="5EB74142"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PacificSource Central</w:t>
            </w:r>
          </w:p>
        </w:tc>
        <w:tc>
          <w:tcPr>
            <w:tcW w:w="663" w:type="dxa"/>
            <w:tcBorders>
              <w:top w:val="single" w:sz="4" w:space="0" w:color="auto"/>
              <w:left w:val="single" w:sz="4" w:space="0" w:color="auto"/>
              <w:bottom w:val="single" w:sz="4" w:space="0" w:color="auto"/>
              <w:right w:val="single" w:sz="4" w:space="0" w:color="auto"/>
            </w:tcBorders>
            <w:noWrap/>
            <w:textDirection w:val="btLr"/>
            <w:vAlign w:val="center"/>
            <w:hideMark/>
          </w:tcPr>
          <w:p w14:paraId="374F7351"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PacificSource Gorge</w:t>
            </w:r>
          </w:p>
        </w:tc>
        <w:tc>
          <w:tcPr>
            <w:tcW w:w="663" w:type="dxa"/>
            <w:tcBorders>
              <w:top w:val="single" w:sz="4" w:space="0" w:color="auto"/>
              <w:left w:val="single" w:sz="4" w:space="0" w:color="auto"/>
              <w:bottom w:val="single" w:sz="4" w:space="0" w:color="auto"/>
              <w:right w:val="single" w:sz="4" w:space="0" w:color="auto"/>
            </w:tcBorders>
            <w:noWrap/>
            <w:textDirection w:val="btLr"/>
            <w:vAlign w:val="center"/>
            <w:hideMark/>
          </w:tcPr>
          <w:p w14:paraId="7E07CB4E"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PacificSource Lane</w:t>
            </w:r>
          </w:p>
        </w:tc>
        <w:tc>
          <w:tcPr>
            <w:tcW w:w="663" w:type="dxa"/>
            <w:tcBorders>
              <w:top w:val="single" w:sz="4" w:space="0" w:color="auto"/>
              <w:left w:val="single" w:sz="4" w:space="0" w:color="auto"/>
              <w:bottom w:val="single" w:sz="4" w:space="0" w:color="auto"/>
              <w:right w:val="single" w:sz="4" w:space="0" w:color="auto"/>
            </w:tcBorders>
            <w:noWrap/>
            <w:textDirection w:val="btLr"/>
            <w:vAlign w:val="center"/>
            <w:hideMark/>
          </w:tcPr>
          <w:p w14:paraId="0C0F6A39"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PacificSource Marion Polk</w:t>
            </w:r>
          </w:p>
        </w:tc>
        <w:tc>
          <w:tcPr>
            <w:tcW w:w="648" w:type="dxa"/>
            <w:tcBorders>
              <w:top w:val="single" w:sz="4" w:space="0" w:color="auto"/>
              <w:left w:val="single" w:sz="4" w:space="0" w:color="auto"/>
              <w:bottom w:val="single" w:sz="4" w:space="0" w:color="auto"/>
              <w:right w:val="single" w:sz="4" w:space="0" w:color="auto"/>
            </w:tcBorders>
            <w:noWrap/>
            <w:textDirection w:val="btLr"/>
            <w:vAlign w:val="center"/>
            <w:hideMark/>
          </w:tcPr>
          <w:p w14:paraId="466ABBFD"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Trillium North</w:t>
            </w:r>
          </w:p>
        </w:tc>
        <w:tc>
          <w:tcPr>
            <w:tcW w:w="648" w:type="dxa"/>
            <w:tcBorders>
              <w:top w:val="single" w:sz="4" w:space="0" w:color="auto"/>
              <w:left w:val="single" w:sz="4" w:space="0" w:color="auto"/>
              <w:bottom w:val="single" w:sz="4" w:space="0" w:color="auto"/>
              <w:right w:val="single" w:sz="4" w:space="0" w:color="auto"/>
            </w:tcBorders>
            <w:noWrap/>
            <w:textDirection w:val="btLr"/>
            <w:vAlign w:val="center"/>
            <w:hideMark/>
          </w:tcPr>
          <w:p w14:paraId="07BAA3FE"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Trillium South</w:t>
            </w:r>
          </w:p>
        </w:tc>
        <w:tc>
          <w:tcPr>
            <w:tcW w:w="648" w:type="dxa"/>
            <w:tcBorders>
              <w:top w:val="single" w:sz="4" w:space="0" w:color="auto"/>
              <w:left w:val="single" w:sz="4" w:space="0" w:color="auto"/>
              <w:bottom w:val="single" w:sz="4" w:space="0" w:color="auto"/>
              <w:right w:val="single" w:sz="4" w:space="0" w:color="auto"/>
            </w:tcBorders>
            <w:noWrap/>
            <w:textDirection w:val="btLr"/>
            <w:vAlign w:val="center"/>
            <w:hideMark/>
          </w:tcPr>
          <w:p w14:paraId="1E31FAE7"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Umpqua Health Alliance</w:t>
            </w:r>
          </w:p>
        </w:tc>
        <w:tc>
          <w:tcPr>
            <w:tcW w:w="663" w:type="dxa"/>
            <w:tcBorders>
              <w:top w:val="single" w:sz="4" w:space="0" w:color="auto"/>
              <w:left w:val="single" w:sz="4" w:space="0" w:color="auto"/>
              <w:bottom w:val="single" w:sz="4" w:space="0" w:color="auto"/>
              <w:right w:val="single" w:sz="4" w:space="0" w:color="auto"/>
            </w:tcBorders>
            <w:noWrap/>
            <w:textDirection w:val="btLr"/>
            <w:vAlign w:val="center"/>
            <w:hideMark/>
          </w:tcPr>
          <w:p w14:paraId="7E732929"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Yamhill Community Care</w:t>
            </w:r>
          </w:p>
        </w:tc>
        <w:tc>
          <w:tcPr>
            <w:tcW w:w="648" w:type="dxa"/>
            <w:tcBorders>
              <w:top w:val="single" w:sz="4" w:space="0" w:color="auto"/>
              <w:left w:val="single" w:sz="4" w:space="0" w:color="auto"/>
              <w:bottom w:val="single" w:sz="4" w:space="0" w:color="auto"/>
              <w:right w:val="single" w:sz="4" w:space="0" w:color="auto"/>
            </w:tcBorders>
            <w:noWrap/>
            <w:textDirection w:val="btLr"/>
            <w:vAlign w:val="center"/>
            <w:hideMark/>
          </w:tcPr>
          <w:p w14:paraId="22FF0168"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CCO statewide</w:t>
            </w:r>
          </w:p>
        </w:tc>
      </w:tr>
      <w:tr w:rsidR="00D702AF" w:rsidRPr="00D702AF" w14:paraId="5663F38A"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2849D40F"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Adults with Diabetes - Oral Evaluation</w:t>
            </w:r>
          </w:p>
        </w:tc>
        <w:tc>
          <w:tcPr>
            <w:tcW w:w="648" w:type="dxa"/>
            <w:tcBorders>
              <w:top w:val="nil"/>
              <w:left w:val="nil"/>
              <w:bottom w:val="single" w:sz="4" w:space="0" w:color="auto"/>
              <w:right w:val="single" w:sz="4" w:space="0" w:color="auto"/>
            </w:tcBorders>
            <w:noWrap/>
            <w:vAlign w:val="center"/>
            <w:hideMark/>
          </w:tcPr>
          <w:p w14:paraId="33590876"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28.6%</w:t>
            </w:r>
          </w:p>
        </w:tc>
        <w:tc>
          <w:tcPr>
            <w:tcW w:w="648" w:type="dxa"/>
            <w:tcBorders>
              <w:top w:val="nil"/>
              <w:left w:val="nil"/>
              <w:bottom w:val="single" w:sz="4" w:space="0" w:color="auto"/>
              <w:right w:val="single" w:sz="4" w:space="0" w:color="auto"/>
            </w:tcBorders>
            <w:noWrap/>
            <w:vAlign w:val="center"/>
            <w:hideMark/>
          </w:tcPr>
          <w:p w14:paraId="79A6558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24.7%</w:t>
            </w:r>
          </w:p>
        </w:tc>
        <w:tc>
          <w:tcPr>
            <w:tcW w:w="648" w:type="dxa"/>
            <w:tcBorders>
              <w:top w:val="nil"/>
              <w:left w:val="nil"/>
              <w:bottom w:val="single" w:sz="4" w:space="0" w:color="auto"/>
              <w:right w:val="single" w:sz="4" w:space="0" w:color="auto"/>
            </w:tcBorders>
            <w:noWrap/>
            <w:vAlign w:val="center"/>
            <w:hideMark/>
          </w:tcPr>
          <w:p w14:paraId="7D2B305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30.4%</w:t>
            </w:r>
          </w:p>
        </w:tc>
        <w:tc>
          <w:tcPr>
            <w:tcW w:w="663" w:type="dxa"/>
            <w:tcBorders>
              <w:top w:val="nil"/>
              <w:left w:val="nil"/>
              <w:bottom w:val="single" w:sz="4" w:space="0" w:color="auto"/>
              <w:right w:val="single" w:sz="4" w:space="0" w:color="auto"/>
            </w:tcBorders>
            <w:noWrap/>
            <w:vAlign w:val="center"/>
            <w:hideMark/>
          </w:tcPr>
          <w:p w14:paraId="7CEB85B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26.1%</w:t>
            </w:r>
          </w:p>
        </w:tc>
        <w:tc>
          <w:tcPr>
            <w:tcW w:w="648" w:type="dxa"/>
            <w:tcBorders>
              <w:top w:val="nil"/>
              <w:left w:val="nil"/>
              <w:bottom w:val="single" w:sz="4" w:space="0" w:color="auto"/>
              <w:right w:val="single" w:sz="4" w:space="0" w:color="auto"/>
            </w:tcBorders>
            <w:noWrap/>
            <w:vAlign w:val="center"/>
            <w:hideMark/>
          </w:tcPr>
          <w:p w14:paraId="7276FD7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29.1%</w:t>
            </w:r>
          </w:p>
        </w:tc>
        <w:tc>
          <w:tcPr>
            <w:tcW w:w="648" w:type="dxa"/>
            <w:tcBorders>
              <w:top w:val="nil"/>
              <w:left w:val="nil"/>
              <w:bottom w:val="single" w:sz="4" w:space="0" w:color="auto"/>
              <w:right w:val="single" w:sz="4" w:space="0" w:color="auto"/>
            </w:tcBorders>
            <w:noWrap/>
            <w:vAlign w:val="center"/>
            <w:hideMark/>
          </w:tcPr>
          <w:p w14:paraId="59E70C5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33.1%</w:t>
            </w:r>
          </w:p>
        </w:tc>
        <w:tc>
          <w:tcPr>
            <w:tcW w:w="648" w:type="dxa"/>
            <w:tcBorders>
              <w:top w:val="nil"/>
              <w:left w:val="nil"/>
              <w:bottom w:val="single" w:sz="4" w:space="0" w:color="auto"/>
              <w:right w:val="single" w:sz="4" w:space="0" w:color="auto"/>
            </w:tcBorders>
            <w:noWrap/>
            <w:vAlign w:val="center"/>
            <w:hideMark/>
          </w:tcPr>
          <w:p w14:paraId="0FD1F39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23.6%</w:t>
            </w:r>
          </w:p>
        </w:tc>
        <w:tc>
          <w:tcPr>
            <w:tcW w:w="648" w:type="dxa"/>
            <w:tcBorders>
              <w:top w:val="nil"/>
              <w:left w:val="nil"/>
              <w:bottom w:val="single" w:sz="4" w:space="0" w:color="auto"/>
              <w:right w:val="single" w:sz="4" w:space="0" w:color="auto"/>
            </w:tcBorders>
            <w:noWrap/>
            <w:vAlign w:val="center"/>
            <w:hideMark/>
          </w:tcPr>
          <w:p w14:paraId="047A133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27.6%</w:t>
            </w:r>
          </w:p>
        </w:tc>
        <w:tc>
          <w:tcPr>
            <w:tcW w:w="648" w:type="dxa"/>
            <w:tcBorders>
              <w:top w:val="nil"/>
              <w:left w:val="nil"/>
              <w:bottom w:val="single" w:sz="4" w:space="0" w:color="auto"/>
              <w:right w:val="single" w:sz="4" w:space="0" w:color="auto"/>
            </w:tcBorders>
            <w:noWrap/>
            <w:vAlign w:val="center"/>
            <w:hideMark/>
          </w:tcPr>
          <w:p w14:paraId="5A3EE88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25.7%</w:t>
            </w:r>
          </w:p>
        </w:tc>
        <w:tc>
          <w:tcPr>
            <w:tcW w:w="663" w:type="dxa"/>
            <w:tcBorders>
              <w:top w:val="nil"/>
              <w:left w:val="nil"/>
              <w:bottom w:val="single" w:sz="4" w:space="0" w:color="auto"/>
              <w:right w:val="single" w:sz="4" w:space="0" w:color="auto"/>
            </w:tcBorders>
            <w:noWrap/>
            <w:vAlign w:val="center"/>
            <w:hideMark/>
          </w:tcPr>
          <w:p w14:paraId="3A6BB047"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36%</w:t>
            </w:r>
          </w:p>
        </w:tc>
        <w:tc>
          <w:tcPr>
            <w:tcW w:w="663" w:type="dxa"/>
            <w:tcBorders>
              <w:top w:val="nil"/>
              <w:left w:val="nil"/>
              <w:bottom w:val="single" w:sz="4" w:space="0" w:color="auto"/>
              <w:right w:val="single" w:sz="4" w:space="0" w:color="auto"/>
            </w:tcBorders>
            <w:noWrap/>
            <w:vAlign w:val="center"/>
            <w:hideMark/>
          </w:tcPr>
          <w:p w14:paraId="50566BD5"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30.9%</w:t>
            </w:r>
          </w:p>
        </w:tc>
        <w:tc>
          <w:tcPr>
            <w:tcW w:w="663" w:type="dxa"/>
            <w:tcBorders>
              <w:top w:val="nil"/>
              <w:left w:val="nil"/>
              <w:bottom w:val="single" w:sz="4" w:space="0" w:color="auto"/>
              <w:right w:val="single" w:sz="4" w:space="0" w:color="auto"/>
            </w:tcBorders>
            <w:noWrap/>
            <w:vAlign w:val="center"/>
            <w:hideMark/>
          </w:tcPr>
          <w:p w14:paraId="1E73B4A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28.5%</w:t>
            </w:r>
          </w:p>
        </w:tc>
        <w:tc>
          <w:tcPr>
            <w:tcW w:w="648" w:type="dxa"/>
            <w:tcBorders>
              <w:top w:val="nil"/>
              <w:left w:val="nil"/>
              <w:bottom w:val="single" w:sz="4" w:space="0" w:color="auto"/>
              <w:right w:val="single" w:sz="4" w:space="0" w:color="auto"/>
            </w:tcBorders>
            <w:noWrap/>
            <w:vAlign w:val="center"/>
            <w:hideMark/>
          </w:tcPr>
          <w:p w14:paraId="57E54DB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21%</w:t>
            </w:r>
          </w:p>
        </w:tc>
        <w:tc>
          <w:tcPr>
            <w:tcW w:w="648" w:type="dxa"/>
            <w:tcBorders>
              <w:top w:val="nil"/>
              <w:left w:val="nil"/>
              <w:bottom w:val="single" w:sz="4" w:space="0" w:color="auto"/>
              <w:right w:val="single" w:sz="4" w:space="0" w:color="auto"/>
            </w:tcBorders>
            <w:noWrap/>
            <w:vAlign w:val="center"/>
            <w:hideMark/>
          </w:tcPr>
          <w:p w14:paraId="12E26AE7"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28.0%</w:t>
            </w:r>
          </w:p>
        </w:tc>
        <w:tc>
          <w:tcPr>
            <w:tcW w:w="648" w:type="dxa"/>
            <w:tcBorders>
              <w:top w:val="nil"/>
              <w:left w:val="nil"/>
              <w:bottom w:val="single" w:sz="4" w:space="0" w:color="auto"/>
              <w:right w:val="single" w:sz="4" w:space="0" w:color="auto"/>
            </w:tcBorders>
            <w:noWrap/>
            <w:vAlign w:val="center"/>
            <w:hideMark/>
          </w:tcPr>
          <w:p w14:paraId="132BCD1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34.5%</w:t>
            </w:r>
          </w:p>
        </w:tc>
        <w:tc>
          <w:tcPr>
            <w:tcW w:w="663" w:type="dxa"/>
            <w:tcBorders>
              <w:top w:val="nil"/>
              <w:left w:val="nil"/>
              <w:bottom w:val="single" w:sz="4" w:space="0" w:color="auto"/>
              <w:right w:val="single" w:sz="4" w:space="0" w:color="auto"/>
            </w:tcBorders>
            <w:noWrap/>
            <w:vAlign w:val="center"/>
            <w:hideMark/>
          </w:tcPr>
          <w:p w14:paraId="1268263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34.6%</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408F595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29.8%</w:t>
            </w:r>
          </w:p>
        </w:tc>
      </w:tr>
      <w:tr w:rsidR="00D702AF" w:rsidRPr="00D702AF" w14:paraId="5D15E5BD"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5382DC29"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Assessments for Children in ODHS Custody</w:t>
            </w:r>
          </w:p>
        </w:tc>
        <w:tc>
          <w:tcPr>
            <w:tcW w:w="648" w:type="dxa"/>
            <w:tcBorders>
              <w:top w:val="nil"/>
              <w:left w:val="nil"/>
              <w:bottom w:val="single" w:sz="4" w:space="0" w:color="auto"/>
              <w:right w:val="single" w:sz="4" w:space="0" w:color="auto"/>
            </w:tcBorders>
            <w:noWrap/>
            <w:vAlign w:val="center"/>
            <w:hideMark/>
          </w:tcPr>
          <w:p w14:paraId="5E44E15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94.6%</w:t>
            </w:r>
          </w:p>
        </w:tc>
        <w:tc>
          <w:tcPr>
            <w:tcW w:w="648" w:type="dxa"/>
            <w:tcBorders>
              <w:top w:val="nil"/>
              <w:left w:val="nil"/>
              <w:bottom w:val="single" w:sz="4" w:space="0" w:color="auto"/>
              <w:right w:val="single" w:sz="4" w:space="0" w:color="auto"/>
            </w:tcBorders>
            <w:noWrap/>
            <w:vAlign w:val="center"/>
            <w:hideMark/>
          </w:tcPr>
          <w:p w14:paraId="1386B02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81.9%</w:t>
            </w:r>
          </w:p>
        </w:tc>
        <w:tc>
          <w:tcPr>
            <w:tcW w:w="648" w:type="dxa"/>
            <w:tcBorders>
              <w:top w:val="nil"/>
              <w:left w:val="nil"/>
              <w:bottom w:val="single" w:sz="4" w:space="0" w:color="auto"/>
              <w:right w:val="single" w:sz="4" w:space="0" w:color="auto"/>
            </w:tcBorders>
            <w:noWrap/>
            <w:vAlign w:val="center"/>
            <w:hideMark/>
          </w:tcPr>
          <w:p w14:paraId="311FF227"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95.6%</w:t>
            </w:r>
          </w:p>
        </w:tc>
        <w:tc>
          <w:tcPr>
            <w:tcW w:w="663" w:type="dxa"/>
            <w:tcBorders>
              <w:top w:val="nil"/>
              <w:left w:val="nil"/>
              <w:bottom w:val="single" w:sz="4" w:space="0" w:color="auto"/>
              <w:right w:val="single" w:sz="4" w:space="0" w:color="auto"/>
            </w:tcBorders>
            <w:noWrap/>
            <w:vAlign w:val="center"/>
            <w:hideMark/>
          </w:tcPr>
          <w:p w14:paraId="319987ED"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65.2%</w:t>
            </w:r>
          </w:p>
        </w:tc>
        <w:tc>
          <w:tcPr>
            <w:tcW w:w="648" w:type="dxa"/>
            <w:tcBorders>
              <w:top w:val="nil"/>
              <w:left w:val="nil"/>
              <w:bottom w:val="single" w:sz="4" w:space="0" w:color="auto"/>
              <w:right w:val="single" w:sz="4" w:space="0" w:color="auto"/>
            </w:tcBorders>
            <w:noWrap/>
            <w:vAlign w:val="center"/>
            <w:hideMark/>
          </w:tcPr>
          <w:p w14:paraId="6A006D0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96.3%</w:t>
            </w:r>
          </w:p>
        </w:tc>
        <w:tc>
          <w:tcPr>
            <w:tcW w:w="648" w:type="dxa"/>
            <w:tcBorders>
              <w:top w:val="nil"/>
              <w:left w:val="nil"/>
              <w:bottom w:val="single" w:sz="4" w:space="0" w:color="auto"/>
              <w:right w:val="single" w:sz="4" w:space="0" w:color="auto"/>
            </w:tcBorders>
            <w:noWrap/>
            <w:vAlign w:val="center"/>
            <w:hideMark/>
          </w:tcPr>
          <w:p w14:paraId="2D64A9B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93.3%</w:t>
            </w:r>
          </w:p>
        </w:tc>
        <w:tc>
          <w:tcPr>
            <w:tcW w:w="648" w:type="dxa"/>
            <w:tcBorders>
              <w:top w:val="nil"/>
              <w:left w:val="nil"/>
              <w:bottom w:val="single" w:sz="4" w:space="0" w:color="auto"/>
              <w:right w:val="single" w:sz="4" w:space="0" w:color="auto"/>
            </w:tcBorders>
            <w:noWrap/>
            <w:vAlign w:val="center"/>
            <w:hideMark/>
          </w:tcPr>
          <w:p w14:paraId="09D0E14D"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89.5%</w:t>
            </w:r>
          </w:p>
        </w:tc>
        <w:tc>
          <w:tcPr>
            <w:tcW w:w="648" w:type="dxa"/>
            <w:tcBorders>
              <w:top w:val="nil"/>
              <w:left w:val="nil"/>
              <w:bottom w:val="single" w:sz="4" w:space="0" w:color="auto"/>
              <w:right w:val="single" w:sz="4" w:space="0" w:color="auto"/>
            </w:tcBorders>
            <w:noWrap/>
            <w:vAlign w:val="center"/>
            <w:hideMark/>
          </w:tcPr>
          <w:p w14:paraId="2D60037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94.7%</w:t>
            </w:r>
          </w:p>
        </w:tc>
        <w:tc>
          <w:tcPr>
            <w:tcW w:w="648" w:type="dxa"/>
            <w:tcBorders>
              <w:top w:val="nil"/>
              <w:left w:val="nil"/>
              <w:bottom w:val="single" w:sz="4" w:space="0" w:color="auto"/>
              <w:right w:val="single" w:sz="4" w:space="0" w:color="auto"/>
            </w:tcBorders>
            <w:noWrap/>
            <w:vAlign w:val="center"/>
            <w:hideMark/>
          </w:tcPr>
          <w:p w14:paraId="5770CFE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89.4%</w:t>
            </w:r>
          </w:p>
        </w:tc>
        <w:tc>
          <w:tcPr>
            <w:tcW w:w="663" w:type="dxa"/>
            <w:tcBorders>
              <w:top w:val="nil"/>
              <w:left w:val="nil"/>
              <w:bottom w:val="single" w:sz="4" w:space="0" w:color="auto"/>
              <w:right w:val="single" w:sz="4" w:space="0" w:color="auto"/>
            </w:tcBorders>
            <w:noWrap/>
            <w:vAlign w:val="center"/>
            <w:hideMark/>
          </w:tcPr>
          <w:p w14:paraId="1DE5BB0C" w14:textId="16B1DB96" w:rsidR="00D702AF" w:rsidRPr="00D702AF" w:rsidRDefault="00341F02" w:rsidP="00D702AF">
            <w:pPr>
              <w:spacing w:after="0" w:line="240" w:lineRule="auto"/>
              <w:jc w:val="center"/>
              <w:rPr>
                <w:rFonts w:ascii="Aptos Display" w:eastAsia="Times New Roman" w:hAnsi="Aptos Display" w:cs="Arial"/>
                <w:kern w:val="0"/>
                <w:sz w:val="20"/>
                <w:szCs w:val="20"/>
                <w14:ligatures w14:val="none"/>
              </w:rPr>
            </w:pPr>
            <w:r>
              <w:rPr>
                <w:rFonts w:ascii="Aptos Display" w:eastAsia="Times New Roman" w:hAnsi="Aptos Display" w:cs="Arial"/>
                <w:kern w:val="0"/>
                <w:sz w:val="20"/>
                <w:szCs w:val="20"/>
                <w14:ligatures w14:val="none"/>
              </w:rPr>
              <w:t>100%</w:t>
            </w:r>
            <w:r w:rsidR="005141FF">
              <w:rPr>
                <w:rFonts w:ascii="Aptos Display" w:eastAsia="Times New Roman" w:hAnsi="Aptos Display" w:cs="Arial"/>
                <w:kern w:val="0"/>
                <w:sz w:val="20"/>
                <w:szCs w:val="20"/>
                <w14:ligatures w14:val="none"/>
              </w:rPr>
              <w:t>*</w:t>
            </w:r>
          </w:p>
        </w:tc>
        <w:tc>
          <w:tcPr>
            <w:tcW w:w="663" w:type="dxa"/>
            <w:tcBorders>
              <w:top w:val="nil"/>
              <w:left w:val="nil"/>
              <w:bottom w:val="single" w:sz="4" w:space="0" w:color="auto"/>
              <w:right w:val="single" w:sz="4" w:space="0" w:color="auto"/>
            </w:tcBorders>
            <w:noWrap/>
            <w:vAlign w:val="center"/>
            <w:hideMark/>
          </w:tcPr>
          <w:p w14:paraId="1145902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84.1%</w:t>
            </w:r>
          </w:p>
        </w:tc>
        <w:tc>
          <w:tcPr>
            <w:tcW w:w="663" w:type="dxa"/>
            <w:tcBorders>
              <w:top w:val="nil"/>
              <w:left w:val="nil"/>
              <w:bottom w:val="single" w:sz="4" w:space="0" w:color="auto"/>
              <w:right w:val="single" w:sz="4" w:space="0" w:color="auto"/>
            </w:tcBorders>
            <w:noWrap/>
            <w:vAlign w:val="center"/>
            <w:hideMark/>
          </w:tcPr>
          <w:p w14:paraId="34B8FFDD"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94.2%</w:t>
            </w:r>
          </w:p>
        </w:tc>
        <w:tc>
          <w:tcPr>
            <w:tcW w:w="648" w:type="dxa"/>
            <w:tcBorders>
              <w:top w:val="nil"/>
              <w:left w:val="nil"/>
              <w:bottom w:val="single" w:sz="4" w:space="0" w:color="auto"/>
              <w:right w:val="single" w:sz="4" w:space="0" w:color="auto"/>
            </w:tcBorders>
            <w:noWrap/>
            <w:vAlign w:val="center"/>
            <w:hideMark/>
          </w:tcPr>
          <w:p w14:paraId="383CA23E" w14:textId="4041B6E6" w:rsidR="00D702AF" w:rsidRPr="00D702AF" w:rsidRDefault="00341F02" w:rsidP="00D702AF">
            <w:pPr>
              <w:spacing w:after="0" w:line="240" w:lineRule="auto"/>
              <w:jc w:val="center"/>
              <w:rPr>
                <w:rFonts w:ascii="Aptos Display" w:eastAsia="Times New Roman" w:hAnsi="Aptos Display" w:cs="Arial"/>
                <w:kern w:val="0"/>
                <w:sz w:val="20"/>
                <w:szCs w:val="20"/>
                <w14:ligatures w14:val="none"/>
              </w:rPr>
            </w:pPr>
            <w:r>
              <w:rPr>
                <w:rFonts w:ascii="Aptos Display" w:eastAsia="Times New Roman" w:hAnsi="Aptos Display" w:cs="Arial"/>
                <w:kern w:val="0"/>
                <w:sz w:val="20"/>
                <w:szCs w:val="20"/>
                <w14:ligatures w14:val="none"/>
              </w:rPr>
              <w:t>100%</w:t>
            </w:r>
            <w:r w:rsidR="005141FF">
              <w:rPr>
                <w:rFonts w:ascii="Aptos Display" w:eastAsia="Times New Roman" w:hAnsi="Aptos Display" w:cs="Arial"/>
                <w:kern w:val="0"/>
                <w:sz w:val="20"/>
                <w:szCs w:val="20"/>
                <w14:ligatures w14:val="none"/>
              </w:rPr>
              <w:t>*</w:t>
            </w:r>
          </w:p>
        </w:tc>
        <w:tc>
          <w:tcPr>
            <w:tcW w:w="648" w:type="dxa"/>
            <w:tcBorders>
              <w:top w:val="nil"/>
              <w:left w:val="nil"/>
              <w:bottom w:val="single" w:sz="4" w:space="0" w:color="auto"/>
              <w:right w:val="single" w:sz="4" w:space="0" w:color="auto"/>
            </w:tcBorders>
            <w:noWrap/>
            <w:vAlign w:val="center"/>
            <w:hideMark/>
          </w:tcPr>
          <w:p w14:paraId="0929000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94.6%</w:t>
            </w:r>
          </w:p>
        </w:tc>
        <w:tc>
          <w:tcPr>
            <w:tcW w:w="648" w:type="dxa"/>
            <w:tcBorders>
              <w:top w:val="nil"/>
              <w:left w:val="nil"/>
              <w:bottom w:val="single" w:sz="4" w:space="0" w:color="auto"/>
              <w:right w:val="single" w:sz="4" w:space="0" w:color="auto"/>
            </w:tcBorders>
            <w:noWrap/>
            <w:vAlign w:val="center"/>
            <w:hideMark/>
          </w:tcPr>
          <w:p w14:paraId="04F2449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93.4%</w:t>
            </w:r>
          </w:p>
        </w:tc>
        <w:tc>
          <w:tcPr>
            <w:tcW w:w="663" w:type="dxa"/>
            <w:tcBorders>
              <w:top w:val="nil"/>
              <w:left w:val="nil"/>
              <w:bottom w:val="single" w:sz="4" w:space="0" w:color="auto"/>
              <w:right w:val="single" w:sz="4" w:space="0" w:color="auto"/>
            </w:tcBorders>
            <w:noWrap/>
            <w:vAlign w:val="center"/>
            <w:hideMark/>
          </w:tcPr>
          <w:p w14:paraId="5D3F067D" w14:textId="3412723E"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95.5%</w:t>
            </w:r>
            <w:r w:rsidR="005141FF">
              <w:rPr>
                <w:rFonts w:ascii="Aptos Display" w:eastAsia="Times New Roman" w:hAnsi="Aptos Display" w:cs="Arial"/>
                <w:kern w:val="0"/>
                <w:sz w:val="20"/>
                <w:szCs w:val="20"/>
                <w14:ligatures w14:val="none"/>
              </w:rPr>
              <w:t>*</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55E8BFE0"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90.8%</w:t>
            </w:r>
          </w:p>
        </w:tc>
      </w:tr>
      <w:tr w:rsidR="00D702AF" w:rsidRPr="00D702AF" w14:paraId="60C080BE"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2C1B7D0C"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Child and Adolescent Well-Care Visits (Ages 3-6)</w:t>
            </w:r>
          </w:p>
        </w:tc>
        <w:tc>
          <w:tcPr>
            <w:tcW w:w="648" w:type="dxa"/>
            <w:tcBorders>
              <w:top w:val="nil"/>
              <w:left w:val="nil"/>
              <w:bottom w:val="single" w:sz="4" w:space="0" w:color="auto"/>
              <w:right w:val="single" w:sz="4" w:space="0" w:color="auto"/>
            </w:tcBorders>
            <w:noWrap/>
            <w:vAlign w:val="center"/>
            <w:hideMark/>
          </w:tcPr>
          <w:p w14:paraId="3598F2B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70.3%</w:t>
            </w:r>
          </w:p>
        </w:tc>
        <w:tc>
          <w:tcPr>
            <w:tcW w:w="648" w:type="dxa"/>
            <w:tcBorders>
              <w:top w:val="nil"/>
              <w:left w:val="nil"/>
              <w:bottom w:val="single" w:sz="4" w:space="0" w:color="auto"/>
              <w:right w:val="single" w:sz="4" w:space="0" w:color="auto"/>
            </w:tcBorders>
            <w:noWrap/>
            <w:vAlign w:val="center"/>
            <w:hideMark/>
          </w:tcPr>
          <w:p w14:paraId="47A49A5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68.6%</w:t>
            </w:r>
          </w:p>
        </w:tc>
        <w:tc>
          <w:tcPr>
            <w:tcW w:w="648" w:type="dxa"/>
            <w:tcBorders>
              <w:top w:val="nil"/>
              <w:left w:val="nil"/>
              <w:bottom w:val="single" w:sz="4" w:space="0" w:color="auto"/>
              <w:right w:val="single" w:sz="4" w:space="0" w:color="auto"/>
            </w:tcBorders>
            <w:noWrap/>
            <w:vAlign w:val="center"/>
            <w:hideMark/>
          </w:tcPr>
          <w:p w14:paraId="10C1F47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75.3%</w:t>
            </w:r>
          </w:p>
        </w:tc>
        <w:tc>
          <w:tcPr>
            <w:tcW w:w="663" w:type="dxa"/>
            <w:tcBorders>
              <w:top w:val="nil"/>
              <w:left w:val="nil"/>
              <w:bottom w:val="single" w:sz="4" w:space="0" w:color="auto"/>
              <w:right w:val="single" w:sz="4" w:space="0" w:color="auto"/>
            </w:tcBorders>
            <w:noWrap/>
            <w:vAlign w:val="center"/>
            <w:hideMark/>
          </w:tcPr>
          <w:p w14:paraId="7BCC528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66.8%</w:t>
            </w:r>
          </w:p>
        </w:tc>
        <w:tc>
          <w:tcPr>
            <w:tcW w:w="648" w:type="dxa"/>
            <w:tcBorders>
              <w:top w:val="nil"/>
              <w:left w:val="nil"/>
              <w:bottom w:val="single" w:sz="4" w:space="0" w:color="auto"/>
              <w:right w:val="single" w:sz="4" w:space="0" w:color="auto"/>
            </w:tcBorders>
            <w:noWrap/>
            <w:vAlign w:val="center"/>
            <w:hideMark/>
          </w:tcPr>
          <w:p w14:paraId="68878C1D"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70.5%</w:t>
            </w:r>
          </w:p>
        </w:tc>
        <w:tc>
          <w:tcPr>
            <w:tcW w:w="648" w:type="dxa"/>
            <w:tcBorders>
              <w:top w:val="nil"/>
              <w:left w:val="nil"/>
              <w:bottom w:val="single" w:sz="4" w:space="0" w:color="auto"/>
              <w:right w:val="single" w:sz="4" w:space="0" w:color="auto"/>
            </w:tcBorders>
            <w:noWrap/>
            <w:vAlign w:val="center"/>
            <w:hideMark/>
          </w:tcPr>
          <w:p w14:paraId="33172AD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73.0%</w:t>
            </w:r>
          </w:p>
        </w:tc>
        <w:tc>
          <w:tcPr>
            <w:tcW w:w="648" w:type="dxa"/>
            <w:tcBorders>
              <w:top w:val="nil"/>
              <w:left w:val="nil"/>
              <w:bottom w:val="single" w:sz="4" w:space="0" w:color="auto"/>
              <w:right w:val="single" w:sz="4" w:space="0" w:color="auto"/>
            </w:tcBorders>
            <w:noWrap/>
            <w:vAlign w:val="center"/>
            <w:hideMark/>
          </w:tcPr>
          <w:p w14:paraId="1AD3996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75.4%</w:t>
            </w:r>
          </w:p>
        </w:tc>
        <w:tc>
          <w:tcPr>
            <w:tcW w:w="648" w:type="dxa"/>
            <w:tcBorders>
              <w:top w:val="nil"/>
              <w:left w:val="nil"/>
              <w:bottom w:val="single" w:sz="4" w:space="0" w:color="auto"/>
              <w:right w:val="single" w:sz="4" w:space="0" w:color="auto"/>
            </w:tcBorders>
            <w:noWrap/>
            <w:vAlign w:val="center"/>
            <w:hideMark/>
          </w:tcPr>
          <w:p w14:paraId="42B0E4B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68.5%</w:t>
            </w:r>
          </w:p>
        </w:tc>
        <w:tc>
          <w:tcPr>
            <w:tcW w:w="648" w:type="dxa"/>
            <w:tcBorders>
              <w:top w:val="nil"/>
              <w:left w:val="nil"/>
              <w:bottom w:val="single" w:sz="4" w:space="0" w:color="auto"/>
              <w:right w:val="single" w:sz="4" w:space="0" w:color="auto"/>
            </w:tcBorders>
            <w:noWrap/>
            <w:vAlign w:val="center"/>
            <w:hideMark/>
          </w:tcPr>
          <w:p w14:paraId="17429087"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76.3%</w:t>
            </w:r>
          </w:p>
        </w:tc>
        <w:tc>
          <w:tcPr>
            <w:tcW w:w="663" w:type="dxa"/>
            <w:tcBorders>
              <w:top w:val="nil"/>
              <w:left w:val="nil"/>
              <w:bottom w:val="single" w:sz="4" w:space="0" w:color="auto"/>
              <w:right w:val="single" w:sz="4" w:space="0" w:color="auto"/>
            </w:tcBorders>
            <w:noWrap/>
            <w:vAlign w:val="center"/>
            <w:hideMark/>
          </w:tcPr>
          <w:p w14:paraId="6FAF5B4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75.8%</w:t>
            </w:r>
          </w:p>
        </w:tc>
        <w:tc>
          <w:tcPr>
            <w:tcW w:w="663" w:type="dxa"/>
            <w:tcBorders>
              <w:top w:val="nil"/>
              <w:left w:val="nil"/>
              <w:bottom w:val="single" w:sz="4" w:space="0" w:color="auto"/>
              <w:right w:val="single" w:sz="4" w:space="0" w:color="auto"/>
            </w:tcBorders>
            <w:noWrap/>
            <w:vAlign w:val="center"/>
            <w:hideMark/>
          </w:tcPr>
          <w:p w14:paraId="354E145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62.3%</w:t>
            </w:r>
          </w:p>
        </w:tc>
        <w:tc>
          <w:tcPr>
            <w:tcW w:w="663" w:type="dxa"/>
            <w:tcBorders>
              <w:top w:val="nil"/>
              <w:left w:val="nil"/>
              <w:bottom w:val="single" w:sz="4" w:space="0" w:color="auto"/>
              <w:right w:val="single" w:sz="4" w:space="0" w:color="auto"/>
            </w:tcBorders>
            <w:noWrap/>
            <w:vAlign w:val="center"/>
            <w:hideMark/>
          </w:tcPr>
          <w:p w14:paraId="0F6EAA7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72.7%</w:t>
            </w:r>
          </w:p>
        </w:tc>
        <w:tc>
          <w:tcPr>
            <w:tcW w:w="648" w:type="dxa"/>
            <w:tcBorders>
              <w:top w:val="nil"/>
              <w:left w:val="nil"/>
              <w:bottom w:val="single" w:sz="4" w:space="0" w:color="auto"/>
              <w:right w:val="single" w:sz="4" w:space="0" w:color="auto"/>
            </w:tcBorders>
            <w:noWrap/>
            <w:vAlign w:val="center"/>
            <w:hideMark/>
          </w:tcPr>
          <w:p w14:paraId="238E69C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55.4%</w:t>
            </w:r>
          </w:p>
        </w:tc>
        <w:tc>
          <w:tcPr>
            <w:tcW w:w="648" w:type="dxa"/>
            <w:tcBorders>
              <w:top w:val="nil"/>
              <w:left w:val="nil"/>
              <w:bottom w:val="single" w:sz="4" w:space="0" w:color="auto"/>
              <w:right w:val="single" w:sz="4" w:space="0" w:color="auto"/>
            </w:tcBorders>
            <w:noWrap/>
            <w:vAlign w:val="center"/>
            <w:hideMark/>
          </w:tcPr>
          <w:p w14:paraId="297DBDC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59.0%</w:t>
            </w:r>
          </w:p>
        </w:tc>
        <w:tc>
          <w:tcPr>
            <w:tcW w:w="648" w:type="dxa"/>
            <w:tcBorders>
              <w:top w:val="nil"/>
              <w:left w:val="nil"/>
              <w:bottom w:val="single" w:sz="4" w:space="0" w:color="auto"/>
              <w:right w:val="single" w:sz="4" w:space="0" w:color="auto"/>
            </w:tcBorders>
            <w:noWrap/>
            <w:vAlign w:val="center"/>
            <w:hideMark/>
          </w:tcPr>
          <w:p w14:paraId="57E57E9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76.7%</w:t>
            </w:r>
          </w:p>
        </w:tc>
        <w:tc>
          <w:tcPr>
            <w:tcW w:w="663" w:type="dxa"/>
            <w:tcBorders>
              <w:top w:val="nil"/>
              <w:left w:val="nil"/>
              <w:bottom w:val="single" w:sz="4" w:space="0" w:color="auto"/>
              <w:right w:val="single" w:sz="4" w:space="0" w:color="auto"/>
            </w:tcBorders>
            <w:noWrap/>
            <w:vAlign w:val="center"/>
            <w:hideMark/>
          </w:tcPr>
          <w:p w14:paraId="1A371D4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73.9%</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4F6B419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71.3%</w:t>
            </w:r>
          </w:p>
        </w:tc>
      </w:tr>
      <w:tr w:rsidR="00D702AF" w:rsidRPr="00D702AF" w14:paraId="022A46D7"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5417E405"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Childhood Immunization Status: Combo 3</w:t>
            </w:r>
          </w:p>
        </w:tc>
        <w:tc>
          <w:tcPr>
            <w:tcW w:w="648" w:type="dxa"/>
            <w:tcBorders>
              <w:top w:val="nil"/>
              <w:left w:val="nil"/>
              <w:bottom w:val="single" w:sz="4" w:space="0" w:color="auto"/>
              <w:right w:val="single" w:sz="4" w:space="0" w:color="auto"/>
            </w:tcBorders>
            <w:noWrap/>
            <w:vAlign w:val="center"/>
            <w:hideMark/>
          </w:tcPr>
          <w:p w14:paraId="33937C5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63.2%</w:t>
            </w:r>
          </w:p>
        </w:tc>
        <w:tc>
          <w:tcPr>
            <w:tcW w:w="648" w:type="dxa"/>
            <w:tcBorders>
              <w:top w:val="nil"/>
              <w:left w:val="nil"/>
              <w:bottom w:val="single" w:sz="4" w:space="0" w:color="auto"/>
              <w:right w:val="single" w:sz="4" w:space="0" w:color="auto"/>
            </w:tcBorders>
            <w:noWrap/>
            <w:vAlign w:val="center"/>
            <w:hideMark/>
          </w:tcPr>
          <w:p w14:paraId="3C15FE5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43.7%</w:t>
            </w:r>
          </w:p>
        </w:tc>
        <w:tc>
          <w:tcPr>
            <w:tcW w:w="648" w:type="dxa"/>
            <w:tcBorders>
              <w:top w:val="nil"/>
              <w:left w:val="nil"/>
              <w:bottom w:val="single" w:sz="4" w:space="0" w:color="auto"/>
              <w:right w:val="single" w:sz="4" w:space="0" w:color="auto"/>
            </w:tcBorders>
            <w:noWrap/>
            <w:vAlign w:val="center"/>
            <w:hideMark/>
          </w:tcPr>
          <w:p w14:paraId="32CBC05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63.3%</w:t>
            </w:r>
          </w:p>
        </w:tc>
        <w:tc>
          <w:tcPr>
            <w:tcW w:w="663" w:type="dxa"/>
            <w:tcBorders>
              <w:top w:val="nil"/>
              <w:left w:val="nil"/>
              <w:bottom w:val="single" w:sz="4" w:space="0" w:color="auto"/>
              <w:right w:val="single" w:sz="4" w:space="0" w:color="auto"/>
            </w:tcBorders>
            <w:noWrap/>
            <w:vAlign w:val="center"/>
            <w:hideMark/>
          </w:tcPr>
          <w:p w14:paraId="4D9F07A0"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51.2%</w:t>
            </w:r>
          </w:p>
        </w:tc>
        <w:tc>
          <w:tcPr>
            <w:tcW w:w="648" w:type="dxa"/>
            <w:tcBorders>
              <w:top w:val="nil"/>
              <w:left w:val="nil"/>
              <w:bottom w:val="single" w:sz="4" w:space="0" w:color="auto"/>
              <w:right w:val="single" w:sz="4" w:space="0" w:color="auto"/>
            </w:tcBorders>
            <w:noWrap/>
            <w:vAlign w:val="center"/>
            <w:hideMark/>
          </w:tcPr>
          <w:p w14:paraId="68F4512D"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63.1%</w:t>
            </w:r>
          </w:p>
        </w:tc>
        <w:tc>
          <w:tcPr>
            <w:tcW w:w="648" w:type="dxa"/>
            <w:tcBorders>
              <w:top w:val="nil"/>
              <w:left w:val="nil"/>
              <w:bottom w:val="single" w:sz="4" w:space="0" w:color="auto"/>
              <w:right w:val="single" w:sz="4" w:space="0" w:color="auto"/>
            </w:tcBorders>
            <w:noWrap/>
            <w:vAlign w:val="center"/>
            <w:hideMark/>
          </w:tcPr>
          <w:p w14:paraId="7FDB133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61.9%</w:t>
            </w:r>
          </w:p>
        </w:tc>
        <w:tc>
          <w:tcPr>
            <w:tcW w:w="648" w:type="dxa"/>
            <w:tcBorders>
              <w:top w:val="nil"/>
              <w:left w:val="nil"/>
              <w:bottom w:val="single" w:sz="4" w:space="0" w:color="auto"/>
              <w:right w:val="single" w:sz="4" w:space="0" w:color="auto"/>
            </w:tcBorders>
            <w:noWrap/>
            <w:vAlign w:val="center"/>
            <w:hideMark/>
          </w:tcPr>
          <w:p w14:paraId="127C5BE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58.1%</w:t>
            </w:r>
          </w:p>
        </w:tc>
        <w:tc>
          <w:tcPr>
            <w:tcW w:w="648" w:type="dxa"/>
            <w:tcBorders>
              <w:top w:val="nil"/>
              <w:left w:val="nil"/>
              <w:bottom w:val="single" w:sz="4" w:space="0" w:color="auto"/>
              <w:right w:val="single" w:sz="4" w:space="0" w:color="auto"/>
            </w:tcBorders>
            <w:noWrap/>
            <w:vAlign w:val="center"/>
            <w:hideMark/>
          </w:tcPr>
          <w:p w14:paraId="47DF693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56.3%</w:t>
            </w:r>
          </w:p>
        </w:tc>
        <w:tc>
          <w:tcPr>
            <w:tcW w:w="648" w:type="dxa"/>
            <w:tcBorders>
              <w:top w:val="nil"/>
              <w:left w:val="nil"/>
              <w:bottom w:val="single" w:sz="4" w:space="0" w:color="auto"/>
              <w:right w:val="single" w:sz="4" w:space="0" w:color="auto"/>
            </w:tcBorders>
            <w:noWrap/>
            <w:vAlign w:val="center"/>
            <w:hideMark/>
          </w:tcPr>
          <w:p w14:paraId="60D34B5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57.8%</w:t>
            </w:r>
          </w:p>
        </w:tc>
        <w:tc>
          <w:tcPr>
            <w:tcW w:w="663" w:type="dxa"/>
            <w:tcBorders>
              <w:top w:val="nil"/>
              <w:left w:val="nil"/>
              <w:bottom w:val="single" w:sz="4" w:space="0" w:color="auto"/>
              <w:right w:val="single" w:sz="4" w:space="0" w:color="auto"/>
            </w:tcBorders>
            <w:noWrap/>
            <w:vAlign w:val="center"/>
            <w:hideMark/>
          </w:tcPr>
          <w:p w14:paraId="24FD96C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65.6%</w:t>
            </w:r>
          </w:p>
        </w:tc>
        <w:tc>
          <w:tcPr>
            <w:tcW w:w="663" w:type="dxa"/>
            <w:tcBorders>
              <w:top w:val="nil"/>
              <w:left w:val="nil"/>
              <w:bottom w:val="single" w:sz="4" w:space="0" w:color="auto"/>
              <w:right w:val="single" w:sz="4" w:space="0" w:color="auto"/>
            </w:tcBorders>
            <w:noWrap/>
            <w:vAlign w:val="center"/>
            <w:hideMark/>
          </w:tcPr>
          <w:p w14:paraId="2F8E3227"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64.4%</w:t>
            </w:r>
          </w:p>
        </w:tc>
        <w:tc>
          <w:tcPr>
            <w:tcW w:w="663" w:type="dxa"/>
            <w:tcBorders>
              <w:top w:val="nil"/>
              <w:left w:val="nil"/>
              <w:bottom w:val="single" w:sz="4" w:space="0" w:color="auto"/>
              <w:right w:val="single" w:sz="4" w:space="0" w:color="auto"/>
            </w:tcBorders>
            <w:noWrap/>
            <w:vAlign w:val="center"/>
            <w:hideMark/>
          </w:tcPr>
          <w:p w14:paraId="7D26BE2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63.1%</w:t>
            </w:r>
          </w:p>
        </w:tc>
        <w:tc>
          <w:tcPr>
            <w:tcW w:w="648" w:type="dxa"/>
            <w:tcBorders>
              <w:top w:val="nil"/>
              <w:left w:val="nil"/>
              <w:bottom w:val="single" w:sz="4" w:space="0" w:color="auto"/>
              <w:right w:val="single" w:sz="4" w:space="0" w:color="auto"/>
            </w:tcBorders>
            <w:noWrap/>
            <w:vAlign w:val="center"/>
            <w:hideMark/>
          </w:tcPr>
          <w:p w14:paraId="525AFDD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48.7%</w:t>
            </w:r>
          </w:p>
        </w:tc>
        <w:tc>
          <w:tcPr>
            <w:tcW w:w="648" w:type="dxa"/>
            <w:tcBorders>
              <w:top w:val="nil"/>
              <w:left w:val="nil"/>
              <w:bottom w:val="single" w:sz="4" w:space="0" w:color="auto"/>
              <w:right w:val="single" w:sz="4" w:space="0" w:color="auto"/>
            </w:tcBorders>
            <w:noWrap/>
            <w:vAlign w:val="center"/>
            <w:hideMark/>
          </w:tcPr>
          <w:p w14:paraId="07CA23F7"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56.9%</w:t>
            </w:r>
          </w:p>
        </w:tc>
        <w:tc>
          <w:tcPr>
            <w:tcW w:w="648" w:type="dxa"/>
            <w:tcBorders>
              <w:top w:val="nil"/>
              <w:left w:val="nil"/>
              <w:bottom w:val="single" w:sz="4" w:space="0" w:color="auto"/>
              <w:right w:val="single" w:sz="4" w:space="0" w:color="auto"/>
            </w:tcBorders>
            <w:noWrap/>
            <w:vAlign w:val="center"/>
            <w:hideMark/>
          </w:tcPr>
          <w:p w14:paraId="70D266E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54.0%</w:t>
            </w:r>
          </w:p>
        </w:tc>
        <w:tc>
          <w:tcPr>
            <w:tcW w:w="663" w:type="dxa"/>
            <w:tcBorders>
              <w:top w:val="nil"/>
              <w:left w:val="nil"/>
              <w:bottom w:val="single" w:sz="4" w:space="0" w:color="auto"/>
              <w:right w:val="single" w:sz="4" w:space="0" w:color="auto"/>
            </w:tcBorders>
            <w:noWrap/>
            <w:vAlign w:val="center"/>
            <w:hideMark/>
          </w:tcPr>
          <w:p w14:paraId="52C3E57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63.3%</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4047162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60.1%</w:t>
            </w:r>
          </w:p>
        </w:tc>
      </w:tr>
      <w:tr w:rsidR="00D702AF" w:rsidRPr="00D702AF" w14:paraId="765955AD"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2AEC6A11"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Diabetes: HbA1c Poor Control§</w:t>
            </w:r>
          </w:p>
        </w:tc>
        <w:tc>
          <w:tcPr>
            <w:tcW w:w="648" w:type="dxa"/>
            <w:tcBorders>
              <w:top w:val="nil"/>
              <w:left w:val="nil"/>
              <w:bottom w:val="single" w:sz="4" w:space="0" w:color="auto"/>
              <w:right w:val="single" w:sz="4" w:space="0" w:color="auto"/>
            </w:tcBorders>
            <w:noWrap/>
            <w:vAlign w:val="center"/>
            <w:hideMark/>
          </w:tcPr>
          <w:p w14:paraId="4AADDE5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31.4%</w:t>
            </w:r>
          </w:p>
        </w:tc>
        <w:tc>
          <w:tcPr>
            <w:tcW w:w="648" w:type="dxa"/>
            <w:tcBorders>
              <w:top w:val="nil"/>
              <w:left w:val="nil"/>
              <w:bottom w:val="single" w:sz="4" w:space="0" w:color="auto"/>
              <w:right w:val="single" w:sz="4" w:space="0" w:color="auto"/>
            </w:tcBorders>
            <w:noWrap/>
            <w:vAlign w:val="center"/>
            <w:hideMark/>
          </w:tcPr>
          <w:p w14:paraId="0B37FAD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18.3%</w:t>
            </w:r>
          </w:p>
        </w:tc>
        <w:tc>
          <w:tcPr>
            <w:tcW w:w="648" w:type="dxa"/>
            <w:tcBorders>
              <w:top w:val="nil"/>
              <w:left w:val="nil"/>
              <w:bottom w:val="single" w:sz="4" w:space="0" w:color="auto"/>
              <w:right w:val="single" w:sz="4" w:space="0" w:color="auto"/>
            </w:tcBorders>
            <w:noWrap/>
            <w:vAlign w:val="center"/>
            <w:hideMark/>
          </w:tcPr>
          <w:p w14:paraId="7D9DC86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17.7%</w:t>
            </w:r>
          </w:p>
        </w:tc>
        <w:tc>
          <w:tcPr>
            <w:tcW w:w="663" w:type="dxa"/>
            <w:tcBorders>
              <w:top w:val="nil"/>
              <w:left w:val="nil"/>
              <w:bottom w:val="single" w:sz="4" w:space="0" w:color="auto"/>
              <w:right w:val="single" w:sz="4" w:space="0" w:color="auto"/>
            </w:tcBorders>
            <w:noWrap/>
            <w:vAlign w:val="center"/>
            <w:hideMark/>
          </w:tcPr>
          <w:p w14:paraId="291E75F5"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21.7%</w:t>
            </w:r>
          </w:p>
        </w:tc>
        <w:tc>
          <w:tcPr>
            <w:tcW w:w="648" w:type="dxa"/>
            <w:tcBorders>
              <w:top w:val="nil"/>
              <w:left w:val="nil"/>
              <w:bottom w:val="single" w:sz="4" w:space="0" w:color="auto"/>
              <w:right w:val="single" w:sz="4" w:space="0" w:color="auto"/>
            </w:tcBorders>
            <w:noWrap/>
            <w:vAlign w:val="center"/>
            <w:hideMark/>
          </w:tcPr>
          <w:p w14:paraId="109FFDC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18.3%</w:t>
            </w:r>
          </w:p>
        </w:tc>
        <w:tc>
          <w:tcPr>
            <w:tcW w:w="648" w:type="dxa"/>
            <w:tcBorders>
              <w:top w:val="nil"/>
              <w:left w:val="nil"/>
              <w:bottom w:val="single" w:sz="4" w:space="0" w:color="auto"/>
              <w:right w:val="single" w:sz="4" w:space="0" w:color="auto"/>
            </w:tcBorders>
            <w:noWrap/>
            <w:vAlign w:val="center"/>
            <w:hideMark/>
          </w:tcPr>
          <w:p w14:paraId="64D6FFC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22.3%</w:t>
            </w:r>
          </w:p>
        </w:tc>
        <w:tc>
          <w:tcPr>
            <w:tcW w:w="648" w:type="dxa"/>
            <w:tcBorders>
              <w:top w:val="nil"/>
              <w:left w:val="nil"/>
              <w:bottom w:val="single" w:sz="4" w:space="0" w:color="auto"/>
              <w:right w:val="single" w:sz="4" w:space="0" w:color="auto"/>
            </w:tcBorders>
            <w:noWrap/>
            <w:vAlign w:val="center"/>
            <w:hideMark/>
          </w:tcPr>
          <w:p w14:paraId="27202CC6"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25.4%</w:t>
            </w:r>
          </w:p>
        </w:tc>
        <w:tc>
          <w:tcPr>
            <w:tcW w:w="648" w:type="dxa"/>
            <w:tcBorders>
              <w:top w:val="nil"/>
              <w:left w:val="nil"/>
              <w:bottom w:val="single" w:sz="4" w:space="0" w:color="auto"/>
              <w:right w:val="single" w:sz="4" w:space="0" w:color="auto"/>
            </w:tcBorders>
            <w:noWrap/>
            <w:vAlign w:val="center"/>
            <w:hideMark/>
          </w:tcPr>
          <w:p w14:paraId="18625E7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20.7%</w:t>
            </w:r>
          </w:p>
        </w:tc>
        <w:tc>
          <w:tcPr>
            <w:tcW w:w="648" w:type="dxa"/>
            <w:tcBorders>
              <w:top w:val="nil"/>
              <w:left w:val="nil"/>
              <w:bottom w:val="single" w:sz="4" w:space="0" w:color="auto"/>
              <w:right w:val="single" w:sz="4" w:space="0" w:color="auto"/>
            </w:tcBorders>
            <w:noWrap/>
            <w:vAlign w:val="center"/>
            <w:hideMark/>
          </w:tcPr>
          <w:p w14:paraId="10CF5127"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18.1%</w:t>
            </w:r>
          </w:p>
        </w:tc>
        <w:tc>
          <w:tcPr>
            <w:tcW w:w="663" w:type="dxa"/>
            <w:tcBorders>
              <w:top w:val="nil"/>
              <w:left w:val="nil"/>
              <w:bottom w:val="single" w:sz="4" w:space="0" w:color="auto"/>
              <w:right w:val="single" w:sz="4" w:space="0" w:color="auto"/>
            </w:tcBorders>
            <w:noWrap/>
            <w:vAlign w:val="center"/>
            <w:hideMark/>
          </w:tcPr>
          <w:p w14:paraId="7C690F0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19.5%</w:t>
            </w:r>
          </w:p>
        </w:tc>
        <w:tc>
          <w:tcPr>
            <w:tcW w:w="663" w:type="dxa"/>
            <w:tcBorders>
              <w:top w:val="nil"/>
              <w:left w:val="nil"/>
              <w:bottom w:val="single" w:sz="4" w:space="0" w:color="auto"/>
              <w:right w:val="single" w:sz="4" w:space="0" w:color="auto"/>
            </w:tcBorders>
            <w:noWrap/>
            <w:vAlign w:val="center"/>
            <w:hideMark/>
          </w:tcPr>
          <w:p w14:paraId="65731CF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17.7%</w:t>
            </w:r>
          </w:p>
        </w:tc>
        <w:tc>
          <w:tcPr>
            <w:tcW w:w="663" w:type="dxa"/>
            <w:tcBorders>
              <w:top w:val="nil"/>
              <w:left w:val="nil"/>
              <w:bottom w:val="single" w:sz="4" w:space="0" w:color="auto"/>
              <w:right w:val="single" w:sz="4" w:space="0" w:color="auto"/>
            </w:tcBorders>
            <w:noWrap/>
            <w:vAlign w:val="center"/>
            <w:hideMark/>
          </w:tcPr>
          <w:p w14:paraId="0C2A44D0"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25.1%</w:t>
            </w:r>
          </w:p>
        </w:tc>
        <w:tc>
          <w:tcPr>
            <w:tcW w:w="648" w:type="dxa"/>
            <w:tcBorders>
              <w:top w:val="nil"/>
              <w:left w:val="nil"/>
              <w:bottom w:val="single" w:sz="4" w:space="0" w:color="auto"/>
              <w:right w:val="single" w:sz="4" w:space="0" w:color="auto"/>
            </w:tcBorders>
            <w:noWrap/>
            <w:vAlign w:val="center"/>
            <w:hideMark/>
          </w:tcPr>
          <w:p w14:paraId="4C9E8B5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16.1%</w:t>
            </w:r>
          </w:p>
        </w:tc>
        <w:tc>
          <w:tcPr>
            <w:tcW w:w="648" w:type="dxa"/>
            <w:tcBorders>
              <w:top w:val="nil"/>
              <w:left w:val="nil"/>
              <w:bottom w:val="single" w:sz="4" w:space="0" w:color="auto"/>
              <w:right w:val="single" w:sz="4" w:space="0" w:color="auto"/>
            </w:tcBorders>
            <w:noWrap/>
            <w:vAlign w:val="center"/>
            <w:hideMark/>
          </w:tcPr>
          <w:p w14:paraId="7953A59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20.2%</w:t>
            </w:r>
          </w:p>
        </w:tc>
        <w:tc>
          <w:tcPr>
            <w:tcW w:w="648" w:type="dxa"/>
            <w:tcBorders>
              <w:top w:val="nil"/>
              <w:left w:val="nil"/>
              <w:bottom w:val="single" w:sz="4" w:space="0" w:color="auto"/>
              <w:right w:val="single" w:sz="4" w:space="0" w:color="auto"/>
            </w:tcBorders>
            <w:noWrap/>
            <w:vAlign w:val="center"/>
            <w:hideMark/>
          </w:tcPr>
          <w:p w14:paraId="1905C6FD"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21.3%</w:t>
            </w:r>
          </w:p>
        </w:tc>
        <w:tc>
          <w:tcPr>
            <w:tcW w:w="663" w:type="dxa"/>
            <w:tcBorders>
              <w:top w:val="nil"/>
              <w:left w:val="nil"/>
              <w:bottom w:val="single" w:sz="4" w:space="0" w:color="auto"/>
              <w:right w:val="single" w:sz="4" w:space="0" w:color="auto"/>
            </w:tcBorders>
            <w:noWrap/>
            <w:vAlign w:val="center"/>
            <w:hideMark/>
          </w:tcPr>
          <w:p w14:paraId="0DAFA610"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22.2%</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2682789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21.0%</w:t>
            </w:r>
          </w:p>
        </w:tc>
      </w:tr>
      <w:tr w:rsidR="00D702AF" w:rsidRPr="00D702AF" w14:paraId="4AB85C0E"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5C38D4B8"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Immunizations for Adolescents: Combo 2</w:t>
            </w:r>
          </w:p>
        </w:tc>
        <w:tc>
          <w:tcPr>
            <w:tcW w:w="648" w:type="dxa"/>
            <w:tcBorders>
              <w:top w:val="nil"/>
              <w:left w:val="nil"/>
              <w:bottom w:val="single" w:sz="4" w:space="0" w:color="auto"/>
              <w:right w:val="single" w:sz="4" w:space="0" w:color="auto"/>
            </w:tcBorders>
            <w:noWrap/>
            <w:vAlign w:val="center"/>
            <w:hideMark/>
          </w:tcPr>
          <w:p w14:paraId="0B456EE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29.9%</w:t>
            </w:r>
          </w:p>
        </w:tc>
        <w:tc>
          <w:tcPr>
            <w:tcW w:w="648" w:type="dxa"/>
            <w:tcBorders>
              <w:top w:val="nil"/>
              <w:left w:val="nil"/>
              <w:bottom w:val="single" w:sz="4" w:space="0" w:color="auto"/>
              <w:right w:val="single" w:sz="4" w:space="0" w:color="auto"/>
            </w:tcBorders>
            <w:noWrap/>
            <w:vAlign w:val="center"/>
            <w:hideMark/>
          </w:tcPr>
          <w:p w14:paraId="01BBBE5B" w14:textId="1332199D"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w:t>
            </w:r>
            <w:r w:rsidR="41C5709C" w:rsidRPr="00D702AF">
              <w:rPr>
                <w:rFonts w:ascii="Aptos Display" w:eastAsia="Times New Roman" w:hAnsi="Aptos Display" w:cs="Arial"/>
                <w:kern w:val="0"/>
                <w:sz w:val="20"/>
                <w:szCs w:val="20"/>
                <w14:ligatures w14:val="none"/>
              </w:rPr>
              <w:t>5.5</w:t>
            </w:r>
            <w:r w:rsidRPr="00D702AF">
              <w:rPr>
                <w:rFonts w:ascii="Aptos Display" w:eastAsia="Times New Roman" w:hAnsi="Aptos Display" w:cs="Arial"/>
                <w:kern w:val="0"/>
                <w:sz w:val="20"/>
                <w:szCs w:val="20"/>
                <w14:ligatures w14:val="none"/>
              </w:rPr>
              <w:t>%</w:t>
            </w:r>
          </w:p>
        </w:tc>
        <w:tc>
          <w:tcPr>
            <w:tcW w:w="648" w:type="dxa"/>
            <w:tcBorders>
              <w:top w:val="nil"/>
              <w:left w:val="nil"/>
              <w:bottom w:val="single" w:sz="4" w:space="0" w:color="auto"/>
              <w:right w:val="single" w:sz="4" w:space="0" w:color="auto"/>
            </w:tcBorders>
            <w:noWrap/>
            <w:vAlign w:val="center"/>
            <w:hideMark/>
          </w:tcPr>
          <w:p w14:paraId="1A824BE7"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40.9%</w:t>
            </w:r>
          </w:p>
        </w:tc>
        <w:tc>
          <w:tcPr>
            <w:tcW w:w="663" w:type="dxa"/>
            <w:tcBorders>
              <w:top w:val="nil"/>
              <w:left w:val="nil"/>
              <w:bottom w:val="single" w:sz="4" w:space="0" w:color="auto"/>
              <w:right w:val="single" w:sz="4" w:space="0" w:color="auto"/>
            </w:tcBorders>
            <w:noWrap/>
            <w:vAlign w:val="center"/>
            <w:hideMark/>
          </w:tcPr>
          <w:p w14:paraId="13A6A22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27.9%</w:t>
            </w:r>
          </w:p>
        </w:tc>
        <w:tc>
          <w:tcPr>
            <w:tcW w:w="648" w:type="dxa"/>
            <w:tcBorders>
              <w:top w:val="nil"/>
              <w:left w:val="nil"/>
              <w:bottom w:val="single" w:sz="4" w:space="0" w:color="auto"/>
              <w:right w:val="single" w:sz="4" w:space="0" w:color="auto"/>
            </w:tcBorders>
            <w:noWrap/>
            <w:vAlign w:val="center"/>
            <w:hideMark/>
          </w:tcPr>
          <w:p w14:paraId="7AA79CB6"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38.8%</w:t>
            </w:r>
          </w:p>
        </w:tc>
        <w:tc>
          <w:tcPr>
            <w:tcW w:w="648" w:type="dxa"/>
            <w:tcBorders>
              <w:top w:val="nil"/>
              <w:left w:val="nil"/>
              <w:bottom w:val="single" w:sz="4" w:space="0" w:color="auto"/>
              <w:right w:val="single" w:sz="4" w:space="0" w:color="auto"/>
            </w:tcBorders>
            <w:noWrap/>
            <w:vAlign w:val="center"/>
            <w:hideMark/>
          </w:tcPr>
          <w:p w14:paraId="0B33FD90"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42.3%</w:t>
            </w:r>
          </w:p>
        </w:tc>
        <w:tc>
          <w:tcPr>
            <w:tcW w:w="648" w:type="dxa"/>
            <w:tcBorders>
              <w:top w:val="nil"/>
              <w:left w:val="nil"/>
              <w:bottom w:val="single" w:sz="4" w:space="0" w:color="auto"/>
              <w:right w:val="single" w:sz="4" w:space="0" w:color="auto"/>
            </w:tcBorders>
            <w:noWrap/>
            <w:vAlign w:val="center"/>
            <w:hideMark/>
          </w:tcPr>
          <w:p w14:paraId="6493322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26.6%</w:t>
            </w:r>
          </w:p>
        </w:tc>
        <w:tc>
          <w:tcPr>
            <w:tcW w:w="648" w:type="dxa"/>
            <w:tcBorders>
              <w:top w:val="nil"/>
              <w:left w:val="nil"/>
              <w:bottom w:val="single" w:sz="4" w:space="0" w:color="auto"/>
              <w:right w:val="single" w:sz="4" w:space="0" w:color="auto"/>
            </w:tcBorders>
            <w:noWrap/>
            <w:vAlign w:val="center"/>
            <w:hideMark/>
          </w:tcPr>
          <w:p w14:paraId="7DF744B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29.9%</w:t>
            </w:r>
          </w:p>
        </w:tc>
        <w:tc>
          <w:tcPr>
            <w:tcW w:w="648" w:type="dxa"/>
            <w:tcBorders>
              <w:top w:val="nil"/>
              <w:left w:val="nil"/>
              <w:bottom w:val="single" w:sz="4" w:space="0" w:color="auto"/>
              <w:right w:val="single" w:sz="4" w:space="0" w:color="auto"/>
            </w:tcBorders>
            <w:noWrap/>
            <w:vAlign w:val="center"/>
            <w:hideMark/>
          </w:tcPr>
          <w:p w14:paraId="12146F8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38.1%</w:t>
            </w:r>
          </w:p>
        </w:tc>
        <w:tc>
          <w:tcPr>
            <w:tcW w:w="663" w:type="dxa"/>
            <w:tcBorders>
              <w:top w:val="nil"/>
              <w:left w:val="nil"/>
              <w:bottom w:val="single" w:sz="4" w:space="0" w:color="auto"/>
              <w:right w:val="single" w:sz="4" w:space="0" w:color="auto"/>
            </w:tcBorders>
            <w:noWrap/>
            <w:vAlign w:val="center"/>
            <w:hideMark/>
          </w:tcPr>
          <w:p w14:paraId="3506A345"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47.0%</w:t>
            </w:r>
          </w:p>
        </w:tc>
        <w:tc>
          <w:tcPr>
            <w:tcW w:w="663" w:type="dxa"/>
            <w:tcBorders>
              <w:top w:val="nil"/>
              <w:left w:val="nil"/>
              <w:bottom w:val="single" w:sz="4" w:space="0" w:color="auto"/>
              <w:right w:val="single" w:sz="4" w:space="0" w:color="auto"/>
            </w:tcBorders>
            <w:noWrap/>
            <w:vAlign w:val="center"/>
            <w:hideMark/>
          </w:tcPr>
          <w:p w14:paraId="5AB26E20"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30.5%</w:t>
            </w:r>
          </w:p>
        </w:tc>
        <w:tc>
          <w:tcPr>
            <w:tcW w:w="663" w:type="dxa"/>
            <w:tcBorders>
              <w:top w:val="nil"/>
              <w:left w:val="nil"/>
              <w:bottom w:val="single" w:sz="4" w:space="0" w:color="auto"/>
              <w:right w:val="single" w:sz="4" w:space="0" w:color="auto"/>
            </w:tcBorders>
            <w:noWrap/>
            <w:vAlign w:val="center"/>
            <w:hideMark/>
          </w:tcPr>
          <w:p w14:paraId="0A37963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40.8%</w:t>
            </w:r>
          </w:p>
        </w:tc>
        <w:tc>
          <w:tcPr>
            <w:tcW w:w="648" w:type="dxa"/>
            <w:tcBorders>
              <w:top w:val="nil"/>
              <w:left w:val="nil"/>
              <w:bottom w:val="single" w:sz="4" w:space="0" w:color="auto"/>
              <w:right w:val="single" w:sz="4" w:space="0" w:color="auto"/>
            </w:tcBorders>
            <w:noWrap/>
            <w:vAlign w:val="center"/>
            <w:hideMark/>
          </w:tcPr>
          <w:p w14:paraId="118ABEF5"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23.1%</w:t>
            </w:r>
          </w:p>
        </w:tc>
        <w:tc>
          <w:tcPr>
            <w:tcW w:w="648" w:type="dxa"/>
            <w:tcBorders>
              <w:top w:val="nil"/>
              <w:left w:val="nil"/>
              <w:bottom w:val="single" w:sz="4" w:space="0" w:color="auto"/>
              <w:right w:val="single" w:sz="4" w:space="0" w:color="auto"/>
            </w:tcBorders>
            <w:noWrap/>
            <w:vAlign w:val="center"/>
            <w:hideMark/>
          </w:tcPr>
          <w:p w14:paraId="12CC83F7"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25.8%</w:t>
            </w:r>
          </w:p>
        </w:tc>
        <w:tc>
          <w:tcPr>
            <w:tcW w:w="648" w:type="dxa"/>
            <w:tcBorders>
              <w:top w:val="nil"/>
              <w:left w:val="nil"/>
              <w:bottom w:val="single" w:sz="4" w:space="0" w:color="auto"/>
              <w:right w:val="single" w:sz="4" w:space="0" w:color="auto"/>
            </w:tcBorders>
            <w:noWrap/>
            <w:vAlign w:val="center"/>
            <w:hideMark/>
          </w:tcPr>
          <w:p w14:paraId="4AEF4EB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30.6%</w:t>
            </w:r>
          </w:p>
        </w:tc>
        <w:tc>
          <w:tcPr>
            <w:tcW w:w="663" w:type="dxa"/>
            <w:tcBorders>
              <w:top w:val="nil"/>
              <w:left w:val="nil"/>
              <w:bottom w:val="single" w:sz="4" w:space="0" w:color="auto"/>
              <w:right w:val="single" w:sz="4" w:space="0" w:color="auto"/>
            </w:tcBorders>
            <w:noWrap/>
            <w:vAlign w:val="center"/>
            <w:hideMark/>
          </w:tcPr>
          <w:p w14:paraId="59AC3805"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41.2%</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3EEDFAB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36.3%</w:t>
            </w:r>
          </w:p>
        </w:tc>
      </w:tr>
      <w:tr w:rsidR="00D702AF" w:rsidRPr="00D702AF" w14:paraId="54314984"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1DB05E8E" w14:textId="45517B30"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Init</w:t>
            </w:r>
            <w:r w:rsidR="00DD2FFD">
              <w:rPr>
                <w:rFonts w:ascii="Aptos Display" w:eastAsia="Times New Roman" w:hAnsi="Aptos Display" w:cs="Arial"/>
                <w:kern w:val="0"/>
                <w:sz w:val="20"/>
                <w:szCs w:val="20"/>
                <w14:ligatures w14:val="none"/>
              </w:rPr>
              <w:t>i</w:t>
            </w:r>
            <w:r w:rsidRPr="00D702AF">
              <w:rPr>
                <w:rFonts w:ascii="Aptos Display" w:eastAsia="Times New Roman" w:hAnsi="Aptos Display" w:cs="Arial"/>
                <w:kern w:val="0"/>
                <w:sz w:val="20"/>
                <w:szCs w:val="20"/>
                <w14:ligatures w14:val="none"/>
              </w:rPr>
              <w:t>ation and Engagement of SUD Treatment: Engagement</w:t>
            </w:r>
          </w:p>
        </w:tc>
        <w:tc>
          <w:tcPr>
            <w:tcW w:w="648" w:type="dxa"/>
            <w:tcBorders>
              <w:top w:val="nil"/>
              <w:left w:val="nil"/>
              <w:bottom w:val="single" w:sz="4" w:space="0" w:color="auto"/>
              <w:right w:val="single" w:sz="4" w:space="0" w:color="auto"/>
            </w:tcBorders>
            <w:noWrap/>
            <w:vAlign w:val="center"/>
            <w:hideMark/>
          </w:tcPr>
          <w:p w14:paraId="12281C6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15.9%</w:t>
            </w:r>
          </w:p>
        </w:tc>
        <w:tc>
          <w:tcPr>
            <w:tcW w:w="648" w:type="dxa"/>
            <w:tcBorders>
              <w:top w:val="nil"/>
              <w:left w:val="nil"/>
              <w:bottom w:val="single" w:sz="4" w:space="0" w:color="auto"/>
              <w:right w:val="single" w:sz="4" w:space="0" w:color="auto"/>
            </w:tcBorders>
            <w:noWrap/>
            <w:vAlign w:val="center"/>
            <w:hideMark/>
          </w:tcPr>
          <w:p w14:paraId="27D6FC8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13.3%</w:t>
            </w:r>
          </w:p>
        </w:tc>
        <w:tc>
          <w:tcPr>
            <w:tcW w:w="648" w:type="dxa"/>
            <w:tcBorders>
              <w:top w:val="nil"/>
              <w:left w:val="nil"/>
              <w:bottom w:val="single" w:sz="4" w:space="0" w:color="auto"/>
              <w:right w:val="single" w:sz="4" w:space="0" w:color="auto"/>
            </w:tcBorders>
            <w:noWrap/>
            <w:vAlign w:val="center"/>
            <w:hideMark/>
          </w:tcPr>
          <w:p w14:paraId="7DA1AD36"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20.2%</w:t>
            </w:r>
          </w:p>
        </w:tc>
        <w:tc>
          <w:tcPr>
            <w:tcW w:w="663" w:type="dxa"/>
            <w:tcBorders>
              <w:top w:val="nil"/>
              <w:left w:val="nil"/>
              <w:bottom w:val="single" w:sz="4" w:space="0" w:color="auto"/>
              <w:right w:val="single" w:sz="4" w:space="0" w:color="auto"/>
            </w:tcBorders>
            <w:noWrap/>
            <w:vAlign w:val="center"/>
            <w:hideMark/>
          </w:tcPr>
          <w:p w14:paraId="3E7EF457"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14.6%</w:t>
            </w:r>
          </w:p>
        </w:tc>
        <w:tc>
          <w:tcPr>
            <w:tcW w:w="648" w:type="dxa"/>
            <w:tcBorders>
              <w:top w:val="nil"/>
              <w:left w:val="nil"/>
              <w:bottom w:val="single" w:sz="4" w:space="0" w:color="auto"/>
              <w:right w:val="single" w:sz="4" w:space="0" w:color="auto"/>
            </w:tcBorders>
            <w:noWrap/>
            <w:vAlign w:val="center"/>
            <w:hideMark/>
          </w:tcPr>
          <w:p w14:paraId="2770940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13.6%</w:t>
            </w:r>
          </w:p>
        </w:tc>
        <w:tc>
          <w:tcPr>
            <w:tcW w:w="648" w:type="dxa"/>
            <w:tcBorders>
              <w:top w:val="nil"/>
              <w:left w:val="nil"/>
              <w:bottom w:val="single" w:sz="4" w:space="0" w:color="auto"/>
              <w:right w:val="single" w:sz="4" w:space="0" w:color="auto"/>
            </w:tcBorders>
            <w:noWrap/>
            <w:vAlign w:val="center"/>
            <w:hideMark/>
          </w:tcPr>
          <w:p w14:paraId="24EBDC5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19.1%</w:t>
            </w:r>
          </w:p>
        </w:tc>
        <w:tc>
          <w:tcPr>
            <w:tcW w:w="648" w:type="dxa"/>
            <w:tcBorders>
              <w:top w:val="nil"/>
              <w:left w:val="nil"/>
              <w:bottom w:val="single" w:sz="4" w:space="0" w:color="auto"/>
              <w:right w:val="single" w:sz="4" w:space="0" w:color="auto"/>
            </w:tcBorders>
            <w:noWrap/>
            <w:vAlign w:val="center"/>
            <w:hideMark/>
          </w:tcPr>
          <w:p w14:paraId="07718D0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19.9%</w:t>
            </w:r>
          </w:p>
        </w:tc>
        <w:tc>
          <w:tcPr>
            <w:tcW w:w="648" w:type="dxa"/>
            <w:tcBorders>
              <w:top w:val="nil"/>
              <w:left w:val="nil"/>
              <w:bottom w:val="single" w:sz="4" w:space="0" w:color="auto"/>
              <w:right w:val="single" w:sz="4" w:space="0" w:color="auto"/>
            </w:tcBorders>
            <w:noWrap/>
            <w:vAlign w:val="center"/>
            <w:hideMark/>
          </w:tcPr>
          <w:p w14:paraId="2A3B92E5"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16.1%</w:t>
            </w:r>
          </w:p>
        </w:tc>
        <w:tc>
          <w:tcPr>
            <w:tcW w:w="648" w:type="dxa"/>
            <w:tcBorders>
              <w:top w:val="nil"/>
              <w:left w:val="nil"/>
              <w:bottom w:val="single" w:sz="4" w:space="0" w:color="auto"/>
              <w:right w:val="single" w:sz="4" w:space="0" w:color="auto"/>
            </w:tcBorders>
            <w:noWrap/>
            <w:vAlign w:val="center"/>
            <w:hideMark/>
          </w:tcPr>
          <w:p w14:paraId="4A7F16C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18.1%</w:t>
            </w:r>
          </w:p>
        </w:tc>
        <w:tc>
          <w:tcPr>
            <w:tcW w:w="663" w:type="dxa"/>
            <w:tcBorders>
              <w:top w:val="nil"/>
              <w:left w:val="nil"/>
              <w:bottom w:val="single" w:sz="4" w:space="0" w:color="auto"/>
              <w:right w:val="single" w:sz="4" w:space="0" w:color="auto"/>
            </w:tcBorders>
            <w:noWrap/>
            <w:vAlign w:val="center"/>
            <w:hideMark/>
          </w:tcPr>
          <w:p w14:paraId="0898F9D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8.7%</w:t>
            </w:r>
          </w:p>
        </w:tc>
        <w:tc>
          <w:tcPr>
            <w:tcW w:w="663" w:type="dxa"/>
            <w:tcBorders>
              <w:top w:val="nil"/>
              <w:left w:val="nil"/>
              <w:bottom w:val="single" w:sz="4" w:space="0" w:color="auto"/>
              <w:right w:val="single" w:sz="4" w:space="0" w:color="auto"/>
            </w:tcBorders>
            <w:noWrap/>
            <w:vAlign w:val="center"/>
            <w:hideMark/>
          </w:tcPr>
          <w:p w14:paraId="6FB4FC5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18.1%</w:t>
            </w:r>
          </w:p>
        </w:tc>
        <w:tc>
          <w:tcPr>
            <w:tcW w:w="663" w:type="dxa"/>
            <w:tcBorders>
              <w:top w:val="nil"/>
              <w:left w:val="nil"/>
              <w:bottom w:val="single" w:sz="4" w:space="0" w:color="auto"/>
              <w:right w:val="single" w:sz="4" w:space="0" w:color="auto"/>
            </w:tcBorders>
            <w:noWrap/>
            <w:vAlign w:val="center"/>
            <w:hideMark/>
          </w:tcPr>
          <w:p w14:paraId="0D40F2D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16.1%</w:t>
            </w:r>
          </w:p>
        </w:tc>
        <w:tc>
          <w:tcPr>
            <w:tcW w:w="648" w:type="dxa"/>
            <w:tcBorders>
              <w:top w:val="nil"/>
              <w:left w:val="nil"/>
              <w:bottom w:val="single" w:sz="4" w:space="0" w:color="auto"/>
              <w:right w:val="single" w:sz="4" w:space="0" w:color="auto"/>
            </w:tcBorders>
            <w:noWrap/>
            <w:vAlign w:val="center"/>
            <w:hideMark/>
          </w:tcPr>
          <w:p w14:paraId="0FB0F12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19.1%</w:t>
            </w:r>
          </w:p>
        </w:tc>
        <w:tc>
          <w:tcPr>
            <w:tcW w:w="648" w:type="dxa"/>
            <w:tcBorders>
              <w:top w:val="nil"/>
              <w:left w:val="nil"/>
              <w:bottom w:val="single" w:sz="4" w:space="0" w:color="auto"/>
              <w:right w:val="single" w:sz="4" w:space="0" w:color="auto"/>
            </w:tcBorders>
            <w:noWrap/>
            <w:vAlign w:val="center"/>
            <w:hideMark/>
          </w:tcPr>
          <w:p w14:paraId="12205736"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17.9%</w:t>
            </w:r>
          </w:p>
        </w:tc>
        <w:tc>
          <w:tcPr>
            <w:tcW w:w="648" w:type="dxa"/>
            <w:tcBorders>
              <w:top w:val="nil"/>
              <w:left w:val="nil"/>
              <w:bottom w:val="single" w:sz="4" w:space="0" w:color="auto"/>
              <w:right w:val="single" w:sz="4" w:space="0" w:color="auto"/>
            </w:tcBorders>
            <w:noWrap/>
            <w:vAlign w:val="center"/>
            <w:hideMark/>
          </w:tcPr>
          <w:p w14:paraId="7DBE779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18.3%</w:t>
            </w:r>
          </w:p>
        </w:tc>
        <w:tc>
          <w:tcPr>
            <w:tcW w:w="663" w:type="dxa"/>
            <w:tcBorders>
              <w:top w:val="nil"/>
              <w:left w:val="nil"/>
              <w:bottom w:val="single" w:sz="4" w:space="0" w:color="auto"/>
              <w:right w:val="single" w:sz="4" w:space="0" w:color="auto"/>
            </w:tcBorders>
            <w:noWrap/>
            <w:vAlign w:val="center"/>
            <w:hideMark/>
          </w:tcPr>
          <w:p w14:paraId="0F001A2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18.4%</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11F7382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17.5%</w:t>
            </w:r>
          </w:p>
        </w:tc>
      </w:tr>
      <w:tr w:rsidR="00D702AF" w:rsidRPr="00D702AF" w14:paraId="268790C6"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01DE2CA4" w14:textId="61EFC032"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Init</w:t>
            </w:r>
            <w:r w:rsidR="00DD2FFD">
              <w:rPr>
                <w:rFonts w:ascii="Aptos Display" w:eastAsia="Times New Roman" w:hAnsi="Aptos Display" w:cs="Arial"/>
                <w:kern w:val="0"/>
                <w:sz w:val="20"/>
                <w:szCs w:val="20"/>
                <w14:ligatures w14:val="none"/>
              </w:rPr>
              <w:t>i</w:t>
            </w:r>
            <w:r w:rsidRPr="00D702AF">
              <w:rPr>
                <w:rFonts w:ascii="Aptos Display" w:eastAsia="Times New Roman" w:hAnsi="Aptos Display" w:cs="Arial"/>
                <w:kern w:val="0"/>
                <w:sz w:val="20"/>
                <w:szCs w:val="20"/>
                <w14:ligatures w14:val="none"/>
              </w:rPr>
              <w:t>ation and Engagement of SUD Treatment: Initiation</w:t>
            </w:r>
          </w:p>
        </w:tc>
        <w:tc>
          <w:tcPr>
            <w:tcW w:w="648" w:type="dxa"/>
            <w:tcBorders>
              <w:top w:val="nil"/>
              <w:left w:val="nil"/>
              <w:bottom w:val="single" w:sz="4" w:space="0" w:color="auto"/>
              <w:right w:val="single" w:sz="4" w:space="0" w:color="auto"/>
            </w:tcBorders>
            <w:noWrap/>
            <w:vAlign w:val="center"/>
            <w:hideMark/>
          </w:tcPr>
          <w:p w14:paraId="43634155"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44.5%</w:t>
            </w:r>
          </w:p>
        </w:tc>
        <w:tc>
          <w:tcPr>
            <w:tcW w:w="648" w:type="dxa"/>
            <w:tcBorders>
              <w:top w:val="nil"/>
              <w:left w:val="nil"/>
              <w:bottom w:val="single" w:sz="4" w:space="0" w:color="auto"/>
              <w:right w:val="single" w:sz="4" w:space="0" w:color="auto"/>
            </w:tcBorders>
            <w:noWrap/>
            <w:vAlign w:val="center"/>
            <w:hideMark/>
          </w:tcPr>
          <w:p w14:paraId="51CE24B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41.5%</w:t>
            </w:r>
          </w:p>
        </w:tc>
        <w:tc>
          <w:tcPr>
            <w:tcW w:w="648" w:type="dxa"/>
            <w:tcBorders>
              <w:top w:val="nil"/>
              <w:left w:val="nil"/>
              <w:bottom w:val="single" w:sz="4" w:space="0" w:color="auto"/>
              <w:right w:val="single" w:sz="4" w:space="0" w:color="auto"/>
            </w:tcBorders>
            <w:noWrap/>
            <w:vAlign w:val="center"/>
            <w:hideMark/>
          </w:tcPr>
          <w:p w14:paraId="6C641C6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47.5%</w:t>
            </w:r>
          </w:p>
        </w:tc>
        <w:tc>
          <w:tcPr>
            <w:tcW w:w="663" w:type="dxa"/>
            <w:tcBorders>
              <w:top w:val="nil"/>
              <w:left w:val="nil"/>
              <w:bottom w:val="single" w:sz="4" w:space="0" w:color="auto"/>
              <w:right w:val="single" w:sz="4" w:space="0" w:color="auto"/>
            </w:tcBorders>
            <w:noWrap/>
            <w:vAlign w:val="center"/>
            <w:hideMark/>
          </w:tcPr>
          <w:p w14:paraId="57A1BE8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36.3%</w:t>
            </w:r>
          </w:p>
        </w:tc>
        <w:tc>
          <w:tcPr>
            <w:tcW w:w="648" w:type="dxa"/>
            <w:tcBorders>
              <w:top w:val="nil"/>
              <w:left w:val="nil"/>
              <w:bottom w:val="single" w:sz="4" w:space="0" w:color="auto"/>
              <w:right w:val="single" w:sz="4" w:space="0" w:color="auto"/>
            </w:tcBorders>
            <w:noWrap/>
            <w:vAlign w:val="center"/>
            <w:hideMark/>
          </w:tcPr>
          <w:p w14:paraId="7316521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36.3%</w:t>
            </w:r>
          </w:p>
        </w:tc>
        <w:tc>
          <w:tcPr>
            <w:tcW w:w="648" w:type="dxa"/>
            <w:tcBorders>
              <w:top w:val="nil"/>
              <w:left w:val="nil"/>
              <w:bottom w:val="single" w:sz="4" w:space="0" w:color="auto"/>
              <w:right w:val="single" w:sz="4" w:space="0" w:color="auto"/>
            </w:tcBorders>
            <w:noWrap/>
            <w:vAlign w:val="center"/>
            <w:hideMark/>
          </w:tcPr>
          <w:p w14:paraId="3A577C5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46.0%</w:t>
            </w:r>
          </w:p>
        </w:tc>
        <w:tc>
          <w:tcPr>
            <w:tcW w:w="648" w:type="dxa"/>
            <w:tcBorders>
              <w:top w:val="nil"/>
              <w:left w:val="nil"/>
              <w:bottom w:val="single" w:sz="4" w:space="0" w:color="auto"/>
              <w:right w:val="single" w:sz="4" w:space="0" w:color="auto"/>
            </w:tcBorders>
            <w:noWrap/>
            <w:vAlign w:val="center"/>
            <w:hideMark/>
          </w:tcPr>
          <w:p w14:paraId="494AF77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42.1%</w:t>
            </w:r>
          </w:p>
        </w:tc>
        <w:tc>
          <w:tcPr>
            <w:tcW w:w="648" w:type="dxa"/>
            <w:tcBorders>
              <w:top w:val="nil"/>
              <w:left w:val="nil"/>
              <w:bottom w:val="single" w:sz="4" w:space="0" w:color="auto"/>
              <w:right w:val="single" w:sz="4" w:space="0" w:color="auto"/>
            </w:tcBorders>
            <w:noWrap/>
            <w:vAlign w:val="center"/>
            <w:hideMark/>
          </w:tcPr>
          <w:p w14:paraId="5C057257"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40.1%</w:t>
            </w:r>
          </w:p>
        </w:tc>
        <w:tc>
          <w:tcPr>
            <w:tcW w:w="648" w:type="dxa"/>
            <w:tcBorders>
              <w:top w:val="nil"/>
              <w:left w:val="nil"/>
              <w:bottom w:val="single" w:sz="4" w:space="0" w:color="auto"/>
              <w:right w:val="single" w:sz="4" w:space="0" w:color="auto"/>
            </w:tcBorders>
            <w:noWrap/>
            <w:vAlign w:val="center"/>
            <w:hideMark/>
          </w:tcPr>
          <w:p w14:paraId="58005E1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41.0%</w:t>
            </w:r>
          </w:p>
        </w:tc>
        <w:tc>
          <w:tcPr>
            <w:tcW w:w="663" w:type="dxa"/>
            <w:tcBorders>
              <w:top w:val="nil"/>
              <w:left w:val="nil"/>
              <w:bottom w:val="single" w:sz="4" w:space="0" w:color="auto"/>
              <w:right w:val="single" w:sz="4" w:space="0" w:color="auto"/>
            </w:tcBorders>
            <w:noWrap/>
            <w:vAlign w:val="center"/>
            <w:hideMark/>
          </w:tcPr>
          <w:p w14:paraId="2126036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28.0%</w:t>
            </w:r>
          </w:p>
        </w:tc>
        <w:tc>
          <w:tcPr>
            <w:tcW w:w="663" w:type="dxa"/>
            <w:tcBorders>
              <w:top w:val="nil"/>
              <w:left w:val="nil"/>
              <w:bottom w:val="single" w:sz="4" w:space="0" w:color="auto"/>
              <w:right w:val="single" w:sz="4" w:space="0" w:color="auto"/>
            </w:tcBorders>
            <w:noWrap/>
            <w:vAlign w:val="center"/>
            <w:hideMark/>
          </w:tcPr>
          <w:p w14:paraId="4A5C591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41.8%</w:t>
            </w:r>
          </w:p>
        </w:tc>
        <w:tc>
          <w:tcPr>
            <w:tcW w:w="663" w:type="dxa"/>
            <w:tcBorders>
              <w:top w:val="nil"/>
              <w:left w:val="nil"/>
              <w:bottom w:val="single" w:sz="4" w:space="0" w:color="auto"/>
              <w:right w:val="single" w:sz="4" w:space="0" w:color="auto"/>
            </w:tcBorders>
            <w:noWrap/>
            <w:vAlign w:val="center"/>
            <w:hideMark/>
          </w:tcPr>
          <w:p w14:paraId="53D35BD7"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38.3%</w:t>
            </w:r>
          </w:p>
        </w:tc>
        <w:tc>
          <w:tcPr>
            <w:tcW w:w="648" w:type="dxa"/>
            <w:tcBorders>
              <w:top w:val="nil"/>
              <w:left w:val="nil"/>
              <w:bottom w:val="single" w:sz="4" w:space="0" w:color="auto"/>
              <w:right w:val="single" w:sz="4" w:space="0" w:color="auto"/>
            </w:tcBorders>
            <w:noWrap/>
            <w:vAlign w:val="center"/>
            <w:hideMark/>
          </w:tcPr>
          <w:p w14:paraId="6E772AA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49.1%</w:t>
            </w:r>
          </w:p>
        </w:tc>
        <w:tc>
          <w:tcPr>
            <w:tcW w:w="648" w:type="dxa"/>
            <w:tcBorders>
              <w:top w:val="nil"/>
              <w:left w:val="nil"/>
              <w:bottom w:val="single" w:sz="4" w:space="0" w:color="auto"/>
              <w:right w:val="single" w:sz="4" w:space="0" w:color="auto"/>
            </w:tcBorders>
            <w:noWrap/>
            <w:vAlign w:val="center"/>
            <w:hideMark/>
          </w:tcPr>
          <w:p w14:paraId="6CAD64C5"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41.3%</w:t>
            </w:r>
          </w:p>
        </w:tc>
        <w:tc>
          <w:tcPr>
            <w:tcW w:w="648" w:type="dxa"/>
            <w:tcBorders>
              <w:top w:val="nil"/>
              <w:left w:val="nil"/>
              <w:bottom w:val="single" w:sz="4" w:space="0" w:color="auto"/>
              <w:right w:val="single" w:sz="4" w:space="0" w:color="auto"/>
            </w:tcBorders>
            <w:noWrap/>
            <w:vAlign w:val="center"/>
            <w:hideMark/>
          </w:tcPr>
          <w:p w14:paraId="52FFDAA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40.0%</w:t>
            </w:r>
          </w:p>
        </w:tc>
        <w:tc>
          <w:tcPr>
            <w:tcW w:w="663" w:type="dxa"/>
            <w:tcBorders>
              <w:top w:val="nil"/>
              <w:left w:val="nil"/>
              <w:bottom w:val="single" w:sz="4" w:space="0" w:color="auto"/>
              <w:right w:val="single" w:sz="4" w:space="0" w:color="auto"/>
            </w:tcBorders>
            <w:noWrap/>
            <w:vAlign w:val="center"/>
            <w:hideMark/>
          </w:tcPr>
          <w:p w14:paraId="3C74AAC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39.6%</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62C7D01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42.4%</w:t>
            </w:r>
          </w:p>
        </w:tc>
      </w:tr>
      <w:tr w:rsidR="00D702AF" w:rsidRPr="00D702AF" w14:paraId="18E16D6C"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39C9C429"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Meaningful Language Access (Health Equity)</w:t>
            </w:r>
          </w:p>
        </w:tc>
        <w:tc>
          <w:tcPr>
            <w:tcW w:w="648" w:type="dxa"/>
            <w:tcBorders>
              <w:top w:val="nil"/>
              <w:left w:val="nil"/>
              <w:bottom w:val="single" w:sz="4" w:space="0" w:color="auto"/>
              <w:right w:val="single" w:sz="4" w:space="0" w:color="auto"/>
            </w:tcBorders>
            <w:noWrap/>
            <w:vAlign w:val="center"/>
            <w:hideMark/>
          </w:tcPr>
          <w:p w14:paraId="0C7736A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2.7%</w:t>
            </w:r>
          </w:p>
        </w:tc>
        <w:tc>
          <w:tcPr>
            <w:tcW w:w="648" w:type="dxa"/>
            <w:tcBorders>
              <w:top w:val="nil"/>
              <w:left w:val="nil"/>
              <w:bottom w:val="single" w:sz="4" w:space="0" w:color="auto"/>
              <w:right w:val="single" w:sz="4" w:space="0" w:color="auto"/>
            </w:tcBorders>
            <w:noWrap/>
            <w:vAlign w:val="center"/>
            <w:hideMark/>
          </w:tcPr>
          <w:p w14:paraId="5477A13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15.7%</w:t>
            </w:r>
          </w:p>
        </w:tc>
        <w:tc>
          <w:tcPr>
            <w:tcW w:w="648" w:type="dxa"/>
            <w:tcBorders>
              <w:top w:val="nil"/>
              <w:left w:val="nil"/>
              <w:bottom w:val="single" w:sz="4" w:space="0" w:color="auto"/>
              <w:right w:val="single" w:sz="4" w:space="0" w:color="auto"/>
            </w:tcBorders>
            <w:noWrap/>
            <w:vAlign w:val="center"/>
            <w:hideMark/>
          </w:tcPr>
          <w:p w14:paraId="0C71B0CD"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11.1%</w:t>
            </w:r>
          </w:p>
        </w:tc>
        <w:tc>
          <w:tcPr>
            <w:tcW w:w="663" w:type="dxa"/>
            <w:tcBorders>
              <w:top w:val="nil"/>
              <w:left w:val="nil"/>
              <w:bottom w:val="single" w:sz="4" w:space="0" w:color="auto"/>
              <w:right w:val="single" w:sz="4" w:space="0" w:color="auto"/>
            </w:tcBorders>
            <w:noWrap/>
            <w:vAlign w:val="center"/>
            <w:hideMark/>
          </w:tcPr>
          <w:p w14:paraId="009863D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6.5%</w:t>
            </w:r>
          </w:p>
        </w:tc>
        <w:tc>
          <w:tcPr>
            <w:tcW w:w="648" w:type="dxa"/>
            <w:tcBorders>
              <w:top w:val="nil"/>
              <w:left w:val="nil"/>
              <w:bottom w:val="single" w:sz="4" w:space="0" w:color="auto"/>
              <w:right w:val="single" w:sz="4" w:space="0" w:color="auto"/>
            </w:tcBorders>
            <w:noWrap/>
            <w:vAlign w:val="center"/>
            <w:hideMark/>
          </w:tcPr>
          <w:p w14:paraId="713A1D5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8.0%</w:t>
            </w:r>
          </w:p>
        </w:tc>
        <w:tc>
          <w:tcPr>
            <w:tcW w:w="648" w:type="dxa"/>
            <w:tcBorders>
              <w:top w:val="nil"/>
              <w:left w:val="nil"/>
              <w:bottom w:val="single" w:sz="4" w:space="0" w:color="auto"/>
              <w:right w:val="single" w:sz="4" w:space="0" w:color="auto"/>
            </w:tcBorders>
            <w:noWrap/>
            <w:vAlign w:val="center"/>
            <w:hideMark/>
          </w:tcPr>
          <w:p w14:paraId="5D859430"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19.4%</w:t>
            </w:r>
          </w:p>
        </w:tc>
        <w:tc>
          <w:tcPr>
            <w:tcW w:w="648" w:type="dxa"/>
            <w:tcBorders>
              <w:top w:val="nil"/>
              <w:left w:val="nil"/>
              <w:bottom w:val="single" w:sz="4" w:space="0" w:color="auto"/>
              <w:right w:val="single" w:sz="4" w:space="0" w:color="auto"/>
            </w:tcBorders>
            <w:noWrap/>
            <w:vAlign w:val="center"/>
            <w:hideMark/>
          </w:tcPr>
          <w:p w14:paraId="6892D02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3.8%</w:t>
            </w:r>
          </w:p>
        </w:tc>
        <w:tc>
          <w:tcPr>
            <w:tcW w:w="648" w:type="dxa"/>
            <w:tcBorders>
              <w:top w:val="nil"/>
              <w:left w:val="nil"/>
              <w:bottom w:val="single" w:sz="4" w:space="0" w:color="auto"/>
              <w:right w:val="single" w:sz="4" w:space="0" w:color="auto"/>
            </w:tcBorders>
            <w:noWrap/>
            <w:vAlign w:val="center"/>
            <w:hideMark/>
          </w:tcPr>
          <w:p w14:paraId="634926E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10.6%</w:t>
            </w:r>
          </w:p>
        </w:tc>
        <w:tc>
          <w:tcPr>
            <w:tcW w:w="648" w:type="dxa"/>
            <w:tcBorders>
              <w:top w:val="nil"/>
              <w:left w:val="nil"/>
              <w:bottom w:val="single" w:sz="4" w:space="0" w:color="auto"/>
              <w:right w:val="single" w:sz="4" w:space="0" w:color="auto"/>
            </w:tcBorders>
            <w:noWrap/>
            <w:vAlign w:val="center"/>
            <w:hideMark/>
          </w:tcPr>
          <w:p w14:paraId="0866AD50"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12.6%</w:t>
            </w:r>
          </w:p>
        </w:tc>
        <w:tc>
          <w:tcPr>
            <w:tcW w:w="663" w:type="dxa"/>
            <w:tcBorders>
              <w:top w:val="nil"/>
              <w:left w:val="nil"/>
              <w:bottom w:val="single" w:sz="4" w:space="0" w:color="auto"/>
              <w:right w:val="single" w:sz="4" w:space="0" w:color="auto"/>
            </w:tcBorders>
            <w:noWrap/>
            <w:vAlign w:val="center"/>
            <w:hideMark/>
          </w:tcPr>
          <w:p w14:paraId="6613826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18.8%</w:t>
            </w:r>
          </w:p>
        </w:tc>
        <w:tc>
          <w:tcPr>
            <w:tcW w:w="663" w:type="dxa"/>
            <w:tcBorders>
              <w:top w:val="nil"/>
              <w:left w:val="nil"/>
              <w:bottom w:val="single" w:sz="4" w:space="0" w:color="auto"/>
              <w:right w:val="single" w:sz="4" w:space="0" w:color="auto"/>
            </w:tcBorders>
            <w:noWrap/>
            <w:vAlign w:val="center"/>
            <w:hideMark/>
          </w:tcPr>
          <w:p w14:paraId="157F311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12.2%</w:t>
            </w:r>
          </w:p>
        </w:tc>
        <w:tc>
          <w:tcPr>
            <w:tcW w:w="663" w:type="dxa"/>
            <w:tcBorders>
              <w:top w:val="nil"/>
              <w:left w:val="nil"/>
              <w:bottom w:val="single" w:sz="4" w:space="0" w:color="auto"/>
              <w:right w:val="single" w:sz="4" w:space="0" w:color="auto"/>
            </w:tcBorders>
            <w:noWrap/>
            <w:vAlign w:val="center"/>
            <w:hideMark/>
          </w:tcPr>
          <w:p w14:paraId="4B8B209D"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14.9%</w:t>
            </w:r>
          </w:p>
        </w:tc>
        <w:tc>
          <w:tcPr>
            <w:tcW w:w="648" w:type="dxa"/>
            <w:tcBorders>
              <w:top w:val="nil"/>
              <w:left w:val="nil"/>
              <w:bottom w:val="single" w:sz="4" w:space="0" w:color="auto"/>
              <w:right w:val="single" w:sz="4" w:space="0" w:color="auto"/>
            </w:tcBorders>
            <w:noWrap/>
            <w:vAlign w:val="center"/>
            <w:hideMark/>
          </w:tcPr>
          <w:p w14:paraId="336EF80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23.2%</w:t>
            </w:r>
          </w:p>
        </w:tc>
        <w:tc>
          <w:tcPr>
            <w:tcW w:w="648" w:type="dxa"/>
            <w:tcBorders>
              <w:top w:val="nil"/>
              <w:left w:val="nil"/>
              <w:bottom w:val="single" w:sz="4" w:space="0" w:color="auto"/>
              <w:right w:val="single" w:sz="4" w:space="0" w:color="auto"/>
            </w:tcBorders>
            <w:noWrap/>
            <w:vAlign w:val="center"/>
            <w:hideMark/>
          </w:tcPr>
          <w:p w14:paraId="432E324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13.9%</w:t>
            </w:r>
          </w:p>
        </w:tc>
        <w:tc>
          <w:tcPr>
            <w:tcW w:w="648" w:type="dxa"/>
            <w:tcBorders>
              <w:top w:val="nil"/>
              <w:left w:val="nil"/>
              <w:bottom w:val="single" w:sz="4" w:space="0" w:color="auto"/>
              <w:right w:val="single" w:sz="4" w:space="0" w:color="auto"/>
            </w:tcBorders>
            <w:noWrap/>
            <w:vAlign w:val="center"/>
            <w:hideMark/>
          </w:tcPr>
          <w:p w14:paraId="5E4CCDA6"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13.7%</w:t>
            </w:r>
          </w:p>
        </w:tc>
        <w:tc>
          <w:tcPr>
            <w:tcW w:w="663" w:type="dxa"/>
            <w:tcBorders>
              <w:top w:val="nil"/>
              <w:left w:val="nil"/>
              <w:bottom w:val="single" w:sz="4" w:space="0" w:color="auto"/>
              <w:right w:val="single" w:sz="4" w:space="0" w:color="auto"/>
            </w:tcBorders>
            <w:noWrap/>
            <w:vAlign w:val="center"/>
            <w:hideMark/>
          </w:tcPr>
          <w:p w14:paraId="437A480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21.1%</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452AE00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16.9%</w:t>
            </w:r>
          </w:p>
        </w:tc>
      </w:tr>
      <w:tr w:rsidR="00D702AF" w:rsidRPr="00D702AF" w14:paraId="7A531576" w14:textId="77777777" w:rsidTr="00CF74BD">
        <w:trPr>
          <w:trHeight w:val="510"/>
        </w:trPr>
        <w:tc>
          <w:tcPr>
            <w:tcW w:w="2592" w:type="dxa"/>
            <w:tcBorders>
              <w:top w:val="single" w:sz="4" w:space="0" w:color="auto"/>
              <w:left w:val="single" w:sz="4" w:space="0" w:color="auto"/>
              <w:bottom w:val="nil"/>
              <w:right w:val="single" w:sz="4" w:space="0" w:color="auto"/>
            </w:tcBorders>
            <w:vAlign w:val="center"/>
            <w:hideMark/>
          </w:tcPr>
          <w:p w14:paraId="1B2F8BE6"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Prenatal and Postpartum Care: Postpartum Care</w:t>
            </w:r>
          </w:p>
        </w:tc>
        <w:tc>
          <w:tcPr>
            <w:tcW w:w="648" w:type="dxa"/>
            <w:tcBorders>
              <w:top w:val="nil"/>
              <w:left w:val="nil"/>
              <w:bottom w:val="nil"/>
              <w:right w:val="single" w:sz="4" w:space="0" w:color="auto"/>
            </w:tcBorders>
            <w:noWrap/>
            <w:vAlign w:val="center"/>
            <w:hideMark/>
          </w:tcPr>
          <w:p w14:paraId="0A16AAD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90.7%</w:t>
            </w:r>
          </w:p>
        </w:tc>
        <w:tc>
          <w:tcPr>
            <w:tcW w:w="648" w:type="dxa"/>
            <w:tcBorders>
              <w:top w:val="nil"/>
              <w:left w:val="nil"/>
              <w:bottom w:val="nil"/>
              <w:right w:val="single" w:sz="4" w:space="0" w:color="auto"/>
            </w:tcBorders>
            <w:noWrap/>
            <w:vAlign w:val="center"/>
            <w:hideMark/>
          </w:tcPr>
          <w:p w14:paraId="22A5652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88.6%</w:t>
            </w:r>
          </w:p>
        </w:tc>
        <w:tc>
          <w:tcPr>
            <w:tcW w:w="648" w:type="dxa"/>
            <w:tcBorders>
              <w:top w:val="nil"/>
              <w:left w:val="nil"/>
              <w:bottom w:val="nil"/>
              <w:right w:val="single" w:sz="4" w:space="0" w:color="auto"/>
            </w:tcBorders>
            <w:noWrap/>
            <w:vAlign w:val="center"/>
            <w:hideMark/>
          </w:tcPr>
          <w:p w14:paraId="3E2681F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87.0%</w:t>
            </w:r>
          </w:p>
        </w:tc>
        <w:tc>
          <w:tcPr>
            <w:tcW w:w="663" w:type="dxa"/>
            <w:tcBorders>
              <w:top w:val="nil"/>
              <w:left w:val="nil"/>
              <w:bottom w:val="nil"/>
              <w:right w:val="single" w:sz="4" w:space="0" w:color="auto"/>
            </w:tcBorders>
            <w:noWrap/>
            <w:vAlign w:val="center"/>
            <w:hideMark/>
          </w:tcPr>
          <w:p w14:paraId="66543FF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88.6%</w:t>
            </w:r>
          </w:p>
        </w:tc>
        <w:tc>
          <w:tcPr>
            <w:tcW w:w="648" w:type="dxa"/>
            <w:tcBorders>
              <w:top w:val="nil"/>
              <w:left w:val="nil"/>
              <w:bottom w:val="nil"/>
              <w:right w:val="single" w:sz="4" w:space="0" w:color="auto"/>
            </w:tcBorders>
            <w:noWrap/>
            <w:vAlign w:val="center"/>
            <w:hideMark/>
          </w:tcPr>
          <w:p w14:paraId="4927984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83.0%</w:t>
            </w:r>
          </w:p>
        </w:tc>
        <w:tc>
          <w:tcPr>
            <w:tcW w:w="648" w:type="dxa"/>
            <w:tcBorders>
              <w:top w:val="nil"/>
              <w:left w:val="nil"/>
              <w:bottom w:val="nil"/>
              <w:right w:val="single" w:sz="4" w:space="0" w:color="auto"/>
            </w:tcBorders>
            <w:noWrap/>
            <w:vAlign w:val="center"/>
            <w:hideMark/>
          </w:tcPr>
          <w:p w14:paraId="0F0A1E6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87.0%</w:t>
            </w:r>
          </w:p>
        </w:tc>
        <w:tc>
          <w:tcPr>
            <w:tcW w:w="648" w:type="dxa"/>
            <w:tcBorders>
              <w:top w:val="nil"/>
              <w:left w:val="nil"/>
              <w:bottom w:val="nil"/>
              <w:right w:val="single" w:sz="4" w:space="0" w:color="auto"/>
            </w:tcBorders>
            <w:noWrap/>
            <w:vAlign w:val="center"/>
            <w:hideMark/>
          </w:tcPr>
          <w:p w14:paraId="123C64B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87.7%</w:t>
            </w:r>
          </w:p>
        </w:tc>
        <w:tc>
          <w:tcPr>
            <w:tcW w:w="648" w:type="dxa"/>
            <w:tcBorders>
              <w:top w:val="nil"/>
              <w:left w:val="nil"/>
              <w:bottom w:val="nil"/>
              <w:right w:val="single" w:sz="4" w:space="0" w:color="auto"/>
            </w:tcBorders>
            <w:noWrap/>
            <w:vAlign w:val="center"/>
            <w:hideMark/>
          </w:tcPr>
          <w:p w14:paraId="31F1063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89.1%</w:t>
            </w:r>
          </w:p>
        </w:tc>
        <w:tc>
          <w:tcPr>
            <w:tcW w:w="648" w:type="dxa"/>
            <w:tcBorders>
              <w:top w:val="nil"/>
              <w:left w:val="nil"/>
              <w:bottom w:val="nil"/>
              <w:right w:val="single" w:sz="4" w:space="0" w:color="auto"/>
            </w:tcBorders>
            <w:noWrap/>
            <w:vAlign w:val="center"/>
            <w:hideMark/>
          </w:tcPr>
          <w:p w14:paraId="0688533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88.3%</w:t>
            </w:r>
          </w:p>
        </w:tc>
        <w:tc>
          <w:tcPr>
            <w:tcW w:w="663" w:type="dxa"/>
            <w:tcBorders>
              <w:top w:val="nil"/>
              <w:left w:val="nil"/>
              <w:bottom w:val="nil"/>
              <w:right w:val="single" w:sz="4" w:space="0" w:color="auto"/>
            </w:tcBorders>
            <w:noWrap/>
            <w:vAlign w:val="center"/>
            <w:hideMark/>
          </w:tcPr>
          <w:p w14:paraId="36EDE3D0"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88.6%</w:t>
            </w:r>
          </w:p>
        </w:tc>
        <w:tc>
          <w:tcPr>
            <w:tcW w:w="663" w:type="dxa"/>
            <w:tcBorders>
              <w:top w:val="nil"/>
              <w:left w:val="nil"/>
              <w:bottom w:val="nil"/>
              <w:right w:val="single" w:sz="4" w:space="0" w:color="auto"/>
            </w:tcBorders>
            <w:noWrap/>
            <w:vAlign w:val="center"/>
            <w:hideMark/>
          </w:tcPr>
          <w:p w14:paraId="5F49732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88.0%</w:t>
            </w:r>
          </w:p>
        </w:tc>
        <w:tc>
          <w:tcPr>
            <w:tcW w:w="663" w:type="dxa"/>
            <w:tcBorders>
              <w:top w:val="nil"/>
              <w:left w:val="nil"/>
              <w:bottom w:val="nil"/>
              <w:right w:val="single" w:sz="4" w:space="0" w:color="auto"/>
            </w:tcBorders>
            <w:noWrap/>
            <w:vAlign w:val="center"/>
            <w:hideMark/>
          </w:tcPr>
          <w:p w14:paraId="1FD4BD00"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87.7%</w:t>
            </w:r>
          </w:p>
        </w:tc>
        <w:tc>
          <w:tcPr>
            <w:tcW w:w="648" w:type="dxa"/>
            <w:tcBorders>
              <w:top w:val="nil"/>
              <w:left w:val="nil"/>
              <w:bottom w:val="nil"/>
              <w:right w:val="single" w:sz="4" w:space="0" w:color="auto"/>
            </w:tcBorders>
            <w:noWrap/>
            <w:vAlign w:val="center"/>
            <w:hideMark/>
          </w:tcPr>
          <w:p w14:paraId="3F63643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85.0%</w:t>
            </w:r>
          </w:p>
        </w:tc>
        <w:tc>
          <w:tcPr>
            <w:tcW w:w="648" w:type="dxa"/>
            <w:tcBorders>
              <w:top w:val="nil"/>
              <w:left w:val="nil"/>
              <w:bottom w:val="nil"/>
              <w:right w:val="single" w:sz="4" w:space="0" w:color="auto"/>
            </w:tcBorders>
            <w:noWrap/>
            <w:vAlign w:val="center"/>
            <w:hideMark/>
          </w:tcPr>
          <w:p w14:paraId="630798A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88.0%</w:t>
            </w:r>
          </w:p>
        </w:tc>
        <w:tc>
          <w:tcPr>
            <w:tcW w:w="648" w:type="dxa"/>
            <w:tcBorders>
              <w:top w:val="nil"/>
              <w:left w:val="nil"/>
              <w:bottom w:val="nil"/>
              <w:right w:val="single" w:sz="4" w:space="0" w:color="auto"/>
            </w:tcBorders>
            <w:noWrap/>
            <w:vAlign w:val="center"/>
            <w:hideMark/>
          </w:tcPr>
          <w:p w14:paraId="3578D567"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90.0%</w:t>
            </w:r>
          </w:p>
        </w:tc>
        <w:tc>
          <w:tcPr>
            <w:tcW w:w="663" w:type="dxa"/>
            <w:tcBorders>
              <w:top w:val="nil"/>
              <w:left w:val="nil"/>
              <w:bottom w:val="nil"/>
              <w:right w:val="single" w:sz="4" w:space="0" w:color="auto"/>
            </w:tcBorders>
            <w:noWrap/>
            <w:vAlign w:val="center"/>
            <w:hideMark/>
          </w:tcPr>
          <w:p w14:paraId="779F9EDD"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89.0%</w:t>
            </w:r>
          </w:p>
        </w:tc>
        <w:tc>
          <w:tcPr>
            <w:tcW w:w="648" w:type="dxa"/>
            <w:tcBorders>
              <w:top w:val="single" w:sz="4" w:space="0" w:color="auto"/>
              <w:left w:val="single" w:sz="4" w:space="0" w:color="auto"/>
              <w:bottom w:val="nil"/>
              <w:right w:val="single" w:sz="4" w:space="0" w:color="auto"/>
            </w:tcBorders>
            <w:noWrap/>
            <w:vAlign w:val="center"/>
            <w:hideMark/>
          </w:tcPr>
          <w:p w14:paraId="419E8B4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87.8%</w:t>
            </w:r>
          </w:p>
        </w:tc>
      </w:tr>
      <w:tr w:rsidR="00D702AF" w:rsidRPr="00D702AF" w14:paraId="289AFDB8"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606B3FCF"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lastRenderedPageBreak/>
              <w:t>Preventive Dental or Oral Health Services (Ages 1-5)</w:t>
            </w:r>
          </w:p>
        </w:tc>
        <w:tc>
          <w:tcPr>
            <w:tcW w:w="648" w:type="dxa"/>
            <w:tcBorders>
              <w:top w:val="single" w:sz="4" w:space="0" w:color="auto"/>
              <w:left w:val="nil"/>
              <w:bottom w:val="single" w:sz="4" w:space="0" w:color="auto"/>
              <w:right w:val="single" w:sz="4" w:space="0" w:color="auto"/>
            </w:tcBorders>
            <w:noWrap/>
            <w:vAlign w:val="center"/>
            <w:hideMark/>
          </w:tcPr>
          <w:p w14:paraId="0D7BD06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68.4%</w:t>
            </w:r>
          </w:p>
        </w:tc>
        <w:tc>
          <w:tcPr>
            <w:tcW w:w="648" w:type="dxa"/>
            <w:tcBorders>
              <w:top w:val="single" w:sz="4" w:space="0" w:color="auto"/>
              <w:left w:val="nil"/>
              <w:bottom w:val="single" w:sz="4" w:space="0" w:color="auto"/>
              <w:right w:val="single" w:sz="4" w:space="0" w:color="auto"/>
            </w:tcBorders>
            <w:noWrap/>
            <w:vAlign w:val="center"/>
            <w:hideMark/>
          </w:tcPr>
          <w:p w14:paraId="61F7B27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59.6%</w:t>
            </w:r>
          </w:p>
        </w:tc>
        <w:tc>
          <w:tcPr>
            <w:tcW w:w="648" w:type="dxa"/>
            <w:tcBorders>
              <w:top w:val="single" w:sz="4" w:space="0" w:color="auto"/>
              <w:left w:val="nil"/>
              <w:bottom w:val="single" w:sz="4" w:space="0" w:color="auto"/>
              <w:right w:val="single" w:sz="4" w:space="0" w:color="auto"/>
            </w:tcBorders>
            <w:noWrap/>
            <w:vAlign w:val="center"/>
            <w:hideMark/>
          </w:tcPr>
          <w:p w14:paraId="7686B3B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57.1%</w:t>
            </w:r>
          </w:p>
        </w:tc>
        <w:tc>
          <w:tcPr>
            <w:tcW w:w="663" w:type="dxa"/>
            <w:tcBorders>
              <w:top w:val="single" w:sz="4" w:space="0" w:color="auto"/>
              <w:left w:val="nil"/>
              <w:bottom w:val="single" w:sz="4" w:space="0" w:color="auto"/>
              <w:right w:val="single" w:sz="4" w:space="0" w:color="auto"/>
            </w:tcBorders>
            <w:noWrap/>
            <w:vAlign w:val="center"/>
            <w:hideMark/>
          </w:tcPr>
          <w:p w14:paraId="28A9FCB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51.9%</w:t>
            </w:r>
          </w:p>
        </w:tc>
        <w:tc>
          <w:tcPr>
            <w:tcW w:w="648" w:type="dxa"/>
            <w:tcBorders>
              <w:top w:val="single" w:sz="4" w:space="0" w:color="auto"/>
              <w:left w:val="nil"/>
              <w:bottom w:val="single" w:sz="4" w:space="0" w:color="auto"/>
              <w:right w:val="single" w:sz="4" w:space="0" w:color="auto"/>
            </w:tcBorders>
            <w:noWrap/>
            <w:vAlign w:val="center"/>
            <w:hideMark/>
          </w:tcPr>
          <w:p w14:paraId="1C5145B6"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63.5%</w:t>
            </w:r>
          </w:p>
        </w:tc>
        <w:tc>
          <w:tcPr>
            <w:tcW w:w="648" w:type="dxa"/>
            <w:tcBorders>
              <w:top w:val="single" w:sz="4" w:space="0" w:color="auto"/>
              <w:left w:val="nil"/>
              <w:bottom w:val="single" w:sz="4" w:space="0" w:color="auto"/>
              <w:right w:val="single" w:sz="4" w:space="0" w:color="auto"/>
            </w:tcBorders>
            <w:noWrap/>
            <w:vAlign w:val="center"/>
            <w:hideMark/>
          </w:tcPr>
          <w:p w14:paraId="74EC1E4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62.6%</w:t>
            </w:r>
          </w:p>
        </w:tc>
        <w:tc>
          <w:tcPr>
            <w:tcW w:w="648" w:type="dxa"/>
            <w:tcBorders>
              <w:top w:val="single" w:sz="4" w:space="0" w:color="auto"/>
              <w:left w:val="nil"/>
              <w:bottom w:val="single" w:sz="4" w:space="0" w:color="auto"/>
              <w:right w:val="single" w:sz="4" w:space="0" w:color="auto"/>
            </w:tcBorders>
            <w:noWrap/>
            <w:vAlign w:val="center"/>
            <w:hideMark/>
          </w:tcPr>
          <w:p w14:paraId="215338E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65.5%</w:t>
            </w:r>
          </w:p>
        </w:tc>
        <w:tc>
          <w:tcPr>
            <w:tcW w:w="648" w:type="dxa"/>
            <w:tcBorders>
              <w:top w:val="single" w:sz="4" w:space="0" w:color="auto"/>
              <w:left w:val="nil"/>
              <w:bottom w:val="single" w:sz="4" w:space="0" w:color="auto"/>
              <w:right w:val="single" w:sz="4" w:space="0" w:color="auto"/>
            </w:tcBorders>
            <w:noWrap/>
            <w:vAlign w:val="center"/>
            <w:hideMark/>
          </w:tcPr>
          <w:p w14:paraId="10B9DF8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66.6%</w:t>
            </w:r>
          </w:p>
        </w:tc>
        <w:tc>
          <w:tcPr>
            <w:tcW w:w="648" w:type="dxa"/>
            <w:tcBorders>
              <w:top w:val="single" w:sz="4" w:space="0" w:color="auto"/>
              <w:left w:val="nil"/>
              <w:bottom w:val="single" w:sz="4" w:space="0" w:color="auto"/>
              <w:right w:val="single" w:sz="4" w:space="0" w:color="auto"/>
            </w:tcBorders>
            <w:noWrap/>
            <w:vAlign w:val="center"/>
            <w:hideMark/>
          </w:tcPr>
          <w:p w14:paraId="45C175C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58.5%</w:t>
            </w:r>
          </w:p>
        </w:tc>
        <w:tc>
          <w:tcPr>
            <w:tcW w:w="663" w:type="dxa"/>
            <w:tcBorders>
              <w:top w:val="single" w:sz="4" w:space="0" w:color="auto"/>
              <w:left w:val="nil"/>
              <w:bottom w:val="single" w:sz="4" w:space="0" w:color="auto"/>
              <w:right w:val="single" w:sz="4" w:space="0" w:color="auto"/>
            </w:tcBorders>
            <w:noWrap/>
            <w:vAlign w:val="center"/>
            <w:hideMark/>
          </w:tcPr>
          <w:p w14:paraId="29CFC8B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58.5%</w:t>
            </w:r>
          </w:p>
        </w:tc>
        <w:tc>
          <w:tcPr>
            <w:tcW w:w="663" w:type="dxa"/>
            <w:tcBorders>
              <w:top w:val="single" w:sz="4" w:space="0" w:color="auto"/>
              <w:left w:val="nil"/>
              <w:bottom w:val="single" w:sz="4" w:space="0" w:color="auto"/>
              <w:right w:val="single" w:sz="4" w:space="0" w:color="auto"/>
            </w:tcBorders>
            <w:noWrap/>
            <w:vAlign w:val="center"/>
            <w:hideMark/>
          </w:tcPr>
          <w:p w14:paraId="2354705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69.1%</w:t>
            </w:r>
          </w:p>
        </w:tc>
        <w:tc>
          <w:tcPr>
            <w:tcW w:w="663" w:type="dxa"/>
            <w:tcBorders>
              <w:top w:val="single" w:sz="4" w:space="0" w:color="auto"/>
              <w:left w:val="nil"/>
              <w:bottom w:val="single" w:sz="4" w:space="0" w:color="auto"/>
              <w:right w:val="single" w:sz="4" w:space="0" w:color="auto"/>
            </w:tcBorders>
            <w:noWrap/>
            <w:vAlign w:val="center"/>
            <w:hideMark/>
          </w:tcPr>
          <w:p w14:paraId="7965D11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65.5%</w:t>
            </w:r>
          </w:p>
        </w:tc>
        <w:tc>
          <w:tcPr>
            <w:tcW w:w="648" w:type="dxa"/>
            <w:tcBorders>
              <w:top w:val="single" w:sz="4" w:space="0" w:color="auto"/>
              <w:left w:val="nil"/>
              <w:bottom w:val="single" w:sz="4" w:space="0" w:color="auto"/>
              <w:right w:val="single" w:sz="4" w:space="0" w:color="auto"/>
            </w:tcBorders>
            <w:noWrap/>
            <w:vAlign w:val="center"/>
            <w:hideMark/>
          </w:tcPr>
          <w:p w14:paraId="5212DD8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50.9%</w:t>
            </w:r>
          </w:p>
        </w:tc>
        <w:tc>
          <w:tcPr>
            <w:tcW w:w="648" w:type="dxa"/>
            <w:tcBorders>
              <w:top w:val="single" w:sz="4" w:space="0" w:color="auto"/>
              <w:left w:val="nil"/>
              <w:bottom w:val="single" w:sz="4" w:space="0" w:color="auto"/>
              <w:right w:val="single" w:sz="4" w:space="0" w:color="auto"/>
            </w:tcBorders>
            <w:noWrap/>
            <w:vAlign w:val="center"/>
            <w:hideMark/>
          </w:tcPr>
          <w:p w14:paraId="38CA830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63.6%</w:t>
            </w:r>
          </w:p>
        </w:tc>
        <w:tc>
          <w:tcPr>
            <w:tcW w:w="648" w:type="dxa"/>
            <w:tcBorders>
              <w:top w:val="single" w:sz="4" w:space="0" w:color="auto"/>
              <w:left w:val="nil"/>
              <w:bottom w:val="single" w:sz="4" w:space="0" w:color="auto"/>
              <w:right w:val="single" w:sz="4" w:space="0" w:color="auto"/>
            </w:tcBorders>
            <w:noWrap/>
            <w:vAlign w:val="center"/>
            <w:hideMark/>
          </w:tcPr>
          <w:p w14:paraId="4C107ED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59.4%</w:t>
            </w:r>
          </w:p>
        </w:tc>
        <w:tc>
          <w:tcPr>
            <w:tcW w:w="663" w:type="dxa"/>
            <w:tcBorders>
              <w:top w:val="single" w:sz="4" w:space="0" w:color="auto"/>
              <w:left w:val="nil"/>
              <w:bottom w:val="single" w:sz="4" w:space="0" w:color="auto"/>
              <w:right w:val="single" w:sz="4" w:space="0" w:color="auto"/>
            </w:tcBorders>
            <w:noWrap/>
            <w:vAlign w:val="center"/>
            <w:hideMark/>
          </w:tcPr>
          <w:p w14:paraId="2FDF419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62.6%</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22E43A3D"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62.7%</w:t>
            </w:r>
          </w:p>
        </w:tc>
      </w:tr>
      <w:tr w:rsidR="00D702AF" w:rsidRPr="00D702AF" w14:paraId="39831002"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5D04413A"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Preventive Dental or Oral Health Services (Ages 6-14)</w:t>
            </w:r>
          </w:p>
        </w:tc>
        <w:tc>
          <w:tcPr>
            <w:tcW w:w="648" w:type="dxa"/>
            <w:tcBorders>
              <w:top w:val="nil"/>
              <w:left w:val="nil"/>
              <w:bottom w:val="single" w:sz="4" w:space="0" w:color="auto"/>
              <w:right w:val="single" w:sz="4" w:space="0" w:color="auto"/>
            </w:tcBorders>
            <w:noWrap/>
            <w:vAlign w:val="center"/>
            <w:hideMark/>
          </w:tcPr>
          <w:p w14:paraId="07472F8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68.8%</w:t>
            </w:r>
          </w:p>
        </w:tc>
        <w:tc>
          <w:tcPr>
            <w:tcW w:w="648" w:type="dxa"/>
            <w:tcBorders>
              <w:top w:val="nil"/>
              <w:left w:val="nil"/>
              <w:bottom w:val="single" w:sz="4" w:space="0" w:color="auto"/>
              <w:right w:val="single" w:sz="4" w:space="0" w:color="auto"/>
            </w:tcBorders>
            <w:noWrap/>
            <w:vAlign w:val="center"/>
            <w:hideMark/>
          </w:tcPr>
          <w:p w14:paraId="50F81A20"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59.8%</w:t>
            </w:r>
          </w:p>
        </w:tc>
        <w:tc>
          <w:tcPr>
            <w:tcW w:w="648" w:type="dxa"/>
            <w:tcBorders>
              <w:top w:val="nil"/>
              <w:left w:val="nil"/>
              <w:bottom w:val="single" w:sz="4" w:space="0" w:color="auto"/>
              <w:right w:val="single" w:sz="4" w:space="0" w:color="auto"/>
            </w:tcBorders>
            <w:noWrap/>
            <w:vAlign w:val="center"/>
            <w:hideMark/>
          </w:tcPr>
          <w:p w14:paraId="590F18A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65.5%</w:t>
            </w:r>
          </w:p>
        </w:tc>
        <w:tc>
          <w:tcPr>
            <w:tcW w:w="663" w:type="dxa"/>
            <w:tcBorders>
              <w:top w:val="nil"/>
              <w:left w:val="nil"/>
              <w:bottom w:val="single" w:sz="4" w:space="0" w:color="auto"/>
              <w:right w:val="single" w:sz="4" w:space="0" w:color="auto"/>
            </w:tcBorders>
            <w:noWrap/>
            <w:vAlign w:val="center"/>
            <w:hideMark/>
          </w:tcPr>
          <w:p w14:paraId="3331FFD6"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57.6%</w:t>
            </w:r>
          </w:p>
        </w:tc>
        <w:tc>
          <w:tcPr>
            <w:tcW w:w="648" w:type="dxa"/>
            <w:tcBorders>
              <w:top w:val="nil"/>
              <w:left w:val="nil"/>
              <w:bottom w:val="single" w:sz="4" w:space="0" w:color="auto"/>
              <w:right w:val="single" w:sz="4" w:space="0" w:color="auto"/>
            </w:tcBorders>
            <w:noWrap/>
            <w:vAlign w:val="center"/>
            <w:hideMark/>
          </w:tcPr>
          <w:p w14:paraId="2030728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69.3%</w:t>
            </w:r>
          </w:p>
        </w:tc>
        <w:tc>
          <w:tcPr>
            <w:tcW w:w="648" w:type="dxa"/>
            <w:tcBorders>
              <w:top w:val="nil"/>
              <w:left w:val="nil"/>
              <w:bottom w:val="single" w:sz="4" w:space="0" w:color="auto"/>
              <w:right w:val="single" w:sz="4" w:space="0" w:color="auto"/>
            </w:tcBorders>
            <w:noWrap/>
            <w:vAlign w:val="center"/>
            <w:hideMark/>
          </w:tcPr>
          <w:p w14:paraId="7DA7AC2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62.3%</w:t>
            </w:r>
          </w:p>
        </w:tc>
        <w:tc>
          <w:tcPr>
            <w:tcW w:w="648" w:type="dxa"/>
            <w:tcBorders>
              <w:top w:val="nil"/>
              <w:left w:val="nil"/>
              <w:bottom w:val="single" w:sz="4" w:space="0" w:color="auto"/>
              <w:right w:val="single" w:sz="4" w:space="0" w:color="auto"/>
            </w:tcBorders>
            <w:noWrap/>
            <w:vAlign w:val="center"/>
            <w:hideMark/>
          </w:tcPr>
          <w:p w14:paraId="2484CDC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67.6%</w:t>
            </w:r>
          </w:p>
        </w:tc>
        <w:tc>
          <w:tcPr>
            <w:tcW w:w="648" w:type="dxa"/>
            <w:tcBorders>
              <w:top w:val="nil"/>
              <w:left w:val="nil"/>
              <w:bottom w:val="single" w:sz="4" w:space="0" w:color="auto"/>
              <w:right w:val="single" w:sz="4" w:space="0" w:color="auto"/>
            </w:tcBorders>
            <w:noWrap/>
            <w:vAlign w:val="center"/>
            <w:hideMark/>
          </w:tcPr>
          <w:p w14:paraId="15D640C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65.6%</w:t>
            </w:r>
          </w:p>
        </w:tc>
        <w:tc>
          <w:tcPr>
            <w:tcW w:w="648" w:type="dxa"/>
            <w:tcBorders>
              <w:top w:val="nil"/>
              <w:left w:val="nil"/>
              <w:bottom w:val="single" w:sz="4" w:space="0" w:color="auto"/>
              <w:right w:val="single" w:sz="4" w:space="0" w:color="auto"/>
            </w:tcBorders>
            <w:noWrap/>
            <w:vAlign w:val="center"/>
            <w:hideMark/>
          </w:tcPr>
          <w:p w14:paraId="577EE535"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65.4%</w:t>
            </w:r>
          </w:p>
        </w:tc>
        <w:tc>
          <w:tcPr>
            <w:tcW w:w="663" w:type="dxa"/>
            <w:tcBorders>
              <w:top w:val="nil"/>
              <w:left w:val="nil"/>
              <w:bottom w:val="single" w:sz="4" w:space="0" w:color="auto"/>
              <w:right w:val="single" w:sz="4" w:space="0" w:color="auto"/>
            </w:tcBorders>
            <w:noWrap/>
            <w:vAlign w:val="center"/>
            <w:hideMark/>
          </w:tcPr>
          <w:p w14:paraId="3A2C0BD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68.1%</w:t>
            </w:r>
          </w:p>
        </w:tc>
        <w:tc>
          <w:tcPr>
            <w:tcW w:w="663" w:type="dxa"/>
            <w:tcBorders>
              <w:top w:val="nil"/>
              <w:left w:val="nil"/>
              <w:bottom w:val="single" w:sz="4" w:space="0" w:color="auto"/>
              <w:right w:val="single" w:sz="4" w:space="0" w:color="auto"/>
            </w:tcBorders>
            <w:noWrap/>
            <w:vAlign w:val="center"/>
            <w:hideMark/>
          </w:tcPr>
          <w:p w14:paraId="46CE9B3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70.8%</w:t>
            </w:r>
          </w:p>
        </w:tc>
        <w:tc>
          <w:tcPr>
            <w:tcW w:w="663" w:type="dxa"/>
            <w:tcBorders>
              <w:top w:val="nil"/>
              <w:left w:val="nil"/>
              <w:bottom w:val="single" w:sz="4" w:space="0" w:color="auto"/>
              <w:right w:val="single" w:sz="4" w:space="0" w:color="auto"/>
            </w:tcBorders>
            <w:noWrap/>
            <w:vAlign w:val="center"/>
            <w:hideMark/>
          </w:tcPr>
          <w:p w14:paraId="7F2610C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71.7%</w:t>
            </w:r>
          </w:p>
        </w:tc>
        <w:tc>
          <w:tcPr>
            <w:tcW w:w="648" w:type="dxa"/>
            <w:tcBorders>
              <w:top w:val="nil"/>
              <w:left w:val="nil"/>
              <w:bottom w:val="single" w:sz="4" w:space="0" w:color="auto"/>
              <w:right w:val="single" w:sz="4" w:space="0" w:color="auto"/>
            </w:tcBorders>
            <w:noWrap/>
            <w:vAlign w:val="center"/>
            <w:hideMark/>
          </w:tcPr>
          <w:p w14:paraId="725DB2A6"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42.5%</w:t>
            </w:r>
          </w:p>
        </w:tc>
        <w:tc>
          <w:tcPr>
            <w:tcW w:w="648" w:type="dxa"/>
            <w:tcBorders>
              <w:top w:val="nil"/>
              <w:left w:val="nil"/>
              <w:bottom w:val="single" w:sz="4" w:space="0" w:color="auto"/>
              <w:right w:val="single" w:sz="4" w:space="0" w:color="auto"/>
            </w:tcBorders>
            <w:noWrap/>
            <w:vAlign w:val="center"/>
            <w:hideMark/>
          </w:tcPr>
          <w:p w14:paraId="0F9B71E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60.7%</w:t>
            </w:r>
          </w:p>
        </w:tc>
        <w:tc>
          <w:tcPr>
            <w:tcW w:w="648" w:type="dxa"/>
            <w:tcBorders>
              <w:top w:val="nil"/>
              <w:left w:val="nil"/>
              <w:bottom w:val="single" w:sz="4" w:space="0" w:color="auto"/>
              <w:right w:val="single" w:sz="4" w:space="0" w:color="auto"/>
            </w:tcBorders>
            <w:noWrap/>
            <w:vAlign w:val="center"/>
            <w:hideMark/>
          </w:tcPr>
          <w:p w14:paraId="596E996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69.3%</w:t>
            </w:r>
          </w:p>
        </w:tc>
        <w:tc>
          <w:tcPr>
            <w:tcW w:w="663" w:type="dxa"/>
            <w:tcBorders>
              <w:top w:val="nil"/>
              <w:left w:val="nil"/>
              <w:bottom w:val="single" w:sz="4" w:space="0" w:color="auto"/>
              <w:right w:val="single" w:sz="4" w:space="0" w:color="auto"/>
            </w:tcBorders>
            <w:noWrap/>
            <w:vAlign w:val="center"/>
            <w:hideMark/>
          </w:tcPr>
          <w:p w14:paraId="02FF7AA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65.1%</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1E122786"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65.0%</w:t>
            </w:r>
          </w:p>
        </w:tc>
      </w:tr>
      <w:tr w:rsidR="00D702AF" w:rsidRPr="00D702AF" w14:paraId="397767F2"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7409DC6A" w14:textId="77777777"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Screening for Depression and Follow-Up Plan</w:t>
            </w:r>
          </w:p>
        </w:tc>
        <w:tc>
          <w:tcPr>
            <w:tcW w:w="648" w:type="dxa"/>
            <w:tcBorders>
              <w:top w:val="nil"/>
              <w:left w:val="nil"/>
              <w:bottom w:val="single" w:sz="4" w:space="0" w:color="auto"/>
              <w:right w:val="single" w:sz="4" w:space="0" w:color="auto"/>
            </w:tcBorders>
            <w:noWrap/>
            <w:vAlign w:val="center"/>
            <w:hideMark/>
          </w:tcPr>
          <w:p w14:paraId="3959B77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51.0%</w:t>
            </w:r>
          </w:p>
        </w:tc>
        <w:tc>
          <w:tcPr>
            <w:tcW w:w="648" w:type="dxa"/>
            <w:tcBorders>
              <w:top w:val="nil"/>
              <w:left w:val="nil"/>
              <w:bottom w:val="single" w:sz="4" w:space="0" w:color="auto"/>
              <w:right w:val="single" w:sz="4" w:space="0" w:color="auto"/>
            </w:tcBorders>
            <w:noWrap/>
            <w:vAlign w:val="center"/>
            <w:hideMark/>
          </w:tcPr>
          <w:p w14:paraId="41E0D5F5"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75.2%</w:t>
            </w:r>
          </w:p>
        </w:tc>
        <w:tc>
          <w:tcPr>
            <w:tcW w:w="648" w:type="dxa"/>
            <w:tcBorders>
              <w:top w:val="nil"/>
              <w:left w:val="nil"/>
              <w:bottom w:val="single" w:sz="4" w:space="0" w:color="auto"/>
              <w:right w:val="single" w:sz="4" w:space="0" w:color="auto"/>
            </w:tcBorders>
            <w:noWrap/>
            <w:vAlign w:val="center"/>
            <w:hideMark/>
          </w:tcPr>
          <w:p w14:paraId="697CDD8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59.6%</w:t>
            </w:r>
          </w:p>
        </w:tc>
        <w:tc>
          <w:tcPr>
            <w:tcW w:w="663" w:type="dxa"/>
            <w:tcBorders>
              <w:top w:val="nil"/>
              <w:left w:val="nil"/>
              <w:bottom w:val="single" w:sz="4" w:space="0" w:color="auto"/>
              <w:right w:val="single" w:sz="4" w:space="0" w:color="auto"/>
            </w:tcBorders>
            <w:noWrap/>
            <w:vAlign w:val="center"/>
            <w:hideMark/>
          </w:tcPr>
          <w:p w14:paraId="764BC02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73.0%</w:t>
            </w:r>
          </w:p>
        </w:tc>
        <w:tc>
          <w:tcPr>
            <w:tcW w:w="648" w:type="dxa"/>
            <w:tcBorders>
              <w:top w:val="nil"/>
              <w:left w:val="nil"/>
              <w:bottom w:val="single" w:sz="4" w:space="0" w:color="auto"/>
              <w:right w:val="single" w:sz="4" w:space="0" w:color="auto"/>
            </w:tcBorders>
            <w:noWrap/>
            <w:vAlign w:val="center"/>
            <w:hideMark/>
          </w:tcPr>
          <w:p w14:paraId="5318CF1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75.3%</w:t>
            </w:r>
          </w:p>
        </w:tc>
        <w:tc>
          <w:tcPr>
            <w:tcW w:w="648" w:type="dxa"/>
            <w:tcBorders>
              <w:top w:val="nil"/>
              <w:left w:val="nil"/>
              <w:bottom w:val="single" w:sz="4" w:space="0" w:color="auto"/>
              <w:right w:val="single" w:sz="4" w:space="0" w:color="auto"/>
            </w:tcBorders>
            <w:noWrap/>
            <w:vAlign w:val="center"/>
            <w:hideMark/>
          </w:tcPr>
          <w:p w14:paraId="79CDCE0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73.0%</w:t>
            </w:r>
          </w:p>
        </w:tc>
        <w:tc>
          <w:tcPr>
            <w:tcW w:w="648" w:type="dxa"/>
            <w:tcBorders>
              <w:top w:val="nil"/>
              <w:left w:val="nil"/>
              <w:bottom w:val="single" w:sz="4" w:space="0" w:color="auto"/>
              <w:right w:val="single" w:sz="4" w:space="0" w:color="auto"/>
            </w:tcBorders>
            <w:noWrap/>
            <w:vAlign w:val="center"/>
            <w:hideMark/>
          </w:tcPr>
          <w:p w14:paraId="67656AC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55.8%</w:t>
            </w:r>
          </w:p>
        </w:tc>
        <w:tc>
          <w:tcPr>
            <w:tcW w:w="648" w:type="dxa"/>
            <w:tcBorders>
              <w:top w:val="nil"/>
              <w:left w:val="nil"/>
              <w:bottom w:val="single" w:sz="4" w:space="0" w:color="auto"/>
              <w:right w:val="single" w:sz="4" w:space="0" w:color="auto"/>
            </w:tcBorders>
            <w:noWrap/>
            <w:vAlign w:val="center"/>
            <w:hideMark/>
          </w:tcPr>
          <w:p w14:paraId="38BE7A4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79.7%</w:t>
            </w:r>
          </w:p>
        </w:tc>
        <w:tc>
          <w:tcPr>
            <w:tcW w:w="648" w:type="dxa"/>
            <w:tcBorders>
              <w:top w:val="nil"/>
              <w:left w:val="nil"/>
              <w:bottom w:val="single" w:sz="4" w:space="0" w:color="auto"/>
              <w:right w:val="single" w:sz="4" w:space="0" w:color="auto"/>
            </w:tcBorders>
            <w:noWrap/>
            <w:vAlign w:val="center"/>
            <w:hideMark/>
          </w:tcPr>
          <w:p w14:paraId="7E651CA0"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78.4%</w:t>
            </w:r>
          </w:p>
        </w:tc>
        <w:tc>
          <w:tcPr>
            <w:tcW w:w="663" w:type="dxa"/>
            <w:tcBorders>
              <w:top w:val="nil"/>
              <w:left w:val="nil"/>
              <w:bottom w:val="single" w:sz="4" w:space="0" w:color="auto"/>
              <w:right w:val="single" w:sz="4" w:space="0" w:color="auto"/>
            </w:tcBorders>
            <w:noWrap/>
            <w:vAlign w:val="center"/>
            <w:hideMark/>
          </w:tcPr>
          <w:p w14:paraId="0808207D"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64.9%</w:t>
            </w:r>
          </w:p>
        </w:tc>
        <w:tc>
          <w:tcPr>
            <w:tcW w:w="663" w:type="dxa"/>
            <w:tcBorders>
              <w:top w:val="nil"/>
              <w:left w:val="nil"/>
              <w:bottom w:val="single" w:sz="4" w:space="0" w:color="auto"/>
              <w:right w:val="single" w:sz="4" w:space="0" w:color="auto"/>
            </w:tcBorders>
            <w:noWrap/>
            <w:vAlign w:val="center"/>
            <w:hideMark/>
          </w:tcPr>
          <w:p w14:paraId="3AD3005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82.7%</w:t>
            </w:r>
          </w:p>
        </w:tc>
        <w:tc>
          <w:tcPr>
            <w:tcW w:w="663" w:type="dxa"/>
            <w:tcBorders>
              <w:top w:val="nil"/>
              <w:left w:val="nil"/>
              <w:bottom w:val="single" w:sz="4" w:space="0" w:color="auto"/>
              <w:right w:val="single" w:sz="4" w:space="0" w:color="auto"/>
            </w:tcBorders>
            <w:noWrap/>
            <w:vAlign w:val="center"/>
            <w:hideMark/>
          </w:tcPr>
          <w:p w14:paraId="4BC1453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62.4%</w:t>
            </w:r>
          </w:p>
        </w:tc>
        <w:tc>
          <w:tcPr>
            <w:tcW w:w="648" w:type="dxa"/>
            <w:tcBorders>
              <w:top w:val="nil"/>
              <w:left w:val="nil"/>
              <w:bottom w:val="single" w:sz="4" w:space="0" w:color="auto"/>
              <w:right w:val="single" w:sz="4" w:space="0" w:color="auto"/>
            </w:tcBorders>
            <w:noWrap/>
            <w:vAlign w:val="center"/>
            <w:hideMark/>
          </w:tcPr>
          <w:p w14:paraId="5089955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78.4%</w:t>
            </w:r>
          </w:p>
        </w:tc>
        <w:tc>
          <w:tcPr>
            <w:tcW w:w="648" w:type="dxa"/>
            <w:tcBorders>
              <w:top w:val="nil"/>
              <w:left w:val="nil"/>
              <w:bottom w:val="single" w:sz="4" w:space="0" w:color="auto"/>
              <w:right w:val="single" w:sz="4" w:space="0" w:color="auto"/>
            </w:tcBorders>
            <w:noWrap/>
            <w:vAlign w:val="center"/>
            <w:hideMark/>
          </w:tcPr>
          <w:p w14:paraId="493216B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81.3%</w:t>
            </w:r>
          </w:p>
        </w:tc>
        <w:tc>
          <w:tcPr>
            <w:tcW w:w="648" w:type="dxa"/>
            <w:tcBorders>
              <w:top w:val="nil"/>
              <w:left w:val="nil"/>
              <w:bottom w:val="single" w:sz="4" w:space="0" w:color="auto"/>
              <w:right w:val="single" w:sz="4" w:space="0" w:color="auto"/>
            </w:tcBorders>
            <w:noWrap/>
            <w:vAlign w:val="center"/>
            <w:hideMark/>
          </w:tcPr>
          <w:p w14:paraId="219D9570"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73.0%</w:t>
            </w:r>
          </w:p>
        </w:tc>
        <w:tc>
          <w:tcPr>
            <w:tcW w:w="663" w:type="dxa"/>
            <w:tcBorders>
              <w:top w:val="nil"/>
              <w:left w:val="nil"/>
              <w:bottom w:val="single" w:sz="4" w:space="0" w:color="auto"/>
              <w:right w:val="single" w:sz="4" w:space="0" w:color="auto"/>
            </w:tcBorders>
            <w:noWrap/>
            <w:vAlign w:val="center"/>
            <w:hideMark/>
          </w:tcPr>
          <w:p w14:paraId="357ABD4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82.8%</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40BD4E7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72.4%</w:t>
            </w:r>
          </w:p>
        </w:tc>
      </w:tr>
      <w:tr w:rsidR="00D702AF" w:rsidRPr="00D702AF" w14:paraId="2A02BDCD"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34DB8469" w14:textId="2A784C64"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 xml:space="preserve">SDOH: Social Needs Screening and Referral - </w:t>
            </w:r>
            <w:r w:rsidR="003926A0">
              <w:rPr>
                <w:rFonts w:ascii="Aptos Display" w:eastAsia="Times New Roman" w:hAnsi="Aptos Display" w:cs="Arial"/>
                <w:kern w:val="0"/>
                <w:sz w:val="20"/>
                <w:szCs w:val="20"/>
                <w14:ligatures w14:val="none"/>
              </w:rPr>
              <w:t>Screening</w:t>
            </w:r>
          </w:p>
        </w:tc>
        <w:tc>
          <w:tcPr>
            <w:tcW w:w="648" w:type="dxa"/>
            <w:tcBorders>
              <w:top w:val="nil"/>
              <w:left w:val="nil"/>
              <w:bottom w:val="single" w:sz="4" w:space="0" w:color="auto"/>
              <w:right w:val="single" w:sz="4" w:space="0" w:color="auto"/>
            </w:tcBorders>
            <w:noWrap/>
            <w:vAlign w:val="center"/>
            <w:hideMark/>
          </w:tcPr>
          <w:p w14:paraId="64736D4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17.9%</w:t>
            </w:r>
          </w:p>
        </w:tc>
        <w:tc>
          <w:tcPr>
            <w:tcW w:w="648" w:type="dxa"/>
            <w:tcBorders>
              <w:top w:val="nil"/>
              <w:left w:val="nil"/>
              <w:bottom w:val="single" w:sz="4" w:space="0" w:color="auto"/>
              <w:right w:val="single" w:sz="4" w:space="0" w:color="auto"/>
            </w:tcBorders>
            <w:noWrap/>
            <w:vAlign w:val="center"/>
            <w:hideMark/>
          </w:tcPr>
          <w:p w14:paraId="3B346BC0"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6.3%</w:t>
            </w:r>
          </w:p>
        </w:tc>
        <w:tc>
          <w:tcPr>
            <w:tcW w:w="648" w:type="dxa"/>
            <w:tcBorders>
              <w:top w:val="nil"/>
              <w:left w:val="nil"/>
              <w:bottom w:val="single" w:sz="4" w:space="0" w:color="auto"/>
              <w:right w:val="single" w:sz="4" w:space="0" w:color="auto"/>
            </w:tcBorders>
            <w:noWrap/>
            <w:vAlign w:val="center"/>
            <w:hideMark/>
          </w:tcPr>
          <w:p w14:paraId="6516839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6.7%</w:t>
            </w:r>
          </w:p>
        </w:tc>
        <w:tc>
          <w:tcPr>
            <w:tcW w:w="663" w:type="dxa"/>
            <w:tcBorders>
              <w:top w:val="nil"/>
              <w:left w:val="nil"/>
              <w:bottom w:val="single" w:sz="4" w:space="0" w:color="auto"/>
              <w:right w:val="single" w:sz="4" w:space="0" w:color="auto"/>
            </w:tcBorders>
            <w:noWrap/>
            <w:vAlign w:val="center"/>
            <w:hideMark/>
          </w:tcPr>
          <w:p w14:paraId="2BC3CFDD"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2.4%</w:t>
            </w:r>
          </w:p>
        </w:tc>
        <w:tc>
          <w:tcPr>
            <w:tcW w:w="648" w:type="dxa"/>
            <w:tcBorders>
              <w:top w:val="nil"/>
              <w:left w:val="nil"/>
              <w:bottom w:val="single" w:sz="4" w:space="0" w:color="auto"/>
              <w:right w:val="single" w:sz="4" w:space="0" w:color="auto"/>
            </w:tcBorders>
            <w:noWrap/>
            <w:vAlign w:val="center"/>
            <w:hideMark/>
          </w:tcPr>
          <w:p w14:paraId="120A231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26.2%</w:t>
            </w:r>
          </w:p>
        </w:tc>
        <w:tc>
          <w:tcPr>
            <w:tcW w:w="648" w:type="dxa"/>
            <w:tcBorders>
              <w:top w:val="nil"/>
              <w:left w:val="nil"/>
              <w:bottom w:val="single" w:sz="4" w:space="0" w:color="auto"/>
              <w:right w:val="single" w:sz="4" w:space="0" w:color="auto"/>
            </w:tcBorders>
            <w:noWrap/>
            <w:vAlign w:val="center"/>
            <w:hideMark/>
          </w:tcPr>
          <w:p w14:paraId="29F1AA2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6.4%</w:t>
            </w:r>
          </w:p>
        </w:tc>
        <w:tc>
          <w:tcPr>
            <w:tcW w:w="648" w:type="dxa"/>
            <w:tcBorders>
              <w:top w:val="nil"/>
              <w:left w:val="nil"/>
              <w:bottom w:val="single" w:sz="4" w:space="0" w:color="auto"/>
              <w:right w:val="single" w:sz="4" w:space="0" w:color="auto"/>
            </w:tcBorders>
            <w:noWrap/>
            <w:vAlign w:val="center"/>
            <w:hideMark/>
          </w:tcPr>
          <w:p w14:paraId="3718C6B3"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2.7%</w:t>
            </w:r>
          </w:p>
        </w:tc>
        <w:tc>
          <w:tcPr>
            <w:tcW w:w="648" w:type="dxa"/>
            <w:tcBorders>
              <w:top w:val="nil"/>
              <w:left w:val="nil"/>
              <w:bottom w:val="single" w:sz="4" w:space="0" w:color="auto"/>
              <w:right w:val="single" w:sz="4" w:space="0" w:color="auto"/>
            </w:tcBorders>
            <w:noWrap/>
            <w:vAlign w:val="center"/>
            <w:hideMark/>
          </w:tcPr>
          <w:p w14:paraId="4C8B8D87"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7.2%</w:t>
            </w:r>
          </w:p>
        </w:tc>
        <w:tc>
          <w:tcPr>
            <w:tcW w:w="648" w:type="dxa"/>
            <w:tcBorders>
              <w:top w:val="nil"/>
              <w:left w:val="nil"/>
              <w:bottom w:val="single" w:sz="4" w:space="0" w:color="auto"/>
              <w:right w:val="single" w:sz="4" w:space="0" w:color="auto"/>
            </w:tcBorders>
            <w:noWrap/>
            <w:vAlign w:val="center"/>
            <w:hideMark/>
          </w:tcPr>
          <w:p w14:paraId="20C15F5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28.2%</w:t>
            </w:r>
          </w:p>
        </w:tc>
        <w:tc>
          <w:tcPr>
            <w:tcW w:w="663" w:type="dxa"/>
            <w:tcBorders>
              <w:top w:val="nil"/>
              <w:left w:val="nil"/>
              <w:bottom w:val="single" w:sz="4" w:space="0" w:color="auto"/>
              <w:right w:val="single" w:sz="4" w:space="0" w:color="auto"/>
            </w:tcBorders>
            <w:noWrap/>
            <w:vAlign w:val="center"/>
            <w:hideMark/>
          </w:tcPr>
          <w:p w14:paraId="35736AA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13.8%</w:t>
            </w:r>
          </w:p>
        </w:tc>
        <w:tc>
          <w:tcPr>
            <w:tcW w:w="663" w:type="dxa"/>
            <w:tcBorders>
              <w:top w:val="nil"/>
              <w:left w:val="nil"/>
              <w:bottom w:val="single" w:sz="4" w:space="0" w:color="auto"/>
              <w:right w:val="single" w:sz="4" w:space="0" w:color="auto"/>
            </w:tcBorders>
            <w:noWrap/>
            <w:vAlign w:val="center"/>
            <w:hideMark/>
          </w:tcPr>
          <w:p w14:paraId="27CEEDD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5.6%</w:t>
            </w:r>
          </w:p>
        </w:tc>
        <w:tc>
          <w:tcPr>
            <w:tcW w:w="663" w:type="dxa"/>
            <w:tcBorders>
              <w:top w:val="nil"/>
              <w:left w:val="nil"/>
              <w:bottom w:val="single" w:sz="4" w:space="0" w:color="auto"/>
              <w:right w:val="single" w:sz="4" w:space="0" w:color="auto"/>
            </w:tcBorders>
            <w:noWrap/>
            <w:vAlign w:val="center"/>
            <w:hideMark/>
          </w:tcPr>
          <w:p w14:paraId="4887504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20.0%</w:t>
            </w:r>
          </w:p>
        </w:tc>
        <w:tc>
          <w:tcPr>
            <w:tcW w:w="648" w:type="dxa"/>
            <w:tcBorders>
              <w:top w:val="nil"/>
              <w:left w:val="nil"/>
              <w:bottom w:val="single" w:sz="4" w:space="0" w:color="auto"/>
              <w:right w:val="single" w:sz="4" w:space="0" w:color="auto"/>
            </w:tcBorders>
            <w:noWrap/>
            <w:vAlign w:val="center"/>
            <w:hideMark/>
          </w:tcPr>
          <w:p w14:paraId="0A1ED72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28.1%</w:t>
            </w:r>
          </w:p>
        </w:tc>
        <w:tc>
          <w:tcPr>
            <w:tcW w:w="648" w:type="dxa"/>
            <w:tcBorders>
              <w:top w:val="nil"/>
              <w:left w:val="nil"/>
              <w:bottom w:val="single" w:sz="4" w:space="0" w:color="auto"/>
              <w:right w:val="single" w:sz="4" w:space="0" w:color="auto"/>
            </w:tcBorders>
            <w:noWrap/>
            <w:vAlign w:val="center"/>
            <w:hideMark/>
          </w:tcPr>
          <w:p w14:paraId="5C31EC6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52.3%</w:t>
            </w:r>
          </w:p>
        </w:tc>
        <w:tc>
          <w:tcPr>
            <w:tcW w:w="648" w:type="dxa"/>
            <w:tcBorders>
              <w:top w:val="nil"/>
              <w:left w:val="nil"/>
              <w:bottom w:val="single" w:sz="4" w:space="0" w:color="auto"/>
              <w:right w:val="single" w:sz="4" w:space="0" w:color="auto"/>
            </w:tcBorders>
            <w:noWrap/>
            <w:vAlign w:val="center"/>
            <w:hideMark/>
          </w:tcPr>
          <w:p w14:paraId="0248274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35.5%</w:t>
            </w:r>
          </w:p>
        </w:tc>
        <w:tc>
          <w:tcPr>
            <w:tcW w:w="663" w:type="dxa"/>
            <w:tcBorders>
              <w:top w:val="nil"/>
              <w:left w:val="nil"/>
              <w:bottom w:val="single" w:sz="4" w:space="0" w:color="auto"/>
              <w:right w:val="single" w:sz="4" w:space="0" w:color="auto"/>
            </w:tcBorders>
            <w:noWrap/>
            <w:vAlign w:val="center"/>
            <w:hideMark/>
          </w:tcPr>
          <w:p w14:paraId="2518B208"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0.0%</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3F72967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16.3%</w:t>
            </w:r>
          </w:p>
        </w:tc>
      </w:tr>
      <w:tr w:rsidR="00D702AF" w:rsidRPr="00D702AF" w14:paraId="415FA649"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46383D42" w14:textId="2A287C38"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 xml:space="preserve">SDOH: Social Needs Screening and Referral - </w:t>
            </w:r>
            <w:r w:rsidR="003926A0">
              <w:rPr>
                <w:rFonts w:ascii="Aptos Display" w:eastAsia="Times New Roman" w:hAnsi="Aptos Display" w:cs="Arial"/>
                <w:kern w:val="0"/>
                <w:sz w:val="20"/>
                <w:szCs w:val="20"/>
                <w14:ligatures w14:val="none"/>
              </w:rPr>
              <w:t>Referral</w:t>
            </w:r>
          </w:p>
        </w:tc>
        <w:tc>
          <w:tcPr>
            <w:tcW w:w="648" w:type="dxa"/>
            <w:tcBorders>
              <w:top w:val="nil"/>
              <w:left w:val="nil"/>
              <w:bottom w:val="single" w:sz="4" w:space="0" w:color="auto"/>
              <w:right w:val="single" w:sz="4" w:space="0" w:color="auto"/>
            </w:tcBorders>
            <w:noWrap/>
            <w:vAlign w:val="center"/>
            <w:hideMark/>
          </w:tcPr>
          <w:p w14:paraId="7692FA5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19.4%</w:t>
            </w:r>
          </w:p>
        </w:tc>
        <w:tc>
          <w:tcPr>
            <w:tcW w:w="648" w:type="dxa"/>
            <w:tcBorders>
              <w:top w:val="nil"/>
              <w:left w:val="nil"/>
              <w:bottom w:val="single" w:sz="4" w:space="0" w:color="auto"/>
              <w:right w:val="single" w:sz="4" w:space="0" w:color="auto"/>
            </w:tcBorders>
            <w:noWrap/>
            <w:vAlign w:val="center"/>
            <w:hideMark/>
          </w:tcPr>
          <w:p w14:paraId="7F9BEFD7" w14:textId="351E65A6" w:rsidR="00D702AF" w:rsidRPr="00D702AF" w:rsidRDefault="00035AE7" w:rsidP="00D702AF">
            <w:pPr>
              <w:spacing w:after="0" w:line="240" w:lineRule="auto"/>
              <w:jc w:val="center"/>
              <w:rPr>
                <w:rFonts w:ascii="Aptos Display" w:eastAsia="Times New Roman" w:hAnsi="Aptos Display" w:cs="Arial"/>
                <w:kern w:val="0"/>
                <w:sz w:val="20"/>
                <w:szCs w:val="20"/>
                <w14:ligatures w14:val="none"/>
              </w:rPr>
            </w:pPr>
            <w:r>
              <w:rPr>
                <w:rFonts w:ascii="Aptos Display" w:eastAsia="Times New Roman" w:hAnsi="Aptos Display" w:cs="Arial"/>
                <w:kern w:val="0"/>
                <w:sz w:val="20"/>
                <w:szCs w:val="20"/>
                <w14:ligatures w14:val="none"/>
              </w:rPr>
              <w:t>100%</w:t>
            </w:r>
            <w:r w:rsidR="00DD2FFD">
              <w:rPr>
                <w:rFonts w:ascii="Aptos Display" w:eastAsia="Times New Roman" w:hAnsi="Aptos Display" w:cs="Arial"/>
                <w:kern w:val="0"/>
                <w:sz w:val="20"/>
                <w:szCs w:val="20"/>
                <w14:ligatures w14:val="none"/>
              </w:rPr>
              <w:t>*</w:t>
            </w:r>
          </w:p>
        </w:tc>
        <w:tc>
          <w:tcPr>
            <w:tcW w:w="648" w:type="dxa"/>
            <w:tcBorders>
              <w:top w:val="nil"/>
              <w:left w:val="nil"/>
              <w:bottom w:val="single" w:sz="4" w:space="0" w:color="auto"/>
              <w:right w:val="single" w:sz="4" w:space="0" w:color="auto"/>
            </w:tcBorders>
            <w:noWrap/>
            <w:vAlign w:val="center"/>
            <w:hideMark/>
          </w:tcPr>
          <w:p w14:paraId="1C4D0983" w14:textId="6A2E69DE"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6.3%</w:t>
            </w:r>
            <w:r w:rsidR="00DD2FFD">
              <w:rPr>
                <w:rFonts w:ascii="Aptos Display" w:eastAsia="Times New Roman" w:hAnsi="Aptos Display" w:cs="Arial"/>
                <w:kern w:val="0"/>
                <w:sz w:val="20"/>
                <w:szCs w:val="20"/>
                <w14:ligatures w14:val="none"/>
              </w:rPr>
              <w:t>*</w:t>
            </w:r>
          </w:p>
        </w:tc>
        <w:tc>
          <w:tcPr>
            <w:tcW w:w="663" w:type="dxa"/>
            <w:tcBorders>
              <w:top w:val="nil"/>
              <w:left w:val="nil"/>
              <w:bottom w:val="single" w:sz="4" w:space="0" w:color="auto"/>
              <w:right w:val="single" w:sz="4" w:space="0" w:color="auto"/>
            </w:tcBorders>
            <w:noWrap/>
            <w:vAlign w:val="center"/>
            <w:hideMark/>
          </w:tcPr>
          <w:p w14:paraId="5272AA8D" w14:textId="11A05E51"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15.4%</w:t>
            </w:r>
            <w:r w:rsidR="00DD2FFD">
              <w:rPr>
                <w:rFonts w:ascii="Aptos Display" w:eastAsia="Times New Roman" w:hAnsi="Aptos Display" w:cs="Arial"/>
                <w:kern w:val="0"/>
                <w:sz w:val="20"/>
                <w:szCs w:val="20"/>
                <w14:ligatures w14:val="none"/>
              </w:rPr>
              <w:t>*</w:t>
            </w:r>
          </w:p>
        </w:tc>
        <w:tc>
          <w:tcPr>
            <w:tcW w:w="648" w:type="dxa"/>
            <w:tcBorders>
              <w:top w:val="nil"/>
              <w:left w:val="nil"/>
              <w:bottom w:val="single" w:sz="4" w:space="0" w:color="auto"/>
              <w:right w:val="single" w:sz="4" w:space="0" w:color="auto"/>
            </w:tcBorders>
            <w:noWrap/>
            <w:vAlign w:val="center"/>
            <w:hideMark/>
          </w:tcPr>
          <w:p w14:paraId="1405B366"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51.4%</w:t>
            </w:r>
          </w:p>
        </w:tc>
        <w:tc>
          <w:tcPr>
            <w:tcW w:w="648" w:type="dxa"/>
            <w:tcBorders>
              <w:top w:val="nil"/>
              <w:left w:val="nil"/>
              <w:bottom w:val="single" w:sz="4" w:space="0" w:color="auto"/>
              <w:right w:val="single" w:sz="4" w:space="0" w:color="auto"/>
            </w:tcBorders>
            <w:noWrap/>
            <w:vAlign w:val="center"/>
            <w:hideMark/>
          </w:tcPr>
          <w:p w14:paraId="39C0112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6.5%</w:t>
            </w:r>
          </w:p>
        </w:tc>
        <w:tc>
          <w:tcPr>
            <w:tcW w:w="648" w:type="dxa"/>
            <w:tcBorders>
              <w:top w:val="nil"/>
              <w:left w:val="nil"/>
              <w:bottom w:val="single" w:sz="4" w:space="0" w:color="auto"/>
              <w:right w:val="single" w:sz="4" w:space="0" w:color="auto"/>
            </w:tcBorders>
            <w:noWrap/>
            <w:vAlign w:val="center"/>
            <w:hideMark/>
          </w:tcPr>
          <w:p w14:paraId="185F728B" w14:textId="504EF5C8"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0.0%</w:t>
            </w:r>
            <w:r w:rsidR="00DD2FFD">
              <w:rPr>
                <w:rFonts w:ascii="Aptos Display" w:eastAsia="Times New Roman" w:hAnsi="Aptos Display" w:cs="Arial"/>
                <w:kern w:val="0"/>
                <w:sz w:val="20"/>
                <w:szCs w:val="20"/>
                <w14:ligatures w14:val="none"/>
              </w:rPr>
              <w:t>*</w:t>
            </w:r>
          </w:p>
        </w:tc>
        <w:tc>
          <w:tcPr>
            <w:tcW w:w="648" w:type="dxa"/>
            <w:tcBorders>
              <w:top w:val="nil"/>
              <w:left w:val="nil"/>
              <w:bottom w:val="single" w:sz="4" w:space="0" w:color="auto"/>
              <w:right w:val="single" w:sz="4" w:space="0" w:color="auto"/>
            </w:tcBorders>
            <w:noWrap/>
            <w:vAlign w:val="center"/>
            <w:hideMark/>
          </w:tcPr>
          <w:p w14:paraId="20BA02C2"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12.1%</w:t>
            </w:r>
          </w:p>
        </w:tc>
        <w:tc>
          <w:tcPr>
            <w:tcW w:w="648" w:type="dxa"/>
            <w:tcBorders>
              <w:top w:val="nil"/>
              <w:left w:val="nil"/>
              <w:bottom w:val="single" w:sz="4" w:space="0" w:color="auto"/>
              <w:right w:val="single" w:sz="4" w:space="0" w:color="auto"/>
            </w:tcBorders>
            <w:noWrap/>
            <w:vAlign w:val="center"/>
            <w:hideMark/>
          </w:tcPr>
          <w:p w14:paraId="1B08922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21.3%</w:t>
            </w:r>
          </w:p>
        </w:tc>
        <w:tc>
          <w:tcPr>
            <w:tcW w:w="663" w:type="dxa"/>
            <w:tcBorders>
              <w:top w:val="nil"/>
              <w:left w:val="nil"/>
              <w:bottom w:val="single" w:sz="4" w:space="0" w:color="auto"/>
              <w:right w:val="single" w:sz="4" w:space="0" w:color="auto"/>
            </w:tcBorders>
            <w:noWrap/>
            <w:vAlign w:val="center"/>
            <w:hideMark/>
          </w:tcPr>
          <w:p w14:paraId="32DC05E3" w14:textId="0037E7E1"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16.7%</w:t>
            </w:r>
            <w:r w:rsidR="00DD2FFD">
              <w:rPr>
                <w:rFonts w:ascii="Aptos Display" w:eastAsia="Times New Roman" w:hAnsi="Aptos Display" w:cs="Arial"/>
                <w:kern w:val="0"/>
                <w:sz w:val="20"/>
                <w:szCs w:val="20"/>
                <w14:ligatures w14:val="none"/>
              </w:rPr>
              <w:t>*</w:t>
            </w:r>
          </w:p>
        </w:tc>
        <w:tc>
          <w:tcPr>
            <w:tcW w:w="663" w:type="dxa"/>
            <w:tcBorders>
              <w:top w:val="nil"/>
              <w:left w:val="nil"/>
              <w:bottom w:val="single" w:sz="4" w:space="0" w:color="auto"/>
              <w:right w:val="single" w:sz="4" w:space="0" w:color="auto"/>
            </w:tcBorders>
            <w:noWrap/>
            <w:vAlign w:val="center"/>
            <w:hideMark/>
          </w:tcPr>
          <w:p w14:paraId="3DDAAAE2" w14:textId="7BC75DA1"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20.0%</w:t>
            </w:r>
            <w:r w:rsidR="00DD2FFD">
              <w:rPr>
                <w:rFonts w:ascii="Aptos Display" w:eastAsia="Times New Roman" w:hAnsi="Aptos Display" w:cs="Arial"/>
                <w:kern w:val="0"/>
                <w:sz w:val="20"/>
                <w:szCs w:val="20"/>
                <w14:ligatures w14:val="none"/>
              </w:rPr>
              <w:t>*</w:t>
            </w:r>
          </w:p>
        </w:tc>
        <w:tc>
          <w:tcPr>
            <w:tcW w:w="663" w:type="dxa"/>
            <w:tcBorders>
              <w:top w:val="nil"/>
              <w:left w:val="nil"/>
              <w:bottom w:val="single" w:sz="4" w:space="0" w:color="auto"/>
              <w:right w:val="single" w:sz="4" w:space="0" w:color="auto"/>
            </w:tcBorders>
            <w:noWrap/>
            <w:vAlign w:val="center"/>
            <w:hideMark/>
          </w:tcPr>
          <w:p w14:paraId="08DA7CA4" w14:textId="2A5FE0DA"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27.8%</w:t>
            </w:r>
            <w:r w:rsidR="00DD2FFD">
              <w:rPr>
                <w:rFonts w:ascii="Aptos Display" w:eastAsia="Times New Roman" w:hAnsi="Aptos Display" w:cs="Arial"/>
                <w:kern w:val="0"/>
                <w:sz w:val="20"/>
                <w:szCs w:val="20"/>
                <w14:ligatures w14:val="none"/>
              </w:rPr>
              <w:t>*</w:t>
            </w:r>
          </w:p>
        </w:tc>
        <w:tc>
          <w:tcPr>
            <w:tcW w:w="648" w:type="dxa"/>
            <w:tcBorders>
              <w:top w:val="nil"/>
              <w:left w:val="nil"/>
              <w:bottom w:val="single" w:sz="4" w:space="0" w:color="auto"/>
              <w:right w:val="single" w:sz="4" w:space="0" w:color="auto"/>
            </w:tcBorders>
            <w:noWrap/>
            <w:vAlign w:val="center"/>
            <w:hideMark/>
          </w:tcPr>
          <w:p w14:paraId="40EC5F91" w14:textId="3B41DAB2"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0.0%</w:t>
            </w:r>
            <w:r w:rsidR="00DD2FFD">
              <w:rPr>
                <w:rFonts w:ascii="Aptos Display" w:eastAsia="Times New Roman" w:hAnsi="Aptos Display" w:cs="Arial"/>
                <w:kern w:val="0"/>
                <w:sz w:val="20"/>
                <w:szCs w:val="20"/>
                <w14:ligatures w14:val="none"/>
              </w:rPr>
              <w:t>*</w:t>
            </w:r>
          </w:p>
        </w:tc>
        <w:tc>
          <w:tcPr>
            <w:tcW w:w="648" w:type="dxa"/>
            <w:tcBorders>
              <w:top w:val="nil"/>
              <w:left w:val="nil"/>
              <w:bottom w:val="single" w:sz="4" w:space="0" w:color="auto"/>
              <w:right w:val="single" w:sz="4" w:space="0" w:color="auto"/>
            </w:tcBorders>
            <w:noWrap/>
            <w:vAlign w:val="center"/>
            <w:hideMark/>
          </w:tcPr>
          <w:p w14:paraId="471B1C29" w14:textId="686FADC9"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7.1%</w:t>
            </w:r>
            <w:r w:rsidR="00DD2FFD">
              <w:rPr>
                <w:rFonts w:ascii="Aptos Display" w:eastAsia="Times New Roman" w:hAnsi="Aptos Display" w:cs="Arial"/>
                <w:kern w:val="0"/>
                <w:sz w:val="20"/>
                <w:szCs w:val="20"/>
                <w14:ligatures w14:val="none"/>
              </w:rPr>
              <w:t>*</w:t>
            </w:r>
          </w:p>
        </w:tc>
        <w:tc>
          <w:tcPr>
            <w:tcW w:w="648" w:type="dxa"/>
            <w:tcBorders>
              <w:top w:val="nil"/>
              <w:left w:val="nil"/>
              <w:bottom w:val="single" w:sz="4" w:space="0" w:color="auto"/>
              <w:right w:val="single" w:sz="4" w:space="0" w:color="auto"/>
            </w:tcBorders>
            <w:noWrap/>
            <w:vAlign w:val="center"/>
            <w:hideMark/>
          </w:tcPr>
          <w:p w14:paraId="76142C9B"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27.0%</w:t>
            </w:r>
          </w:p>
        </w:tc>
        <w:tc>
          <w:tcPr>
            <w:tcW w:w="663" w:type="dxa"/>
            <w:tcBorders>
              <w:top w:val="nil"/>
              <w:left w:val="nil"/>
              <w:bottom w:val="single" w:sz="4" w:space="0" w:color="auto"/>
              <w:right w:val="single" w:sz="4" w:space="0" w:color="auto"/>
            </w:tcBorders>
            <w:noWrap/>
            <w:vAlign w:val="center"/>
            <w:hideMark/>
          </w:tcPr>
          <w:p w14:paraId="7F001CBB" w14:textId="1F6AF108"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0.0%</w:t>
            </w:r>
            <w:r w:rsidR="00DD2FFD">
              <w:rPr>
                <w:rFonts w:ascii="Aptos Display" w:eastAsia="Times New Roman" w:hAnsi="Aptos Display" w:cs="Arial"/>
                <w:kern w:val="0"/>
                <w:sz w:val="20"/>
                <w:szCs w:val="20"/>
                <w14:ligatures w14:val="none"/>
              </w:rPr>
              <w:t>*</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425B3DD3" w14:textId="5E8AC9D3" w:rsidR="00D702AF" w:rsidRPr="00D702AF" w:rsidRDefault="004323CB" w:rsidP="00D702AF">
            <w:pPr>
              <w:spacing w:after="0" w:line="240" w:lineRule="auto"/>
              <w:jc w:val="center"/>
              <w:rPr>
                <w:rFonts w:ascii="Aptos Display" w:eastAsia="Times New Roman" w:hAnsi="Aptos Display" w:cs="Arial"/>
                <w:kern w:val="0"/>
                <w:sz w:val="20"/>
                <w:szCs w:val="20"/>
                <w14:ligatures w14:val="none"/>
              </w:rPr>
            </w:pPr>
            <w:r>
              <w:rPr>
                <w:rFonts w:ascii="Aptos Display" w:eastAsia="Times New Roman" w:hAnsi="Aptos Display" w:cs="Arial"/>
                <w:kern w:val="0"/>
                <w:sz w:val="20"/>
                <w:szCs w:val="20"/>
                <w14:ligatures w14:val="none"/>
              </w:rPr>
              <w:t>20.4</w:t>
            </w:r>
            <w:r w:rsidR="00D702AF" w:rsidRPr="00D702AF">
              <w:rPr>
                <w:rFonts w:ascii="Aptos Display" w:eastAsia="Times New Roman" w:hAnsi="Aptos Display" w:cs="Arial"/>
                <w:kern w:val="0"/>
                <w:sz w:val="20"/>
                <w:szCs w:val="20"/>
                <w14:ligatures w14:val="none"/>
              </w:rPr>
              <w:t>%</w:t>
            </w:r>
          </w:p>
        </w:tc>
      </w:tr>
      <w:tr w:rsidR="00D702AF" w:rsidRPr="00D702AF" w14:paraId="7B2EF18C" w14:textId="77777777" w:rsidTr="00CF74BD">
        <w:trPr>
          <w:trHeight w:val="510"/>
        </w:trPr>
        <w:tc>
          <w:tcPr>
            <w:tcW w:w="2592" w:type="dxa"/>
            <w:tcBorders>
              <w:top w:val="single" w:sz="4" w:space="0" w:color="auto"/>
              <w:left w:val="single" w:sz="4" w:space="0" w:color="auto"/>
              <w:bottom w:val="single" w:sz="4" w:space="0" w:color="auto"/>
              <w:right w:val="single" w:sz="4" w:space="0" w:color="auto"/>
            </w:tcBorders>
            <w:vAlign w:val="center"/>
            <w:hideMark/>
          </w:tcPr>
          <w:p w14:paraId="0D7B282C" w14:textId="60C27EBF" w:rsidR="00D702AF" w:rsidRPr="00D702AF" w:rsidRDefault="00D702AF" w:rsidP="00D702AF">
            <w:pPr>
              <w:spacing w:after="0" w:line="240" w:lineRule="auto"/>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Young Children Receiving Social-Emotional Issue-Focused Intervention/</w:t>
            </w:r>
            <w:r w:rsidR="00035AE7">
              <w:rPr>
                <w:rFonts w:ascii="Aptos Display" w:eastAsia="Times New Roman" w:hAnsi="Aptos Display" w:cs="Arial"/>
                <w:kern w:val="0"/>
                <w:sz w:val="20"/>
                <w:szCs w:val="20"/>
                <w14:ligatures w14:val="none"/>
              </w:rPr>
              <w:t xml:space="preserve"> </w:t>
            </w:r>
            <w:r w:rsidRPr="00D702AF">
              <w:rPr>
                <w:rFonts w:ascii="Aptos Display" w:eastAsia="Times New Roman" w:hAnsi="Aptos Display" w:cs="Arial"/>
                <w:kern w:val="0"/>
                <w:sz w:val="20"/>
                <w:szCs w:val="20"/>
                <w14:ligatures w14:val="none"/>
              </w:rPr>
              <w:t>Treatment Services</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48C0D7C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7.2%</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2923E00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4.4%</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6056B02E"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4.7%</w:t>
            </w:r>
          </w:p>
        </w:tc>
        <w:tc>
          <w:tcPr>
            <w:tcW w:w="663" w:type="dxa"/>
            <w:tcBorders>
              <w:top w:val="single" w:sz="4" w:space="0" w:color="auto"/>
              <w:left w:val="single" w:sz="4" w:space="0" w:color="auto"/>
              <w:bottom w:val="single" w:sz="4" w:space="0" w:color="auto"/>
              <w:right w:val="single" w:sz="4" w:space="0" w:color="auto"/>
            </w:tcBorders>
            <w:noWrap/>
            <w:vAlign w:val="center"/>
            <w:hideMark/>
          </w:tcPr>
          <w:p w14:paraId="78B1B8A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3.8%</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5506376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3.7%</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6A8989E5"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7.2%</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397BF799"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3.9%</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63D68784"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8.5%</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3819B21D"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9.1%</w:t>
            </w:r>
          </w:p>
        </w:tc>
        <w:tc>
          <w:tcPr>
            <w:tcW w:w="663" w:type="dxa"/>
            <w:tcBorders>
              <w:top w:val="single" w:sz="4" w:space="0" w:color="auto"/>
              <w:left w:val="single" w:sz="4" w:space="0" w:color="auto"/>
              <w:bottom w:val="single" w:sz="4" w:space="0" w:color="auto"/>
              <w:right w:val="single" w:sz="4" w:space="0" w:color="auto"/>
            </w:tcBorders>
            <w:noWrap/>
            <w:vAlign w:val="center"/>
            <w:hideMark/>
          </w:tcPr>
          <w:p w14:paraId="4CD2D03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6.8%</w:t>
            </w:r>
          </w:p>
        </w:tc>
        <w:tc>
          <w:tcPr>
            <w:tcW w:w="663" w:type="dxa"/>
            <w:tcBorders>
              <w:top w:val="single" w:sz="4" w:space="0" w:color="auto"/>
              <w:left w:val="single" w:sz="4" w:space="0" w:color="auto"/>
              <w:bottom w:val="single" w:sz="4" w:space="0" w:color="auto"/>
              <w:right w:val="single" w:sz="4" w:space="0" w:color="auto"/>
            </w:tcBorders>
            <w:noWrap/>
            <w:vAlign w:val="center"/>
            <w:hideMark/>
          </w:tcPr>
          <w:p w14:paraId="4E8B757F"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8.7%</w:t>
            </w:r>
          </w:p>
        </w:tc>
        <w:tc>
          <w:tcPr>
            <w:tcW w:w="663" w:type="dxa"/>
            <w:tcBorders>
              <w:top w:val="single" w:sz="4" w:space="0" w:color="auto"/>
              <w:left w:val="single" w:sz="4" w:space="0" w:color="auto"/>
              <w:bottom w:val="single" w:sz="4" w:space="0" w:color="auto"/>
              <w:right w:val="single" w:sz="4" w:space="0" w:color="auto"/>
            </w:tcBorders>
            <w:noWrap/>
            <w:vAlign w:val="center"/>
            <w:hideMark/>
          </w:tcPr>
          <w:p w14:paraId="572771F6"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4.8%</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1F4BC8A1"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7.2%</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395C8F4C"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5.9%</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2EF2230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6.2%</w:t>
            </w:r>
          </w:p>
        </w:tc>
        <w:tc>
          <w:tcPr>
            <w:tcW w:w="663" w:type="dxa"/>
            <w:tcBorders>
              <w:top w:val="single" w:sz="4" w:space="0" w:color="auto"/>
              <w:left w:val="single" w:sz="4" w:space="0" w:color="auto"/>
              <w:bottom w:val="single" w:sz="4" w:space="0" w:color="auto"/>
              <w:right w:val="single" w:sz="4" w:space="0" w:color="auto"/>
            </w:tcBorders>
            <w:noWrap/>
            <w:vAlign w:val="center"/>
            <w:hideMark/>
          </w:tcPr>
          <w:p w14:paraId="1A36F49A"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5.6%</w:t>
            </w:r>
          </w:p>
        </w:tc>
        <w:tc>
          <w:tcPr>
            <w:tcW w:w="648" w:type="dxa"/>
            <w:tcBorders>
              <w:top w:val="single" w:sz="4" w:space="0" w:color="auto"/>
              <w:left w:val="single" w:sz="4" w:space="0" w:color="auto"/>
              <w:bottom w:val="single" w:sz="4" w:space="0" w:color="auto"/>
              <w:right w:val="single" w:sz="4" w:space="0" w:color="auto"/>
            </w:tcBorders>
            <w:noWrap/>
            <w:vAlign w:val="center"/>
            <w:hideMark/>
          </w:tcPr>
          <w:p w14:paraId="495273BD" w14:textId="77777777" w:rsidR="00D702AF" w:rsidRPr="00D702AF" w:rsidRDefault="00D702AF" w:rsidP="00D702AF">
            <w:pPr>
              <w:spacing w:after="0" w:line="240" w:lineRule="auto"/>
              <w:jc w:val="center"/>
              <w:rPr>
                <w:rFonts w:ascii="Aptos Display" w:eastAsia="Times New Roman" w:hAnsi="Aptos Display" w:cs="Arial"/>
                <w:kern w:val="0"/>
                <w:sz w:val="20"/>
                <w:szCs w:val="20"/>
                <w14:ligatures w14:val="none"/>
              </w:rPr>
            </w:pPr>
            <w:r w:rsidRPr="00D702AF">
              <w:rPr>
                <w:rFonts w:ascii="Aptos Display" w:eastAsia="Times New Roman" w:hAnsi="Aptos Display" w:cs="Arial"/>
                <w:kern w:val="0"/>
                <w:sz w:val="20"/>
                <w:szCs w:val="20"/>
                <w14:ligatures w14:val="none"/>
              </w:rPr>
              <w:t>6.3%</w:t>
            </w:r>
          </w:p>
        </w:tc>
      </w:tr>
    </w:tbl>
    <w:p w14:paraId="3C2C48DF" w14:textId="77777777" w:rsidR="00D47D28" w:rsidRDefault="00D47D28" w:rsidP="00DD2FFD">
      <w:pPr>
        <w:rPr>
          <w:sz w:val="22"/>
          <w:szCs w:val="20"/>
        </w:rPr>
        <w:sectPr w:rsidR="00D47D28" w:rsidSect="00CF74BD">
          <w:footnotePr>
            <w:numFmt w:val="lowerLetter"/>
          </w:footnotePr>
          <w:pgSz w:w="15840" w:h="12240" w:orient="landscape"/>
          <w:pgMar w:top="1440" w:right="1152" w:bottom="1440" w:left="1152" w:header="86" w:footer="720" w:gutter="0"/>
          <w:cols w:space="720"/>
          <w:docGrid w:linePitch="360"/>
        </w:sectPr>
      </w:pPr>
    </w:p>
    <w:p w14:paraId="42FF9A8E" w14:textId="0D51937E" w:rsidR="00D47D28" w:rsidRPr="004863E7" w:rsidRDefault="00D47D28" w:rsidP="004863E7">
      <w:pPr>
        <w:pStyle w:val="Heading2"/>
      </w:pPr>
      <w:bookmarkStart w:id="42" w:name="_Toc235090774"/>
      <w:r>
        <w:lastRenderedPageBreak/>
        <w:t>Appendix E: Citations</w:t>
      </w:r>
      <w:bookmarkEnd w:id="42"/>
    </w:p>
    <w:p w14:paraId="5DF54DA9" w14:textId="77777777" w:rsidR="004321BF" w:rsidRPr="002776BF" w:rsidRDefault="004863E7" w:rsidP="002776BF">
      <w:pPr>
        <w:pStyle w:val="ListParagraph"/>
        <w:numPr>
          <w:ilvl w:val="0"/>
          <w:numId w:val="19"/>
        </w:numPr>
        <w:contextualSpacing w:val="0"/>
      </w:pPr>
      <w:r w:rsidRPr="004863E7">
        <w:t xml:space="preserve">Derose KP, Bahney BW, Lurie N, Escarce JJ. Review: immigrants and health care access, quality, and cost. Med Care Res Rev. 2009 Aug;66(4):355-408. doi: </w:t>
      </w:r>
      <w:r w:rsidRPr="002776BF">
        <w:t>10.1177/1077558708330425. Epub 2009 Jan 29. PMID: 19179539.</w:t>
      </w:r>
    </w:p>
    <w:p w14:paraId="6348C5B1" w14:textId="77777777" w:rsidR="004863E7" w:rsidRDefault="004321BF" w:rsidP="002776BF">
      <w:pPr>
        <w:pStyle w:val="ListParagraph"/>
        <w:numPr>
          <w:ilvl w:val="0"/>
          <w:numId w:val="19"/>
        </w:numPr>
        <w:contextualSpacing w:val="0"/>
      </w:pPr>
      <w:r w:rsidRPr="004321BF">
        <w:t>Wasserman M, Renfrew MR, Green AR, Lopez L, Tan-McGrory A, Brach C, Betancourt JR. Identifying and preventing medical errors in patients with limited English proficiency: key findings and tools for the field. J Healthc Qual. 2014 May-Jun;36(3):5-16. doi: 10.1111/jhq.12065. Epub 2014 Mar 16. PMID: 24629098; PMCID: PMC5111827.</w:t>
      </w:r>
    </w:p>
    <w:p w14:paraId="3115F7AD" w14:textId="7508D132" w:rsidR="001C103B" w:rsidRDefault="00393FC9" w:rsidP="002776BF">
      <w:pPr>
        <w:pStyle w:val="ListParagraph"/>
        <w:numPr>
          <w:ilvl w:val="0"/>
          <w:numId w:val="19"/>
        </w:numPr>
        <w:contextualSpacing w:val="0"/>
      </w:pPr>
      <w:r w:rsidRPr="00876A35">
        <w:t>www.who.int</w:t>
      </w:r>
      <w:r>
        <w:t xml:space="preserve"> [</w:t>
      </w:r>
      <w:r w:rsidR="00BE49C6">
        <w:t xml:space="preserve">Internet]. </w:t>
      </w:r>
      <w:r w:rsidR="00233769">
        <w:t>World Health Organization (WHO)</w:t>
      </w:r>
      <w:r w:rsidR="007F3F80">
        <w:t>,</w:t>
      </w:r>
      <w:r w:rsidR="00E457A9">
        <w:t xml:space="preserve"> </w:t>
      </w:r>
      <w:r w:rsidR="00233769">
        <w:t>Diabetes fact sheet</w:t>
      </w:r>
      <w:r w:rsidR="00E457A9">
        <w:t xml:space="preserve">; c2026 [cited 2026 Jul 16]. Available from: </w:t>
      </w:r>
      <w:hyperlink r:id="rId75" w:history="1">
        <w:r w:rsidR="00876A35" w:rsidRPr="00C17C44">
          <w:rPr>
            <w:rStyle w:val="Hyperlink"/>
          </w:rPr>
          <w:t>https://www.who.int/news-room/fact-sheets/detail/diabetes</w:t>
        </w:r>
      </w:hyperlink>
      <w:r w:rsidR="00876A35">
        <w:t xml:space="preserve"> </w:t>
      </w:r>
    </w:p>
    <w:p w14:paraId="53176251" w14:textId="7DA20540" w:rsidR="005D6AB1" w:rsidRPr="004321BF" w:rsidRDefault="007F3F80" w:rsidP="002776BF">
      <w:pPr>
        <w:pStyle w:val="ListParagraph"/>
        <w:numPr>
          <w:ilvl w:val="0"/>
          <w:numId w:val="19"/>
        </w:numPr>
        <w:contextualSpacing w:val="0"/>
        <w:sectPr w:rsidR="005D6AB1" w:rsidRPr="004321BF" w:rsidSect="00D47D28">
          <w:footnotePr>
            <w:numFmt w:val="lowerLetter"/>
          </w:footnotePr>
          <w:pgSz w:w="12240" w:h="15840"/>
          <w:pgMar w:top="1440" w:right="1440" w:bottom="1440" w:left="1440" w:header="86" w:footer="720" w:gutter="0"/>
          <w:cols w:space="720"/>
          <w:docGrid w:linePitch="360"/>
        </w:sectPr>
      </w:pPr>
      <w:r w:rsidRPr="007F3F80">
        <w:t>www.cdc.gov</w:t>
      </w:r>
      <w:r>
        <w:t xml:space="preserve"> [Internet]. U.S. Centers for Disease Control and Prevention (CDC), Diabetes: Promoting Oral Health; c2026 [cited 2026 Jul 16]. Available from: </w:t>
      </w:r>
      <w:hyperlink r:id="rId76" w:history="1">
        <w:r w:rsidRPr="00C17C44">
          <w:rPr>
            <w:rStyle w:val="Hyperlink"/>
          </w:rPr>
          <w:t>https://www.cdc.gov/diabetes/hcp/clinical-guidance/how-to-promote-oral-health-for-people-with-diabetes.html</w:t>
        </w:r>
      </w:hyperlink>
      <w:r>
        <w:t xml:space="preserve"> </w:t>
      </w:r>
    </w:p>
    <w:p w14:paraId="4323AC8B" w14:textId="77777777" w:rsidR="00ED698D" w:rsidRPr="00335453" w:rsidRDefault="00ED698D" w:rsidP="00ED698D">
      <w:pPr>
        <w:pStyle w:val="AltStatement"/>
        <w:spacing w:before="9500"/>
        <w:ind w:left="-360" w:right="-360"/>
      </w:pPr>
      <w:r w:rsidRPr="00335453">
        <w:lastRenderedPageBreak/>
        <w:t xml:space="preserve">You can get this document in other languages, large print, braille or a format you prefer free of charge. Contact </w:t>
      </w:r>
      <w:hyperlink r:id="rId77" w:history="1">
        <w:r w:rsidRPr="000B27C3">
          <w:rPr>
            <w:rStyle w:val="Hyperlink"/>
          </w:rPr>
          <w:t>Metrics.Questions@odhsoha.oregon.gov</w:t>
        </w:r>
      </w:hyperlink>
      <w:r>
        <w:t xml:space="preserve"> </w:t>
      </w:r>
      <w:r w:rsidRPr="00335453">
        <w:t xml:space="preserve">or </w:t>
      </w:r>
      <w:r w:rsidRPr="007235B1">
        <w:t>503-</w:t>
      </w:r>
      <w:r>
        <w:t>201-1949</w:t>
      </w:r>
      <w:r w:rsidRPr="007235B1">
        <w:t xml:space="preserve"> (voice/text)</w:t>
      </w:r>
      <w:r>
        <w:t xml:space="preserve">. </w:t>
      </w:r>
      <w:r w:rsidRPr="00335453">
        <w:t xml:space="preserve">We accept all relay calls. </w:t>
      </w:r>
    </w:p>
    <w:p w14:paraId="4A9F38A5" w14:textId="77777777" w:rsidR="00ED698D" w:rsidRPr="007235B1" w:rsidRDefault="00ED698D" w:rsidP="00ED698D">
      <w:pPr>
        <w:pStyle w:val="LastPageProgramInfoBox"/>
        <w:ind w:left="-360" w:right="-360"/>
        <w:rPr>
          <w:b/>
          <w:bCs/>
        </w:rPr>
      </w:pPr>
      <w:r w:rsidRPr="007235B1">
        <w:rPr>
          <w:b/>
          <w:bCs/>
        </w:rPr>
        <w:drawing>
          <wp:anchor distT="0" distB="0" distL="114300" distR="114300" simplePos="0" relativeHeight="251658241" behindDoc="0" locked="0" layoutInCell="1" allowOverlap="1" wp14:anchorId="33811FB0" wp14:editId="7BA960D3">
            <wp:simplePos x="0" y="0"/>
            <wp:positionH relativeFrom="margin">
              <wp:posOffset>4593590</wp:posOffset>
            </wp:positionH>
            <wp:positionV relativeFrom="paragraph">
              <wp:posOffset>151130</wp:posOffset>
            </wp:positionV>
            <wp:extent cx="1604645" cy="52131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604645" cy="521318"/>
                    </a:xfrm>
                    <a:prstGeom prst="rect">
                      <a:avLst/>
                    </a:prstGeom>
                  </pic:spPr>
                </pic:pic>
              </a:graphicData>
            </a:graphic>
            <wp14:sizeRelV relativeFrom="margin">
              <wp14:pctHeight>0</wp14:pctHeight>
            </wp14:sizeRelV>
          </wp:anchor>
        </w:drawing>
      </w:r>
      <w:r w:rsidRPr="007235B1">
        <w:rPr>
          <w:b/>
          <w:bCs/>
        </w:rPr>
        <w:t>Health Policy and Analytics Division</w:t>
      </w:r>
    </w:p>
    <w:p w14:paraId="594CFE36" w14:textId="77777777" w:rsidR="00ED698D" w:rsidRDefault="00ED698D" w:rsidP="00ED698D">
      <w:pPr>
        <w:pStyle w:val="LastPageProgramInfoBox"/>
        <w:ind w:left="-360" w:right="-360"/>
      </w:pPr>
      <w:r>
        <w:t>CCO Quality Incentive Program</w:t>
      </w:r>
    </w:p>
    <w:p w14:paraId="79C14983" w14:textId="77777777" w:rsidR="00ED698D" w:rsidRPr="00042F75" w:rsidRDefault="00ED698D" w:rsidP="00ED698D">
      <w:pPr>
        <w:pStyle w:val="LastPageProgramInfoBox"/>
        <w:ind w:left="-360" w:right="-360"/>
      </w:pPr>
      <w:hyperlink r:id="rId79" w:history="1">
        <w:r w:rsidRPr="00042F75">
          <w:rPr>
            <w:rStyle w:val="Hyperlink"/>
            <w:color w:val="FFFFFF" w:themeColor="background1"/>
          </w:rPr>
          <w:t>Metrics.Questions@odhsoha.oregon.gov</w:t>
        </w:r>
      </w:hyperlink>
      <w:r w:rsidRPr="00042F75">
        <w:t xml:space="preserve"> </w:t>
      </w:r>
    </w:p>
    <w:p w14:paraId="540A6908" w14:textId="54C21EEA" w:rsidR="005C035A" w:rsidRPr="00EC33FE" w:rsidRDefault="00EC33FE" w:rsidP="00FE7AD7">
      <w:pPr>
        <w:pStyle w:val="LastPageProgramInfoBox"/>
        <w:ind w:left="-360" w:right="-360"/>
      </w:pPr>
      <w:hyperlink r:id="rId80" w:history="1">
        <w:r w:rsidRPr="00EC33FE">
          <w:rPr>
            <w:rStyle w:val="Hyperlink"/>
            <w:color w:val="FFFFFF" w:themeColor="background1"/>
          </w:rPr>
          <w:t>CCO Quality Metrics</w:t>
        </w:r>
      </w:hyperlink>
    </w:p>
    <w:sectPr w:rsidR="005C035A" w:rsidRPr="00EC33FE" w:rsidSect="00C20449">
      <w:footerReference w:type="default" r:id="rId81"/>
      <w:footnotePr>
        <w:numFmt w:val="lowerLetter"/>
      </w:footnotePr>
      <w:pgSz w:w="12240" w:h="15840"/>
      <w:pgMar w:top="1440" w:right="1440" w:bottom="1440" w:left="1440" w:header="8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0F376" w14:textId="77777777" w:rsidR="000A78E7" w:rsidRDefault="000A78E7" w:rsidP="00ED698D">
      <w:pPr>
        <w:spacing w:after="0" w:line="240" w:lineRule="auto"/>
      </w:pPr>
      <w:r>
        <w:separator/>
      </w:r>
    </w:p>
  </w:endnote>
  <w:endnote w:type="continuationSeparator" w:id="0">
    <w:p w14:paraId="34F5B15C" w14:textId="77777777" w:rsidR="000A78E7" w:rsidRDefault="000A78E7" w:rsidP="00ED6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enton Sans Book">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mn-ea">
    <w:altName w:val="Cambria"/>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402493"/>
      <w:docPartObj>
        <w:docPartGallery w:val="Page Numbers (Bottom of Page)"/>
        <w:docPartUnique/>
      </w:docPartObj>
    </w:sdtPr>
    <w:sdtEndPr>
      <w:rPr>
        <w:noProof/>
      </w:rPr>
    </w:sdtEndPr>
    <w:sdtContent>
      <w:p w14:paraId="4CAF38A5" w14:textId="77777777" w:rsidR="00ED698D" w:rsidRDefault="00ED698D">
        <w:pPr>
          <w:pStyle w:val="Footer"/>
        </w:pPr>
        <w:r>
          <w:fldChar w:fldCharType="begin"/>
        </w:r>
        <w:r>
          <w:instrText xml:space="preserve"> PAGE   \* MERGEFORMAT </w:instrText>
        </w:r>
        <w:r>
          <w:fldChar w:fldCharType="separate"/>
        </w:r>
        <w:r>
          <w:rPr>
            <w:noProof/>
          </w:rPr>
          <w:t>ii</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5F2F" w14:textId="697FA31D" w:rsidR="008F4FBD" w:rsidRDefault="008F4FBD">
    <w:pPr>
      <w:pStyle w:val="Footer"/>
    </w:pPr>
  </w:p>
  <w:p w14:paraId="695BED89" w14:textId="65A7B039" w:rsidR="00493DE3" w:rsidRDefault="00493D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892654"/>
      <w:docPartObj>
        <w:docPartGallery w:val="Page Numbers (Bottom of Page)"/>
        <w:docPartUnique/>
      </w:docPartObj>
    </w:sdtPr>
    <w:sdtEndPr>
      <w:rPr>
        <w:noProof/>
      </w:rPr>
    </w:sdtEndPr>
    <w:sdtContent>
      <w:p w14:paraId="188BEBA6" w14:textId="0E278529" w:rsidR="00EC053A" w:rsidRDefault="00EC053A">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5752" w14:textId="77777777" w:rsidR="00ED698D" w:rsidRDefault="00ED69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1494E" w14:textId="77777777" w:rsidR="000A78E7" w:rsidRDefault="000A78E7" w:rsidP="00ED698D">
      <w:pPr>
        <w:spacing w:after="0" w:line="240" w:lineRule="auto"/>
      </w:pPr>
      <w:r>
        <w:separator/>
      </w:r>
    </w:p>
  </w:footnote>
  <w:footnote w:type="continuationSeparator" w:id="0">
    <w:p w14:paraId="3FAE294D" w14:textId="77777777" w:rsidR="000A78E7" w:rsidRDefault="000A78E7" w:rsidP="00ED698D">
      <w:pPr>
        <w:spacing w:after="0" w:line="240" w:lineRule="auto"/>
      </w:pPr>
      <w:r>
        <w:continuationSeparator/>
      </w:r>
    </w:p>
  </w:footnote>
  <w:footnote w:id="1">
    <w:p w14:paraId="326215E1" w14:textId="77777777" w:rsidR="00ED698D" w:rsidRPr="00F44D76" w:rsidRDefault="00ED698D" w:rsidP="00ED698D">
      <w:pPr>
        <w:pStyle w:val="FootnoteText"/>
        <w:rPr>
          <w:sz w:val="22"/>
          <w:szCs w:val="22"/>
        </w:rPr>
      </w:pPr>
      <w:r w:rsidRPr="00F44D76">
        <w:rPr>
          <w:rStyle w:val="FootnoteReference"/>
          <w:sz w:val="22"/>
          <w:szCs w:val="22"/>
        </w:rPr>
        <w:footnoteRef/>
      </w:r>
      <w:r w:rsidRPr="00F44D76">
        <w:rPr>
          <w:sz w:val="22"/>
          <w:szCs w:val="22"/>
        </w:rPr>
        <w:t xml:space="preserve"> Providers must be primarily responsible for services during the visit. Support or general clinic staff are not eligible.</w:t>
      </w:r>
    </w:p>
  </w:footnote>
  <w:footnote w:id="2">
    <w:p w14:paraId="77EE1BA5" w14:textId="77777777" w:rsidR="00ED698D" w:rsidRPr="00F44D76" w:rsidRDefault="00ED698D" w:rsidP="00ED698D">
      <w:pPr>
        <w:pStyle w:val="FootnoteText"/>
        <w:rPr>
          <w:sz w:val="22"/>
          <w:szCs w:val="22"/>
        </w:rPr>
      </w:pPr>
      <w:r w:rsidRPr="00F44D76">
        <w:rPr>
          <w:rStyle w:val="FootnoteReference"/>
          <w:sz w:val="22"/>
          <w:szCs w:val="22"/>
        </w:rPr>
        <w:footnoteRef/>
      </w:r>
      <w:r w:rsidRPr="00F44D76">
        <w:rPr>
          <w:sz w:val="22"/>
          <w:szCs w:val="22"/>
        </w:rPr>
        <w:t xml:space="preserve"> </w:t>
      </w:r>
      <w:hyperlink r:id="rId1" w:history="1">
        <w:r w:rsidRPr="00F44D76">
          <w:rPr>
            <w:rStyle w:val="Hyperlink"/>
            <w:sz w:val="22"/>
            <w:szCs w:val="22"/>
          </w:rPr>
          <w:t>Oregon Administrative Rule (OAR) 950-050-0160, 950-050-0170, and 950-050-0180</w:t>
        </w:r>
      </w:hyperlink>
    </w:p>
  </w:footnote>
  <w:footnote w:id="3">
    <w:p w14:paraId="04A79104" w14:textId="77777777" w:rsidR="00ED698D" w:rsidRPr="00F44D76" w:rsidRDefault="00ED698D" w:rsidP="00ED698D">
      <w:pPr>
        <w:pStyle w:val="FootnoteText"/>
        <w:rPr>
          <w:sz w:val="22"/>
          <w:szCs w:val="22"/>
        </w:rPr>
      </w:pPr>
      <w:r w:rsidRPr="00F44D76">
        <w:rPr>
          <w:rStyle w:val="FootnoteReference"/>
          <w:sz w:val="22"/>
          <w:szCs w:val="22"/>
        </w:rPr>
        <w:footnoteRef/>
      </w:r>
      <w:r w:rsidRPr="00F44D76">
        <w:rPr>
          <w:sz w:val="22"/>
          <w:szCs w:val="22"/>
        </w:rPr>
        <w:t xml:space="preserve"> Approved proficiency tests and scores include: </w:t>
      </w:r>
    </w:p>
    <w:p w14:paraId="2B72F489" w14:textId="77777777" w:rsidR="00ED698D" w:rsidRPr="00F44D76" w:rsidRDefault="00ED698D" w:rsidP="00CD585D">
      <w:pPr>
        <w:pStyle w:val="FootnoteText"/>
        <w:numPr>
          <w:ilvl w:val="0"/>
          <w:numId w:val="7"/>
        </w:numPr>
        <w:rPr>
          <w:sz w:val="22"/>
          <w:szCs w:val="22"/>
        </w:rPr>
      </w:pPr>
      <w:r w:rsidRPr="00F44D76">
        <w:rPr>
          <w:sz w:val="22"/>
          <w:szCs w:val="22"/>
        </w:rPr>
        <w:t>3+ or higher for Language Line Solutions’ (LLS) proficiency test or a score of 'Competent' on LLS Bilingual Fluency Assessment (BFA) or LLS Bilingual Fluency Assessment for Clinicians (BFAC)</w:t>
      </w:r>
    </w:p>
    <w:p w14:paraId="741BFA71" w14:textId="4E32DAD8" w:rsidR="00ED698D" w:rsidRPr="00F44D76" w:rsidRDefault="00ED698D" w:rsidP="00CD585D">
      <w:pPr>
        <w:pStyle w:val="FootnoteText"/>
        <w:numPr>
          <w:ilvl w:val="0"/>
          <w:numId w:val="7"/>
        </w:numPr>
        <w:rPr>
          <w:sz w:val="22"/>
          <w:szCs w:val="22"/>
        </w:rPr>
      </w:pPr>
      <w:r w:rsidRPr="00F44D76">
        <w:rPr>
          <w:sz w:val="22"/>
          <w:szCs w:val="22"/>
        </w:rPr>
        <w:t>Advanced-mid level or higher for American Council on the Teaching of Foreign Language (ACTFL) (</w:t>
      </w:r>
      <w:r w:rsidR="000F38F1">
        <w:rPr>
          <w:sz w:val="22"/>
          <w:szCs w:val="22"/>
        </w:rPr>
        <w:t>that is</w:t>
      </w:r>
      <w:r w:rsidRPr="00F44D76">
        <w:rPr>
          <w:sz w:val="22"/>
          <w:szCs w:val="22"/>
        </w:rPr>
        <w:t>, Language Testing International’s proficiency test)</w:t>
      </w:r>
    </w:p>
    <w:p w14:paraId="7063B69C" w14:textId="77777777" w:rsidR="00ED698D" w:rsidRPr="00F44D76" w:rsidRDefault="00ED698D" w:rsidP="00CD585D">
      <w:pPr>
        <w:pStyle w:val="FootnoteText"/>
        <w:numPr>
          <w:ilvl w:val="0"/>
          <w:numId w:val="7"/>
        </w:numPr>
        <w:rPr>
          <w:sz w:val="22"/>
          <w:szCs w:val="22"/>
        </w:rPr>
      </w:pPr>
      <w:r w:rsidRPr="00F44D76">
        <w:rPr>
          <w:sz w:val="22"/>
          <w:szCs w:val="22"/>
        </w:rPr>
        <w:t>ALTA proficiency tests at 8 or above rating scale.</w:t>
      </w:r>
    </w:p>
    <w:p w14:paraId="3C617EBA" w14:textId="77777777" w:rsidR="00ED698D" w:rsidRDefault="00ED698D" w:rsidP="00CD585D">
      <w:pPr>
        <w:pStyle w:val="FootnoteText"/>
        <w:numPr>
          <w:ilvl w:val="0"/>
          <w:numId w:val="7"/>
        </w:numPr>
      </w:pPr>
      <w:r w:rsidRPr="00F44D76">
        <w:rPr>
          <w:sz w:val="22"/>
          <w:szCs w:val="22"/>
        </w:rPr>
        <w:t>In-language providers that have passed an OHA-approved Oral Proficiency Interview (OPI) also qualify for passing the language proficiency requirement.</w:t>
      </w:r>
    </w:p>
  </w:footnote>
  <w:footnote w:id="4">
    <w:p w14:paraId="03476962" w14:textId="3DB967A2" w:rsidR="00ED698D" w:rsidRDefault="00ED698D" w:rsidP="00ED698D">
      <w:pPr>
        <w:pStyle w:val="FootnoteText"/>
      </w:pPr>
      <w:r w:rsidRPr="00F44D76">
        <w:rPr>
          <w:rStyle w:val="FootnoteReference"/>
          <w:sz w:val="22"/>
          <w:szCs w:val="22"/>
        </w:rPr>
        <w:footnoteRef/>
      </w:r>
      <w:r w:rsidRPr="00F44D76">
        <w:rPr>
          <w:sz w:val="22"/>
          <w:szCs w:val="22"/>
        </w:rPr>
        <w:t xml:space="preserve"> Young Children Receiving Social-Emotional Issue-Focused Intervention/Treatment is not included in this chart. In 2024, all CCOs’ rates were less than 10%. A low baseline (2024 rate) exaggerates percent change f</w:t>
      </w:r>
      <w:r w:rsidR="009B0099" w:rsidRPr="00F44D76">
        <w:rPr>
          <w:sz w:val="22"/>
          <w:szCs w:val="22"/>
        </w:rPr>
        <w:t xml:space="preserve">rom </w:t>
      </w:r>
      <w:r w:rsidRPr="00F44D76">
        <w:rPr>
          <w:sz w:val="22"/>
          <w:szCs w:val="22"/>
        </w:rPr>
        <w:t>year to year.</w:t>
      </w:r>
    </w:p>
  </w:footnote>
  <w:footnote w:id="5">
    <w:p w14:paraId="1BA62C5F" w14:textId="7817B013" w:rsidR="00082D22" w:rsidRDefault="00082D22" w:rsidP="00082D22">
      <w:pPr>
        <w:pStyle w:val="FootnoteText"/>
      </w:pPr>
      <w:r w:rsidRPr="00A951E2">
        <w:rPr>
          <w:rStyle w:val="FootnoteReference"/>
          <w:sz w:val="22"/>
          <w:szCs w:val="22"/>
        </w:rPr>
        <w:footnoteRef/>
      </w:r>
      <w:r w:rsidRPr="00A951E2">
        <w:rPr>
          <w:sz w:val="22"/>
          <w:szCs w:val="22"/>
        </w:rPr>
        <w:t xml:space="preserve"> In 2014, this measure was expanded to include dental health assessments. Because of this, results before 2014 are not comparable to later years.</w:t>
      </w:r>
    </w:p>
  </w:footnote>
  <w:footnote w:id="6">
    <w:p w14:paraId="7251B43B" w14:textId="77777777" w:rsidR="00ED698D" w:rsidRPr="00F44D76" w:rsidRDefault="00ED698D" w:rsidP="00ED698D">
      <w:pPr>
        <w:pStyle w:val="FootnoteText"/>
        <w:rPr>
          <w:sz w:val="22"/>
          <w:szCs w:val="22"/>
        </w:rPr>
      </w:pPr>
      <w:r w:rsidRPr="00F44D76">
        <w:rPr>
          <w:rStyle w:val="FootnoteReference"/>
          <w:sz w:val="22"/>
          <w:szCs w:val="22"/>
        </w:rPr>
        <w:footnoteRef/>
      </w:r>
      <w:r w:rsidRPr="00F44D76">
        <w:rPr>
          <w:sz w:val="22"/>
          <w:szCs w:val="22"/>
        </w:rPr>
        <w:t xml:space="preserve"> Providers must </w:t>
      </w:r>
      <w:proofErr w:type="gramStart"/>
      <w:r w:rsidRPr="00F44D76">
        <w:rPr>
          <w:sz w:val="22"/>
          <w:szCs w:val="22"/>
        </w:rPr>
        <w:t>be either</w:t>
      </w:r>
      <w:proofErr w:type="gramEnd"/>
      <w:r w:rsidRPr="00F44D76">
        <w:rPr>
          <w:sz w:val="22"/>
          <w:szCs w:val="22"/>
        </w:rPr>
        <w:t xml:space="preserve"> a native speaker or have passed a proficiency test. Providers must be primarily responsible for services during the visit. Support or general clinic staff are not eligible.</w:t>
      </w:r>
    </w:p>
  </w:footnote>
  <w:footnote w:id="7">
    <w:p w14:paraId="437C2B27" w14:textId="77777777" w:rsidR="00ED698D" w:rsidRDefault="00ED698D" w:rsidP="00ED698D">
      <w:pPr>
        <w:pStyle w:val="FootnoteText"/>
      </w:pPr>
      <w:r w:rsidRPr="00F44D76">
        <w:rPr>
          <w:rStyle w:val="FootnoteReference"/>
          <w:sz w:val="22"/>
          <w:szCs w:val="22"/>
        </w:rPr>
        <w:footnoteRef/>
      </w:r>
      <w:r w:rsidRPr="00F44D76">
        <w:rPr>
          <w:sz w:val="22"/>
          <w:szCs w:val="22"/>
        </w:rPr>
        <w:t xml:space="preserve"> </w:t>
      </w:r>
      <w:hyperlink r:id="rId2" w:history="1">
        <w:r w:rsidRPr="00F44D76">
          <w:rPr>
            <w:rStyle w:val="Hyperlink"/>
            <w:sz w:val="22"/>
            <w:szCs w:val="22"/>
          </w:rPr>
          <w:t>OAR 950-050-0160, 950-050-0170, and 950-050-0180</w:t>
        </w:r>
      </w:hyperlink>
    </w:p>
  </w:footnote>
  <w:footnote w:id="8">
    <w:p w14:paraId="0D904A6B" w14:textId="6BB84231" w:rsidR="00ED698D" w:rsidRDefault="00ED698D" w:rsidP="00ED698D">
      <w:pPr>
        <w:pStyle w:val="FootnoteText"/>
      </w:pPr>
      <w:r w:rsidRPr="00F44D76">
        <w:rPr>
          <w:rStyle w:val="FootnoteReference"/>
          <w:sz w:val="22"/>
          <w:szCs w:val="22"/>
        </w:rPr>
        <w:footnoteRef/>
      </w:r>
      <w:r w:rsidRPr="00F44D76">
        <w:rPr>
          <w:sz w:val="22"/>
          <w:szCs w:val="22"/>
        </w:rPr>
        <w:t xml:space="preserve"> Includes Diphtheria, Tetanus and acellular Pertussis (DTaP); Inactiv</w:t>
      </w:r>
      <w:r w:rsidR="00180B51">
        <w:rPr>
          <w:sz w:val="22"/>
          <w:szCs w:val="22"/>
        </w:rPr>
        <w:t>at</w:t>
      </w:r>
      <w:r w:rsidRPr="00F44D76">
        <w:rPr>
          <w:sz w:val="22"/>
          <w:szCs w:val="22"/>
        </w:rPr>
        <w:t>ed Polio Vaccine (IPV); Measles, Mumps and Rubella (MMR); Haemophilus influenzae type b (Hib); Hepatitis B; Varicella-Zoster (Chickenpox) Vaccine (VZV); and Pneumococcal Conjugate Vaccines (PCV).</w:t>
      </w:r>
    </w:p>
  </w:footnote>
  <w:footnote w:id="9">
    <w:p w14:paraId="738396C7" w14:textId="77777777" w:rsidR="00ED698D" w:rsidRDefault="00ED698D" w:rsidP="00ED698D">
      <w:pPr>
        <w:pStyle w:val="FootnoteText"/>
      </w:pPr>
      <w:r w:rsidRPr="00F44D76">
        <w:rPr>
          <w:rStyle w:val="FootnoteReference"/>
          <w:sz w:val="22"/>
          <w:szCs w:val="22"/>
        </w:rPr>
        <w:footnoteRef/>
      </w:r>
      <w:r w:rsidRPr="00F44D76">
        <w:rPr>
          <w:sz w:val="22"/>
          <w:szCs w:val="22"/>
        </w:rPr>
        <w:t xml:space="preserve"> Includes Meningococcal; Tetanus, Diphtheria, Acellular Pertussis (TDAP/TD); and the complete Human Papillomavirus for Adolescents (HPV) series.</w:t>
      </w:r>
    </w:p>
  </w:footnote>
  <w:footnote w:id="10">
    <w:p w14:paraId="1A3C3B12" w14:textId="0A2CE0B6" w:rsidR="00ED698D" w:rsidRDefault="00ED698D" w:rsidP="00ED698D">
      <w:pPr>
        <w:pStyle w:val="FootnoteText"/>
      </w:pPr>
      <w:r w:rsidRPr="00BF45C0">
        <w:rPr>
          <w:rStyle w:val="FootnoteReference"/>
          <w:sz w:val="22"/>
          <w:szCs w:val="22"/>
        </w:rPr>
        <w:footnoteRef/>
      </w:r>
      <w:r w:rsidRPr="00BF45C0">
        <w:rPr>
          <w:sz w:val="22"/>
          <w:szCs w:val="22"/>
        </w:rPr>
        <w:t xml:space="preserve"> Chart reviews were introduced in 2014. From 2011 to 2013, this measure used administrative claims data only for the full population. Because of this, results prior to 2014 are not comparable to later years.</w:t>
      </w:r>
    </w:p>
  </w:footnote>
  <w:footnote w:id="11">
    <w:p w14:paraId="6FA34B5D" w14:textId="03C52813" w:rsidR="00F02AF9" w:rsidRPr="00F02AF9" w:rsidRDefault="00F02AF9">
      <w:pPr>
        <w:pStyle w:val="FootnoteText"/>
        <w:rPr>
          <w:sz w:val="22"/>
          <w:szCs w:val="22"/>
        </w:rPr>
      </w:pPr>
      <w:r w:rsidRPr="00F02AF9">
        <w:rPr>
          <w:rStyle w:val="FootnoteReference"/>
          <w:sz w:val="22"/>
          <w:szCs w:val="22"/>
        </w:rPr>
        <w:footnoteRef/>
      </w:r>
      <w:r w:rsidRPr="00F02AF9">
        <w:rPr>
          <w:sz w:val="22"/>
          <w:szCs w:val="22"/>
        </w:rPr>
        <w:t xml:space="preserve"> </w:t>
      </w:r>
      <w:r w:rsidR="00FC65FC">
        <w:rPr>
          <w:sz w:val="22"/>
          <w:szCs w:val="22"/>
        </w:rPr>
        <w:t>Starting in</w:t>
      </w:r>
      <w:r w:rsidRPr="00F02AF9">
        <w:rPr>
          <w:sz w:val="22"/>
          <w:szCs w:val="22"/>
        </w:rPr>
        <w:t xml:space="preserve"> 2022, this measure</w:t>
      </w:r>
      <w:r w:rsidR="00FC65FC">
        <w:rPr>
          <w:sz w:val="22"/>
          <w:szCs w:val="22"/>
        </w:rPr>
        <w:t xml:space="preserve"> </w:t>
      </w:r>
      <w:r>
        <w:rPr>
          <w:sz w:val="22"/>
          <w:szCs w:val="22"/>
        </w:rPr>
        <w:t>count</w:t>
      </w:r>
      <w:r w:rsidR="00FC65FC">
        <w:rPr>
          <w:sz w:val="22"/>
          <w:szCs w:val="22"/>
        </w:rPr>
        <w:t>s</w:t>
      </w:r>
      <w:r w:rsidRPr="00F02AF9">
        <w:rPr>
          <w:sz w:val="22"/>
          <w:szCs w:val="22"/>
        </w:rPr>
        <w:t xml:space="preserve"> services based on the number of new SUD diagnoses. Previously, the measure was based on the number of members newly diagnosed with SUD. This change better captures services for members with multiple SUD diagnoses. Because of this, results prior to 2022 are not directly comparable to later years.</w:t>
      </w:r>
    </w:p>
  </w:footnote>
  <w:footnote w:id="12">
    <w:p w14:paraId="226996DC" w14:textId="23962BF2" w:rsidR="00D07DBE" w:rsidRPr="00D07DBE" w:rsidRDefault="00D07DBE">
      <w:pPr>
        <w:pStyle w:val="FootnoteText"/>
        <w:rPr>
          <w:sz w:val="22"/>
          <w:szCs w:val="22"/>
        </w:rPr>
      </w:pPr>
      <w:r w:rsidRPr="00D07DBE">
        <w:rPr>
          <w:rStyle w:val="FootnoteReference"/>
          <w:sz w:val="22"/>
          <w:szCs w:val="22"/>
        </w:rPr>
        <w:footnoteRef/>
      </w:r>
      <w:r w:rsidRPr="00D07DBE">
        <w:rPr>
          <w:sz w:val="22"/>
          <w:szCs w:val="22"/>
        </w:rPr>
        <w:t xml:space="preserve"> In 2019, this metric was expanded to include members ages 12-17. Because of this, results prior to 2019 are not comparable to later years.</w:t>
      </w:r>
    </w:p>
  </w:footnote>
  <w:footnote w:id="13">
    <w:p w14:paraId="03EFD5FC" w14:textId="77777777" w:rsidR="00ED698D" w:rsidRDefault="00ED698D" w:rsidP="00ED698D">
      <w:pPr>
        <w:pStyle w:val="FootnoteText"/>
      </w:pPr>
      <w:r w:rsidRPr="005831B3">
        <w:rPr>
          <w:rStyle w:val="FootnoteReference"/>
          <w:sz w:val="22"/>
          <w:szCs w:val="22"/>
        </w:rPr>
        <w:footnoteRef/>
      </w:r>
      <w:r w:rsidRPr="005831B3">
        <w:rPr>
          <w:sz w:val="22"/>
          <w:szCs w:val="22"/>
        </w:rPr>
        <w:t xml:space="preserve"> Measures that require meeting both components are counted as one measure</w:t>
      </w:r>
    </w:p>
  </w:footnote>
  <w:footnote w:id="14">
    <w:p w14:paraId="22F0D40E" w14:textId="6E071208" w:rsidR="00ED698D" w:rsidRPr="00CF6DD6" w:rsidRDefault="00ED698D" w:rsidP="00ED698D">
      <w:pPr>
        <w:pStyle w:val="FootnoteText"/>
        <w:rPr>
          <w:sz w:val="22"/>
          <w:szCs w:val="22"/>
        </w:rPr>
      </w:pPr>
      <w:r w:rsidRPr="00CF6DD6">
        <w:rPr>
          <w:rStyle w:val="FootnoteReference"/>
          <w:sz w:val="22"/>
          <w:szCs w:val="22"/>
        </w:rPr>
        <w:footnoteRef/>
      </w:r>
      <w:r w:rsidRPr="00CF6DD6">
        <w:rPr>
          <w:sz w:val="22"/>
          <w:szCs w:val="22"/>
        </w:rPr>
        <w:t xml:space="preserve"> Under the original 2020 CCO contract, OHA was to withhold 4.25</w:t>
      </w:r>
      <w:r w:rsidR="00A81707">
        <w:rPr>
          <w:sz w:val="22"/>
          <w:szCs w:val="22"/>
        </w:rPr>
        <w:t xml:space="preserve"> percent</w:t>
      </w:r>
      <w:r w:rsidRPr="00CF6DD6">
        <w:rPr>
          <w:sz w:val="22"/>
          <w:szCs w:val="22"/>
        </w:rPr>
        <w:t xml:space="preserve"> of each CCO’s 2020 PMPM payments to fund the Quality Pool. Due to the COVID-19 pandemic, the withhold was suspended in April 2020 so that funds could be infused into the health care system to help CCO</w:t>
      </w:r>
      <w:r w:rsidR="00F8507D">
        <w:rPr>
          <w:sz w:val="22"/>
          <w:szCs w:val="22"/>
        </w:rPr>
        <w:t>s</w:t>
      </w:r>
      <w:r w:rsidRPr="00CF6DD6">
        <w:rPr>
          <w:sz w:val="22"/>
          <w:szCs w:val="22"/>
        </w:rPr>
        <w:t xml:space="preserve"> address critical needs. </w:t>
      </w:r>
    </w:p>
    <w:p w14:paraId="0C03D6B6" w14:textId="77777777" w:rsidR="00ED698D" w:rsidRDefault="00ED698D" w:rsidP="00ED698D">
      <w:pPr>
        <w:pStyle w:val="FootnoteText"/>
      </w:pPr>
    </w:p>
  </w:footnote>
  <w:footnote w:id="15">
    <w:p w14:paraId="0A50AB62" w14:textId="77777777" w:rsidR="00ED698D" w:rsidRPr="0013670D" w:rsidRDefault="00ED698D" w:rsidP="00ED698D">
      <w:pPr>
        <w:pStyle w:val="BodyTextindent"/>
        <w:ind w:left="0" w:right="0"/>
        <w:rPr>
          <w:rFonts w:asciiTheme="minorHAnsi" w:hAnsiTheme="minorHAnsi" w:cstheme="minorHAnsi"/>
          <w:color w:val="auto"/>
          <w:sz w:val="22"/>
        </w:rPr>
      </w:pPr>
      <w:r w:rsidRPr="0013670D">
        <w:rPr>
          <w:rStyle w:val="FootnoteReference"/>
          <w:color w:val="auto"/>
          <w:sz w:val="22"/>
        </w:rPr>
        <w:footnoteRef/>
      </w:r>
      <w:r w:rsidRPr="0013670D">
        <w:rPr>
          <w:color w:val="auto"/>
          <w:sz w:val="22"/>
        </w:rPr>
        <w:t xml:space="preserve"> </w:t>
      </w:r>
      <w:r w:rsidRPr="0013670D">
        <w:rPr>
          <w:rFonts w:asciiTheme="minorHAnsi" w:hAnsiTheme="minorHAnsi" w:cstheme="minorHAnsi"/>
          <w:color w:val="auto"/>
          <w:sz w:val="22"/>
        </w:rPr>
        <w:t>We did not include 2020 in this chart. In 2020, all benchmarks were changed to report only, which all CCOs met.</w:t>
      </w:r>
    </w:p>
  </w:footnote>
  <w:footnote w:id="16">
    <w:p w14:paraId="71E08084" w14:textId="5C767032" w:rsidR="00ED698D" w:rsidRDefault="00ED698D" w:rsidP="00ED698D">
      <w:pPr>
        <w:pStyle w:val="FootnoteText"/>
      </w:pPr>
      <w:r w:rsidRPr="004C43F0">
        <w:rPr>
          <w:rStyle w:val="FootnoteReference"/>
          <w:sz w:val="22"/>
          <w:szCs w:val="22"/>
        </w:rPr>
        <w:footnoteRef/>
      </w:r>
      <w:r w:rsidRPr="004C43F0">
        <w:rPr>
          <w:sz w:val="22"/>
          <w:szCs w:val="22"/>
        </w:rPr>
        <w:t xml:space="preserve"> Total enrollment is the average of monthly members in 202</w:t>
      </w:r>
      <w:r w:rsidR="004C43F0" w:rsidRPr="004C43F0">
        <w:rPr>
          <w:sz w:val="22"/>
          <w:szCs w:val="22"/>
        </w:rPr>
        <w:t>5</w:t>
      </w:r>
      <w:r w:rsidRPr="004C43F0">
        <w:rPr>
          <w:sz w:val="22"/>
          <w:szCs w:val="22"/>
        </w:rPr>
        <w:t>. These estimates come from OHA's Office of Financial and</w:t>
      </w:r>
      <w:r w:rsidR="00E16055">
        <w:rPr>
          <w:sz w:val="22"/>
          <w:szCs w:val="22"/>
        </w:rPr>
        <w:t xml:space="preserve"> </w:t>
      </w:r>
      <w:r w:rsidRPr="004C43F0">
        <w:rPr>
          <w:sz w:val="22"/>
          <w:szCs w:val="22"/>
        </w:rPr>
        <w:t>Actuarial Services (OAFA) and are used to calculate Quality Pool payments.</w:t>
      </w:r>
    </w:p>
  </w:footnote>
  <w:footnote w:id="17">
    <w:p w14:paraId="1FF1F6E7" w14:textId="22D6609A" w:rsidR="003C4353" w:rsidRDefault="003C4353">
      <w:pPr>
        <w:pStyle w:val="FootnoteText"/>
      </w:pPr>
      <w:r>
        <w:rPr>
          <w:rStyle w:val="FootnoteReference"/>
        </w:rPr>
        <w:footnoteRef/>
      </w:r>
      <w:r>
        <w:t xml:space="preserve"> </w:t>
      </w:r>
      <w:r w:rsidRPr="009A5FEE">
        <w:rPr>
          <w:sz w:val="22"/>
          <w:szCs w:val="22"/>
        </w:rPr>
        <w:t>Oregon requires managed care organizations (MCOs) to pay a tax to support OHP. In 2024, the MCO tax rate was 2.0</w:t>
      </w:r>
      <w:r w:rsidR="0078233B">
        <w:rPr>
          <w:sz w:val="22"/>
          <w:szCs w:val="22"/>
        </w:rPr>
        <w:t xml:space="preserve"> percent</w:t>
      </w:r>
      <w:r w:rsidRPr="009A5FEE">
        <w:rPr>
          <w:sz w:val="22"/>
          <w:szCs w:val="22"/>
        </w:rPr>
        <w:t>. OHA pays the tax gross back to CCOs by building the cost of the tax into capitation rates, qualified directed payments, maternity kick payments and Quality Incentive payments.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C0A8E" w14:textId="77777777" w:rsidR="00ED698D" w:rsidRDefault="00ED698D">
    <w:pPr>
      <w:pStyle w:val="Header"/>
      <w:spacing w:after="120"/>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7201F" w14:textId="77777777" w:rsidR="00ED698D" w:rsidRDefault="00ED698D">
    <w:pPr>
      <w:pStyle w:val="Header"/>
      <w:ind w:left="-720"/>
    </w:pPr>
  </w:p>
  <w:p w14:paraId="5F583BB9" w14:textId="77777777" w:rsidR="00ED698D" w:rsidRDefault="00ED698D">
    <w:pPr>
      <w:pStyle w:val="Header"/>
      <w:spacing w:after="120"/>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0C65" w14:textId="77777777" w:rsidR="00ED698D" w:rsidRDefault="00ED698D">
    <w:pPr>
      <w:pStyle w:val="Header"/>
      <w:ind w:left="-720"/>
    </w:pPr>
  </w:p>
  <w:p w14:paraId="3FC63E75" w14:textId="77777777" w:rsidR="00ED698D" w:rsidRDefault="00ED698D">
    <w:pPr>
      <w:pStyle w:val="Header"/>
      <w:spacing w:after="120"/>
      <w:ind w:left="-7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C85B5" w14:textId="77777777" w:rsidR="00ED698D" w:rsidRDefault="00ED698D">
    <w:pPr>
      <w:pStyle w:val="Header"/>
      <w:ind w:left="-720"/>
    </w:pPr>
  </w:p>
  <w:p w14:paraId="66922FB1" w14:textId="77777777" w:rsidR="00ED698D" w:rsidRDefault="00ED698D">
    <w:pPr>
      <w:pStyle w:val="Header"/>
      <w:spacing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D778" w14:textId="77777777" w:rsidR="00ED698D" w:rsidRDefault="00ED698D">
    <w:pPr>
      <w:pStyle w:val="Header"/>
      <w:spacing w:after="120"/>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5609"/>
    <w:multiLevelType w:val="hybridMultilevel"/>
    <w:tmpl w:val="C6A8B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7598F"/>
    <w:multiLevelType w:val="hybridMultilevel"/>
    <w:tmpl w:val="5B6E10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807B5B"/>
    <w:multiLevelType w:val="hybridMultilevel"/>
    <w:tmpl w:val="56486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32158"/>
    <w:multiLevelType w:val="hybridMultilevel"/>
    <w:tmpl w:val="C0BA2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D3507"/>
    <w:multiLevelType w:val="hybridMultilevel"/>
    <w:tmpl w:val="33302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90BEB"/>
    <w:multiLevelType w:val="hybridMultilevel"/>
    <w:tmpl w:val="B930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E74FE"/>
    <w:multiLevelType w:val="hybridMultilevel"/>
    <w:tmpl w:val="E884D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5D6859"/>
    <w:multiLevelType w:val="hybridMultilevel"/>
    <w:tmpl w:val="DFF45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0A3F5B"/>
    <w:multiLevelType w:val="hybridMultilevel"/>
    <w:tmpl w:val="A64E8664"/>
    <w:lvl w:ilvl="0" w:tplc="1D48D072">
      <w:start w:val="1"/>
      <w:numFmt w:val="bullet"/>
      <w:lvlText w:val="•"/>
      <w:lvlJc w:val="left"/>
      <w:pPr>
        <w:tabs>
          <w:tab w:val="num" w:pos="720"/>
        </w:tabs>
        <w:ind w:left="720" w:hanging="360"/>
      </w:pPr>
      <w:rPr>
        <w:rFonts w:ascii="Arial" w:hAnsi="Arial" w:hint="default"/>
      </w:rPr>
    </w:lvl>
    <w:lvl w:ilvl="1" w:tplc="60889C0A">
      <w:numFmt w:val="bullet"/>
      <w:lvlText w:val="•"/>
      <w:lvlJc w:val="left"/>
      <w:pPr>
        <w:tabs>
          <w:tab w:val="num" w:pos="1440"/>
        </w:tabs>
        <w:ind w:left="1440" w:hanging="360"/>
      </w:pPr>
      <w:rPr>
        <w:rFonts w:ascii="Arial" w:hAnsi="Arial" w:hint="default"/>
      </w:rPr>
    </w:lvl>
    <w:lvl w:ilvl="2" w:tplc="C1383118" w:tentative="1">
      <w:start w:val="1"/>
      <w:numFmt w:val="bullet"/>
      <w:lvlText w:val="•"/>
      <w:lvlJc w:val="left"/>
      <w:pPr>
        <w:tabs>
          <w:tab w:val="num" w:pos="2160"/>
        </w:tabs>
        <w:ind w:left="2160" w:hanging="360"/>
      </w:pPr>
      <w:rPr>
        <w:rFonts w:ascii="Arial" w:hAnsi="Arial" w:hint="default"/>
      </w:rPr>
    </w:lvl>
    <w:lvl w:ilvl="3" w:tplc="D63C6130" w:tentative="1">
      <w:start w:val="1"/>
      <w:numFmt w:val="bullet"/>
      <w:lvlText w:val="•"/>
      <w:lvlJc w:val="left"/>
      <w:pPr>
        <w:tabs>
          <w:tab w:val="num" w:pos="2880"/>
        </w:tabs>
        <w:ind w:left="2880" w:hanging="360"/>
      </w:pPr>
      <w:rPr>
        <w:rFonts w:ascii="Arial" w:hAnsi="Arial" w:hint="default"/>
      </w:rPr>
    </w:lvl>
    <w:lvl w:ilvl="4" w:tplc="D1FAF316" w:tentative="1">
      <w:start w:val="1"/>
      <w:numFmt w:val="bullet"/>
      <w:lvlText w:val="•"/>
      <w:lvlJc w:val="left"/>
      <w:pPr>
        <w:tabs>
          <w:tab w:val="num" w:pos="3600"/>
        </w:tabs>
        <w:ind w:left="3600" w:hanging="360"/>
      </w:pPr>
      <w:rPr>
        <w:rFonts w:ascii="Arial" w:hAnsi="Arial" w:hint="default"/>
      </w:rPr>
    </w:lvl>
    <w:lvl w:ilvl="5" w:tplc="4CE8E22E" w:tentative="1">
      <w:start w:val="1"/>
      <w:numFmt w:val="bullet"/>
      <w:lvlText w:val="•"/>
      <w:lvlJc w:val="left"/>
      <w:pPr>
        <w:tabs>
          <w:tab w:val="num" w:pos="4320"/>
        </w:tabs>
        <w:ind w:left="4320" w:hanging="360"/>
      </w:pPr>
      <w:rPr>
        <w:rFonts w:ascii="Arial" w:hAnsi="Arial" w:hint="default"/>
      </w:rPr>
    </w:lvl>
    <w:lvl w:ilvl="6" w:tplc="8E3036C0" w:tentative="1">
      <w:start w:val="1"/>
      <w:numFmt w:val="bullet"/>
      <w:lvlText w:val="•"/>
      <w:lvlJc w:val="left"/>
      <w:pPr>
        <w:tabs>
          <w:tab w:val="num" w:pos="5040"/>
        </w:tabs>
        <w:ind w:left="5040" w:hanging="360"/>
      </w:pPr>
      <w:rPr>
        <w:rFonts w:ascii="Arial" w:hAnsi="Arial" w:hint="default"/>
      </w:rPr>
    </w:lvl>
    <w:lvl w:ilvl="7" w:tplc="B1F80216" w:tentative="1">
      <w:start w:val="1"/>
      <w:numFmt w:val="bullet"/>
      <w:lvlText w:val="•"/>
      <w:lvlJc w:val="left"/>
      <w:pPr>
        <w:tabs>
          <w:tab w:val="num" w:pos="5760"/>
        </w:tabs>
        <w:ind w:left="5760" w:hanging="360"/>
      </w:pPr>
      <w:rPr>
        <w:rFonts w:ascii="Arial" w:hAnsi="Arial" w:hint="default"/>
      </w:rPr>
    </w:lvl>
    <w:lvl w:ilvl="8" w:tplc="704EE4E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E3B1923"/>
    <w:multiLevelType w:val="hybridMultilevel"/>
    <w:tmpl w:val="ECE47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1E33EA"/>
    <w:multiLevelType w:val="hybridMultilevel"/>
    <w:tmpl w:val="876A8DC2"/>
    <w:lvl w:ilvl="0" w:tplc="B40CBD14">
      <w:start w:val="1"/>
      <w:numFmt w:val="bullet"/>
      <w:lvlText w:val="•"/>
      <w:lvlJc w:val="left"/>
      <w:pPr>
        <w:tabs>
          <w:tab w:val="num" w:pos="720"/>
        </w:tabs>
        <w:ind w:left="720" w:hanging="360"/>
      </w:pPr>
      <w:rPr>
        <w:rFonts w:ascii="Arial" w:hAnsi="Arial" w:hint="default"/>
      </w:rPr>
    </w:lvl>
    <w:lvl w:ilvl="1" w:tplc="337CA59C" w:tentative="1">
      <w:start w:val="1"/>
      <w:numFmt w:val="bullet"/>
      <w:lvlText w:val="•"/>
      <w:lvlJc w:val="left"/>
      <w:pPr>
        <w:tabs>
          <w:tab w:val="num" w:pos="1440"/>
        </w:tabs>
        <w:ind w:left="1440" w:hanging="360"/>
      </w:pPr>
      <w:rPr>
        <w:rFonts w:ascii="Arial" w:hAnsi="Arial" w:hint="default"/>
      </w:rPr>
    </w:lvl>
    <w:lvl w:ilvl="2" w:tplc="DF5422E0" w:tentative="1">
      <w:start w:val="1"/>
      <w:numFmt w:val="bullet"/>
      <w:lvlText w:val="•"/>
      <w:lvlJc w:val="left"/>
      <w:pPr>
        <w:tabs>
          <w:tab w:val="num" w:pos="2160"/>
        </w:tabs>
        <w:ind w:left="2160" w:hanging="360"/>
      </w:pPr>
      <w:rPr>
        <w:rFonts w:ascii="Arial" w:hAnsi="Arial" w:hint="default"/>
      </w:rPr>
    </w:lvl>
    <w:lvl w:ilvl="3" w:tplc="3F0AE6AC" w:tentative="1">
      <w:start w:val="1"/>
      <w:numFmt w:val="bullet"/>
      <w:lvlText w:val="•"/>
      <w:lvlJc w:val="left"/>
      <w:pPr>
        <w:tabs>
          <w:tab w:val="num" w:pos="2880"/>
        </w:tabs>
        <w:ind w:left="2880" w:hanging="360"/>
      </w:pPr>
      <w:rPr>
        <w:rFonts w:ascii="Arial" w:hAnsi="Arial" w:hint="default"/>
      </w:rPr>
    </w:lvl>
    <w:lvl w:ilvl="4" w:tplc="E620E7E4" w:tentative="1">
      <w:start w:val="1"/>
      <w:numFmt w:val="bullet"/>
      <w:lvlText w:val="•"/>
      <w:lvlJc w:val="left"/>
      <w:pPr>
        <w:tabs>
          <w:tab w:val="num" w:pos="3600"/>
        </w:tabs>
        <w:ind w:left="3600" w:hanging="360"/>
      </w:pPr>
      <w:rPr>
        <w:rFonts w:ascii="Arial" w:hAnsi="Arial" w:hint="default"/>
      </w:rPr>
    </w:lvl>
    <w:lvl w:ilvl="5" w:tplc="B6C407E4" w:tentative="1">
      <w:start w:val="1"/>
      <w:numFmt w:val="bullet"/>
      <w:lvlText w:val="•"/>
      <w:lvlJc w:val="left"/>
      <w:pPr>
        <w:tabs>
          <w:tab w:val="num" w:pos="4320"/>
        </w:tabs>
        <w:ind w:left="4320" w:hanging="360"/>
      </w:pPr>
      <w:rPr>
        <w:rFonts w:ascii="Arial" w:hAnsi="Arial" w:hint="default"/>
      </w:rPr>
    </w:lvl>
    <w:lvl w:ilvl="6" w:tplc="36AE00A2" w:tentative="1">
      <w:start w:val="1"/>
      <w:numFmt w:val="bullet"/>
      <w:lvlText w:val="•"/>
      <w:lvlJc w:val="left"/>
      <w:pPr>
        <w:tabs>
          <w:tab w:val="num" w:pos="5040"/>
        </w:tabs>
        <w:ind w:left="5040" w:hanging="360"/>
      </w:pPr>
      <w:rPr>
        <w:rFonts w:ascii="Arial" w:hAnsi="Arial" w:hint="default"/>
      </w:rPr>
    </w:lvl>
    <w:lvl w:ilvl="7" w:tplc="843EC12E" w:tentative="1">
      <w:start w:val="1"/>
      <w:numFmt w:val="bullet"/>
      <w:lvlText w:val="•"/>
      <w:lvlJc w:val="left"/>
      <w:pPr>
        <w:tabs>
          <w:tab w:val="num" w:pos="5760"/>
        </w:tabs>
        <w:ind w:left="5760" w:hanging="360"/>
      </w:pPr>
      <w:rPr>
        <w:rFonts w:ascii="Arial" w:hAnsi="Arial" w:hint="default"/>
      </w:rPr>
    </w:lvl>
    <w:lvl w:ilvl="8" w:tplc="B750FC9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AE03676"/>
    <w:multiLevelType w:val="hybridMultilevel"/>
    <w:tmpl w:val="08423B0C"/>
    <w:lvl w:ilvl="0" w:tplc="937439F4">
      <w:start w:val="1"/>
      <w:numFmt w:val="bullet"/>
      <w:lvlText w:val=""/>
      <w:lvlJc w:val="left"/>
      <w:pPr>
        <w:ind w:left="720" w:hanging="360"/>
      </w:pPr>
      <w:rPr>
        <w:rFonts w:ascii="Symbol" w:hAnsi="Symbol"/>
      </w:rPr>
    </w:lvl>
    <w:lvl w:ilvl="1" w:tplc="A10E429C">
      <w:start w:val="1"/>
      <w:numFmt w:val="bullet"/>
      <w:lvlText w:val=""/>
      <w:lvlJc w:val="left"/>
      <w:pPr>
        <w:ind w:left="720" w:hanging="360"/>
      </w:pPr>
      <w:rPr>
        <w:rFonts w:ascii="Symbol" w:hAnsi="Symbol"/>
      </w:rPr>
    </w:lvl>
    <w:lvl w:ilvl="2" w:tplc="AB427300">
      <w:start w:val="1"/>
      <w:numFmt w:val="bullet"/>
      <w:lvlText w:val=""/>
      <w:lvlJc w:val="left"/>
      <w:pPr>
        <w:ind w:left="720" w:hanging="360"/>
      </w:pPr>
      <w:rPr>
        <w:rFonts w:ascii="Symbol" w:hAnsi="Symbol"/>
      </w:rPr>
    </w:lvl>
    <w:lvl w:ilvl="3" w:tplc="31B44B24">
      <w:start w:val="1"/>
      <w:numFmt w:val="bullet"/>
      <w:lvlText w:val=""/>
      <w:lvlJc w:val="left"/>
      <w:pPr>
        <w:ind w:left="720" w:hanging="360"/>
      </w:pPr>
      <w:rPr>
        <w:rFonts w:ascii="Symbol" w:hAnsi="Symbol"/>
      </w:rPr>
    </w:lvl>
    <w:lvl w:ilvl="4" w:tplc="2460BE26">
      <w:start w:val="1"/>
      <w:numFmt w:val="bullet"/>
      <w:lvlText w:val=""/>
      <w:lvlJc w:val="left"/>
      <w:pPr>
        <w:ind w:left="720" w:hanging="360"/>
      </w:pPr>
      <w:rPr>
        <w:rFonts w:ascii="Symbol" w:hAnsi="Symbol"/>
      </w:rPr>
    </w:lvl>
    <w:lvl w:ilvl="5" w:tplc="5D10B198">
      <w:start w:val="1"/>
      <w:numFmt w:val="bullet"/>
      <w:lvlText w:val=""/>
      <w:lvlJc w:val="left"/>
      <w:pPr>
        <w:ind w:left="720" w:hanging="360"/>
      </w:pPr>
      <w:rPr>
        <w:rFonts w:ascii="Symbol" w:hAnsi="Symbol"/>
      </w:rPr>
    </w:lvl>
    <w:lvl w:ilvl="6" w:tplc="A4920FEA">
      <w:start w:val="1"/>
      <w:numFmt w:val="bullet"/>
      <w:lvlText w:val=""/>
      <w:lvlJc w:val="left"/>
      <w:pPr>
        <w:ind w:left="720" w:hanging="360"/>
      </w:pPr>
      <w:rPr>
        <w:rFonts w:ascii="Symbol" w:hAnsi="Symbol"/>
      </w:rPr>
    </w:lvl>
    <w:lvl w:ilvl="7" w:tplc="C576B89E">
      <w:start w:val="1"/>
      <w:numFmt w:val="bullet"/>
      <w:lvlText w:val=""/>
      <w:lvlJc w:val="left"/>
      <w:pPr>
        <w:ind w:left="720" w:hanging="360"/>
      </w:pPr>
      <w:rPr>
        <w:rFonts w:ascii="Symbol" w:hAnsi="Symbol"/>
      </w:rPr>
    </w:lvl>
    <w:lvl w:ilvl="8" w:tplc="2DFC74E4">
      <w:start w:val="1"/>
      <w:numFmt w:val="bullet"/>
      <w:lvlText w:val=""/>
      <w:lvlJc w:val="left"/>
      <w:pPr>
        <w:ind w:left="720" w:hanging="360"/>
      </w:pPr>
      <w:rPr>
        <w:rFonts w:ascii="Symbol" w:hAnsi="Symbol"/>
      </w:rPr>
    </w:lvl>
  </w:abstractNum>
  <w:abstractNum w:abstractNumId="12" w15:restartNumberingAfterBreak="0">
    <w:nsid w:val="54AE561A"/>
    <w:multiLevelType w:val="hybridMultilevel"/>
    <w:tmpl w:val="BC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4C70F0"/>
    <w:multiLevelType w:val="hybridMultilevel"/>
    <w:tmpl w:val="DEE0F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2E2B85"/>
    <w:multiLevelType w:val="hybridMultilevel"/>
    <w:tmpl w:val="95CC5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336115"/>
    <w:multiLevelType w:val="hybridMultilevel"/>
    <w:tmpl w:val="6F92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705676"/>
    <w:multiLevelType w:val="hybridMultilevel"/>
    <w:tmpl w:val="4F8ACEF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695774D0"/>
    <w:multiLevelType w:val="hybridMultilevel"/>
    <w:tmpl w:val="44D61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5E5AC2"/>
    <w:multiLevelType w:val="hybridMultilevel"/>
    <w:tmpl w:val="E842B38C"/>
    <w:lvl w:ilvl="0" w:tplc="8BD60D9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940DF0"/>
    <w:multiLevelType w:val="hybridMultilevel"/>
    <w:tmpl w:val="6F4672D0"/>
    <w:lvl w:ilvl="0" w:tplc="29C016A6">
      <w:start w:val="1"/>
      <w:numFmt w:val="decimal"/>
      <w:lvlText w:val="%1."/>
      <w:lvlJc w:val="lef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533612584">
    <w:abstractNumId w:val="18"/>
  </w:num>
  <w:num w:numId="2" w16cid:durableId="268397587">
    <w:abstractNumId w:val="14"/>
  </w:num>
  <w:num w:numId="3" w16cid:durableId="486744864">
    <w:abstractNumId w:val="1"/>
  </w:num>
  <w:num w:numId="4" w16cid:durableId="1345010704">
    <w:abstractNumId w:val="0"/>
  </w:num>
  <w:num w:numId="5" w16cid:durableId="982544949">
    <w:abstractNumId w:val="6"/>
  </w:num>
  <w:num w:numId="6" w16cid:durableId="1577325643">
    <w:abstractNumId w:val="19"/>
  </w:num>
  <w:num w:numId="7" w16cid:durableId="325284051">
    <w:abstractNumId w:val="4"/>
  </w:num>
  <w:num w:numId="8" w16cid:durableId="1156994352">
    <w:abstractNumId w:val="15"/>
  </w:num>
  <w:num w:numId="9" w16cid:durableId="932856383">
    <w:abstractNumId w:val="9"/>
  </w:num>
  <w:num w:numId="10" w16cid:durableId="295724862">
    <w:abstractNumId w:val="2"/>
  </w:num>
  <w:num w:numId="11" w16cid:durableId="1887333060">
    <w:abstractNumId w:val="10"/>
  </w:num>
  <w:num w:numId="12" w16cid:durableId="2090879224">
    <w:abstractNumId w:val="8"/>
  </w:num>
  <w:num w:numId="13" w16cid:durableId="1660499655">
    <w:abstractNumId w:val="7"/>
  </w:num>
  <w:num w:numId="14" w16cid:durableId="1130200407">
    <w:abstractNumId w:val="12"/>
  </w:num>
  <w:num w:numId="15" w16cid:durableId="1833251513">
    <w:abstractNumId w:val="5"/>
  </w:num>
  <w:num w:numId="16" w16cid:durableId="208609247">
    <w:abstractNumId w:val="16"/>
  </w:num>
  <w:num w:numId="17" w16cid:durableId="2086225546">
    <w:abstractNumId w:val="13"/>
  </w:num>
  <w:num w:numId="18" w16cid:durableId="229199950">
    <w:abstractNumId w:val="3"/>
  </w:num>
  <w:num w:numId="19" w16cid:durableId="784345946">
    <w:abstractNumId w:val="17"/>
  </w:num>
  <w:num w:numId="20" w16cid:durableId="182754994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tHU3y91wEkkon4TCLXzoXQnpRClxRYrVmQgYgBLydm84lwbbwWykS+oPRREXw0OQcHBHtupjhDIyOosI6zp8Eg==" w:salt="EkWUdPsNN4ls2prrUOF+Dw=="/>
  <w:defaultTabStop w:val="720"/>
  <w:characterSpacingControl w:val="doNotCompress"/>
  <w:hdrShapeDefaults>
    <o:shapedefaults v:ext="edit" spidmax="2050"/>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98D"/>
    <w:rsid w:val="00002FF4"/>
    <w:rsid w:val="00003160"/>
    <w:rsid w:val="000042B2"/>
    <w:rsid w:val="00004511"/>
    <w:rsid w:val="0000536C"/>
    <w:rsid w:val="0000619F"/>
    <w:rsid w:val="0000648C"/>
    <w:rsid w:val="0000725F"/>
    <w:rsid w:val="00011324"/>
    <w:rsid w:val="00011BB2"/>
    <w:rsid w:val="0001253D"/>
    <w:rsid w:val="00012E04"/>
    <w:rsid w:val="0001333F"/>
    <w:rsid w:val="00014537"/>
    <w:rsid w:val="00014C93"/>
    <w:rsid w:val="000167B4"/>
    <w:rsid w:val="00016895"/>
    <w:rsid w:val="00017C3F"/>
    <w:rsid w:val="000206D4"/>
    <w:rsid w:val="000208AA"/>
    <w:rsid w:val="00020F0D"/>
    <w:rsid w:val="00021C41"/>
    <w:rsid w:val="00023303"/>
    <w:rsid w:val="00025005"/>
    <w:rsid w:val="000265ED"/>
    <w:rsid w:val="0003078E"/>
    <w:rsid w:val="00031DC6"/>
    <w:rsid w:val="00033E5F"/>
    <w:rsid w:val="00035AE7"/>
    <w:rsid w:val="00036CEF"/>
    <w:rsid w:val="00036E61"/>
    <w:rsid w:val="00037696"/>
    <w:rsid w:val="00037F21"/>
    <w:rsid w:val="00040C3C"/>
    <w:rsid w:val="00041595"/>
    <w:rsid w:val="000420B2"/>
    <w:rsid w:val="0004221B"/>
    <w:rsid w:val="0004246C"/>
    <w:rsid w:val="0004394B"/>
    <w:rsid w:val="00045B2E"/>
    <w:rsid w:val="00046A4F"/>
    <w:rsid w:val="00050190"/>
    <w:rsid w:val="00051148"/>
    <w:rsid w:val="00051BBA"/>
    <w:rsid w:val="00052257"/>
    <w:rsid w:val="000525E5"/>
    <w:rsid w:val="0005273E"/>
    <w:rsid w:val="00052D90"/>
    <w:rsid w:val="00053289"/>
    <w:rsid w:val="0005480F"/>
    <w:rsid w:val="00054B81"/>
    <w:rsid w:val="00055039"/>
    <w:rsid w:val="0005718C"/>
    <w:rsid w:val="000571E7"/>
    <w:rsid w:val="00060E91"/>
    <w:rsid w:val="00061394"/>
    <w:rsid w:val="000620C9"/>
    <w:rsid w:val="000623FC"/>
    <w:rsid w:val="0006256F"/>
    <w:rsid w:val="0006476A"/>
    <w:rsid w:val="00066A8D"/>
    <w:rsid w:val="000700D2"/>
    <w:rsid w:val="00071291"/>
    <w:rsid w:val="00072453"/>
    <w:rsid w:val="00072CBF"/>
    <w:rsid w:val="00072E86"/>
    <w:rsid w:val="00072FA7"/>
    <w:rsid w:val="0007300E"/>
    <w:rsid w:val="00073E63"/>
    <w:rsid w:val="00074040"/>
    <w:rsid w:val="00074B81"/>
    <w:rsid w:val="00074DEC"/>
    <w:rsid w:val="00074E33"/>
    <w:rsid w:val="00075CA6"/>
    <w:rsid w:val="00076268"/>
    <w:rsid w:val="00080D94"/>
    <w:rsid w:val="00081290"/>
    <w:rsid w:val="000812A9"/>
    <w:rsid w:val="00082D22"/>
    <w:rsid w:val="000853F7"/>
    <w:rsid w:val="00085703"/>
    <w:rsid w:val="00085821"/>
    <w:rsid w:val="00086183"/>
    <w:rsid w:val="000873A9"/>
    <w:rsid w:val="000902DB"/>
    <w:rsid w:val="00091BCF"/>
    <w:rsid w:val="00092BD8"/>
    <w:rsid w:val="0009339F"/>
    <w:rsid w:val="00093616"/>
    <w:rsid w:val="0009365D"/>
    <w:rsid w:val="00094ED9"/>
    <w:rsid w:val="00095F26"/>
    <w:rsid w:val="00097639"/>
    <w:rsid w:val="000A12B8"/>
    <w:rsid w:val="000A29B7"/>
    <w:rsid w:val="000A3AE7"/>
    <w:rsid w:val="000A3C0B"/>
    <w:rsid w:val="000A4429"/>
    <w:rsid w:val="000A78E7"/>
    <w:rsid w:val="000B08EE"/>
    <w:rsid w:val="000B0B09"/>
    <w:rsid w:val="000B21A3"/>
    <w:rsid w:val="000B5C28"/>
    <w:rsid w:val="000B6AE1"/>
    <w:rsid w:val="000B7AB2"/>
    <w:rsid w:val="000C03F2"/>
    <w:rsid w:val="000C0FAA"/>
    <w:rsid w:val="000C174B"/>
    <w:rsid w:val="000C2E4E"/>
    <w:rsid w:val="000C2FEA"/>
    <w:rsid w:val="000C4B4A"/>
    <w:rsid w:val="000C5A6B"/>
    <w:rsid w:val="000C66EA"/>
    <w:rsid w:val="000C6CD6"/>
    <w:rsid w:val="000C7D77"/>
    <w:rsid w:val="000D00BB"/>
    <w:rsid w:val="000D04AC"/>
    <w:rsid w:val="000D0930"/>
    <w:rsid w:val="000D3C3A"/>
    <w:rsid w:val="000D3C99"/>
    <w:rsid w:val="000D3EC0"/>
    <w:rsid w:val="000D55CF"/>
    <w:rsid w:val="000D5CB2"/>
    <w:rsid w:val="000D5D4C"/>
    <w:rsid w:val="000D65A6"/>
    <w:rsid w:val="000D71A3"/>
    <w:rsid w:val="000E0268"/>
    <w:rsid w:val="000E1328"/>
    <w:rsid w:val="000E36E3"/>
    <w:rsid w:val="000E4198"/>
    <w:rsid w:val="000E48D5"/>
    <w:rsid w:val="000E5CEB"/>
    <w:rsid w:val="000E69AA"/>
    <w:rsid w:val="000F06C6"/>
    <w:rsid w:val="000F0FA1"/>
    <w:rsid w:val="000F1291"/>
    <w:rsid w:val="000F180D"/>
    <w:rsid w:val="000F1DCE"/>
    <w:rsid w:val="000F337A"/>
    <w:rsid w:val="000F38F1"/>
    <w:rsid w:val="00100195"/>
    <w:rsid w:val="00100676"/>
    <w:rsid w:val="001014E4"/>
    <w:rsid w:val="00102027"/>
    <w:rsid w:val="001026C8"/>
    <w:rsid w:val="00103B36"/>
    <w:rsid w:val="001050DD"/>
    <w:rsid w:val="001052A2"/>
    <w:rsid w:val="001057D5"/>
    <w:rsid w:val="00106EE0"/>
    <w:rsid w:val="001128EA"/>
    <w:rsid w:val="00115B24"/>
    <w:rsid w:val="001167E6"/>
    <w:rsid w:val="00116F20"/>
    <w:rsid w:val="001229CC"/>
    <w:rsid w:val="00122B5E"/>
    <w:rsid w:val="00122FA1"/>
    <w:rsid w:val="0012685D"/>
    <w:rsid w:val="00131388"/>
    <w:rsid w:val="001347F7"/>
    <w:rsid w:val="00134C12"/>
    <w:rsid w:val="00134D2B"/>
    <w:rsid w:val="0013670D"/>
    <w:rsid w:val="00136A94"/>
    <w:rsid w:val="00140F76"/>
    <w:rsid w:val="00141D9E"/>
    <w:rsid w:val="001440F0"/>
    <w:rsid w:val="00144619"/>
    <w:rsid w:val="00145026"/>
    <w:rsid w:val="00147253"/>
    <w:rsid w:val="001513DB"/>
    <w:rsid w:val="0015220F"/>
    <w:rsid w:val="00152407"/>
    <w:rsid w:val="0015311B"/>
    <w:rsid w:val="001532D4"/>
    <w:rsid w:val="00153B49"/>
    <w:rsid w:val="00153C44"/>
    <w:rsid w:val="0015482E"/>
    <w:rsid w:val="00154AF1"/>
    <w:rsid w:val="00154B24"/>
    <w:rsid w:val="00164104"/>
    <w:rsid w:val="001649E7"/>
    <w:rsid w:val="00164FFD"/>
    <w:rsid w:val="001676AA"/>
    <w:rsid w:val="00167B99"/>
    <w:rsid w:val="00170D69"/>
    <w:rsid w:val="00171D19"/>
    <w:rsid w:val="0017300B"/>
    <w:rsid w:val="00173676"/>
    <w:rsid w:val="00173D3A"/>
    <w:rsid w:val="00174474"/>
    <w:rsid w:val="00175148"/>
    <w:rsid w:val="00177274"/>
    <w:rsid w:val="00177946"/>
    <w:rsid w:val="0018020C"/>
    <w:rsid w:val="00180B51"/>
    <w:rsid w:val="00181B76"/>
    <w:rsid w:val="001838F0"/>
    <w:rsid w:val="00183E08"/>
    <w:rsid w:val="001849B4"/>
    <w:rsid w:val="00186F6A"/>
    <w:rsid w:val="0019016A"/>
    <w:rsid w:val="001901BB"/>
    <w:rsid w:val="00191187"/>
    <w:rsid w:val="00191671"/>
    <w:rsid w:val="001932E4"/>
    <w:rsid w:val="001948D9"/>
    <w:rsid w:val="00194EEA"/>
    <w:rsid w:val="001954C5"/>
    <w:rsid w:val="00195AE1"/>
    <w:rsid w:val="00196468"/>
    <w:rsid w:val="00197E14"/>
    <w:rsid w:val="001A0A98"/>
    <w:rsid w:val="001A0CD8"/>
    <w:rsid w:val="001A0EDC"/>
    <w:rsid w:val="001A163D"/>
    <w:rsid w:val="001A267E"/>
    <w:rsid w:val="001A2E74"/>
    <w:rsid w:val="001A5081"/>
    <w:rsid w:val="001A5224"/>
    <w:rsid w:val="001A6DC3"/>
    <w:rsid w:val="001A7AC3"/>
    <w:rsid w:val="001B3229"/>
    <w:rsid w:val="001B3F25"/>
    <w:rsid w:val="001B3F4C"/>
    <w:rsid w:val="001B4927"/>
    <w:rsid w:val="001C016F"/>
    <w:rsid w:val="001C07EA"/>
    <w:rsid w:val="001C0A1A"/>
    <w:rsid w:val="001C0A63"/>
    <w:rsid w:val="001C103B"/>
    <w:rsid w:val="001C4483"/>
    <w:rsid w:val="001C6BEC"/>
    <w:rsid w:val="001C72B4"/>
    <w:rsid w:val="001D0297"/>
    <w:rsid w:val="001D1371"/>
    <w:rsid w:val="001D497D"/>
    <w:rsid w:val="001D5064"/>
    <w:rsid w:val="001D55D8"/>
    <w:rsid w:val="001D73B4"/>
    <w:rsid w:val="001D74D5"/>
    <w:rsid w:val="001E3D1B"/>
    <w:rsid w:val="001E4909"/>
    <w:rsid w:val="001E6C1C"/>
    <w:rsid w:val="001F3245"/>
    <w:rsid w:val="001F53C3"/>
    <w:rsid w:val="001F5BC8"/>
    <w:rsid w:val="001F7AAD"/>
    <w:rsid w:val="001F7E4C"/>
    <w:rsid w:val="00200B9F"/>
    <w:rsid w:val="002015BC"/>
    <w:rsid w:val="002019F3"/>
    <w:rsid w:val="00202FE7"/>
    <w:rsid w:val="002033A7"/>
    <w:rsid w:val="00205690"/>
    <w:rsid w:val="00205A76"/>
    <w:rsid w:val="00206B6E"/>
    <w:rsid w:val="00207DF4"/>
    <w:rsid w:val="0021256F"/>
    <w:rsid w:val="00212E73"/>
    <w:rsid w:val="00213011"/>
    <w:rsid w:val="002133B8"/>
    <w:rsid w:val="00214F4D"/>
    <w:rsid w:val="00215A12"/>
    <w:rsid w:val="00216B36"/>
    <w:rsid w:val="00217976"/>
    <w:rsid w:val="00220523"/>
    <w:rsid w:val="00220BB6"/>
    <w:rsid w:val="00222EAC"/>
    <w:rsid w:val="0022428A"/>
    <w:rsid w:val="00226EA5"/>
    <w:rsid w:val="00227A6B"/>
    <w:rsid w:val="002324BF"/>
    <w:rsid w:val="002328A3"/>
    <w:rsid w:val="00233769"/>
    <w:rsid w:val="00236F29"/>
    <w:rsid w:val="002379BE"/>
    <w:rsid w:val="00237ECB"/>
    <w:rsid w:val="00237F91"/>
    <w:rsid w:val="00240E7B"/>
    <w:rsid w:val="002411A9"/>
    <w:rsid w:val="0024271B"/>
    <w:rsid w:val="002453CB"/>
    <w:rsid w:val="0024683B"/>
    <w:rsid w:val="00246DCC"/>
    <w:rsid w:val="00247547"/>
    <w:rsid w:val="00247C85"/>
    <w:rsid w:val="00250A13"/>
    <w:rsid w:val="00250BEC"/>
    <w:rsid w:val="00251F8D"/>
    <w:rsid w:val="00253C5A"/>
    <w:rsid w:val="00254D22"/>
    <w:rsid w:val="00261C94"/>
    <w:rsid w:val="00261FEB"/>
    <w:rsid w:val="002620F7"/>
    <w:rsid w:val="00262463"/>
    <w:rsid w:val="002628A4"/>
    <w:rsid w:val="00263E46"/>
    <w:rsid w:val="00265A0A"/>
    <w:rsid w:val="00265ED1"/>
    <w:rsid w:val="00267794"/>
    <w:rsid w:val="00267E14"/>
    <w:rsid w:val="002751B7"/>
    <w:rsid w:val="002755DA"/>
    <w:rsid w:val="002776BF"/>
    <w:rsid w:val="00280020"/>
    <w:rsid w:val="002811EF"/>
    <w:rsid w:val="0028374D"/>
    <w:rsid w:val="00284F90"/>
    <w:rsid w:val="00285174"/>
    <w:rsid w:val="00293D63"/>
    <w:rsid w:val="00294F6B"/>
    <w:rsid w:val="00295640"/>
    <w:rsid w:val="002A00CA"/>
    <w:rsid w:val="002A1078"/>
    <w:rsid w:val="002A164E"/>
    <w:rsid w:val="002A187A"/>
    <w:rsid w:val="002B0E09"/>
    <w:rsid w:val="002B1C2A"/>
    <w:rsid w:val="002B1ED7"/>
    <w:rsid w:val="002B3209"/>
    <w:rsid w:val="002B3223"/>
    <w:rsid w:val="002B5C1D"/>
    <w:rsid w:val="002B714E"/>
    <w:rsid w:val="002B752A"/>
    <w:rsid w:val="002C048A"/>
    <w:rsid w:val="002C23A1"/>
    <w:rsid w:val="002C4F2E"/>
    <w:rsid w:val="002C5C86"/>
    <w:rsid w:val="002C78FB"/>
    <w:rsid w:val="002D1C85"/>
    <w:rsid w:val="002D1EAA"/>
    <w:rsid w:val="002D29E9"/>
    <w:rsid w:val="002D2A01"/>
    <w:rsid w:val="002D2A3D"/>
    <w:rsid w:val="002D697A"/>
    <w:rsid w:val="002D7ADB"/>
    <w:rsid w:val="002D7DC2"/>
    <w:rsid w:val="002D7E0F"/>
    <w:rsid w:val="002E0BFF"/>
    <w:rsid w:val="002E1C72"/>
    <w:rsid w:val="002E2106"/>
    <w:rsid w:val="002E2527"/>
    <w:rsid w:val="002E2584"/>
    <w:rsid w:val="002E2C7E"/>
    <w:rsid w:val="002E37E9"/>
    <w:rsid w:val="002E783F"/>
    <w:rsid w:val="002F1B3D"/>
    <w:rsid w:val="002F1E0F"/>
    <w:rsid w:val="002F3813"/>
    <w:rsid w:val="002F4649"/>
    <w:rsid w:val="002F562E"/>
    <w:rsid w:val="002F67B5"/>
    <w:rsid w:val="002F6830"/>
    <w:rsid w:val="002F7972"/>
    <w:rsid w:val="0030070B"/>
    <w:rsid w:val="00302C15"/>
    <w:rsid w:val="00302FF5"/>
    <w:rsid w:val="00303036"/>
    <w:rsid w:val="003033FB"/>
    <w:rsid w:val="00303A44"/>
    <w:rsid w:val="0030439C"/>
    <w:rsid w:val="00305256"/>
    <w:rsid w:val="003074E2"/>
    <w:rsid w:val="0030797A"/>
    <w:rsid w:val="00310230"/>
    <w:rsid w:val="0031166B"/>
    <w:rsid w:val="003120FA"/>
    <w:rsid w:val="00312B8B"/>
    <w:rsid w:val="003157B7"/>
    <w:rsid w:val="00315BD0"/>
    <w:rsid w:val="00315D51"/>
    <w:rsid w:val="00315FBF"/>
    <w:rsid w:val="00316CC1"/>
    <w:rsid w:val="00317FA7"/>
    <w:rsid w:val="003210DC"/>
    <w:rsid w:val="00323931"/>
    <w:rsid w:val="00325516"/>
    <w:rsid w:val="00325AB8"/>
    <w:rsid w:val="0032670A"/>
    <w:rsid w:val="00326988"/>
    <w:rsid w:val="00326C93"/>
    <w:rsid w:val="003271DB"/>
    <w:rsid w:val="003276AB"/>
    <w:rsid w:val="00331122"/>
    <w:rsid w:val="00331DBA"/>
    <w:rsid w:val="003321CC"/>
    <w:rsid w:val="00333D8C"/>
    <w:rsid w:val="0033460F"/>
    <w:rsid w:val="00334C92"/>
    <w:rsid w:val="00336632"/>
    <w:rsid w:val="00336930"/>
    <w:rsid w:val="00337D8B"/>
    <w:rsid w:val="00340F05"/>
    <w:rsid w:val="00341F02"/>
    <w:rsid w:val="00344576"/>
    <w:rsid w:val="003505F1"/>
    <w:rsid w:val="003511AA"/>
    <w:rsid w:val="003515E3"/>
    <w:rsid w:val="003525B6"/>
    <w:rsid w:val="0035285B"/>
    <w:rsid w:val="00356FA0"/>
    <w:rsid w:val="003607C0"/>
    <w:rsid w:val="00361F4B"/>
    <w:rsid w:val="00365A7B"/>
    <w:rsid w:val="00365AD7"/>
    <w:rsid w:val="00370306"/>
    <w:rsid w:val="00371265"/>
    <w:rsid w:val="0037161D"/>
    <w:rsid w:val="00371729"/>
    <w:rsid w:val="00371BC3"/>
    <w:rsid w:val="0037274C"/>
    <w:rsid w:val="003727B1"/>
    <w:rsid w:val="003757B4"/>
    <w:rsid w:val="003761A6"/>
    <w:rsid w:val="003762FD"/>
    <w:rsid w:val="0038119F"/>
    <w:rsid w:val="003814BB"/>
    <w:rsid w:val="003818C6"/>
    <w:rsid w:val="00382E16"/>
    <w:rsid w:val="00387073"/>
    <w:rsid w:val="0038732B"/>
    <w:rsid w:val="00391018"/>
    <w:rsid w:val="003926A0"/>
    <w:rsid w:val="00393FC9"/>
    <w:rsid w:val="00396D7D"/>
    <w:rsid w:val="003970CF"/>
    <w:rsid w:val="003A10E2"/>
    <w:rsid w:val="003A1D48"/>
    <w:rsid w:val="003A254F"/>
    <w:rsid w:val="003A3B6F"/>
    <w:rsid w:val="003A3C25"/>
    <w:rsid w:val="003A3FC4"/>
    <w:rsid w:val="003A422E"/>
    <w:rsid w:val="003A424D"/>
    <w:rsid w:val="003A566A"/>
    <w:rsid w:val="003A5A30"/>
    <w:rsid w:val="003A6111"/>
    <w:rsid w:val="003A6D89"/>
    <w:rsid w:val="003B1C18"/>
    <w:rsid w:val="003B249F"/>
    <w:rsid w:val="003B3187"/>
    <w:rsid w:val="003B3362"/>
    <w:rsid w:val="003B357C"/>
    <w:rsid w:val="003B3C15"/>
    <w:rsid w:val="003B3C20"/>
    <w:rsid w:val="003B432A"/>
    <w:rsid w:val="003B60BD"/>
    <w:rsid w:val="003B7149"/>
    <w:rsid w:val="003C0B91"/>
    <w:rsid w:val="003C1EBF"/>
    <w:rsid w:val="003C245B"/>
    <w:rsid w:val="003C4353"/>
    <w:rsid w:val="003C59FB"/>
    <w:rsid w:val="003C5B89"/>
    <w:rsid w:val="003C6196"/>
    <w:rsid w:val="003C6976"/>
    <w:rsid w:val="003C78E8"/>
    <w:rsid w:val="003D0A5B"/>
    <w:rsid w:val="003D0AF4"/>
    <w:rsid w:val="003D0EEC"/>
    <w:rsid w:val="003D2CBA"/>
    <w:rsid w:val="003D402D"/>
    <w:rsid w:val="003D61AD"/>
    <w:rsid w:val="003D6D2D"/>
    <w:rsid w:val="003D70C6"/>
    <w:rsid w:val="003D7AEC"/>
    <w:rsid w:val="003E036B"/>
    <w:rsid w:val="003E1B75"/>
    <w:rsid w:val="003E423F"/>
    <w:rsid w:val="003E65F3"/>
    <w:rsid w:val="003E71D8"/>
    <w:rsid w:val="003F0FAD"/>
    <w:rsid w:val="003F2CA3"/>
    <w:rsid w:val="003F3BEC"/>
    <w:rsid w:val="003F41ED"/>
    <w:rsid w:val="003F46CF"/>
    <w:rsid w:val="003F491A"/>
    <w:rsid w:val="003F5624"/>
    <w:rsid w:val="003F5F43"/>
    <w:rsid w:val="003F6146"/>
    <w:rsid w:val="003F708B"/>
    <w:rsid w:val="004011D9"/>
    <w:rsid w:val="00401395"/>
    <w:rsid w:val="00401447"/>
    <w:rsid w:val="00401554"/>
    <w:rsid w:val="004022F1"/>
    <w:rsid w:val="00404344"/>
    <w:rsid w:val="00405E43"/>
    <w:rsid w:val="00406928"/>
    <w:rsid w:val="00407FA5"/>
    <w:rsid w:val="0041175A"/>
    <w:rsid w:val="00411F5C"/>
    <w:rsid w:val="00412F99"/>
    <w:rsid w:val="00415A98"/>
    <w:rsid w:val="004162C2"/>
    <w:rsid w:val="004165D2"/>
    <w:rsid w:val="00416A0F"/>
    <w:rsid w:val="0042054E"/>
    <w:rsid w:val="0042093B"/>
    <w:rsid w:val="00422214"/>
    <w:rsid w:val="00422AA9"/>
    <w:rsid w:val="004233DD"/>
    <w:rsid w:val="004237D2"/>
    <w:rsid w:val="0042395A"/>
    <w:rsid w:val="0042570D"/>
    <w:rsid w:val="00431589"/>
    <w:rsid w:val="004321BF"/>
    <w:rsid w:val="004323CB"/>
    <w:rsid w:val="004350A5"/>
    <w:rsid w:val="004359A9"/>
    <w:rsid w:val="00436F66"/>
    <w:rsid w:val="00441738"/>
    <w:rsid w:val="00441D34"/>
    <w:rsid w:val="00442BE6"/>
    <w:rsid w:val="0044365B"/>
    <w:rsid w:val="00443878"/>
    <w:rsid w:val="004448B6"/>
    <w:rsid w:val="0044553D"/>
    <w:rsid w:val="00445A75"/>
    <w:rsid w:val="0044634F"/>
    <w:rsid w:val="00450D98"/>
    <w:rsid w:val="00450EA5"/>
    <w:rsid w:val="0045148C"/>
    <w:rsid w:val="00451E1A"/>
    <w:rsid w:val="004539A5"/>
    <w:rsid w:val="00453C19"/>
    <w:rsid w:val="0045481B"/>
    <w:rsid w:val="00457AC6"/>
    <w:rsid w:val="00457E9C"/>
    <w:rsid w:val="004604B1"/>
    <w:rsid w:val="0046149A"/>
    <w:rsid w:val="00461A1C"/>
    <w:rsid w:val="00461BFD"/>
    <w:rsid w:val="00462D7D"/>
    <w:rsid w:val="00462E0F"/>
    <w:rsid w:val="004641E9"/>
    <w:rsid w:val="00466204"/>
    <w:rsid w:val="00466BD0"/>
    <w:rsid w:val="00467A0C"/>
    <w:rsid w:val="00470E36"/>
    <w:rsid w:val="00472825"/>
    <w:rsid w:val="004749B5"/>
    <w:rsid w:val="00475F63"/>
    <w:rsid w:val="004772FF"/>
    <w:rsid w:val="00477B6C"/>
    <w:rsid w:val="00480EC2"/>
    <w:rsid w:val="00480ECE"/>
    <w:rsid w:val="00483322"/>
    <w:rsid w:val="004861A1"/>
    <w:rsid w:val="004863E7"/>
    <w:rsid w:val="00486C35"/>
    <w:rsid w:val="00486DB8"/>
    <w:rsid w:val="00486F4A"/>
    <w:rsid w:val="004875BE"/>
    <w:rsid w:val="004876C8"/>
    <w:rsid w:val="00491D45"/>
    <w:rsid w:val="00492638"/>
    <w:rsid w:val="00493DE3"/>
    <w:rsid w:val="00494706"/>
    <w:rsid w:val="00494D14"/>
    <w:rsid w:val="00495DB4"/>
    <w:rsid w:val="00496AD5"/>
    <w:rsid w:val="004974D4"/>
    <w:rsid w:val="004A0DBA"/>
    <w:rsid w:val="004A3531"/>
    <w:rsid w:val="004A46ED"/>
    <w:rsid w:val="004A50DC"/>
    <w:rsid w:val="004A5C1F"/>
    <w:rsid w:val="004B0A34"/>
    <w:rsid w:val="004B0C9A"/>
    <w:rsid w:val="004B0EF0"/>
    <w:rsid w:val="004B1064"/>
    <w:rsid w:val="004B3497"/>
    <w:rsid w:val="004B583A"/>
    <w:rsid w:val="004B5C76"/>
    <w:rsid w:val="004B6995"/>
    <w:rsid w:val="004B7481"/>
    <w:rsid w:val="004B7963"/>
    <w:rsid w:val="004C066D"/>
    <w:rsid w:val="004C1445"/>
    <w:rsid w:val="004C16C3"/>
    <w:rsid w:val="004C1887"/>
    <w:rsid w:val="004C20ED"/>
    <w:rsid w:val="004C292A"/>
    <w:rsid w:val="004C43F0"/>
    <w:rsid w:val="004C4587"/>
    <w:rsid w:val="004C4D07"/>
    <w:rsid w:val="004C5A45"/>
    <w:rsid w:val="004D10FE"/>
    <w:rsid w:val="004D4C0D"/>
    <w:rsid w:val="004D58C4"/>
    <w:rsid w:val="004D6D1A"/>
    <w:rsid w:val="004D767C"/>
    <w:rsid w:val="004E0203"/>
    <w:rsid w:val="004E1D40"/>
    <w:rsid w:val="004E6228"/>
    <w:rsid w:val="004E6C54"/>
    <w:rsid w:val="004E7FAC"/>
    <w:rsid w:val="004F0256"/>
    <w:rsid w:val="004F086A"/>
    <w:rsid w:val="004F22E3"/>
    <w:rsid w:val="004F3062"/>
    <w:rsid w:val="004F7F64"/>
    <w:rsid w:val="005006E4"/>
    <w:rsid w:val="0050100D"/>
    <w:rsid w:val="0050196F"/>
    <w:rsid w:val="00502A8E"/>
    <w:rsid w:val="005036C4"/>
    <w:rsid w:val="005039EF"/>
    <w:rsid w:val="00503C22"/>
    <w:rsid w:val="00504374"/>
    <w:rsid w:val="0050494A"/>
    <w:rsid w:val="00504B20"/>
    <w:rsid w:val="0050518D"/>
    <w:rsid w:val="005052D0"/>
    <w:rsid w:val="005067D0"/>
    <w:rsid w:val="00506D3F"/>
    <w:rsid w:val="00507A2D"/>
    <w:rsid w:val="00507AC6"/>
    <w:rsid w:val="00510783"/>
    <w:rsid w:val="00511A20"/>
    <w:rsid w:val="00512607"/>
    <w:rsid w:val="0051311E"/>
    <w:rsid w:val="00513215"/>
    <w:rsid w:val="005133FB"/>
    <w:rsid w:val="005141FF"/>
    <w:rsid w:val="0051590C"/>
    <w:rsid w:val="00515AC0"/>
    <w:rsid w:val="00516119"/>
    <w:rsid w:val="00520236"/>
    <w:rsid w:val="00520651"/>
    <w:rsid w:val="00520D08"/>
    <w:rsid w:val="0052207C"/>
    <w:rsid w:val="00524E02"/>
    <w:rsid w:val="005254B9"/>
    <w:rsid w:val="0052670C"/>
    <w:rsid w:val="00526CBC"/>
    <w:rsid w:val="00527533"/>
    <w:rsid w:val="00527B08"/>
    <w:rsid w:val="0053078C"/>
    <w:rsid w:val="0053205F"/>
    <w:rsid w:val="00534799"/>
    <w:rsid w:val="00535FD8"/>
    <w:rsid w:val="00536274"/>
    <w:rsid w:val="00536CEB"/>
    <w:rsid w:val="00537580"/>
    <w:rsid w:val="0054165C"/>
    <w:rsid w:val="005437AE"/>
    <w:rsid w:val="00544B1A"/>
    <w:rsid w:val="005451A3"/>
    <w:rsid w:val="0054574B"/>
    <w:rsid w:val="0055071D"/>
    <w:rsid w:val="00550ECD"/>
    <w:rsid w:val="00552F21"/>
    <w:rsid w:val="0055359D"/>
    <w:rsid w:val="005542DB"/>
    <w:rsid w:val="0055459E"/>
    <w:rsid w:val="00555DFF"/>
    <w:rsid w:val="00557C7C"/>
    <w:rsid w:val="00561C24"/>
    <w:rsid w:val="00562540"/>
    <w:rsid w:val="00563A2B"/>
    <w:rsid w:val="005645BC"/>
    <w:rsid w:val="00565A73"/>
    <w:rsid w:val="00566822"/>
    <w:rsid w:val="00567B9E"/>
    <w:rsid w:val="0057072C"/>
    <w:rsid w:val="00570782"/>
    <w:rsid w:val="00571E8C"/>
    <w:rsid w:val="005732E2"/>
    <w:rsid w:val="005749C5"/>
    <w:rsid w:val="00574B49"/>
    <w:rsid w:val="00575C51"/>
    <w:rsid w:val="005772DC"/>
    <w:rsid w:val="00581676"/>
    <w:rsid w:val="00581D94"/>
    <w:rsid w:val="00582896"/>
    <w:rsid w:val="005831B3"/>
    <w:rsid w:val="0058389F"/>
    <w:rsid w:val="005856D5"/>
    <w:rsid w:val="005857AB"/>
    <w:rsid w:val="00585880"/>
    <w:rsid w:val="00585BFF"/>
    <w:rsid w:val="00585F0A"/>
    <w:rsid w:val="00587CC0"/>
    <w:rsid w:val="00587F7D"/>
    <w:rsid w:val="00592814"/>
    <w:rsid w:val="00592BED"/>
    <w:rsid w:val="00592EC7"/>
    <w:rsid w:val="00593DA6"/>
    <w:rsid w:val="005947DA"/>
    <w:rsid w:val="00594D28"/>
    <w:rsid w:val="005A0624"/>
    <w:rsid w:val="005A0A12"/>
    <w:rsid w:val="005A26A6"/>
    <w:rsid w:val="005A38F5"/>
    <w:rsid w:val="005A3BAE"/>
    <w:rsid w:val="005A4760"/>
    <w:rsid w:val="005A5F23"/>
    <w:rsid w:val="005A78AE"/>
    <w:rsid w:val="005B1511"/>
    <w:rsid w:val="005B2073"/>
    <w:rsid w:val="005B20B6"/>
    <w:rsid w:val="005B24A3"/>
    <w:rsid w:val="005B3D76"/>
    <w:rsid w:val="005B6610"/>
    <w:rsid w:val="005B7108"/>
    <w:rsid w:val="005B7C64"/>
    <w:rsid w:val="005C035A"/>
    <w:rsid w:val="005C118D"/>
    <w:rsid w:val="005C1396"/>
    <w:rsid w:val="005C21C3"/>
    <w:rsid w:val="005C4FA9"/>
    <w:rsid w:val="005C6B69"/>
    <w:rsid w:val="005C7AE2"/>
    <w:rsid w:val="005D0E98"/>
    <w:rsid w:val="005D3766"/>
    <w:rsid w:val="005D5A31"/>
    <w:rsid w:val="005D6AB1"/>
    <w:rsid w:val="005D79AF"/>
    <w:rsid w:val="005D7C5E"/>
    <w:rsid w:val="005D7E64"/>
    <w:rsid w:val="005E3890"/>
    <w:rsid w:val="005E3C7D"/>
    <w:rsid w:val="005E6E87"/>
    <w:rsid w:val="005F2B8D"/>
    <w:rsid w:val="005F3FA3"/>
    <w:rsid w:val="005F575C"/>
    <w:rsid w:val="005F755C"/>
    <w:rsid w:val="006008B2"/>
    <w:rsid w:val="00601F2F"/>
    <w:rsid w:val="00607002"/>
    <w:rsid w:val="0061101B"/>
    <w:rsid w:val="006115BE"/>
    <w:rsid w:val="00611BDA"/>
    <w:rsid w:val="00616108"/>
    <w:rsid w:val="00621066"/>
    <w:rsid w:val="00621DB2"/>
    <w:rsid w:val="00622F8C"/>
    <w:rsid w:val="00624FE3"/>
    <w:rsid w:val="0062590B"/>
    <w:rsid w:val="00625DD2"/>
    <w:rsid w:val="00625E74"/>
    <w:rsid w:val="00626FD0"/>
    <w:rsid w:val="0063033D"/>
    <w:rsid w:val="00631136"/>
    <w:rsid w:val="0063159D"/>
    <w:rsid w:val="0063317F"/>
    <w:rsid w:val="006332AC"/>
    <w:rsid w:val="00633540"/>
    <w:rsid w:val="00634797"/>
    <w:rsid w:val="00634B59"/>
    <w:rsid w:val="00636DF9"/>
    <w:rsid w:val="0064062A"/>
    <w:rsid w:val="00641167"/>
    <w:rsid w:val="00641FB1"/>
    <w:rsid w:val="00642CC0"/>
    <w:rsid w:val="00645138"/>
    <w:rsid w:val="0064545D"/>
    <w:rsid w:val="00647ABB"/>
    <w:rsid w:val="00647D64"/>
    <w:rsid w:val="006503C5"/>
    <w:rsid w:val="00651FFD"/>
    <w:rsid w:val="00652156"/>
    <w:rsid w:val="0065221F"/>
    <w:rsid w:val="0065305A"/>
    <w:rsid w:val="00653191"/>
    <w:rsid w:val="006535B0"/>
    <w:rsid w:val="00653AC9"/>
    <w:rsid w:val="006548E4"/>
    <w:rsid w:val="006563DF"/>
    <w:rsid w:val="006574DD"/>
    <w:rsid w:val="00661617"/>
    <w:rsid w:val="00661A19"/>
    <w:rsid w:val="00662D70"/>
    <w:rsid w:val="00664878"/>
    <w:rsid w:val="00664A4F"/>
    <w:rsid w:val="00665E6D"/>
    <w:rsid w:val="00666265"/>
    <w:rsid w:val="00666E26"/>
    <w:rsid w:val="00667282"/>
    <w:rsid w:val="006678D4"/>
    <w:rsid w:val="0067064E"/>
    <w:rsid w:val="0067091D"/>
    <w:rsid w:val="00672B94"/>
    <w:rsid w:val="00674E40"/>
    <w:rsid w:val="00675ACE"/>
    <w:rsid w:val="006760D3"/>
    <w:rsid w:val="00677292"/>
    <w:rsid w:val="006803D3"/>
    <w:rsid w:val="00680445"/>
    <w:rsid w:val="0068279E"/>
    <w:rsid w:val="00686F37"/>
    <w:rsid w:val="006871D3"/>
    <w:rsid w:val="00687ED3"/>
    <w:rsid w:val="0069070C"/>
    <w:rsid w:val="00691D5D"/>
    <w:rsid w:val="006926B1"/>
    <w:rsid w:val="00692757"/>
    <w:rsid w:val="0069413F"/>
    <w:rsid w:val="00695B1E"/>
    <w:rsid w:val="00695F80"/>
    <w:rsid w:val="006968B6"/>
    <w:rsid w:val="00696CEE"/>
    <w:rsid w:val="00697113"/>
    <w:rsid w:val="00697508"/>
    <w:rsid w:val="006975F0"/>
    <w:rsid w:val="006978C8"/>
    <w:rsid w:val="006A36C6"/>
    <w:rsid w:val="006A3A25"/>
    <w:rsid w:val="006A40B3"/>
    <w:rsid w:val="006A45BC"/>
    <w:rsid w:val="006A4951"/>
    <w:rsid w:val="006A5FB0"/>
    <w:rsid w:val="006A61F2"/>
    <w:rsid w:val="006A627A"/>
    <w:rsid w:val="006A6530"/>
    <w:rsid w:val="006A6BF7"/>
    <w:rsid w:val="006A75E3"/>
    <w:rsid w:val="006B00E4"/>
    <w:rsid w:val="006B0BC3"/>
    <w:rsid w:val="006B14BC"/>
    <w:rsid w:val="006B39DC"/>
    <w:rsid w:val="006B3FA4"/>
    <w:rsid w:val="006B5B46"/>
    <w:rsid w:val="006B678C"/>
    <w:rsid w:val="006C180E"/>
    <w:rsid w:val="006C1D2B"/>
    <w:rsid w:val="006C22C3"/>
    <w:rsid w:val="006C33F6"/>
    <w:rsid w:val="006C4F2F"/>
    <w:rsid w:val="006C5224"/>
    <w:rsid w:val="006C6876"/>
    <w:rsid w:val="006C6AAF"/>
    <w:rsid w:val="006C6CD6"/>
    <w:rsid w:val="006C71B9"/>
    <w:rsid w:val="006C7826"/>
    <w:rsid w:val="006C7CA8"/>
    <w:rsid w:val="006D3351"/>
    <w:rsid w:val="006D3F33"/>
    <w:rsid w:val="006D4389"/>
    <w:rsid w:val="006D4E30"/>
    <w:rsid w:val="006D6C76"/>
    <w:rsid w:val="006E0242"/>
    <w:rsid w:val="006E06DE"/>
    <w:rsid w:val="006E1B0B"/>
    <w:rsid w:val="006E3599"/>
    <w:rsid w:val="006E3F69"/>
    <w:rsid w:val="006E47BF"/>
    <w:rsid w:val="006E5932"/>
    <w:rsid w:val="006E7594"/>
    <w:rsid w:val="006F0844"/>
    <w:rsid w:val="006F1366"/>
    <w:rsid w:val="006F155B"/>
    <w:rsid w:val="006F198C"/>
    <w:rsid w:val="006F3404"/>
    <w:rsid w:val="006F3F70"/>
    <w:rsid w:val="006F48E2"/>
    <w:rsid w:val="006F5364"/>
    <w:rsid w:val="007022CF"/>
    <w:rsid w:val="00702D93"/>
    <w:rsid w:val="00703E92"/>
    <w:rsid w:val="00706A88"/>
    <w:rsid w:val="00706F35"/>
    <w:rsid w:val="007072B1"/>
    <w:rsid w:val="007101F1"/>
    <w:rsid w:val="00710765"/>
    <w:rsid w:val="00710DEA"/>
    <w:rsid w:val="00713865"/>
    <w:rsid w:val="0071453B"/>
    <w:rsid w:val="007158F7"/>
    <w:rsid w:val="00720649"/>
    <w:rsid w:val="00720881"/>
    <w:rsid w:val="0072177D"/>
    <w:rsid w:val="00721B6A"/>
    <w:rsid w:val="0072417B"/>
    <w:rsid w:val="00724C7C"/>
    <w:rsid w:val="0072543D"/>
    <w:rsid w:val="00725C26"/>
    <w:rsid w:val="00726E9B"/>
    <w:rsid w:val="0072750C"/>
    <w:rsid w:val="00730897"/>
    <w:rsid w:val="00731379"/>
    <w:rsid w:val="00731B4F"/>
    <w:rsid w:val="00732EBE"/>
    <w:rsid w:val="00733797"/>
    <w:rsid w:val="00733A5D"/>
    <w:rsid w:val="0073475F"/>
    <w:rsid w:val="00736A59"/>
    <w:rsid w:val="00737596"/>
    <w:rsid w:val="00740C2F"/>
    <w:rsid w:val="00741219"/>
    <w:rsid w:val="00741832"/>
    <w:rsid w:val="00744CA7"/>
    <w:rsid w:val="00750836"/>
    <w:rsid w:val="00751EC6"/>
    <w:rsid w:val="007563E9"/>
    <w:rsid w:val="00756837"/>
    <w:rsid w:val="00757BA3"/>
    <w:rsid w:val="00760E3E"/>
    <w:rsid w:val="00761622"/>
    <w:rsid w:val="00761C7E"/>
    <w:rsid w:val="00761FA3"/>
    <w:rsid w:val="0076211A"/>
    <w:rsid w:val="0076243A"/>
    <w:rsid w:val="00764EDB"/>
    <w:rsid w:val="007650BF"/>
    <w:rsid w:val="0077041E"/>
    <w:rsid w:val="0077312F"/>
    <w:rsid w:val="0077362A"/>
    <w:rsid w:val="007742A6"/>
    <w:rsid w:val="00774F28"/>
    <w:rsid w:val="007758E0"/>
    <w:rsid w:val="007767D6"/>
    <w:rsid w:val="00780778"/>
    <w:rsid w:val="00781926"/>
    <w:rsid w:val="00781AF1"/>
    <w:rsid w:val="0078233B"/>
    <w:rsid w:val="00782EBD"/>
    <w:rsid w:val="007836FF"/>
    <w:rsid w:val="00785099"/>
    <w:rsid w:val="0079055A"/>
    <w:rsid w:val="00792D37"/>
    <w:rsid w:val="00792D4E"/>
    <w:rsid w:val="0079364E"/>
    <w:rsid w:val="00793C4E"/>
    <w:rsid w:val="00794A22"/>
    <w:rsid w:val="00796857"/>
    <w:rsid w:val="00796973"/>
    <w:rsid w:val="007A227A"/>
    <w:rsid w:val="007A33AC"/>
    <w:rsid w:val="007A6045"/>
    <w:rsid w:val="007A68BD"/>
    <w:rsid w:val="007A7E91"/>
    <w:rsid w:val="007B052D"/>
    <w:rsid w:val="007B0601"/>
    <w:rsid w:val="007B0DA6"/>
    <w:rsid w:val="007B1F70"/>
    <w:rsid w:val="007B25D9"/>
    <w:rsid w:val="007B551E"/>
    <w:rsid w:val="007B7510"/>
    <w:rsid w:val="007B7637"/>
    <w:rsid w:val="007C074D"/>
    <w:rsid w:val="007C08B7"/>
    <w:rsid w:val="007C203D"/>
    <w:rsid w:val="007C22C3"/>
    <w:rsid w:val="007C2846"/>
    <w:rsid w:val="007C29A8"/>
    <w:rsid w:val="007C30B2"/>
    <w:rsid w:val="007C3959"/>
    <w:rsid w:val="007C5AE9"/>
    <w:rsid w:val="007C6158"/>
    <w:rsid w:val="007C6B78"/>
    <w:rsid w:val="007D1273"/>
    <w:rsid w:val="007D42FC"/>
    <w:rsid w:val="007D559B"/>
    <w:rsid w:val="007D5B2D"/>
    <w:rsid w:val="007D6C51"/>
    <w:rsid w:val="007D7062"/>
    <w:rsid w:val="007D7223"/>
    <w:rsid w:val="007E0439"/>
    <w:rsid w:val="007E2262"/>
    <w:rsid w:val="007E52F3"/>
    <w:rsid w:val="007E54B6"/>
    <w:rsid w:val="007E637E"/>
    <w:rsid w:val="007E9FB2"/>
    <w:rsid w:val="007F00BB"/>
    <w:rsid w:val="007F23D8"/>
    <w:rsid w:val="007F28AD"/>
    <w:rsid w:val="007F3207"/>
    <w:rsid w:val="007F3F80"/>
    <w:rsid w:val="007F461A"/>
    <w:rsid w:val="007F4E06"/>
    <w:rsid w:val="007F5031"/>
    <w:rsid w:val="007F50D9"/>
    <w:rsid w:val="007F5704"/>
    <w:rsid w:val="007F5731"/>
    <w:rsid w:val="007F6186"/>
    <w:rsid w:val="007F7214"/>
    <w:rsid w:val="0080065E"/>
    <w:rsid w:val="00800A62"/>
    <w:rsid w:val="0080123E"/>
    <w:rsid w:val="00801D19"/>
    <w:rsid w:val="008029C2"/>
    <w:rsid w:val="00803518"/>
    <w:rsid w:val="00803D92"/>
    <w:rsid w:val="008049D4"/>
    <w:rsid w:val="008057E8"/>
    <w:rsid w:val="008060E3"/>
    <w:rsid w:val="00807286"/>
    <w:rsid w:val="00807380"/>
    <w:rsid w:val="00807A86"/>
    <w:rsid w:val="008103DD"/>
    <w:rsid w:val="00810AED"/>
    <w:rsid w:val="0081383A"/>
    <w:rsid w:val="00814565"/>
    <w:rsid w:val="008145AD"/>
    <w:rsid w:val="00815637"/>
    <w:rsid w:val="00816AB6"/>
    <w:rsid w:val="00821E27"/>
    <w:rsid w:val="00822892"/>
    <w:rsid w:val="00823A1E"/>
    <w:rsid w:val="0082552C"/>
    <w:rsid w:val="008266FD"/>
    <w:rsid w:val="008279B0"/>
    <w:rsid w:val="00827C0C"/>
    <w:rsid w:val="00830D79"/>
    <w:rsid w:val="00833DBC"/>
    <w:rsid w:val="00834240"/>
    <w:rsid w:val="008350A7"/>
    <w:rsid w:val="00837143"/>
    <w:rsid w:val="00840945"/>
    <w:rsid w:val="00840DF7"/>
    <w:rsid w:val="0084197A"/>
    <w:rsid w:val="00841D44"/>
    <w:rsid w:val="00843406"/>
    <w:rsid w:val="00843434"/>
    <w:rsid w:val="0084462F"/>
    <w:rsid w:val="0084496F"/>
    <w:rsid w:val="00845127"/>
    <w:rsid w:val="00846368"/>
    <w:rsid w:val="00846400"/>
    <w:rsid w:val="0085062B"/>
    <w:rsid w:val="008512E7"/>
    <w:rsid w:val="00854496"/>
    <w:rsid w:val="0085731B"/>
    <w:rsid w:val="00857889"/>
    <w:rsid w:val="00861147"/>
    <w:rsid w:val="008611B9"/>
    <w:rsid w:val="00861C6E"/>
    <w:rsid w:val="00861D30"/>
    <w:rsid w:val="0086263E"/>
    <w:rsid w:val="00863A7F"/>
    <w:rsid w:val="0086440B"/>
    <w:rsid w:val="008664BC"/>
    <w:rsid w:val="00866809"/>
    <w:rsid w:val="00866EDE"/>
    <w:rsid w:val="00866F18"/>
    <w:rsid w:val="00870D37"/>
    <w:rsid w:val="008717C1"/>
    <w:rsid w:val="008723B6"/>
    <w:rsid w:val="00874CBD"/>
    <w:rsid w:val="0087628A"/>
    <w:rsid w:val="0087632A"/>
    <w:rsid w:val="00876A35"/>
    <w:rsid w:val="00880029"/>
    <w:rsid w:val="00882E4C"/>
    <w:rsid w:val="008839CE"/>
    <w:rsid w:val="00883B4A"/>
    <w:rsid w:val="00883F55"/>
    <w:rsid w:val="00883F9F"/>
    <w:rsid w:val="00884D5B"/>
    <w:rsid w:val="00885147"/>
    <w:rsid w:val="00886388"/>
    <w:rsid w:val="00887AF9"/>
    <w:rsid w:val="008912C1"/>
    <w:rsid w:val="00891608"/>
    <w:rsid w:val="00892441"/>
    <w:rsid w:val="00895442"/>
    <w:rsid w:val="008A200C"/>
    <w:rsid w:val="008A32C7"/>
    <w:rsid w:val="008A33BD"/>
    <w:rsid w:val="008A3679"/>
    <w:rsid w:val="008A422C"/>
    <w:rsid w:val="008A7693"/>
    <w:rsid w:val="008B0084"/>
    <w:rsid w:val="008B1BF7"/>
    <w:rsid w:val="008B2245"/>
    <w:rsid w:val="008B3DCB"/>
    <w:rsid w:val="008B56F6"/>
    <w:rsid w:val="008B6616"/>
    <w:rsid w:val="008B71E0"/>
    <w:rsid w:val="008C6E18"/>
    <w:rsid w:val="008D021F"/>
    <w:rsid w:val="008D02E6"/>
    <w:rsid w:val="008D0C01"/>
    <w:rsid w:val="008D11F2"/>
    <w:rsid w:val="008D198A"/>
    <w:rsid w:val="008D2F97"/>
    <w:rsid w:val="008D3EA5"/>
    <w:rsid w:val="008D5392"/>
    <w:rsid w:val="008D595E"/>
    <w:rsid w:val="008D6639"/>
    <w:rsid w:val="008D6D59"/>
    <w:rsid w:val="008D73B8"/>
    <w:rsid w:val="008D765B"/>
    <w:rsid w:val="008E009D"/>
    <w:rsid w:val="008E1B32"/>
    <w:rsid w:val="008E1D17"/>
    <w:rsid w:val="008E4078"/>
    <w:rsid w:val="008E58D1"/>
    <w:rsid w:val="008E5E57"/>
    <w:rsid w:val="008E7D35"/>
    <w:rsid w:val="008F05F1"/>
    <w:rsid w:val="008F09EC"/>
    <w:rsid w:val="008F0ED3"/>
    <w:rsid w:val="008F187B"/>
    <w:rsid w:val="008F2074"/>
    <w:rsid w:val="008F21E2"/>
    <w:rsid w:val="008F2ACD"/>
    <w:rsid w:val="008F4058"/>
    <w:rsid w:val="008F4FBD"/>
    <w:rsid w:val="009013CD"/>
    <w:rsid w:val="00901F7C"/>
    <w:rsid w:val="0090246F"/>
    <w:rsid w:val="009056D0"/>
    <w:rsid w:val="009066FD"/>
    <w:rsid w:val="00906E5C"/>
    <w:rsid w:val="0090789F"/>
    <w:rsid w:val="00913719"/>
    <w:rsid w:val="00915156"/>
    <w:rsid w:val="00915C80"/>
    <w:rsid w:val="00916AFC"/>
    <w:rsid w:val="00916B28"/>
    <w:rsid w:val="00917B66"/>
    <w:rsid w:val="00925537"/>
    <w:rsid w:val="00925BC1"/>
    <w:rsid w:val="00927397"/>
    <w:rsid w:val="00931933"/>
    <w:rsid w:val="009330DE"/>
    <w:rsid w:val="00934DC5"/>
    <w:rsid w:val="00934EC6"/>
    <w:rsid w:val="00936729"/>
    <w:rsid w:val="00937B09"/>
    <w:rsid w:val="0094034D"/>
    <w:rsid w:val="009443DA"/>
    <w:rsid w:val="00944938"/>
    <w:rsid w:val="00946A72"/>
    <w:rsid w:val="00951B71"/>
    <w:rsid w:val="00951F99"/>
    <w:rsid w:val="0095234A"/>
    <w:rsid w:val="00953A66"/>
    <w:rsid w:val="00953CCD"/>
    <w:rsid w:val="00953F04"/>
    <w:rsid w:val="00954027"/>
    <w:rsid w:val="00954191"/>
    <w:rsid w:val="00954E5A"/>
    <w:rsid w:val="00955DA8"/>
    <w:rsid w:val="00955E4D"/>
    <w:rsid w:val="00956915"/>
    <w:rsid w:val="00956E2D"/>
    <w:rsid w:val="00960FA3"/>
    <w:rsid w:val="00961D13"/>
    <w:rsid w:val="00962473"/>
    <w:rsid w:val="00962CD2"/>
    <w:rsid w:val="00963D55"/>
    <w:rsid w:val="009646A3"/>
    <w:rsid w:val="00966175"/>
    <w:rsid w:val="00970415"/>
    <w:rsid w:val="009727FF"/>
    <w:rsid w:val="00972A65"/>
    <w:rsid w:val="00973A19"/>
    <w:rsid w:val="009758EB"/>
    <w:rsid w:val="00975CF9"/>
    <w:rsid w:val="00977067"/>
    <w:rsid w:val="00983171"/>
    <w:rsid w:val="00984278"/>
    <w:rsid w:val="00985AD3"/>
    <w:rsid w:val="00990092"/>
    <w:rsid w:val="009918F2"/>
    <w:rsid w:val="00992C51"/>
    <w:rsid w:val="009935D1"/>
    <w:rsid w:val="009938E0"/>
    <w:rsid w:val="009938EF"/>
    <w:rsid w:val="00995646"/>
    <w:rsid w:val="00996FBA"/>
    <w:rsid w:val="009A22D6"/>
    <w:rsid w:val="009A386F"/>
    <w:rsid w:val="009A542E"/>
    <w:rsid w:val="009A5FEE"/>
    <w:rsid w:val="009B0099"/>
    <w:rsid w:val="009B0A1C"/>
    <w:rsid w:val="009B185E"/>
    <w:rsid w:val="009B2934"/>
    <w:rsid w:val="009B2D53"/>
    <w:rsid w:val="009B3437"/>
    <w:rsid w:val="009B412C"/>
    <w:rsid w:val="009B4421"/>
    <w:rsid w:val="009B56EA"/>
    <w:rsid w:val="009B58AC"/>
    <w:rsid w:val="009B5DC3"/>
    <w:rsid w:val="009B5E94"/>
    <w:rsid w:val="009B62D3"/>
    <w:rsid w:val="009B7482"/>
    <w:rsid w:val="009B7CC7"/>
    <w:rsid w:val="009C06F4"/>
    <w:rsid w:val="009C1E65"/>
    <w:rsid w:val="009C3BA6"/>
    <w:rsid w:val="009C408D"/>
    <w:rsid w:val="009C4C7E"/>
    <w:rsid w:val="009C5B10"/>
    <w:rsid w:val="009C600E"/>
    <w:rsid w:val="009C6E86"/>
    <w:rsid w:val="009C73F5"/>
    <w:rsid w:val="009D0A0A"/>
    <w:rsid w:val="009D0DD5"/>
    <w:rsid w:val="009D2CC1"/>
    <w:rsid w:val="009D2D29"/>
    <w:rsid w:val="009D3FF9"/>
    <w:rsid w:val="009D5BED"/>
    <w:rsid w:val="009D6F3A"/>
    <w:rsid w:val="009E2227"/>
    <w:rsid w:val="009E2A93"/>
    <w:rsid w:val="009E49C2"/>
    <w:rsid w:val="009E4C30"/>
    <w:rsid w:val="009E505B"/>
    <w:rsid w:val="009E7509"/>
    <w:rsid w:val="009F0327"/>
    <w:rsid w:val="009F0719"/>
    <w:rsid w:val="009F222B"/>
    <w:rsid w:val="009F42F7"/>
    <w:rsid w:val="009F6F28"/>
    <w:rsid w:val="00A02A69"/>
    <w:rsid w:val="00A02D45"/>
    <w:rsid w:val="00A032A3"/>
    <w:rsid w:val="00A04030"/>
    <w:rsid w:val="00A05C5D"/>
    <w:rsid w:val="00A05EF1"/>
    <w:rsid w:val="00A0602E"/>
    <w:rsid w:val="00A0778C"/>
    <w:rsid w:val="00A07F73"/>
    <w:rsid w:val="00A1037D"/>
    <w:rsid w:val="00A114B7"/>
    <w:rsid w:val="00A114B8"/>
    <w:rsid w:val="00A134B8"/>
    <w:rsid w:val="00A1369F"/>
    <w:rsid w:val="00A15704"/>
    <w:rsid w:val="00A17482"/>
    <w:rsid w:val="00A17F7F"/>
    <w:rsid w:val="00A21C8A"/>
    <w:rsid w:val="00A24375"/>
    <w:rsid w:val="00A2456E"/>
    <w:rsid w:val="00A24BEE"/>
    <w:rsid w:val="00A25E1B"/>
    <w:rsid w:val="00A27599"/>
    <w:rsid w:val="00A30490"/>
    <w:rsid w:val="00A314E3"/>
    <w:rsid w:val="00A315CA"/>
    <w:rsid w:val="00A32AAB"/>
    <w:rsid w:val="00A33A8D"/>
    <w:rsid w:val="00A34B5A"/>
    <w:rsid w:val="00A350F6"/>
    <w:rsid w:val="00A352B6"/>
    <w:rsid w:val="00A36365"/>
    <w:rsid w:val="00A37510"/>
    <w:rsid w:val="00A405ED"/>
    <w:rsid w:val="00A406E3"/>
    <w:rsid w:val="00A41893"/>
    <w:rsid w:val="00A4293C"/>
    <w:rsid w:val="00A444FF"/>
    <w:rsid w:val="00A45B25"/>
    <w:rsid w:val="00A462E9"/>
    <w:rsid w:val="00A4746F"/>
    <w:rsid w:val="00A50306"/>
    <w:rsid w:val="00A515E5"/>
    <w:rsid w:val="00A52AF0"/>
    <w:rsid w:val="00A53FEF"/>
    <w:rsid w:val="00A573CB"/>
    <w:rsid w:val="00A60509"/>
    <w:rsid w:val="00A60613"/>
    <w:rsid w:val="00A62582"/>
    <w:rsid w:val="00A62845"/>
    <w:rsid w:val="00A6391A"/>
    <w:rsid w:val="00A63BD1"/>
    <w:rsid w:val="00A64DC3"/>
    <w:rsid w:val="00A6508E"/>
    <w:rsid w:val="00A66075"/>
    <w:rsid w:val="00A66425"/>
    <w:rsid w:val="00A66732"/>
    <w:rsid w:val="00A66859"/>
    <w:rsid w:val="00A72DF2"/>
    <w:rsid w:val="00A731D3"/>
    <w:rsid w:val="00A768C6"/>
    <w:rsid w:val="00A770D9"/>
    <w:rsid w:val="00A777EF"/>
    <w:rsid w:val="00A8029C"/>
    <w:rsid w:val="00A802FD"/>
    <w:rsid w:val="00A81665"/>
    <w:rsid w:val="00A81707"/>
    <w:rsid w:val="00A82975"/>
    <w:rsid w:val="00A83D0A"/>
    <w:rsid w:val="00A83DC6"/>
    <w:rsid w:val="00A83E5B"/>
    <w:rsid w:val="00A83E7F"/>
    <w:rsid w:val="00A84672"/>
    <w:rsid w:val="00A8484D"/>
    <w:rsid w:val="00A8545A"/>
    <w:rsid w:val="00A858B5"/>
    <w:rsid w:val="00A8715B"/>
    <w:rsid w:val="00A877C4"/>
    <w:rsid w:val="00A87E24"/>
    <w:rsid w:val="00A902C2"/>
    <w:rsid w:val="00A90B61"/>
    <w:rsid w:val="00A90D8A"/>
    <w:rsid w:val="00A92574"/>
    <w:rsid w:val="00A92CEA"/>
    <w:rsid w:val="00A946FA"/>
    <w:rsid w:val="00A951E2"/>
    <w:rsid w:val="00A96A09"/>
    <w:rsid w:val="00A96C86"/>
    <w:rsid w:val="00A96FCD"/>
    <w:rsid w:val="00A97EA2"/>
    <w:rsid w:val="00AA0C52"/>
    <w:rsid w:val="00AA13FE"/>
    <w:rsid w:val="00AA1CC9"/>
    <w:rsid w:val="00AA275B"/>
    <w:rsid w:val="00AA3505"/>
    <w:rsid w:val="00AA399D"/>
    <w:rsid w:val="00AA472A"/>
    <w:rsid w:val="00AA6589"/>
    <w:rsid w:val="00AB201E"/>
    <w:rsid w:val="00AB3BB7"/>
    <w:rsid w:val="00AB43E5"/>
    <w:rsid w:val="00AB51EB"/>
    <w:rsid w:val="00AB5AC3"/>
    <w:rsid w:val="00AB6145"/>
    <w:rsid w:val="00AB6E58"/>
    <w:rsid w:val="00AB7D7D"/>
    <w:rsid w:val="00AC00C7"/>
    <w:rsid w:val="00AC1177"/>
    <w:rsid w:val="00AC1A67"/>
    <w:rsid w:val="00AC2078"/>
    <w:rsid w:val="00AC3172"/>
    <w:rsid w:val="00AC6F92"/>
    <w:rsid w:val="00AC71BD"/>
    <w:rsid w:val="00AD16E5"/>
    <w:rsid w:val="00AD249D"/>
    <w:rsid w:val="00AD3172"/>
    <w:rsid w:val="00AD3E3A"/>
    <w:rsid w:val="00AD4550"/>
    <w:rsid w:val="00AD548B"/>
    <w:rsid w:val="00AD5B73"/>
    <w:rsid w:val="00AD654C"/>
    <w:rsid w:val="00AE264A"/>
    <w:rsid w:val="00AE2E0E"/>
    <w:rsid w:val="00AE31EC"/>
    <w:rsid w:val="00AE3632"/>
    <w:rsid w:val="00AE5635"/>
    <w:rsid w:val="00AF4686"/>
    <w:rsid w:val="00AF50AA"/>
    <w:rsid w:val="00AF5C92"/>
    <w:rsid w:val="00AF7B80"/>
    <w:rsid w:val="00B0020E"/>
    <w:rsid w:val="00B003A8"/>
    <w:rsid w:val="00B00EEA"/>
    <w:rsid w:val="00B01C16"/>
    <w:rsid w:val="00B04D99"/>
    <w:rsid w:val="00B05800"/>
    <w:rsid w:val="00B1110D"/>
    <w:rsid w:val="00B120C3"/>
    <w:rsid w:val="00B147A3"/>
    <w:rsid w:val="00B14DED"/>
    <w:rsid w:val="00B16D43"/>
    <w:rsid w:val="00B17194"/>
    <w:rsid w:val="00B20428"/>
    <w:rsid w:val="00B22C74"/>
    <w:rsid w:val="00B2424A"/>
    <w:rsid w:val="00B257E7"/>
    <w:rsid w:val="00B271A9"/>
    <w:rsid w:val="00B27409"/>
    <w:rsid w:val="00B308B9"/>
    <w:rsid w:val="00B3107F"/>
    <w:rsid w:val="00B321C0"/>
    <w:rsid w:val="00B32F8F"/>
    <w:rsid w:val="00B35B08"/>
    <w:rsid w:val="00B35DF0"/>
    <w:rsid w:val="00B36F66"/>
    <w:rsid w:val="00B37C47"/>
    <w:rsid w:val="00B37DF4"/>
    <w:rsid w:val="00B4109F"/>
    <w:rsid w:val="00B41E71"/>
    <w:rsid w:val="00B431C7"/>
    <w:rsid w:val="00B43A5F"/>
    <w:rsid w:val="00B45387"/>
    <w:rsid w:val="00B4687B"/>
    <w:rsid w:val="00B46C73"/>
    <w:rsid w:val="00B46D35"/>
    <w:rsid w:val="00B470C4"/>
    <w:rsid w:val="00B50379"/>
    <w:rsid w:val="00B52464"/>
    <w:rsid w:val="00B52A1F"/>
    <w:rsid w:val="00B52B2C"/>
    <w:rsid w:val="00B52FD5"/>
    <w:rsid w:val="00B536B1"/>
    <w:rsid w:val="00B53DF4"/>
    <w:rsid w:val="00B54E28"/>
    <w:rsid w:val="00B5520C"/>
    <w:rsid w:val="00B5619B"/>
    <w:rsid w:val="00B56736"/>
    <w:rsid w:val="00B60BE7"/>
    <w:rsid w:val="00B6218C"/>
    <w:rsid w:val="00B64A23"/>
    <w:rsid w:val="00B64F7C"/>
    <w:rsid w:val="00B64FE3"/>
    <w:rsid w:val="00B65102"/>
    <w:rsid w:val="00B65157"/>
    <w:rsid w:val="00B7239F"/>
    <w:rsid w:val="00B752D3"/>
    <w:rsid w:val="00B75B43"/>
    <w:rsid w:val="00B76118"/>
    <w:rsid w:val="00B771B0"/>
    <w:rsid w:val="00B77F95"/>
    <w:rsid w:val="00B810F1"/>
    <w:rsid w:val="00B81257"/>
    <w:rsid w:val="00B82934"/>
    <w:rsid w:val="00B84CBE"/>
    <w:rsid w:val="00B85E4C"/>
    <w:rsid w:val="00B85E77"/>
    <w:rsid w:val="00B86D86"/>
    <w:rsid w:val="00B90F77"/>
    <w:rsid w:val="00B9150D"/>
    <w:rsid w:val="00B9196E"/>
    <w:rsid w:val="00B92208"/>
    <w:rsid w:val="00B92662"/>
    <w:rsid w:val="00B957E8"/>
    <w:rsid w:val="00B96879"/>
    <w:rsid w:val="00B97A5B"/>
    <w:rsid w:val="00BA1DE6"/>
    <w:rsid w:val="00BA4685"/>
    <w:rsid w:val="00BA69B5"/>
    <w:rsid w:val="00BA710B"/>
    <w:rsid w:val="00BB1C5B"/>
    <w:rsid w:val="00BB6308"/>
    <w:rsid w:val="00BB7F80"/>
    <w:rsid w:val="00BC0DBB"/>
    <w:rsid w:val="00BC1FE7"/>
    <w:rsid w:val="00BC21AC"/>
    <w:rsid w:val="00BC715F"/>
    <w:rsid w:val="00BC78B6"/>
    <w:rsid w:val="00BD0987"/>
    <w:rsid w:val="00BD1F4A"/>
    <w:rsid w:val="00BD6045"/>
    <w:rsid w:val="00BD6EE9"/>
    <w:rsid w:val="00BD74C0"/>
    <w:rsid w:val="00BD7AF4"/>
    <w:rsid w:val="00BE1B87"/>
    <w:rsid w:val="00BE2D55"/>
    <w:rsid w:val="00BE2EAB"/>
    <w:rsid w:val="00BE3360"/>
    <w:rsid w:val="00BE33DA"/>
    <w:rsid w:val="00BE3B85"/>
    <w:rsid w:val="00BE49C6"/>
    <w:rsid w:val="00BE5C75"/>
    <w:rsid w:val="00BF01E6"/>
    <w:rsid w:val="00BF0858"/>
    <w:rsid w:val="00BF0E53"/>
    <w:rsid w:val="00BF25C2"/>
    <w:rsid w:val="00BF45C0"/>
    <w:rsid w:val="00C00BB9"/>
    <w:rsid w:val="00C0296C"/>
    <w:rsid w:val="00C02C13"/>
    <w:rsid w:val="00C04EC1"/>
    <w:rsid w:val="00C0586E"/>
    <w:rsid w:val="00C05B94"/>
    <w:rsid w:val="00C05D8B"/>
    <w:rsid w:val="00C100F9"/>
    <w:rsid w:val="00C101EB"/>
    <w:rsid w:val="00C10507"/>
    <w:rsid w:val="00C10D76"/>
    <w:rsid w:val="00C10EB2"/>
    <w:rsid w:val="00C137F7"/>
    <w:rsid w:val="00C13CDA"/>
    <w:rsid w:val="00C14303"/>
    <w:rsid w:val="00C15CA2"/>
    <w:rsid w:val="00C16015"/>
    <w:rsid w:val="00C16269"/>
    <w:rsid w:val="00C16B54"/>
    <w:rsid w:val="00C17932"/>
    <w:rsid w:val="00C20449"/>
    <w:rsid w:val="00C21937"/>
    <w:rsid w:val="00C2218D"/>
    <w:rsid w:val="00C23718"/>
    <w:rsid w:val="00C263F7"/>
    <w:rsid w:val="00C265B3"/>
    <w:rsid w:val="00C275A6"/>
    <w:rsid w:val="00C303BE"/>
    <w:rsid w:val="00C30CB8"/>
    <w:rsid w:val="00C31EA8"/>
    <w:rsid w:val="00C32A89"/>
    <w:rsid w:val="00C3396B"/>
    <w:rsid w:val="00C351E8"/>
    <w:rsid w:val="00C37D8A"/>
    <w:rsid w:val="00C40BBA"/>
    <w:rsid w:val="00C43A44"/>
    <w:rsid w:val="00C4732B"/>
    <w:rsid w:val="00C5006B"/>
    <w:rsid w:val="00C524AF"/>
    <w:rsid w:val="00C52CAB"/>
    <w:rsid w:val="00C52D49"/>
    <w:rsid w:val="00C53855"/>
    <w:rsid w:val="00C543BB"/>
    <w:rsid w:val="00C54580"/>
    <w:rsid w:val="00C546F9"/>
    <w:rsid w:val="00C57271"/>
    <w:rsid w:val="00C60018"/>
    <w:rsid w:val="00C61422"/>
    <w:rsid w:val="00C6188C"/>
    <w:rsid w:val="00C61A0E"/>
    <w:rsid w:val="00C62B71"/>
    <w:rsid w:val="00C639E4"/>
    <w:rsid w:val="00C63F3E"/>
    <w:rsid w:val="00C64032"/>
    <w:rsid w:val="00C71987"/>
    <w:rsid w:val="00C739C7"/>
    <w:rsid w:val="00C803FE"/>
    <w:rsid w:val="00C81694"/>
    <w:rsid w:val="00C81B5E"/>
    <w:rsid w:val="00C83321"/>
    <w:rsid w:val="00C856F4"/>
    <w:rsid w:val="00C85804"/>
    <w:rsid w:val="00C85A2F"/>
    <w:rsid w:val="00C864CA"/>
    <w:rsid w:val="00C86E24"/>
    <w:rsid w:val="00C87D90"/>
    <w:rsid w:val="00C906FD"/>
    <w:rsid w:val="00C91525"/>
    <w:rsid w:val="00C91A32"/>
    <w:rsid w:val="00C975E2"/>
    <w:rsid w:val="00CA14D9"/>
    <w:rsid w:val="00CA2187"/>
    <w:rsid w:val="00CA5DBD"/>
    <w:rsid w:val="00CA6C6D"/>
    <w:rsid w:val="00CA77DF"/>
    <w:rsid w:val="00CA7CDA"/>
    <w:rsid w:val="00CB0A0B"/>
    <w:rsid w:val="00CB23BE"/>
    <w:rsid w:val="00CB3227"/>
    <w:rsid w:val="00CB41B6"/>
    <w:rsid w:val="00CB4EEE"/>
    <w:rsid w:val="00CB590B"/>
    <w:rsid w:val="00CB77DA"/>
    <w:rsid w:val="00CC00F1"/>
    <w:rsid w:val="00CC0124"/>
    <w:rsid w:val="00CC0A68"/>
    <w:rsid w:val="00CC1F23"/>
    <w:rsid w:val="00CC3E5E"/>
    <w:rsid w:val="00CC6291"/>
    <w:rsid w:val="00CD1026"/>
    <w:rsid w:val="00CD1604"/>
    <w:rsid w:val="00CD4783"/>
    <w:rsid w:val="00CD4B02"/>
    <w:rsid w:val="00CD4C01"/>
    <w:rsid w:val="00CD55F8"/>
    <w:rsid w:val="00CD585D"/>
    <w:rsid w:val="00CD5E56"/>
    <w:rsid w:val="00CD7CAC"/>
    <w:rsid w:val="00CD7E8B"/>
    <w:rsid w:val="00CD7E9F"/>
    <w:rsid w:val="00CE03A2"/>
    <w:rsid w:val="00CE0930"/>
    <w:rsid w:val="00CE0D1D"/>
    <w:rsid w:val="00CE0F45"/>
    <w:rsid w:val="00CE16B6"/>
    <w:rsid w:val="00CE1BC0"/>
    <w:rsid w:val="00CE3DFE"/>
    <w:rsid w:val="00CE4AFD"/>
    <w:rsid w:val="00CE4F43"/>
    <w:rsid w:val="00CE587B"/>
    <w:rsid w:val="00CE7128"/>
    <w:rsid w:val="00CE76DF"/>
    <w:rsid w:val="00CF01FD"/>
    <w:rsid w:val="00CF029E"/>
    <w:rsid w:val="00CF03D2"/>
    <w:rsid w:val="00CF0B6A"/>
    <w:rsid w:val="00CF14BA"/>
    <w:rsid w:val="00CF194A"/>
    <w:rsid w:val="00CF1AD6"/>
    <w:rsid w:val="00CF24E0"/>
    <w:rsid w:val="00CF3B40"/>
    <w:rsid w:val="00CF62DC"/>
    <w:rsid w:val="00CF6DD6"/>
    <w:rsid w:val="00CF7089"/>
    <w:rsid w:val="00CF74BD"/>
    <w:rsid w:val="00CF785D"/>
    <w:rsid w:val="00D0020A"/>
    <w:rsid w:val="00D0093E"/>
    <w:rsid w:val="00D009AF"/>
    <w:rsid w:val="00D0122A"/>
    <w:rsid w:val="00D03074"/>
    <w:rsid w:val="00D03C55"/>
    <w:rsid w:val="00D04603"/>
    <w:rsid w:val="00D04A1A"/>
    <w:rsid w:val="00D06E01"/>
    <w:rsid w:val="00D0710B"/>
    <w:rsid w:val="00D07DBE"/>
    <w:rsid w:val="00D1142F"/>
    <w:rsid w:val="00D11D15"/>
    <w:rsid w:val="00D12C4F"/>
    <w:rsid w:val="00D14065"/>
    <w:rsid w:val="00D157ED"/>
    <w:rsid w:val="00D165A3"/>
    <w:rsid w:val="00D16F8A"/>
    <w:rsid w:val="00D2030F"/>
    <w:rsid w:val="00D203BD"/>
    <w:rsid w:val="00D207B1"/>
    <w:rsid w:val="00D20AFF"/>
    <w:rsid w:val="00D22C94"/>
    <w:rsid w:val="00D24C74"/>
    <w:rsid w:val="00D25B20"/>
    <w:rsid w:val="00D2646D"/>
    <w:rsid w:val="00D26AD2"/>
    <w:rsid w:val="00D310CA"/>
    <w:rsid w:val="00D31C13"/>
    <w:rsid w:val="00D33648"/>
    <w:rsid w:val="00D3412A"/>
    <w:rsid w:val="00D34EFB"/>
    <w:rsid w:val="00D3661A"/>
    <w:rsid w:val="00D374AE"/>
    <w:rsid w:val="00D37956"/>
    <w:rsid w:val="00D400E4"/>
    <w:rsid w:val="00D4049F"/>
    <w:rsid w:val="00D405EC"/>
    <w:rsid w:val="00D40E88"/>
    <w:rsid w:val="00D41328"/>
    <w:rsid w:val="00D422B8"/>
    <w:rsid w:val="00D43324"/>
    <w:rsid w:val="00D4381C"/>
    <w:rsid w:val="00D44396"/>
    <w:rsid w:val="00D46715"/>
    <w:rsid w:val="00D47373"/>
    <w:rsid w:val="00D477C5"/>
    <w:rsid w:val="00D47AD8"/>
    <w:rsid w:val="00D47D28"/>
    <w:rsid w:val="00D50249"/>
    <w:rsid w:val="00D50F45"/>
    <w:rsid w:val="00D5173C"/>
    <w:rsid w:val="00D53399"/>
    <w:rsid w:val="00D53E1E"/>
    <w:rsid w:val="00D54D61"/>
    <w:rsid w:val="00D55E3B"/>
    <w:rsid w:val="00D608C9"/>
    <w:rsid w:val="00D61A8F"/>
    <w:rsid w:val="00D61DF0"/>
    <w:rsid w:val="00D622F1"/>
    <w:rsid w:val="00D6262D"/>
    <w:rsid w:val="00D62C0F"/>
    <w:rsid w:val="00D62C20"/>
    <w:rsid w:val="00D63C5F"/>
    <w:rsid w:val="00D67C58"/>
    <w:rsid w:val="00D702AF"/>
    <w:rsid w:val="00D7200E"/>
    <w:rsid w:val="00D72681"/>
    <w:rsid w:val="00D72925"/>
    <w:rsid w:val="00D73311"/>
    <w:rsid w:val="00D737D9"/>
    <w:rsid w:val="00D743AB"/>
    <w:rsid w:val="00D76B05"/>
    <w:rsid w:val="00D80ED0"/>
    <w:rsid w:val="00D80F50"/>
    <w:rsid w:val="00D81D57"/>
    <w:rsid w:val="00D82024"/>
    <w:rsid w:val="00D82335"/>
    <w:rsid w:val="00D849B0"/>
    <w:rsid w:val="00D84ACF"/>
    <w:rsid w:val="00D84F83"/>
    <w:rsid w:val="00D856D6"/>
    <w:rsid w:val="00D86EE4"/>
    <w:rsid w:val="00D87F05"/>
    <w:rsid w:val="00D9000D"/>
    <w:rsid w:val="00D90864"/>
    <w:rsid w:val="00D9112C"/>
    <w:rsid w:val="00D91F7B"/>
    <w:rsid w:val="00D93AC3"/>
    <w:rsid w:val="00D93C38"/>
    <w:rsid w:val="00D95E48"/>
    <w:rsid w:val="00D95F7E"/>
    <w:rsid w:val="00D970E1"/>
    <w:rsid w:val="00D97FC7"/>
    <w:rsid w:val="00DA11FB"/>
    <w:rsid w:val="00DA19C8"/>
    <w:rsid w:val="00DA2353"/>
    <w:rsid w:val="00DA26E0"/>
    <w:rsid w:val="00DA34BF"/>
    <w:rsid w:val="00DA51B5"/>
    <w:rsid w:val="00DB0736"/>
    <w:rsid w:val="00DB1A0F"/>
    <w:rsid w:val="00DB2E13"/>
    <w:rsid w:val="00DB6899"/>
    <w:rsid w:val="00DB7A3B"/>
    <w:rsid w:val="00DB7C13"/>
    <w:rsid w:val="00DC21D9"/>
    <w:rsid w:val="00DC2F90"/>
    <w:rsid w:val="00DC5AFE"/>
    <w:rsid w:val="00DD05E0"/>
    <w:rsid w:val="00DD06BF"/>
    <w:rsid w:val="00DD0B3A"/>
    <w:rsid w:val="00DD18A1"/>
    <w:rsid w:val="00DD2FFD"/>
    <w:rsid w:val="00DD3685"/>
    <w:rsid w:val="00DD6F2F"/>
    <w:rsid w:val="00DD7B46"/>
    <w:rsid w:val="00DD7E78"/>
    <w:rsid w:val="00DD7E80"/>
    <w:rsid w:val="00DE3308"/>
    <w:rsid w:val="00DE5383"/>
    <w:rsid w:val="00DE5FFB"/>
    <w:rsid w:val="00DE77E6"/>
    <w:rsid w:val="00DF0302"/>
    <w:rsid w:val="00DF03E6"/>
    <w:rsid w:val="00DF0596"/>
    <w:rsid w:val="00DF0868"/>
    <w:rsid w:val="00DF3B9E"/>
    <w:rsid w:val="00DF629A"/>
    <w:rsid w:val="00DF69B5"/>
    <w:rsid w:val="00DF6BD1"/>
    <w:rsid w:val="00DF7CCD"/>
    <w:rsid w:val="00E01642"/>
    <w:rsid w:val="00E029A2"/>
    <w:rsid w:val="00E02E6B"/>
    <w:rsid w:val="00E03B4D"/>
    <w:rsid w:val="00E10375"/>
    <w:rsid w:val="00E12768"/>
    <w:rsid w:val="00E127CE"/>
    <w:rsid w:val="00E16055"/>
    <w:rsid w:val="00E22973"/>
    <w:rsid w:val="00E22E31"/>
    <w:rsid w:val="00E2349F"/>
    <w:rsid w:val="00E2412C"/>
    <w:rsid w:val="00E24187"/>
    <w:rsid w:val="00E24C5F"/>
    <w:rsid w:val="00E254D9"/>
    <w:rsid w:val="00E25730"/>
    <w:rsid w:val="00E271B7"/>
    <w:rsid w:val="00E301CB"/>
    <w:rsid w:val="00E30BE5"/>
    <w:rsid w:val="00E36D33"/>
    <w:rsid w:val="00E370F8"/>
    <w:rsid w:val="00E37E2D"/>
    <w:rsid w:val="00E41060"/>
    <w:rsid w:val="00E41DA7"/>
    <w:rsid w:val="00E43A03"/>
    <w:rsid w:val="00E43A9F"/>
    <w:rsid w:val="00E44D2D"/>
    <w:rsid w:val="00E457A9"/>
    <w:rsid w:val="00E45F5F"/>
    <w:rsid w:val="00E47A67"/>
    <w:rsid w:val="00E5010C"/>
    <w:rsid w:val="00E507EE"/>
    <w:rsid w:val="00E50D4B"/>
    <w:rsid w:val="00E50F95"/>
    <w:rsid w:val="00E51AF2"/>
    <w:rsid w:val="00E526B5"/>
    <w:rsid w:val="00E52815"/>
    <w:rsid w:val="00E5653F"/>
    <w:rsid w:val="00E600A7"/>
    <w:rsid w:val="00E61720"/>
    <w:rsid w:val="00E62488"/>
    <w:rsid w:val="00E630F3"/>
    <w:rsid w:val="00E6447B"/>
    <w:rsid w:val="00E64A54"/>
    <w:rsid w:val="00E64F54"/>
    <w:rsid w:val="00E6723E"/>
    <w:rsid w:val="00E67D41"/>
    <w:rsid w:val="00E700CC"/>
    <w:rsid w:val="00E72361"/>
    <w:rsid w:val="00E7355B"/>
    <w:rsid w:val="00E741D8"/>
    <w:rsid w:val="00E75353"/>
    <w:rsid w:val="00E75CEF"/>
    <w:rsid w:val="00E772FE"/>
    <w:rsid w:val="00E806F2"/>
    <w:rsid w:val="00E80B57"/>
    <w:rsid w:val="00E8124C"/>
    <w:rsid w:val="00E81B5E"/>
    <w:rsid w:val="00E829A9"/>
    <w:rsid w:val="00E83A36"/>
    <w:rsid w:val="00E8484C"/>
    <w:rsid w:val="00E84B8A"/>
    <w:rsid w:val="00E85709"/>
    <w:rsid w:val="00E8705F"/>
    <w:rsid w:val="00E87451"/>
    <w:rsid w:val="00E9092E"/>
    <w:rsid w:val="00E90C59"/>
    <w:rsid w:val="00E90C79"/>
    <w:rsid w:val="00E91B47"/>
    <w:rsid w:val="00E925AF"/>
    <w:rsid w:val="00E9554B"/>
    <w:rsid w:val="00E96C89"/>
    <w:rsid w:val="00E970D1"/>
    <w:rsid w:val="00E97603"/>
    <w:rsid w:val="00E97BB8"/>
    <w:rsid w:val="00EA1345"/>
    <w:rsid w:val="00EA18E2"/>
    <w:rsid w:val="00EA3EE8"/>
    <w:rsid w:val="00EA5044"/>
    <w:rsid w:val="00EA509A"/>
    <w:rsid w:val="00EA63BE"/>
    <w:rsid w:val="00EA6CEB"/>
    <w:rsid w:val="00EB05D7"/>
    <w:rsid w:val="00EB091B"/>
    <w:rsid w:val="00EB0DE3"/>
    <w:rsid w:val="00EB145F"/>
    <w:rsid w:val="00EB3980"/>
    <w:rsid w:val="00EB4B21"/>
    <w:rsid w:val="00EB55E3"/>
    <w:rsid w:val="00EB654C"/>
    <w:rsid w:val="00EC053A"/>
    <w:rsid w:val="00EC1FA9"/>
    <w:rsid w:val="00EC33FE"/>
    <w:rsid w:val="00EC6B07"/>
    <w:rsid w:val="00ED2A33"/>
    <w:rsid w:val="00ED51F0"/>
    <w:rsid w:val="00ED698D"/>
    <w:rsid w:val="00ED7527"/>
    <w:rsid w:val="00ED7661"/>
    <w:rsid w:val="00ED7A12"/>
    <w:rsid w:val="00ED7F97"/>
    <w:rsid w:val="00EE0F8B"/>
    <w:rsid w:val="00EE190D"/>
    <w:rsid w:val="00EE1F4F"/>
    <w:rsid w:val="00EE2DB2"/>
    <w:rsid w:val="00EE473B"/>
    <w:rsid w:val="00EE486A"/>
    <w:rsid w:val="00EE58CF"/>
    <w:rsid w:val="00EE6C39"/>
    <w:rsid w:val="00EE7279"/>
    <w:rsid w:val="00EE73C6"/>
    <w:rsid w:val="00EF1125"/>
    <w:rsid w:val="00EF173C"/>
    <w:rsid w:val="00EF1946"/>
    <w:rsid w:val="00EF1A95"/>
    <w:rsid w:val="00EF214E"/>
    <w:rsid w:val="00EF2D23"/>
    <w:rsid w:val="00EF2E8C"/>
    <w:rsid w:val="00EF2F59"/>
    <w:rsid w:val="00EF418E"/>
    <w:rsid w:val="00EF444D"/>
    <w:rsid w:val="00EF5E71"/>
    <w:rsid w:val="00EF6D0A"/>
    <w:rsid w:val="00EF7010"/>
    <w:rsid w:val="00F00489"/>
    <w:rsid w:val="00F00621"/>
    <w:rsid w:val="00F006E1"/>
    <w:rsid w:val="00F008CB"/>
    <w:rsid w:val="00F01E9F"/>
    <w:rsid w:val="00F02AF9"/>
    <w:rsid w:val="00F03893"/>
    <w:rsid w:val="00F04C99"/>
    <w:rsid w:val="00F06BE8"/>
    <w:rsid w:val="00F102DF"/>
    <w:rsid w:val="00F10346"/>
    <w:rsid w:val="00F1122F"/>
    <w:rsid w:val="00F12023"/>
    <w:rsid w:val="00F12762"/>
    <w:rsid w:val="00F16E10"/>
    <w:rsid w:val="00F17E26"/>
    <w:rsid w:val="00F17F94"/>
    <w:rsid w:val="00F21393"/>
    <w:rsid w:val="00F21DA3"/>
    <w:rsid w:val="00F22955"/>
    <w:rsid w:val="00F23A6D"/>
    <w:rsid w:val="00F23D58"/>
    <w:rsid w:val="00F23E70"/>
    <w:rsid w:val="00F24334"/>
    <w:rsid w:val="00F24EF9"/>
    <w:rsid w:val="00F259F4"/>
    <w:rsid w:val="00F25CE1"/>
    <w:rsid w:val="00F26753"/>
    <w:rsid w:val="00F26EB5"/>
    <w:rsid w:val="00F27B3E"/>
    <w:rsid w:val="00F31088"/>
    <w:rsid w:val="00F31239"/>
    <w:rsid w:val="00F3167E"/>
    <w:rsid w:val="00F32435"/>
    <w:rsid w:val="00F324F1"/>
    <w:rsid w:val="00F33EC7"/>
    <w:rsid w:val="00F34376"/>
    <w:rsid w:val="00F3654F"/>
    <w:rsid w:val="00F36C59"/>
    <w:rsid w:val="00F37F1F"/>
    <w:rsid w:val="00F402E7"/>
    <w:rsid w:val="00F40879"/>
    <w:rsid w:val="00F44D76"/>
    <w:rsid w:val="00F453C8"/>
    <w:rsid w:val="00F468E8"/>
    <w:rsid w:val="00F477C7"/>
    <w:rsid w:val="00F50C12"/>
    <w:rsid w:val="00F51878"/>
    <w:rsid w:val="00F51892"/>
    <w:rsid w:val="00F52133"/>
    <w:rsid w:val="00F53957"/>
    <w:rsid w:val="00F5629B"/>
    <w:rsid w:val="00F5791A"/>
    <w:rsid w:val="00F620C6"/>
    <w:rsid w:val="00F62293"/>
    <w:rsid w:val="00F6346D"/>
    <w:rsid w:val="00F63CC4"/>
    <w:rsid w:val="00F6489D"/>
    <w:rsid w:val="00F64FAC"/>
    <w:rsid w:val="00F650C0"/>
    <w:rsid w:val="00F66AF3"/>
    <w:rsid w:val="00F71086"/>
    <w:rsid w:val="00F7606E"/>
    <w:rsid w:val="00F7644D"/>
    <w:rsid w:val="00F76AE2"/>
    <w:rsid w:val="00F77B0B"/>
    <w:rsid w:val="00F8009D"/>
    <w:rsid w:val="00F804CB"/>
    <w:rsid w:val="00F83275"/>
    <w:rsid w:val="00F836A1"/>
    <w:rsid w:val="00F83EBC"/>
    <w:rsid w:val="00F84EE0"/>
    <w:rsid w:val="00F8507D"/>
    <w:rsid w:val="00F85AEB"/>
    <w:rsid w:val="00F86939"/>
    <w:rsid w:val="00F90251"/>
    <w:rsid w:val="00F90267"/>
    <w:rsid w:val="00F91F6B"/>
    <w:rsid w:val="00F92DE7"/>
    <w:rsid w:val="00F95C35"/>
    <w:rsid w:val="00F95E00"/>
    <w:rsid w:val="00F95EFB"/>
    <w:rsid w:val="00F964A5"/>
    <w:rsid w:val="00F9784B"/>
    <w:rsid w:val="00FA0A64"/>
    <w:rsid w:val="00FA1345"/>
    <w:rsid w:val="00FA15DD"/>
    <w:rsid w:val="00FA2298"/>
    <w:rsid w:val="00FA2D64"/>
    <w:rsid w:val="00FA59F7"/>
    <w:rsid w:val="00FA77B3"/>
    <w:rsid w:val="00FA7B20"/>
    <w:rsid w:val="00FB0945"/>
    <w:rsid w:val="00FB1CAD"/>
    <w:rsid w:val="00FB26F1"/>
    <w:rsid w:val="00FB3385"/>
    <w:rsid w:val="00FB33A8"/>
    <w:rsid w:val="00FB4669"/>
    <w:rsid w:val="00FB4A84"/>
    <w:rsid w:val="00FB4E71"/>
    <w:rsid w:val="00FB65E4"/>
    <w:rsid w:val="00FB79E6"/>
    <w:rsid w:val="00FC005C"/>
    <w:rsid w:val="00FC1078"/>
    <w:rsid w:val="00FC158E"/>
    <w:rsid w:val="00FC20B6"/>
    <w:rsid w:val="00FC35B5"/>
    <w:rsid w:val="00FC3E93"/>
    <w:rsid w:val="00FC4366"/>
    <w:rsid w:val="00FC65FC"/>
    <w:rsid w:val="00FD1CF3"/>
    <w:rsid w:val="00FD2C4C"/>
    <w:rsid w:val="00FE3257"/>
    <w:rsid w:val="00FE6BAE"/>
    <w:rsid w:val="00FE6F5A"/>
    <w:rsid w:val="00FE70B4"/>
    <w:rsid w:val="00FE7AD7"/>
    <w:rsid w:val="00FF1545"/>
    <w:rsid w:val="00FF23F2"/>
    <w:rsid w:val="00FF27F8"/>
    <w:rsid w:val="00FF41AF"/>
    <w:rsid w:val="00FF4E55"/>
    <w:rsid w:val="00FF501D"/>
    <w:rsid w:val="00FF5105"/>
    <w:rsid w:val="00FF63F0"/>
    <w:rsid w:val="016718FC"/>
    <w:rsid w:val="0169D02F"/>
    <w:rsid w:val="01DFA432"/>
    <w:rsid w:val="025E53C3"/>
    <w:rsid w:val="0365721F"/>
    <w:rsid w:val="0375356D"/>
    <w:rsid w:val="03C5938A"/>
    <w:rsid w:val="050151BA"/>
    <w:rsid w:val="06C87733"/>
    <w:rsid w:val="09511AC1"/>
    <w:rsid w:val="096C5B14"/>
    <w:rsid w:val="09B9A45B"/>
    <w:rsid w:val="0BA629D1"/>
    <w:rsid w:val="0CAAF624"/>
    <w:rsid w:val="0DC708C2"/>
    <w:rsid w:val="0E8933DD"/>
    <w:rsid w:val="0F3B0C45"/>
    <w:rsid w:val="114299D5"/>
    <w:rsid w:val="11530DC2"/>
    <w:rsid w:val="123F256E"/>
    <w:rsid w:val="125F93B4"/>
    <w:rsid w:val="12F172D6"/>
    <w:rsid w:val="1356E783"/>
    <w:rsid w:val="1428E4D9"/>
    <w:rsid w:val="14313A3E"/>
    <w:rsid w:val="14569EB3"/>
    <w:rsid w:val="15680B33"/>
    <w:rsid w:val="157305F3"/>
    <w:rsid w:val="15E1B11A"/>
    <w:rsid w:val="19E4A580"/>
    <w:rsid w:val="1A0BA066"/>
    <w:rsid w:val="1AA384DB"/>
    <w:rsid w:val="1AAE85D3"/>
    <w:rsid w:val="1BD2DEA7"/>
    <w:rsid w:val="1D4B6CDC"/>
    <w:rsid w:val="1E381AAD"/>
    <w:rsid w:val="1EAC6E83"/>
    <w:rsid w:val="1F8DD49A"/>
    <w:rsid w:val="1FC01AD8"/>
    <w:rsid w:val="200DB635"/>
    <w:rsid w:val="2108330E"/>
    <w:rsid w:val="21A9B6B1"/>
    <w:rsid w:val="2243C77A"/>
    <w:rsid w:val="22542841"/>
    <w:rsid w:val="2301D940"/>
    <w:rsid w:val="233C2B9E"/>
    <w:rsid w:val="2397BEBD"/>
    <w:rsid w:val="244DD133"/>
    <w:rsid w:val="2466F050"/>
    <w:rsid w:val="24AFFB9B"/>
    <w:rsid w:val="250ABE58"/>
    <w:rsid w:val="25684EC6"/>
    <w:rsid w:val="274E934C"/>
    <w:rsid w:val="28072F65"/>
    <w:rsid w:val="29D285E8"/>
    <w:rsid w:val="2BABF59C"/>
    <w:rsid w:val="2D3156E8"/>
    <w:rsid w:val="2D4204CC"/>
    <w:rsid w:val="2DC77AF0"/>
    <w:rsid w:val="2E0469B9"/>
    <w:rsid w:val="2E120F15"/>
    <w:rsid w:val="2E68B0E3"/>
    <w:rsid w:val="2F76E1D1"/>
    <w:rsid w:val="308CD746"/>
    <w:rsid w:val="30AE9256"/>
    <w:rsid w:val="324AA6B5"/>
    <w:rsid w:val="33A1B354"/>
    <w:rsid w:val="340F2D96"/>
    <w:rsid w:val="3522127E"/>
    <w:rsid w:val="3588C912"/>
    <w:rsid w:val="364B9E0F"/>
    <w:rsid w:val="383145B5"/>
    <w:rsid w:val="38380C80"/>
    <w:rsid w:val="3897C375"/>
    <w:rsid w:val="38CAA340"/>
    <w:rsid w:val="391D2788"/>
    <w:rsid w:val="39D976C4"/>
    <w:rsid w:val="3A2E70BC"/>
    <w:rsid w:val="3AA55608"/>
    <w:rsid w:val="3BE0A5C8"/>
    <w:rsid w:val="3C542079"/>
    <w:rsid w:val="3CE75400"/>
    <w:rsid w:val="3E21C140"/>
    <w:rsid w:val="3E7E4FEC"/>
    <w:rsid w:val="3EE6ABF3"/>
    <w:rsid w:val="3F5809B6"/>
    <w:rsid w:val="3F8F1291"/>
    <w:rsid w:val="4063DED5"/>
    <w:rsid w:val="40BB9740"/>
    <w:rsid w:val="40EA8D30"/>
    <w:rsid w:val="41765E44"/>
    <w:rsid w:val="41C5709C"/>
    <w:rsid w:val="428364F1"/>
    <w:rsid w:val="4343410E"/>
    <w:rsid w:val="43C99BC4"/>
    <w:rsid w:val="43EDA797"/>
    <w:rsid w:val="44050278"/>
    <w:rsid w:val="4431AED6"/>
    <w:rsid w:val="44D86C05"/>
    <w:rsid w:val="45D17361"/>
    <w:rsid w:val="45E2414E"/>
    <w:rsid w:val="45FA42FD"/>
    <w:rsid w:val="46AAB0CE"/>
    <w:rsid w:val="46C270AD"/>
    <w:rsid w:val="47ED3AC1"/>
    <w:rsid w:val="499CAB02"/>
    <w:rsid w:val="4AC608FF"/>
    <w:rsid w:val="4B103128"/>
    <w:rsid w:val="4C3BEA4C"/>
    <w:rsid w:val="4E4C99DB"/>
    <w:rsid w:val="4E88A4F5"/>
    <w:rsid w:val="501A7295"/>
    <w:rsid w:val="505DABF8"/>
    <w:rsid w:val="50610BCD"/>
    <w:rsid w:val="5189E295"/>
    <w:rsid w:val="526AFAC6"/>
    <w:rsid w:val="53EAD526"/>
    <w:rsid w:val="5450E094"/>
    <w:rsid w:val="5567CC02"/>
    <w:rsid w:val="55766D1B"/>
    <w:rsid w:val="558CE0C8"/>
    <w:rsid w:val="5755BACA"/>
    <w:rsid w:val="57D038DA"/>
    <w:rsid w:val="598A9EAF"/>
    <w:rsid w:val="59E5F9FF"/>
    <w:rsid w:val="5B0BAF13"/>
    <w:rsid w:val="5BEE4637"/>
    <w:rsid w:val="5C0A089E"/>
    <w:rsid w:val="5C855F5F"/>
    <w:rsid w:val="5D830F9E"/>
    <w:rsid w:val="5EBB1B5F"/>
    <w:rsid w:val="6134E64B"/>
    <w:rsid w:val="61F51BC5"/>
    <w:rsid w:val="62AEE9FD"/>
    <w:rsid w:val="63250748"/>
    <w:rsid w:val="6713373D"/>
    <w:rsid w:val="67459AE1"/>
    <w:rsid w:val="6908FAAB"/>
    <w:rsid w:val="6970B8B4"/>
    <w:rsid w:val="69998544"/>
    <w:rsid w:val="69DC2157"/>
    <w:rsid w:val="6BED8F33"/>
    <w:rsid w:val="6C71DC9E"/>
    <w:rsid w:val="6CE5713B"/>
    <w:rsid w:val="6E214E62"/>
    <w:rsid w:val="6F6A5DC6"/>
    <w:rsid w:val="6FA08D09"/>
    <w:rsid w:val="6FFCC5FF"/>
    <w:rsid w:val="7095E94E"/>
    <w:rsid w:val="7177F0CD"/>
    <w:rsid w:val="71D4299D"/>
    <w:rsid w:val="72403145"/>
    <w:rsid w:val="724C10F6"/>
    <w:rsid w:val="726F81F5"/>
    <w:rsid w:val="72F00FD3"/>
    <w:rsid w:val="730B98B5"/>
    <w:rsid w:val="7465F50A"/>
    <w:rsid w:val="7568D678"/>
    <w:rsid w:val="76178EB2"/>
    <w:rsid w:val="76A6B370"/>
    <w:rsid w:val="76E54A7B"/>
    <w:rsid w:val="775828A7"/>
    <w:rsid w:val="78096D3D"/>
    <w:rsid w:val="780B66D3"/>
    <w:rsid w:val="78E113D5"/>
    <w:rsid w:val="791B8D8F"/>
    <w:rsid w:val="79B9995E"/>
    <w:rsid w:val="79E60F8F"/>
    <w:rsid w:val="7CC63AEC"/>
    <w:rsid w:val="7D6B92EC"/>
    <w:rsid w:val="7D8A12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BA6A7"/>
  <w15:chartTrackingRefBased/>
  <w15:docId w15:val="{A0DCC863-5856-48E4-8DA0-7D454A00E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4C5"/>
    <w:pPr>
      <w:spacing w:line="259" w:lineRule="auto"/>
    </w:pPr>
    <w:rPr>
      <w:szCs w:val="22"/>
    </w:rPr>
  </w:style>
  <w:style w:type="paragraph" w:styleId="Heading1">
    <w:name w:val="heading 1"/>
    <w:basedOn w:val="Normal"/>
    <w:next w:val="Normal"/>
    <w:link w:val="Heading1Char"/>
    <w:uiPriority w:val="9"/>
    <w:qFormat/>
    <w:rsid w:val="00F468E8"/>
    <w:pPr>
      <w:keepNext/>
      <w:keepLines/>
      <w:spacing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D69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20AFF"/>
    <w:pPr>
      <w:keepNext/>
      <w:keepLines/>
      <w:spacing w:before="24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324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autoRedefine/>
    <w:uiPriority w:val="9"/>
    <w:unhideWhenUsed/>
    <w:qFormat/>
    <w:rsid w:val="006B00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D69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9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9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9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8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D69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20A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324F1"/>
    <w:rPr>
      <w:rFonts w:eastAsiaTheme="majorEastAsia" w:cstheme="majorBidi"/>
      <w:i/>
      <w:iCs/>
      <w:color w:val="0F4761" w:themeColor="accent1" w:themeShade="BF"/>
      <w:szCs w:val="22"/>
    </w:rPr>
  </w:style>
  <w:style w:type="character" w:customStyle="1" w:styleId="Heading5Char">
    <w:name w:val="Heading 5 Char"/>
    <w:basedOn w:val="DefaultParagraphFont"/>
    <w:link w:val="Heading5"/>
    <w:uiPriority w:val="9"/>
    <w:rsid w:val="006B00E4"/>
    <w:rPr>
      <w:rFonts w:eastAsiaTheme="majorEastAsia" w:cstheme="majorBidi"/>
      <w:color w:val="0F4761" w:themeColor="accent1" w:themeShade="BF"/>
      <w:szCs w:val="22"/>
    </w:rPr>
  </w:style>
  <w:style w:type="character" w:customStyle="1" w:styleId="Heading6Char">
    <w:name w:val="Heading 6 Char"/>
    <w:basedOn w:val="DefaultParagraphFont"/>
    <w:link w:val="Heading6"/>
    <w:uiPriority w:val="9"/>
    <w:rsid w:val="00ED69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9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9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98D"/>
    <w:rPr>
      <w:rFonts w:eastAsiaTheme="majorEastAsia" w:cstheme="majorBidi"/>
      <w:color w:val="272727" w:themeColor="text1" w:themeTint="D8"/>
    </w:rPr>
  </w:style>
  <w:style w:type="paragraph" w:styleId="Title">
    <w:name w:val="Title"/>
    <w:basedOn w:val="Normal"/>
    <w:next w:val="Normal"/>
    <w:link w:val="TitleChar"/>
    <w:uiPriority w:val="10"/>
    <w:qFormat/>
    <w:rsid w:val="00ED69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9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9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9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98D"/>
    <w:pPr>
      <w:spacing w:before="160"/>
      <w:jc w:val="center"/>
    </w:pPr>
    <w:rPr>
      <w:i/>
      <w:iCs/>
      <w:color w:val="404040" w:themeColor="text1" w:themeTint="BF"/>
    </w:rPr>
  </w:style>
  <w:style w:type="character" w:customStyle="1" w:styleId="QuoteChar">
    <w:name w:val="Quote Char"/>
    <w:basedOn w:val="DefaultParagraphFont"/>
    <w:link w:val="Quote"/>
    <w:uiPriority w:val="29"/>
    <w:rsid w:val="00ED698D"/>
    <w:rPr>
      <w:i/>
      <w:iCs/>
      <w:color w:val="404040" w:themeColor="text1" w:themeTint="BF"/>
    </w:rPr>
  </w:style>
  <w:style w:type="paragraph" w:styleId="ListParagraph">
    <w:name w:val="List Paragraph"/>
    <w:basedOn w:val="Normal"/>
    <w:uiPriority w:val="34"/>
    <w:qFormat/>
    <w:rsid w:val="00ED698D"/>
    <w:pPr>
      <w:ind w:left="720"/>
      <w:contextualSpacing/>
    </w:pPr>
  </w:style>
  <w:style w:type="character" w:styleId="IntenseEmphasis">
    <w:name w:val="Intense Emphasis"/>
    <w:basedOn w:val="DefaultParagraphFont"/>
    <w:uiPriority w:val="21"/>
    <w:qFormat/>
    <w:rsid w:val="00ED698D"/>
    <w:rPr>
      <w:i/>
      <w:iCs/>
      <w:color w:val="0F4761" w:themeColor="accent1" w:themeShade="BF"/>
    </w:rPr>
  </w:style>
  <w:style w:type="paragraph" w:styleId="IntenseQuote">
    <w:name w:val="Intense Quote"/>
    <w:basedOn w:val="Normal"/>
    <w:next w:val="Normal"/>
    <w:link w:val="IntenseQuoteChar"/>
    <w:uiPriority w:val="30"/>
    <w:qFormat/>
    <w:rsid w:val="00ED69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98D"/>
    <w:rPr>
      <w:i/>
      <w:iCs/>
      <w:color w:val="0F4761" w:themeColor="accent1" w:themeShade="BF"/>
    </w:rPr>
  </w:style>
  <w:style w:type="character" w:styleId="IntenseReference">
    <w:name w:val="Intense Reference"/>
    <w:basedOn w:val="DefaultParagraphFont"/>
    <w:uiPriority w:val="32"/>
    <w:qFormat/>
    <w:rsid w:val="00ED698D"/>
    <w:rPr>
      <w:b/>
      <w:bCs/>
      <w:smallCaps/>
      <w:color w:val="0F4761" w:themeColor="accent1" w:themeShade="BF"/>
      <w:spacing w:val="5"/>
    </w:rPr>
  </w:style>
  <w:style w:type="table" w:styleId="TableGrid">
    <w:name w:val="Table Grid"/>
    <w:basedOn w:val="TableNormal"/>
    <w:uiPriority w:val="39"/>
    <w:rsid w:val="00ED698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D69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698D"/>
    <w:rPr>
      <w:sz w:val="20"/>
      <w:szCs w:val="20"/>
    </w:rPr>
  </w:style>
  <w:style w:type="character" w:styleId="FootnoteReference">
    <w:name w:val="footnote reference"/>
    <w:basedOn w:val="DefaultParagraphFont"/>
    <w:uiPriority w:val="99"/>
    <w:semiHidden/>
    <w:unhideWhenUsed/>
    <w:rsid w:val="00ED698D"/>
    <w:rPr>
      <w:vertAlign w:val="superscript"/>
    </w:rPr>
  </w:style>
  <w:style w:type="paragraph" w:styleId="Header">
    <w:name w:val="header"/>
    <w:basedOn w:val="Normal"/>
    <w:link w:val="HeaderChar"/>
    <w:uiPriority w:val="99"/>
    <w:unhideWhenUsed/>
    <w:rsid w:val="00ED69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98D"/>
    <w:rPr>
      <w:sz w:val="22"/>
      <w:szCs w:val="22"/>
    </w:rPr>
  </w:style>
  <w:style w:type="paragraph" w:styleId="Footer">
    <w:name w:val="footer"/>
    <w:basedOn w:val="Normal"/>
    <w:link w:val="FooterChar"/>
    <w:uiPriority w:val="99"/>
    <w:unhideWhenUsed/>
    <w:rsid w:val="00ED6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98D"/>
    <w:rPr>
      <w:sz w:val="22"/>
      <w:szCs w:val="22"/>
    </w:rPr>
  </w:style>
  <w:style w:type="character" w:styleId="CommentReference">
    <w:name w:val="annotation reference"/>
    <w:basedOn w:val="DefaultParagraphFont"/>
    <w:uiPriority w:val="99"/>
    <w:semiHidden/>
    <w:unhideWhenUsed/>
    <w:rsid w:val="00ED698D"/>
    <w:rPr>
      <w:sz w:val="16"/>
      <w:szCs w:val="16"/>
    </w:rPr>
  </w:style>
  <w:style w:type="paragraph" w:styleId="CommentText">
    <w:name w:val="annotation text"/>
    <w:basedOn w:val="Normal"/>
    <w:link w:val="CommentTextChar"/>
    <w:uiPriority w:val="99"/>
    <w:unhideWhenUsed/>
    <w:rsid w:val="00ED698D"/>
    <w:pPr>
      <w:spacing w:line="240" w:lineRule="auto"/>
    </w:pPr>
    <w:rPr>
      <w:sz w:val="20"/>
      <w:szCs w:val="20"/>
    </w:rPr>
  </w:style>
  <w:style w:type="character" w:customStyle="1" w:styleId="CommentTextChar">
    <w:name w:val="Comment Text Char"/>
    <w:basedOn w:val="DefaultParagraphFont"/>
    <w:link w:val="CommentText"/>
    <w:uiPriority w:val="99"/>
    <w:rsid w:val="00ED698D"/>
    <w:rPr>
      <w:sz w:val="20"/>
      <w:szCs w:val="20"/>
    </w:rPr>
  </w:style>
  <w:style w:type="paragraph" w:styleId="CommentSubject">
    <w:name w:val="annotation subject"/>
    <w:basedOn w:val="CommentText"/>
    <w:next w:val="CommentText"/>
    <w:link w:val="CommentSubjectChar"/>
    <w:uiPriority w:val="99"/>
    <w:semiHidden/>
    <w:unhideWhenUsed/>
    <w:rsid w:val="00ED698D"/>
    <w:rPr>
      <w:b/>
      <w:bCs/>
    </w:rPr>
  </w:style>
  <w:style w:type="character" w:customStyle="1" w:styleId="CommentSubjectChar">
    <w:name w:val="Comment Subject Char"/>
    <w:basedOn w:val="CommentTextChar"/>
    <w:link w:val="CommentSubject"/>
    <w:uiPriority w:val="99"/>
    <w:semiHidden/>
    <w:rsid w:val="00ED698D"/>
    <w:rPr>
      <w:b/>
      <w:bCs/>
      <w:sz w:val="20"/>
      <w:szCs w:val="20"/>
    </w:rPr>
  </w:style>
  <w:style w:type="table" w:styleId="TableGridLight">
    <w:name w:val="Grid Table Light"/>
    <w:basedOn w:val="TableNormal"/>
    <w:uiPriority w:val="40"/>
    <w:rsid w:val="00ED698D"/>
    <w:pPr>
      <w:spacing w:after="0" w:line="240" w:lineRule="auto"/>
    </w:pPr>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ED698D"/>
    <w:rPr>
      <w:color w:val="2B579A"/>
      <w:shd w:val="clear" w:color="auto" w:fill="E1DFDD"/>
    </w:rPr>
  </w:style>
  <w:style w:type="paragraph" w:styleId="Revision">
    <w:name w:val="Revision"/>
    <w:hidden/>
    <w:uiPriority w:val="99"/>
    <w:semiHidden/>
    <w:rsid w:val="00ED698D"/>
    <w:pPr>
      <w:spacing w:after="0" w:line="240" w:lineRule="auto"/>
    </w:pPr>
    <w:rPr>
      <w:sz w:val="22"/>
      <w:szCs w:val="22"/>
    </w:rPr>
  </w:style>
  <w:style w:type="character" w:styleId="Hyperlink">
    <w:name w:val="Hyperlink"/>
    <w:basedOn w:val="DefaultParagraphFont"/>
    <w:uiPriority w:val="99"/>
    <w:unhideWhenUsed/>
    <w:rsid w:val="00ED698D"/>
    <w:rPr>
      <w:color w:val="467886" w:themeColor="hyperlink"/>
      <w:u w:val="single"/>
    </w:rPr>
  </w:style>
  <w:style w:type="character" w:styleId="UnresolvedMention">
    <w:name w:val="Unresolved Mention"/>
    <w:basedOn w:val="DefaultParagraphFont"/>
    <w:uiPriority w:val="99"/>
    <w:semiHidden/>
    <w:unhideWhenUsed/>
    <w:rsid w:val="00ED698D"/>
    <w:rPr>
      <w:color w:val="605E5C"/>
      <w:shd w:val="clear" w:color="auto" w:fill="E1DFDD"/>
    </w:rPr>
  </w:style>
  <w:style w:type="character" w:styleId="FollowedHyperlink">
    <w:name w:val="FollowedHyperlink"/>
    <w:basedOn w:val="DefaultParagraphFont"/>
    <w:uiPriority w:val="99"/>
    <w:semiHidden/>
    <w:unhideWhenUsed/>
    <w:rsid w:val="00ED698D"/>
    <w:rPr>
      <w:color w:val="96607D" w:themeColor="followedHyperlink"/>
      <w:u w:val="single"/>
    </w:rPr>
  </w:style>
  <w:style w:type="character" w:styleId="PlaceholderText">
    <w:name w:val="Placeholder Text"/>
    <w:basedOn w:val="DefaultParagraphFont"/>
    <w:uiPriority w:val="99"/>
    <w:semiHidden/>
    <w:rsid w:val="00ED698D"/>
    <w:rPr>
      <w:color w:val="666666"/>
    </w:rPr>
  </w:style>
  <w:style w:type="paragraph" w:styleId="TOCHeading">
    <w:name w:val="TOC Heading"/>
    <w:basedOn w:val="Heading1"/>
    <w:next w:val="Normal"/>
    <w:uiPriority w:val="39"/>
    <w:unhideWhenUsed/>
    <w:qFormat/>
    <w:rsid w:val="00ED698D"/>
    <w:pPr>
      <w:spacing w:after="0" w:line="240" w:lineRule="auto"/>
      <w:outlineLvl w:val="9"/>
    </w:pPr>
    <w:rPr>
      <w:b/>
      <w:kern w:val="0"/>
      <w:sz w:val="32"/>
      <w:szCs w:val="52"/>
      <w14:ligatures w14:val="none"/>
    </w:rPr>
  </w:style>
  <w:style w:type="paragraph" w:styleId="TOC1">
    <w:name w:val="toc 1"/>
    <w:basedOn w:val="Normal"/>
    <w:next w:val="Normal"/>
    <w:autoRedefine/>
    <w:uiPriority w:val="39"/>
    <w:unhideWhenUsed/>
    <w:rsid w:val="00ED698D"/>
    <w:pPr>
      <w:spacing w:after="100"/>
    </w:pPr>
  </w:style>
  <w:style w:type="paragraph" w:styleId="TOC2">
    <w:name w:val="toc 2"/>
    <w:basedOn w:val="Normal"/>
    <w:next w:val="Normal"/>
    <w:link w:val="TOC2Char"/>
    <w:autoRedefine/>
    <w:uiPriority w:val="39"/>
    <w:unhideWhenUsed/>
    <w:rsid w:val="00ED698D"/>
    <w:pPr>
      <w:tabs>
        <w:tab w:val="right" w:leader="dot" w:pos="9350"/>
      </w:tabs>
      <w:spacing w:after="100"/>
      <w:ind w:left="216"/>
    </w:pPr>
    <w:rPr>
      <w:bCs/>
      <w:noProof/>
    </w:rPr>
  </w:style>
  <w:style w:type="paragraph" w:styleId="TOC3">
    <w:name w:val="toc 3"/>
    <w:basedOn w:val="Normal"/>
    <w:next w:val="Normal"/>
    <w:autoRedefine/>
    <w:uiPriority w:val="39"/>
    <w:unhideWhenUsed/>
    <w:rsid w:val="00ED698D"/>
    <w:pPr>
      <w:spacing w:after="100"/>
      <w:ind w:left="440"/>
    </w:pPr>
  </w:style>
  <w:style w:type="table" w:styleId="PlainTable1">
    <w:name w:val="Plain Table 1"/>
    <w:basedOn w:val="TableNormal"/>
    <w:uiPriority w:val="41"/>
    <w:rsid w:val="00ED698D"/>
    <w:pPr>
      <w:spacing w:after="0" w:line="240" w:lineRule="auto"/>
    </w:pPr>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ED698D"/>
    <w:pPr>
      <w:spacing w:after="0" w:line="240" w:lineRule="auto"/>
    </w:pPr>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ED698D"/>
    <w:pPr>
      <w:spacing w:after="0" w:line="240" w:lineRule="auto"/>
    </w:pPr>
    <w:rPr>
      <w:sz w:val="22"/>
      <w:szCs w:val="22"/>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paragraph" w:customStyle="1" w:styleId="DivisionName">
    <w:name w:val="Division Name"/>
    <w:uiPriority w:val="3"/>
    <w:qFormat/>
    <w:rsid w:val="00ED698D"/>
    <w:pPr>
      <w:spacing w:after="120" w:line="240" w:lineRule="auto"/>
    </w:pPr>
    <w:rPr>
      <w:rFonts w:ascii="Arial" w:eastAsia="Calibri" w:hAnsi="Arial" w:cs="Arial"/>
      <w:b/>
      <w:color w:val="004982"/>
      <w:kern w:val="0"/>
      <w:sz w:val="28"/>
      <w:szCs w:val="26"/>
      <w14:ligatures w14:val="none"/>
    </w:rPr>
  </w:style>
  <w:style w:type="paragraph" w:customStyle="1" w:styleId="ProgramName">
    <w:name w:val="Program Name"/>
    <w:uiPriority w:val="3"/>
    <w:qFormat/>
    <w:rsid w:val="00ED698D"/>
    <w:pPr>
      <w:pBdr>
        <w:top w:val="single" w:sz="18" w:space="4" w:color="004982"/>
        <w:left w:val="single" w:sz="24" w:space="8" w:color="004982"/>
        <w:bottom w:val="single" w:sz="18" w:space="4" w:color="004982"/>
        <w:right w:val="single" w:sz="24" w:space="8" w:color="004982"/>
      </w:pBdr>
      <w:shd w:val="solid" w:color="004982" w:fill="auto"/>
      <w:spacing w:after="0" w:line="240" w:lineRule="auto"/>
    </w:pPr>
    <w:rPr>
      <w:rFonts w:ascii="Arial" w:eastAsia="Calibri" w:hAnsi="Arial" w:cs="Arial"/>
      <w:color w:val="FFFFFF" w:themeColor="background1"/>
      <w:kern w:val="0"/>
      <w:szCs w:val="26"/>
      <w14:ligatures w14:val="none"/>
    </w:rPr>
  </w:style>
  <w:style w:type="paragraph" w:styleId="TOC9">
    <w:name w:val="toc 9"/>
    <w:basedOn w:val="Normal"/>
    <w:next w:val="Normal"/>
    <w:autoRedefine/>
    <w:uiPriority w:val="39"/>
    <w:semiHidden/>
    <w:unhideWhenUsed/>
    <w:rsid w:val="00ED698D"/>
    <w:pPr>
      <w:spacing w:after="100"/>
      <w:ind w:left="1760"/>
    </w:pPr>
  </w:style>
  <w:style w:type="paragraph" w:customStyle="1" w:styleId="Graphics">
    <w:name w:val="Graphics"/>
    <w:basedOn w:val="Normal"/>
    <w:qFormat/>
    <w:rsid w:val="00ED698D"/>
    <w:pPr>
      <w:spacing w:after="0"/>
    </w:pPr>
    <w:rPr>
      <w:rFonts w:ascii="Franklin Gothic Medium Cond" w:hAnsi="Franklin Gothic Medium Cond"/>
      <w:color w:val="000000" w:themeColor="text1"/>
      <w:kern w:val="0"/>
      <w14:ligatures w14:val="none"/>
    </w:rPr>
  </w:style>
  <w:style w:type="character" w:styleId="Strong">
    <w:name w:val="Strong"/>
    <w:basedOn w:val="DefaultParagraphFont"/>
    <w:uiPriority w:val="9"/>
    <w:rsid w:val="00ED698D"/>
    <w:rPr>
      <w:b/>
      <w:bCs/>
    </w:rPr>
  </w:style>
  <w:style w:type="paragraph" w:customStyle="1" w:styleId="LastPageProgramInfoBox">
    <w:name w:val="LastPage Program InfoBox"/>
    <w:uiPriority w:val="6"/>
    <w:qFormat/>
    <w:rsid w:val="00ED698D"/>
    <w:pPr>
      <w:pBdr>
        <w:top w:val="single" w:sz="48" w:space="12" w:color="004982"/>
        <w:left w:val="single" w:sz="48" w:space="8" w:color="004982"/>
        <w:bottom w:val="single" w:sz="48" w:space="12" w:color="004982"/>
        <w:right w:val="single" w:sz="48" w:space="8" w:color="004982"/>
      </w:pBdr>
      <w:shd w:val="solid" w:color="004982" w:fill="auto"/>
      <w:spacing w:after="0" w:line="240" w:lineRule="auto"/>
      <w:ind w:left="216" w:right="144"/>
    </w:pPr>
    <w:rPr>
      <w:rFonts w:ascii="Arial" w:eastAsia="Calibri" w:hAnsi="Arial" w:cs="Arial"/>
      <w:noProof/>
      <w:color w:val="FFFFFF" w:themeColor="background1"/>
      <w:kern w:val="0"/>
      <w:sz w:val="26"/>
      <w:szCs w:val="26"/>
      <w14:ligatures w14:val="none"/>
    </w:rPr>
  </w:style>
  <w:style w:type="character" w:customStyle="1" w:styleId="Hyperlink-White">
    <w:name w:val="Hyperlink-White"/>
    <w:basedOn w:val="DefaultParagraphFont"/>
    <w:uiPriority w:val="2"/>
    <w:qFormat/>
    <w:rsid w:val="00ED698D"/>
    <w:rPr>
      <w:color w:val="FFFFFF" w:themeColor="background1"/>
      <w:u w:val="single"/>
    </w:rPr>
  </w:style>
  <w:style w:type="paragraph" w:customStyle="1" w:styleId="AltStatement">
    <w:name w:val="AltStatement"/>
    <w:basedOn w:val="Normal"/>
    <w:uiPriority w:val="6"/>
    <w:qFormat/>
    <w:rsid w:val="00ED698D"/>
    <w:pPr>
      <w:pBdr>
        <w:top w:val="single" w:sz="8" w:space="10" w:color="004982"/>
      </w:pBdr>
      <w:spacing w:before="240" w:after="240" w:line="312" w:lineRule="auto"/>
      <w:ind w:left="207" w:right="144"/>
    </w:pPr>
    <w:rPr>
      <w:rFonts w:ascii="Arial" w:eastAsia="Calibri" w:hAnsi="Arial" w:cs="Arial"/>
      <w:kern w:val="0"/>
      <w:sz w:val="26"/>
      <w:szCs w:val="26"/>
      <w14:ligatures w14:val="none"/>
    </w:rPr>
  </w:style>
  <w:style w:type="character" w:customStyle="1" w:styleId="TOC2Char">
    <w:name w:val="TOC 2 Char"/>
    <w:basedOn w:val="DefaultParagraphFont"/>
    <w:link w:val="TOC2"/>
    <w:uiPriority w:val="39"/>
    <w:rsid w:val="00ED698D"/>
    <w:rPr>
      <w:bCs/>
      <w:noProof/>
      <w:sz w:val="22"/>
      <w:szCs w:val="22"/>
    </w:rPr>
  </w:style>
  <w:style w:type="character" w:customStyle="1" w:styleId="cf01">
    <w:name w:val="cf01"/>
    <w:basedOn w:val="DefaultParagraphFont"/>
    <w:rsid w:val="00ED698D"/>
    <w:rPr>
      <w:rFonts w:ascii="Segoe UI" w:hAnsi="Segoe UI" w:cs="Segoe UI" w:hint="default"/>
      <w:sz w:val="18"/>
      <w:szCs w:val="18"/>
    </w:rPr>
  </w:style>
  <w:style w:type="table" w:styleId="PlainTable5">
    <w:name w:val="Plain Table 5"/>
    <w:basedOn w:val="TableNormal"/>
    <w:uiPriority w:val="45"/>
    <w:rsid w:val="00ED698D"/>
    <w:pPr>
      <w:spacing w:after="0" w:line="240" w:lineRule="auto"/>
    </w:pPr>
    <w:rPr>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ED698D"/>
    <w:pPr>
      <w:spacing w:after="0" w:line="240" w:lineRule="auto"/>
    </w:pPr>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
    <w:name w:val="Grid Table 4"/>
    <w:basedOn w:val="TableNormal"/>
    <w:uiPriority w:val="49"/>
    <w:rsid w:val="00ED698D"/>
    <w:pPr>
      <w:spacing w:after="0" w:line="240" w:lineRule="auto"/>
    </w:pPr>
    <w:rPr>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ED698D"/>
    <w:pPr>
      <w:spacing w:after="0" w:line="240" w:lineRule="auto"/>
    </w:pPr>
    <w:rPr>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dnoteText">
    <w:name w:val="endnote text"/>
    <w:basedOn w:val="Normal"/>
    <w:link w:val="EndnoteTextChar"/>
    <w:uiPriority w:val="99"/>
    <w:semiHidden/>
    <w:unhideWhenUsed/>
    <w:rsid w:val="00ED698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D698D"/>
    <w:rPr>
      <w:sz w:val="20"/>
      <w:szCs w:val="20"/>
    </w:rPr>
  </w:style>
  <w:style w:type="character" w:styleId="EndnoteReference">
    <w:name w:val="endnote reference"/>
    <w:basedOn w:val="DefaultParagraphFont"/>
    <w:uiPriority w:val="99"/>
    <w:semiHidden/>
    <w:unhideWhenUsed/>
    <w:rsid w:val="00ED698D"/>
    <w:rPr>
      <w:vertAlign w:val="superscript"/>
    </w:rPr>
  </w:style>
  <w:style w:type="paragraph" w:customStyle="1" w:styleId="BodyTextindent">
    <w:name w:val="Body Text_indent"/>
    <w:basedOn w:val="Normal"/>
    <w:link w:val="BodyTextindentChar"/>
    <w:qFormat/>
    <w:rsid w:val="00ED698D"/>
    <w:pPr>
      <w:spacing w:line="264" w:lineRule="auto"/>
      <w:ind w:left="360" w:right="1440"/>
    </w:pPr>
    <w:rPr>
      <w:rFonts w:ascii="Arial" w:hAnsi="Arial" w:cstheme="majorHAnsi"/>
      <w:color w:val="000000" w:themeColor="text1" w:themeShade="BF"/>
      <w:kern w:val="0"/>
      <w14:ligatures w14:val="none"/>
    </w:rPr>
  </w:style>
  <w:style w:type="character" w:customStyle="1" w:styleId="BodyTextindentChar">
    <w:name w:val="Body Text_indent Char"/>
    <w:basedOn w:val="DefaultParagraphFont"/>
    <w:link w:val="BodyTextindent"/>
    <w:rsid w:val="00ED698D"/>
    <w:rPr>
      <w:rFonts w:ascii="Arial" w:hAnsi="Arial" w:cstheme="majorHAnsi"/>
      <w:color w:val="000000" w:themeColor="text1" w:themeShade="BF"/>
      <w:kern w:val="0"/>
      <w:szCs w:val="22"/>
      <w14:ligatures w14:val="none"/>
    </w:rPr>
  </w:style>
  <w:style w:type="paragraph" w:styleId="NormalWeb">
    <w:name w:val="Normal (Web)"/>
    <w:basedOn w:val="Normal"/>
    <w:uiPriority w:val="99"/>
    <w:unhideWhenUsed/>
    <w:rsid w:val="00ED698D"/>
    <w:pPr>
      <w:spacing w:before="100" w:beforeAutospacing="1" w:after="100" w:afterAutospacing="1" w:line="240" w:lineRule="auto"/>
    </w:pPr>
    <w:rPr>
      <w:rFonts w:ascii="Times New Roman" w:eastAsia="Times New Roman" w:hAnsi="Times New Roman" w:cs="Times New Roman"/>
      <w:kern w:val="0"/>
      <w:szCs w:val="24"/>
      <w14:ligatures w14:val="none"/>
    </w:rPr>
  </w:style>
  <w:style w:type="paragraph" w:customStyle="1" w:styleId="GraphicsandFigureTitles">
    <w:name w:val="Graphics and Figure Titles"/>
    <w:basedOn w:val="Normal"/>
    <w:qFormat/>
    <w:rsid w:val="00ED698D"/>
    <w:pPr>
      <w:spacing w:after="80" w:line="240" w:lineRule="auto"/>
    </w:pPr>
    <w:rPr>
      <w:rFonts w:ascii="Arial Narrow" w:hAnsi="Arial Narrow" w:cstheme="majorHAnsi"/>
      <w:color w:val="000000" w:themeColor="text1"/>
      <w:kern w:val="0"/>
      <w14:ligatures w14:val="none"/>
    </w:rPr>
  </w:style>
  <w:style w:type="paragraph" w:customStyle="1" w:styleId="Default">
    <w:name w:val="Default"/>
    <w:rsid w:val="00ED698D"/>
    <w:pPr>
      <w:autoSpaceDE w:val="0"/>
      <w:autoSpaceDN w:val="0"/>
      <w:adjustRightInd w:val="0"/>
      <w:spacing w:after="0" w:line="240" w:lineRule="auto"/>
    </w:pPr>
    <w:rPr>
      <w:rFonts w:ascii="Franklin Gothic Medium Cond" w:hAnsi="Franklin Gothic Medium Cond" w:cs="Franklin Gothic Medium Cond"/>
      <w:color w:val="000000"/>
      <w:kern w:val="0"/>
      <w14:ligatures w14:val="none"/>
    </w:rPr>
  </w:style>
  <w:style w:type="character" w:customStyle="1" w:styleId="ui-provider">
    <w:name w:val="ui-provider"/>
    <w:basedOn w:val="DefaultParagraphFont"/>
    <w:rsid w:val="00ED698D"/>
  </w:style>
  <w:style w:type="table" w:customStyle="1" w:styleId="HPAGridTable">
    <w:name w:val="HPA Grid Table"/>
    <w:basedOn w:val="TableNormal"/>
    <w:uiPriority w:val="99"/>
    <w:rsid w:val="00ED698D"/>
    <w:pPr>
      <w:spacing w:after="0" w:line="240" w:lineRule="auto"/>
    </w:pPr>
    <w:rPr>
      <w:rFonts w:ascii="Arial Narrow" w:hAnsi="Arial Narrow" w:cstheme="majorHAnsi"/>
      <w:color w:val="000000" w:themeColor="text1"/>
      <w:kern w:val="0"/>
      <w:szCs w:val="22"/>
      <w14:ligatures w14:val="none"/>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vAlign w:val="center"/>
    </w:tcPr>
    <w:tblStylePr w:type="firstRow">
      <w:rPr>
        <w:rFonts w:ascii="Benton Sans Book" w:hAnsi="Benton Sans Book"/>
        <w:b/>
        <w:color w:val="FFFFFF" w:themeColor="background1"/>
      </w:rPr>
      <w:tblPr/>
      <w:tcPr>
        <w:shd w:val="clear" w:color="auto" w:fill="156082" w:themeFill="accent1"/>
      </w:tcPr>
    </w:tblStylePr>
    <w:tblStylePr w:type="firstCol">
      <w:pPr>
        <w:jc w:val="left"/>
      </w:pPr>
    </w:tblStylePr>
  </w:style>
  <w:style w:type="paragraph" w:styleId="NoSpacing">
    <w:name w:val="No Spacing"/>
    <w:link w:val="NoSpacingChar"/>
    <w:uiPriority w:val="1"/>
    <w:qFormat/>
    <w:rsid w:val="00ED698D"/>
    <w:pPr>
      <w:spacing w:after="0" w:line="240" w:lineRule="auto"/>
    </w:pPr>
    <w:rPr>
      <w:rFonts w:ascii="Arial" w:hAnsi="Arial" w:cstheme="majorHAnsi"/>
      <w:color w:val="000000" w:themeColor="text1" w:themeShade="BF"/>
      <w:kern w:val="0"/>
      <w:szCs w:val="22"/>
      <w14:ligatures w14:val="none"/>
    </w:rPr>
  </w:style>
  <w:style w:type="character" w:customStyle="1" w:styleId="NoSpacingChar">
    <w:name w:val="No Spacing Char"/>
    <w:basedOn w:val="DefaultParagraphFont"/>
    <w:link w:val="NoSpacing"/>
    <w:uiPriority w:val="1"/>
    <w:rsid w:val="00ED698D"/>
    <w:rPr>
      <w:rFonts w:ascii="Arial" w:hAnsi="Arial" w:cstheme="majorHAnsi"/>
      <w:color w:val="000000" w:themeColor="text1" w:themeShade="BF"/>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regon.gov/oha/hpa/dsi-tc/pages/sdoh-metric.aspx" TargetMode="External"/><Relationship Id="rId21" Type="http://schemas.openxmlformats.org/officeDocument/2006/relationships/hyperlink" Target="https://www.oregon.gov/oha/erd/pages/oha-works-to-protect-quality-health-care-across-oregon.aspx" TargetMode="External"/><Relationship Id="rId42" Type="http://schemas.openxmlformats.org/officeDocument/2006/relationships/chart" Target="charts/chart8.xml"/><Relationship Id="rId47" Type="http://schemas.openxmlformats.org/officeDocument/2006/relationships/chart" Target="charts/chart12.xml"/><Relationship Id="rId63" Type="http://schemas.openxmlformats.org/officeDocument/2006/relationships/footer" Target="footer3.xml"/><Relationship Id="rId68" Type="http://schemas.openxmlformats.org/officeDocument/2006/relationships/chart" Target="charts/chart23.xml"/><Relationship Id="rId16" Type="http://schemas.openxmlformats.org/officeDocument/2006/relationships/image" Target="media/image3.svg"/><Relationship Id="rId11" Type="http://schemas.openxmlformats.org/officeDocument/2006/relationships/image" Target="media/image1.png"/><Relationship Id="rId32" Type="http://schemas.openxmlformats.org/officeDocument/2006/relationships/image" Target="media/image5.png"/><Relationship Id="rId37" Type="http://schemas.openxmlformats.org/officeDocument/2006/relationships/chart" Target="charts/chart4.xml"/><Relationship Id="rId53" Type="http://schemas.openxmlformats.org/officeDocument/2006/relationships/image" Target="media/image9.png"/><Relationship Id="rId58" Type="http://schemas.openxmlformats.org/officeDocument/2006/relationships/chart" Target="charts/chart18.xml"/><Relationship Id="rId74" Type="http://schemas.openxmlformats.org/officeDocument/2006/relationships/chart" Target="charts/chart26.xml"/><Relationship Id="rId79" Type="http://schemas.openxmlformats.org/officeDocument/2006/relationships/hyperlink" Target="mailto:Metrics.Questions@odhsoha.oregon.gov" TargetMode="External"/><Relationship Id="rId5" Type="http://schemas.openxmlformats.org/officeDocument/2006/relationships/numbering" Target="numbering.xml"/><Relationship Id="rId61" Type="http://schemas.openxmlformats.org/officeDocument/2006/relationships/header" Target="header4.xml"/><Relationship Id="rId82" Type="http://schemas.openxmlformats.org/officeDocument/2006/relationships/fontTable" Target="fontTable.xml"/><Relationship Id="rId19" Type="http://schemas.openxmlformats.org/officeDocument/2006/relationships/hyperlink" Target="https://www.oregon.gov/oha/HPA/ANALYTICS/CCOMetrics/CCO-Metrics-2025-Final-Report.docx" TargetMode="External"/><Relationship Id="rId14" Type="http://schemas.openxmlformats.org/officeDocument/2006/relationships/hyperlink" Target="https://www.oregon.gov/oha/hpa/analytics/pages/metrics-reporting.aspx" TargetMode="External"/><Relationship Id="rId22" Type="http://schemas.openxmlformats.org/officeDocument/2006/relationships/hyperlink" Target="https://olis.oregonlegislature.gov/liz/2023R1/Downloads/MeasureDocument/SB966" TargetMode="External"/><Relationship Id="rId27" Type="http://schemas.openxmlformats.org/officeDocument/2006/relationships/hyperlink" Target="https://www.oregon.gov/oha/hsd/medicaid-policy/pages/hrsn.aspx" TargetMode="External"/><Relationship Id="rId30" Type="http://schemas.openxmlformats.org/officeDocument/2006/relationships/header" Target="header2.xml"/><Relationship Id="rId35" Type="http://schemas.openxmlformats.org/officeDocument/2006/relationships/chart" Target="charts/chart3.xml"/><Relationship Id="rId43" Type="http://schemas.openxmlformats.org/officeDocument/2006/relationships/hyperlink" Target="https://oregon-pip.org/current-projects/health-aspects-of-kindergarten-readiness/" TargetMode="External"/><Relationship Id="rId48" Type="http://schemas.openxmlformats.org/officeDocument/2006/relationships/image" Target="media/image8.png"/><Relationship Id="rId56" Type="http://schemas.openxmlformats.org/officeDocument/2006/relationships/chart" Target="charts/chart17.xml"/><Relationship Id="rId64" Type="http://schemas.openxmlformats.org/officeDocument/2006/relationships/chart" Target="charts/chart21.xml"/><Relationship Id="rId69" Type="http://schemas.openxmlformats.org/officeDocument/2006/relationships/chart" Target="charts/chart24.xml"/><Relationship Id="rId77" Type="http://schemas.openxmlformats.org/officeDocument/2006/relationships/hyperlink" Target="mailto:Metrics.Questions@odhsoha.oregon.gov" TargetMode="External"/><Relationship Id="rId8" Type="http://schemas.openxmlformats.org/officeDocument/2006/relationships/webSettings" Target="webSettings.xml"/><Relationship Id="rId51" Type="http://schemas.openxmlformats.org/officeDocument/2006/relationships/hyperlink" Target="https://www.oregon.gov/oha/hpa/dsi/pages/performance-improvement-project.aspx" TargetMode="External"/><Relationship Id="rId72" Type="http://schemas.openxmlformats.org/officeDocument/2006/relationships/header" Target="header5.xml"/><Relationship Id="rId80" Type="http://schemas.openxmlformats.org/officeDocument/2006/relationships/hyperlink" Target="https://www.oregon.gov/oha/HPA/ANALYTICS/Pages/Quality-Metrics.aspx"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www.oregon.gov/oha/HPA/ANALYTICS/CCOMetrics/2025%20specs%20SDOH%202024.12.31.pdf" TargetMode="External"/><Relationship Id="rId33" Type="http://schemas.openxmlformats.org/officeDocument/2006/relationships/chart" Target="charts/chart2.xml"/><Relationship Id="rId38" Type="http://schemas.openxmlformats.org/officeDocument/2006/relationships/chart" Target="charts/chart5.xml"/><Relationship Id="rId46" Type="http://schemas.openxmlformats.org/officeDocument/2006/relationships/chart" Target="charts/chart11.xml"/><Relationship Id="rId59" Type="http://schemas.openxmlformats.org/officeDocument/2006/relationships/chart" Target="charts/chart19.xml"/><Relationship Id="rId67" Type="http://schemas.openxmlformats.org/officeDocument/2006/relationships/image" Target="media/image10.png"/><Relationship Id="rId20" Type="http://schemas.openxmlformats.org/officeDocument/2006/relationships/header" Target="header1.xml"/><Relationship Id="rId41" Type="http://schemas.openxmlformats.org/officeDocument/2006/relationships/image" Target="media/image7.png"/><Relationship Id="rId54" Type="http://schemas.openxmlformats.org/officeDocument/2006/relationships/chart" Target="charts/chart15.xml"/><Relationship Id="rId62" Type="http://schemas.openxmlformats.org/officeDocument/2006/relationships/hyperlink" Target="https://www.oregon.gov/oha/HPA/ANALYTICS/Pages/Metrics-Scoring-Committee.aspx" TargetMode="External"/><Relationship Id="rId70" Type="http://schemas.openxmlformats.org/officeDocument/2006/relationships/hyperlink" Target="https://www.oregon.gov/oha/HSD/Medicaid-Policy/Documents/2012-2017-Evaluation.pdf" TargetMode="External"/><Relationship Id="rId75" Type="http://schemas.openxmlformats.org/officeDocument/2006/relationships/hyperlink" Target="https://www.who.int/news-room/fact-sheets/detail/diabetes"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medicaid.gov/medicaid/quality-of-care/performance-measurement/adult-and-child-health-care-quality-measures" TargetMode="External"/><Relationship Id="rId28" Type="http://schemas.openxmlformats.org/officeDocument/2006/relationships/hyperlink" Target="https://www.oregon.gov/oha/HPA/ANALYTICS/CCOMetrics/2025%20Health%20Equity%20Meaningful%20Access%202024.12.31.pdf" TargetMode="External"/><Relationship Id="rId36" Type="http://schemas.openxmlformats.org/officeDocument/2006/relationships/hyperlink" Target="https://secure.sos.state.or.us/oard/displayDivisionRules.action?selectedDivision=7797" TargetMode="External"/><Relationship Id="rId49" Type="http://schemas.openxmlformats.org/officeDocument/2006/relationships/header" Target="header3.xml"/><Relationship Id="rId57" Type="http://schemas.openxmlformats.org/officeDocument/2006/relationships/hyperlink" Target="https://oregon-pip.org/current-projects/health-aspects-of-kindergarten-readiness/" TargetMode="External"/><Relationship Id="rId10" Type="http://schemas.openxmlformats.org/officeDocument/2006/relationships/endnotes" Target="endnotes.xml"/><Relationship Id="rId31" Type="http://schemas.openxmlformats.org/officeDocument/2006/relationships/chart" Target="charts/chart1.xml"/><Relationship Id="rId44" Type="http://schemas.openxmlformats.org/officeDocument/2006/relationships/chart" Target="charts/chart9.xml"/><Relationship Id="rId52" Type="http://schemas.openxmlformats.org/officeDocument/2006/relationships/chart" Target="charts/chart14.xml"/><Relationship Id="rId60" Type="http://schemas.openxmlformats.org/officeDocument/2006/relationships/chart" Target="charts/chart20.xml"/><Relationship Id="rId65" Type="http://schemas.openxmlformats.org/officeDocument/2006/relationships/hyperlink" Target="https://www.oregon.gov/oha/HPA/ANALYTICS/CCOMetrics/2025-Reference-Instructions-(Quality-Pool-Methodology)_final.pdf" TargetMode="External"/><Relationship Id="rId73" Type="http://schemas.openxmlformats.org/officeDocument/2006/relationships/chart" Target="charts/chart25.xml"/><Relationship Id="rId78" Type="http://schemas.openxmlformats.org/officeDocument/2006/relationships/image" Target="media/image11.png"/><Relationship Id="rId8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metrics.questions@odhsoha.oregon.gov" TargetMode="External"/><Relationship Id="rId39" Type="http://schemas.openxmlformats.org/officeDocument/2006/relationships/chart" Target="charts/chart6.xml"/><Relationship Id="rId34" Type="http://schemas.openxmlformats.org/officeDocument/2006/relationships/image" Target="media/image6.png"/><Relationship Id="rId50" Type="http://schemas.openxmlformats.org/officeDocument/2006/relationships/chart" Target="charts/chart13.xml"/><Relationship Id="rId55" Type="http://schemas.openxmlformats.org/officeDocument/2006/relationships/chart" Target="charts/chart16.xml"/><Relationship Id="rId76" Type="http://schemas.openxmlformats.org/officeDocument/2006/relationships/hyperlink" Target="https://www.cdc.gov/diabetes/hcp/clinical-guidance/how-to-promote-oral-health-for-people-with-diabetes.html" TargetMode="External"/><Relationship Id="rId7" Type="http://schemas.openxmlformats.org/officeDocument/2006/relationships/settings" Target="settings.xml"/><Relationship Id="rId71" Type="http://schemas.openxmlformats.org/officeDocument/2006/relationships/hyperlink" Target="https://www.oregon.gov/oha/HSD/Medicaid-Policy/Pages/Waiver-Renewal.aspx" TargetMode="External"/><Relationship Id="rId2" Type="http://schemas.openxmlformats.org/officeDocument/2006/relationships/customXml" Target="../customXml/item2.xml"/><Relationship Id="rId29" Type="http://schemas.openxmlformats.org/officeDocument/2006/relationships/hyperlink" Target="https://www.oregon.gov/oha/erd/pages/oha-works-to-protect-quality-health-care-across-oregon.aspx" TargetMode="External"/><Relationship Id="rId24" Type="http://schemas.openxmlformats.org/officeDocument/2006/relationships/hyperlink" Target="https://oregon-pip.org/current-projects/health-aspects-of-kindergarten-readiness/" TargetMode="External"/><Relationship Id="rId40" Type="http://schemas.openxmlformats.org/officeDocument/2006/relationships/chart" Target="charts/chart7.xml"/><Relationship Id="rId45" Type="http://schemas.openxmlformats.org/officeDocument/2006/relationships/chart" Target="charts/chart10.xml"/><Relationship Id="rId66" Type="http://schemas.openxmlformats.org/officeDocument/2006/relationships/chart" Target="charts/chart22.xml"/></Relationships>
</file>

<file path=word/_rels/footnotes.xml.rels><?xml version="1.0" encoding="UTF-8" standalone="yes"?>
<Relationships xmlns="http://schemas.openxmlformats.org/package/2006/relationships"><Relationship Id="rId2" Type="http://schemas.openxmlformats.org/officeDocument/2006/relationships/hyperlink" Target="https://secure.sos.state.or.us/oard/displayDivisionRules.action?selectedDivision=7797" TargetMode="External"/><Relationship Id="rId1" Type="http://schemas.openxmlformats.org/officeDocument/2006/relationships/hyperlink" Target="https://secure.sos.state.or.us/oard/displayDivisionRules.action?selectedDivision=779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Percent%20chang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1.xml"/></Relationships>
</file>

<file path=word/charts/_rels/chart16.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2.xml"/></Relationships>
</file>

<file path=word/charts/_rels/chart17.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Quality%20Pool%20chart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Quality%20Pool%20chart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Quality%20Pool%20chart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Quality%20Pool%20chart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1" Type="http://schemas.openxmlformats.org/officeDocument/2006/relationships/oleObject" Target="file:///\\dhs.sdc.pvt\HSB\A&amp;E\Measures\CCO%20Metrics%20Performance%20Reports\19.%202023%20Final%20Performance%20Report%20and%20Dashboard\2023%20Annual%20Report\Charts\Improvement%20target%20example.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hs.sdc.pvt\HSB\A&amp;E\Measures\CCO%20Metrics%20Performance%20Reports\19.%202023%20Final%20Performance%20Report%20and%20Dashboard\2023%20Annual%20Report\Charts\Improvement%20target%20example.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1.%202025%20Final%20Performance%20Report%20and%20Dashboards\2025%20Annual%20Report\Charts\MY2025%20Key%20findings%20chart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accent2">
                    <a:lumMod val="50000"/>
                  </a:schemeClr>
                </a:solidFill>
                <a:effectLst/>
              </a:rPr>
              <a:t>← Worsened    </a:t>
            </a:r>
            <a:r>
              <a:rPr lang="en-US" sz="1100" b="1">
                <a:solidFill>
                  <a:schemeClr val="tx2"/>
                </a:solidFill>
                <a:effectLst/>
              </a:rPr>
              <a:t>Improved →</a:t>
            </a:r>
            <a:endParaRPr lang="en-US" sz="1100">
              <a:solidFill>
                <a:schemeClr val="tx2"/>
              </a:solidFill>
              <a:effectLst/>
            </a:endParaRPr>
          </a:p>
        </c:rich>
      </c:tx>
      <c:layout>
        <c:manualLayout>
          <c:xMode val="edge"/>
          <c:yMode val="edge"/>
          <c:x val="0.4891246068883674"/>
          <c:y val="1.4512087643456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1"/>
          <c:order val="16"/>
          <c:tx>
            <c:strRef>
              <c:f>'FINAL Chart CCO state only'!$B$1</c:f>
              <c:strCache>
                <c:ptCount val="1"/>
                <c:pt idx="0">
                  <c:v>Measure name</c:v>
                </c:pt>
              </c:strCache>
            </c:strRef>
          </c:tx>
          <c:spPr>
            <a:ln w="25400" cap="rnd">
              <a:noFill/>
              <a:round/>
            </a:ln>
            <a:effectLst/>
          </c:spPr>
          <c:marker>
            <c:symbol val="none"/>
          </c:marker>
          <c:dLbls>
            <c:dLbl>
              <c:idx val="0"/>
              <c:tx>
                <c:rich>
                  <a:bodyPr/>
                  <a:lstStyle/>
                  <a:p>
                    <a:fld id="{45DB7513-93BF-430D-9E92-2EBC55490AD0}"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47736771329509736"/>
                      <c:h val="6.7857901034429513E-2"/>
                    </c:manualLayout>
                  </c15:layout>
                  <c15:dlblFieldTable/>
                  <c15:showDataLabelsRange val="1"/>
                </c:ext>
                <c:ext xmlns:c16="http://schemas.microsoft.com/office/drawing/2014/chart" uri="{C3380CC4-5D6E-409C-BE32-E72D297353CC}">
                  <c16:uniqueId val="{00000000-E25D-4AD6-A50F-4464693895BE}"/>
                </c:ext>
              </c:extLst>
            </c:dLbl>
            <c:dLbl>
              <c:idx val="1"/>
              <c:tx>
                <c:rich>
                  <a:bodyPr/>
                  <a:lstStyle/>
                  <a:p>
                    <a:fld id="{E1714843-E328-4538-A765-4EF66448C870}"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46456757720099801"/>
                      <c:h val="7.6027835674952388E-2"/>
                    </c:manualLayout>
                  </c15:layout>
                  <c15:dlblFieldTable/>
                  <c15:showDataLabelsRange val="1"/>
                </c:ext>
                <c:ext xmlns:c16="http://schemas.microsoft.com/office/drawing/2014/chart" uri="{C3380CC4-5D6E-409C-BE32-E72D297353CC}">
                  <c16:uniqueId val="{00000001-E25D-4AD6-A50F-4464693895BE}"/>
                </c:ext>
              </c:extLst>
            </c:dLbl>
            <c:dLbl>
              <c:idx val="2"/>
              <c:tx>
                <c:rich>
                  <a:bodyPr/>
                  <a:lstStyle/>
                  <a:p>
                    <a:fld id="{F944E087-D82B-449A-BC5D-76CC412C14A1}"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48026505946016007"/>
                      <c:h val="5.7645482733775927E-2"/>
                    </c:manualLayout>
                  </c15:layout>
                  <c15:dlblFieldTable/>
                  <c15:showDataLabelsRange val="1"/>
                </c:ext>
                <c:ext xmlns:c16="http://schemas.microsoft.com/office/drawing/2014/chart" uri="{C3380CC4-5D6E-409C-BE32-E72D297353CC}">
                  <c16:uniqueId val="{00000002-E25D-4AD6-A50F-4464693895BE}"/>
                </c:ext>
              </c:extLst>
            </c:dLbl>
            <c:dLbl>
              <c:idx val="3"/>
              <c:tx>
                <c:rich>
                  <a:bodyPr/>
                  <a:lstStyle/>
                  <a:p>
                    <a:fld id="{C7069EB8-9F33-4D80-A9B6-5241CFF7EC33}"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48060011017141374"/>
                      <c:h val="4.7433064433122334E-2"/>
                    </c:manualLayout>
                  </c15:layout>
                  <c15:dlblFieldTable/>
                  <c15:showDataLabelsRange val="1"/>
                </c:ext>
                <c:ext xmlns:c16="http://schemas.microsoft.com/office/drawing/2014/chart" uri="{C3380CC4-5D6E-409C-BE32-E72D297353CC}">
                  <c16:uniqueId val="{00000003-E25D-4AD6-A50F-4464693895BE}"/>
                </c:ext>
              </c:extLst>
            </c:dLbl>
            <c:dLbl>
              <c:idx val="4"/>
              <c:tx>
                <c:rich>
                  <a:bodyPr/>
                  <a:lstStyle/>
                  <a:p>
                    <a:fld id="{66EA3D0F-0583-4B97-8779-20469796F407}"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50891788989339293"/>
                      <c:h val="7.3226738201842417E-2"/>
                    </c:manualLayout>
                  </c15:layout>
                  <c15:dlblFieldTable/>
                  <c15:showDataLabelsRange val="1"/>
                </c:ext>
                <c:ext xmlns:c16="http://schemas.microsoft.com/office/drawing/2014/chart" uri="{C3380CC4-5D6E-409C-BE32-E72D297353CC}">
                  <c16:uniqueId val="{00000004-E25D-4AD6-A50F-4464693895BE}"/>
                </c:ext>
              </c:extLst>
            </c:dLbl>
            <c:dLbl>
              <c:idx val="5"/>
              <c:tx>
                <c:rich>
                  <a:bodyPr/>
                  <a:lstStyle/>
                  <a:p>
                    <a:fld id="{21D5E150-F6B2-4274-AEAB-232FEFD01CDE}"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47761440877582612"/>
                      <c:h val="7.4685664291963508E-2"/>
                    </c:manualLayout>
                  </c15:layout>
                  <c15:dlblFieldTable/>
                  <c15:showDataLabelsRange val="1"/>
                </c:ext>
                <c:ext xmlns:c16="http://schemas.microsoft.com/office/drawing/2014/chart" uri="{C3380CC4-5D6E-409C-BE32-E72D297353CC}">
                  <c16:uniqueId val="{00000005-E25D-4AD6-A50F-4464693895BE}"/>
                </c:ext>
              </c:extLst>
            </c:dLbl>
            <c:dLbl>
              <c:idx val="6"/>
              <c:tx>
                <c:rich>
                  <a:bodyPr/>
                  <a:lstStyle/>
                  <a:p>
                    <a:fld id="{D8185430-2995-4A1D-A53D-7438EDC2BE17}"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47827468325718542"/>
                      <c:h val="6.9900384694560239E-2"/>
                    </c:manualLayout>
                  </c15:layout>
                  <c15:dlblFieldTable/>
                  <c15:showDataLabelsRange val="1"/>
                </c:ext>
                <c:ext xmlns:c16="http://schemas.microsoft.com/office/drawing/2014/chart" uri="{C3380CC4-5D6E-409C-BE32-E72D297353CC}">
                  <c16:uniqueId val="{00000006-E25D-4AD6-A50F-4464693895BE}"/>
                </c:ext>
              </c:extLst>
            </c:dLbl>
            <c:dLbl>
              <c:idx val="7"/>
              <c:tx>
                <c:rich>
                  <a:bodyPr/>
                  <a:lstStyle/>
                  <a:p>
                    <a:fld id="{EBAC9D9F-DC92-4790-81A2-673A0A038E18}"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47552795526211783"/>
                      <c:h val="9.2367704955998151E-2"/>
                    </c:manualLayout>
                  </c15:layout>
                  <c15:dlblFieldTable/>
                  <c15:showDataLabelsRange val="1"/>
                </c:ext>
                <c:ext xmlns:c16="http://schemas.microsoft.com/office/drawing/2014/chart" uri="{C3380CC4-5D6E-409C-BE32-E72D297353CC}">
                  <c16:uniqueId val="{00000007-E25D-4AD6-A50F-4464693895BE}"/>
                </c:ext>
              </c:extLst>
            </c:dLbl>
            <c:dLbl>
              <c:idx val="8"/>
              <c:tx>
                <c:rich>
                  <a:bodyPr/>
                  <a:lstStyle/>
                  <a:p>
                    <a:fld id="{ABBFFC1A-2638-43D4-A1EA-0FF14DDE77C7}"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48413385826771654"/>
                      <c:h val="6.9900384694560239E-2"/>
                    </c:manualLayout>
                  </c15:layout>
                  <c15:dlblFieldTable/>
                  <c15:showDataLabelsRange val="1"/>
                </c:ext>
                <c:ext xmlns:c16="http://schemas.microsoft.com/office/drawing/2014/chart" uri="{C3380CC4-5D6E-409C-BE32-E72D297353CC}">
                  <c16:uniqueId val="{00000008-E25D-4AD6-A50F-4464693895BE}"/>
                </c:ext>
              </c:extLst>
            </c:dLbl>
            <c:dLbl>
              <c:idx val="9"/>
              <c:tx>
                <c:rich>
                  <a:bodyPr/>
                  <a:lstStyle/>
                  <a:p>
                    <a:fld id="{649F25E7-0226-4EBC-A2E5-83EA1E7CCB28}"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47942289621204759"/>
                      <c:h val="6.1730450054037364E-2"/>
                    </c:manualLayout>
                  </c15:layout>
                  <c15:dlblFieldTable/>
                  <c15:showDataLabelsRange val="1"/>
                </c:ext>
                <c:ext xmlns:c16="http://schemas.microsoft.com/office/drawing/2014/chart" uri="{C3380CC4-5D6E-409C-BE32-E72D297353CC}">
                  <c16:uniqueId val="{00000009-E25D-4AD6-A50F-4464693895BE}"/>
                </c:ext>
              </c:extLst>
            </c:dLbl>
            <c:dLbl>
              <c:idx val="10"/>
              <c:tx>
                <c:rich>
                  <a:bodyPr/>
                  <a:lstStyle/>
                  <a:p>
                    <a:fld id="{18124A6F-2F2D-47F3-9171-841D36702BEA}"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51895045526716566"/>
                      <c:h val="6.3772933714168076E-2"/>
                    </c:manualLayout>
                  </c15:layout>
                  <c15:dlblFieldTable/>
                  <c15:showDataLabelsRange val="1"/>
                </c:ext>
                <c:ext xmlns:c16="http://schemas.microsoft.com/office/drawing/2014/chart" uri="{C3380CC4-5D6E-409C-BE32-E72D297353CC}">
                  <c16:uniqueId val="{0000000A-E25D-4AD6-A50F-4464693895BE}"/>
                </c:ext>
              </c:extLst>
            </c:dLbl>
            <c:dLbl>
              <c:idx val="11"/>
              <c:tx>
                <c:rich>
                  <a:bodyPr/>
                  <a:lstStyle/>
                  <a:p>
                    <a:fld id="{CDEE44E7-D9BC-4B27-AD59-046F12E419B5}"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51654353391011298"/>
                      <c:h val="5.7645482733775927E-2"/>
                    </c:manualLayout>
                  </c15:layout>
                  <c15:dlblFieldTable/>
                  <c15:showDataLabelsRange val="1"/>
                </c:ext>
                <c:ext xmlns:c16="http://schemas.microsoft.com/office/drawing/2014/chart" uri="{C3380CC4-5D6E-409C-BE32-E72D297353CC}">
                  <c16:uniqueId val="{0000000B-E25D-4AD6-A50F-4464693895BE}"/>
                </c:ext>
              </c:extLst>
            </c:dLbl>
            <c:dLbl>
              <c:idx val="12"/>
              <c:tx>
                <c:rich>
                  <a:bodyPr/>
                  <a:lstStyle/>
                  <a:p>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
                      <c:h val="0"/>
                    </c:manualLayout>
                  </c15:layout>
                  <c15:showDataLabelsRange val="1"/>
                </c:ext>
                <c:ext xmlns:c16="http://schemas.microsoft.com/office/drawing/2014/chart" uri="{C3380CC4-5D6E-409C-BE32-E72D297353CC}">
                  <c16:uniqueId val="{0000000C-E25D-4AD6-A50F-4464693895BE}"/>
                </c:ext>
              </c:extLst>
            </c:dLbl>
            <c:dLbl>
              <c:idx val="13"/>
              <c:tx>
                <c:rich>
                  <a:bodyPr/>
                  <a:lstStyle/>
                  <a:p>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
                      <c:h val="0"/>
                    </c:manualLayout>
                  </c15:layout>
                  <c15:showDataLabelsRange val="1"/>
                </c:ext>
                <c:ext xmlns:c16="http://schemas.microsoft.com/office/drawing/2014/chart" uri="{C3380CC4-5D6E-409C-BE32-E72D297353CC}">
                  <c16:uniqueId val="{0000000D-E25D-4AD6-A50F-4464693895BE}"/>
                </c:ext>
              </c:extLst>
            </c:dLbl>
            <c:dLbl>
              <c:idx val="14"/>
              <c:layout>
                <c:manualLayout>
                  <c:x val="-5.7613168724279837E-2"/>
                  <c:y val="1.0212418300653595E-3"/>
                </c:manualLayout>
              </c:layout>
              <c:tx>
                <c:rich>
                  <a:bodyPr/>
                  <a:lstStyle/>
                  <a:p>
                    <a:fld id="{46C49CE8-04A6-4591-996D-5F85AE3CBCA5}"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layout>
                    <c:manualLayout>
                      <c:w val="0.51833333333333331"/>
                      <c:h val="6.1274509803921566E-2"/>
                    </c:manualLayout>
                  </c15:layout>
                  <c15:dlblFieldTable/>
                  <c15:showDataLabelsRange val="1"/>
                </c:ext>
                <c:ext xmlns:c16="http://schemas.microsoft.com/office/drawing/2014/chart" uri="{C3380CC4-5D6E-409C-BE32-E72D297353CC}">
                  <c16:uniqueId val="{0000000E-E25D-4AD6-A50F-4464693895BE}"/>
                </c:ext>
              </c:extLst>
            </c:dLbl>
            <c:spPr>
              <a:solidFill>
                <a:schemeClr val="bg1"/>
              </a:solidFill>
              <a:ln>
                <a:noFill/>
              </a:ln>
              <a:effectLst/>
            </c:spPr>
            <c:txPr>
              <a:bodyPr rot="0" spcFirstLastPara="1" vertOverflow="clip" horzOverflow="clip" vert="horz" wrap="square" lIns="38100" tIns="19050" rIns="38100" bIns="19050" anchor="ctr" anchorCtr="0">
                <a:noAutofit/>
              </a:bodyPr>
              <a:lstStyle/>
              <a:p>
                <a:pPr algn="l">
                  <a:defRPr sz="1100" b="0"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xVal>
            <c:numRef>
              <c:f>'FINAL Chart CCO state only'!$D$2:$D$16</c:f>
              <c:numCache>
                <c:formatCode>General</c:formatCode>
                <c:ptCount val="15"/>
                <c:pt idx="0">
                  <c:v>-0.5</c:v>
                </c:pt>
                <c:pt idx="1">
                  <c:v>-0.5</c:v>
                </c:pt>
                <c:pt idx="2">
                  <c:v>-0.5</c:v>
                </c:pt>
                <c:pt idx="3">
                  <c:v>-0.5</c:v>
                </c:pt>
                <c:pt idx="4">
                  <c:v>-0.5</c:v>
                </c:pt>
                <c:pt idx="5">
                  <c:v>-0.5</c:v>
                </c:pt>
                <c:pt idx="6">
                  <c:v>-0.5</c:v>
                </c:pt>
                <c:pt idx="7">
                  <c:v>-0.5</c:v>
                </c:pt>
                <c:pt idx="8">
                  <c:v>-0.5</c:v>
                </c:pt>
                <c:pt idx="9">
                  <c:v>-0.5</c:v>
                </c:pt>
                <c:pt idx="10">
                  <c:v>-0.5</c:v>
                </c:pt>
                <c:pt idx="11">
                  <c:v>-0.5</c:v>
                </c:pt>
                <c:pt idx="12">
                  <c:v>-0.5</c:v>
                </c:pt>
                <c:pt idx="13">
                  <c:v>-0.5</c:v>
                </c:pt>
                <c:pt idx="14">
                  <c:v>-0.5</c:v>
                </c:pt>
              </c:numCache>
            </c:numRef>
          </c:xVal>
          <c:yVal>
            <c:numRef>
              <c:f>'FINAL Chart CCO state only'!$C$2:$C$16</c:f>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c:ext xmlns:c15="http://schemas.microsoft.com/office/drawing/2012/chart" uri="{02D57815-91ED-43cb-92C2-25804820EDAC}">
              <c15:datalabelsRange>
                <c15:f>'FINAL Chart CCO state only'!$B$2:$B$16</c15:f>
                <c15:dlblRangeCache>
                  <c:ptCount val="15"/>
                  <c:pt idx="0">
                    <c:v>Screening for Depression and Follow-Up Plan</c:v>
                  </c:pt>
                  <c:pt idx="1">
                    <c:v>Childhood Immunization Status: Combo 3</c:v>
                  </c:pt>
                  <c:pt idx="2">
                    <c:v>Assessments for Children in ODHS Custody</c:v>
                  </c:pt>
                  <c:pt idx="3">
                    <c:v>Diabetes: HbA1c Poor Control^</c:v>
                  </c:pt>
                  <c:pt idx="4">
                    <c:v>Initation and Engagement of SUD Treatment: Engagement</c:v>
                  </c:pt>
                  <c:pt idx="5">
                    <c:v>Initation and Engagement of SUD Treatment: Initiation</c:v>
                  </c:pt>
                  <c:pt idx="6">
                    <c:v>Immunizations for Adolescents: Combo 2</c:v>
                  </c:pt>
                  <c:pt idx="7">
                    <c:v>Meaningful Language Access (Health Equity)</c:v>
                  </c:pt>
                  <c:pt idx="8">
                    <c:v>Adults with Diabetes - Oral Evaluation</c:v>
                  </c:pt>
                  <c:pt idx="9">
                    <c:v>Prenatal and Postpartum Care: Postpartum Care^</c:v>
                  </c:pt>
                  <c:pt idx="10">
                    <c:v>Preventive Dental or Oral Health Services (Ages 1-5)^</c:v>
                  </c:pt>
                  <c:pt idx="11">
                    <c:v>Preventive Dental or Oral Health Services (Ages 6-14)^</c:v>
                  </c:pt>
                  <c:pt idx="12">
                    <c:v>SDOH: Social Needs Screening and Referral - Rate 1</c:v>
                  </c:pt>
                  <c:pt idx="13">
                    <c:v>SDOH: Social Needs Screening and Referral - Rate 3</c:v>
                  </c:pt>
                  <c:pt idx="14">
                    <c:v>Child and Adolescent Well-Care Visits (Ages 3-6)^</c:v>
                  </c:pt>
                </c15:dlblRangeCache>
              </c15:datalabelsRange>
            </c:ext>
            <c:ext xmlns:c16="http://schemas.microsoft.com/office/drawing/2014/chart" uri="{C3380CC4-5D6E-409C-BE32-E72D297353CC}">
              <c16:uniqueId val="{0000000F-E25D-4AD6-A50F-4464693895BE}"/>
            </c:ext>
          </c:extLst>
        </c:ser>
        <c:ser>
          <c:idx val="2"/>
          <c:order val="17"/>
          <c:tx>
            <c:strRef>
              <c:f>'FINAL Chart CCO state only'!$F$1</c:f>
              <c:strCache>
                <c:ptCount val="1"/>
                <c:pt idx="0">
                  <c:v>Improved (10% or more)</c:v>
                </c:pt>
              </c:strCache>
            </c:strRef>
          </c:tx>
          <c:spPr>
            <a:ln w="25400" cap="rnd">
              <a:noFill/>
              <a:round/>
            </a:ln>
            <a:effectLst/>
          </c:spPr>
          <c:marker>
            <c:symbol val="circle"/>
            <c:size val="26"/>
            <c:spPr>
              <a:solidFill>
                <a:schemeClr val="tx2"/>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'FINAL Chart CCO state only'!$F$2:$F$16</c:f>
              <c:numCache>
                <c:formatCode>0.0%</c:formatCode>
                <c:ptCount val="15"/>
                <c:pt idx="0">
                  <c:v>#N/A</c:v>
                </c:pt>
                <c:pt idx="1">
                  <c:v>#N/A</c:v>
                </c:pt>
                <c:pt idx="2">
                  <c:v>#N/A</c:v>
                </c:pt>
                <c:pt idx="3">
                  <c:v>#N/A</c:v>
                </c:pt>
                <c:pt idx="4">
                  <c:v>#N/A</c:v>
                </c:pt>
                <c:pt idx="5">
                  <c:v>#N/A</c:v>
                </c:pt>
                <c:pt idx="6">
                  <c:v>#N/A</c:v>
                </c:pt>
                <c:pt idx="7">
                  <c:v>0.17361111111111127</c:v>
                </c:pt>
                <c:pt idx="8">
                  <c:v>#N/A</c:v>
                </c:pt>
                <c:pt idx="9">
                  <c:v>#N/A</c:v>
                </c:pt>
                <c:pt idx="10">
                  <c:v>#N/A</c:v>
                </c:pt>
                <c:pt idx="11">
                  <c:v>#N/A</c:v>
                </c:pt>
                <c:pt idx="12">
                  <c:v>#N/A</c:v>
                </c:pt>
                <c:pt idx="13">
                  <c:v>#N/A</c:v>
                </c:pt>
                <c:pt idx="14">
                  <c:v>#N/A</c:v>
                </c:pt>
              </c:numCache>
            </c:numRef>
          </c:xVal>
          <c:yVal>
            <c:numRef>
              <c:f>'FINAL Chart CCO state only'!$C$2:$C$16</c:f>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c:ext xmlns:c16="http://schemas.microsoft.com/office/drawing/2014/chart" uri="{C3380CC4-5D6E-409C-BE32-E72D297353CC}">
              <c16:uniqueId val="{00000010-E25D-4AD6-A50F-4464693895BE}"/>
            </c:ext>
          </c:extLst>
        </c:ser>
        <c:ser>
          <c:idx val="3"/>
          <c:order val="18"/>
          <c:tx>
            <c:strRef>
              <c:f>'FINAL Chart CCO state only'!$G$1</c:f>
              <c:strCache>
                <c:ptCount val="1"/>
                <c:pt idx="0">
                  <c:v>Slightly improved (3.01 to 9.9%)</c:v>
                </c:pt>
              </c:strCache>
            </c:strRef>
          </c:tx>
          <c:spPr>
            <a:ln w="25400" cap="rnd">
              <a:noFill/>
              <a:round/>
            </a:ln>
            <a:effectLst/>
          </c:spPr>
          <c:marker>
            <c:symbol val="circle"/>
            <c:size val="26"/>
            <c:spPr>
              <a:solidFill>
                <a:srgbClr val="4779B1"/>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'FINAL Chart CCO state only'!$G$2:$G$16</c:f>
              <c:numCache>
                <c:formatCode>0.0%</c:formatCode>
                <c:ptCount val="15"/>
                <c:pt idx="0">
                  <c:v>6.7846607669616407E-2</c:v>
                </c:pt>
                <c:pt idx="1">
                  <c:v>#N/A</c:v>
                </c:pt>
                <c:pt idx="2">
                  <c:v>#N/A</c:v>
                </c:pt>
                <c:pt idx="3">
                  <c:v>8.2969432314410549E-2</c:v>
                </c:pt>
                <c:pt idx="4">
                  <c:v>6.060606060606049E-2</c:v>
                </c:pt>
                <c:pt idx="5">
                  <c:v>#N/A</c:v>
                </c:pt>
                <c:pt idx="6">
                  <c:v>7.0796460176991038E-2</c:v>
                </c:pt>
                <c:pt idx="7">
                  <c:v>#N/A</c:v>
                </c:pt>
                <c:pt idx="8">
                  <c:v>#N/A</c:v>
                </c:pt>
                <c:pt idx="9">
                  <c:v>#N/A</c:v>
                </c:pt>
                <c:pt idx="10">
                  <c:v>#N/A</c:v>
                </c:pt>
                <c:pt idx="11">
                  <c:v>#N/A</c:v>
                </c:pt>
                <c:pt idx="12">
                  <c:v>#N/A</c:v>
                </c:pt>
                <c:pt idx="13">
                  <c:v>#N/A</c:v>
                </c:pt>
                <c:pt idx="14">
                  <c:v>3.3333333333333368E-2</c:v>
                </c:pt>
              </c:numCache>
            </c:numRef>
          </c:xVal>
          <c:yVal>
            <c:numRef>
              <c:f>'FINAL Chart CCO state only'!$C$2:$C$16</c:f>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c:ext xmlns:c16="http://schemas.microsoft.com/office/drawing/2014/chart" uri="{C3380CC4-5D6E-409C-BE32-E72D297353CC}">
              <c16:uniqueId val="{00000011-E25D-4AD6-A50F-4464693895BE}"/>
            </c:ext>
          </c:extLst>
        </c:ser>
        <c:ser>
          <c:idx val="0"/>
          <c:order val="19"/>
          <c:tx>
            <c:strRef>
              <c:f>'FINAL Chart CCO state only'!$H$1</c:f>
              <c:strCache>
                <c:ptCount val="1"/>
                <c:pt idx="0">
                  <c:v>Held steady (-3% to 3%)</c:v>
                </c:pt>
              </c:strCache>
            </c:strRef>
          </c:tx>
          <c:spPr>
            <a:ln w="25400" cap="rnd">
              <a:noFill/>
              <a:round/>
            </a:ln>
            <a:effectLst/>
          </c:spPr>
          <c:marker>
            <c:symbol val="circle"/>
            <c:size val="26"/>
            <c:spPr>
              <a:solidFill>
                <a:srgbClr val="606060"/>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'FINAL Chart CCO state only'!$H$2:$H$16</c:f>
              <c:numCache>
                <c:formatCode>0.0%</c:formatCode>
                <c:ptCount val="15"/>
                <c:pt idx="0">
                  <c:v>#N/A</c:v>
                </c:pt>
                <c:pt idx="1">
                  <c:v>1.6666666666666683E-3</c:v>
                </c:pt>
                <c:pt idx="2">
                  <c:v>2.1372328458942651E-2</c:v>
                </c:pt>
                <c:pt idx="3">
                  <c:v>#N/A</c:v>
                </c:pt>
                <c:pt idx="4">
                  <c:v>#N/A</c:v>
                </c:pt>
                <c:pt idx="5">
                  <c:v>1.6786570743405293E-2</c:v>
                </c:pt>
                <c:pt idx="6">
                  <c:v>#N/A</c:v>
                </c:pt>
                <c:pt idx="7">
                  <c:v>#N/A</c:v>
                </c:pt>
                <c:pt idx="8">
                  <c:v>2.0547945205479472E-2</c:v>
                </c:pt>
                <c:pt idx="9">
                  <c:v>2.211874272409781E-2</c:v>
                </c:pt>
                <c:pt idx="10">
                  <c:v>2.6186579378068765E-2</c:v>
                </c:pt>
                <c:pt idx="11">
                  <c:v>2.0408163265306142E-2</c:v>
                </c:pt>
                <c:pt idx="12">
                  <c:v>0</c:v>
                </c:pt>
                <c:pt idx="13">
                  <c:v>0</c:v>
                </c:pt>
                <c:pt idx="14">
                  <c:v>#N/A</c:v>
                </c:pt>
              </c:numCache>
            </c:numRef>
          </c:xVal>
          <c:yVal>
            <c:numRef>
              <c:f>'FINAL Chart CCO state only'!$C$2:$C$16</c:f>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c:ext xmlns:c16="http://schemas.microsoft.com/office/drawing/2014/chart" uri="{C3380CC4-5D6E-409C-BE32-E72D297353CC}">
              <c16:uniqueId val="{00000012-E25D-4AD6-A50F-4464693895BE}"/>
            </c:ext>
          </c:extLst>
        </c:ser>
        <c:ser>
          <c:idx val="4"/>
          <c:order val="20"/>
          <c:tx>
            <c:strRef>
              <c:f>'FINAL Chart CCO state only'!$I$1</c:f>
              <c:strCache>
                <c:ptCount val="1"/>
                <c:pt idx="0">
                  <c:v>Slightly worsened (-3.01 to -9.99%)</c:v>
                </c:pt>
              </c:strCache>
            </c:strRef>
          </c:tx>
          <c:spPr>
            <a:ln w="25400" cap="rnd">
              <a:noFill/>
              <a:round/>
            </a:ln>
            <a:effectLst/>
          </c:spPr>
          <c:marker>
            <c:symbol val="circle"/>
            <c:size val="26"/>
            <c:spPr>
              <a:solidFill>
                <a:schemeClr val="accent6">
                  <a:lumMod val="20000"/>
                  <a:lumOff val="80000"/>
                </a:schemeClr>
              </a:solidFill>
              <a:ln w="9525">
                <a:noFill/>
              </a:ln>
              <a:effectLst/>
            </c:spPr>
          </c:marker>
          <c:xVal>
            <c:numRef>
              <c:f>'FINAL Chart CCO state only'!$I$2:$I$16</c:f>
              <c:numCache>
                <c:formatCode>0.0%</c:formatCode>
                <c:ptCount val="15"/>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numCache>
            </c:numRef>
          </c:xVal>
          <c:yVal>
            <c:numRef>
              <c:f>'FINAL Chart CCO state only'!$C$2:$C$16</c:f>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c:ext xmlns:c16="http://schemas.microsoft.com/office/drawing/2014/chart" uri="{C3380CC4-5D6E-409C-BE32-E72D297353CC}">
              <c16:uniqueId val="{00000013-E25D-4AD6-A50F-4464693895BE}"/>
            </c:ext>
          </c:extLst>
        </c:ser>
        <c:ser>
          <c:idx val="21"/>
          <c:order val="21"/>
          <c:tx>
            <c:strRef>
              <c:f>'FINAL Chart CCO state only'!$J$1</c:f>
              <c:strCache>
                <c:ptCount val="1"/>
                <c:pt idx="0">
                  <c:v>Worsened (-10% or less)</c:v>
                </c:pt>
              </c:strCache>
            </c:strRef>
          </c:tx>
          <c:spPr>
            <a:ln w="25400" cap="rnd">
              <a:noFill/>
              <a:round/>
            </a:ln>
            <a:effectLst/>
          </c:spPr>
          <c:marker>
            <c:symbol val="circle"/>
            <c:size val="26"/>
            <c:spPr>
              <a:solidFill>
                <a:schemeClr val="accent6">
                  <a:lumMod val="75000"/>
                </a:schemeClr>
              </a:solidFill>
              <a:ln w="9525">
                <a:noFill/>
              </a:ln>
              <a:effectLst/>
            </c:spPr>
          </c:marker>
          <c:dLbls>
            <c:dLbl>
              <c:idx val="14"/>
              <c:tx>
                <c:rich>
                  <a:bodyPr/>
                  <a:lstStyle/>
                  <a:p>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4876923076923077"/>
                      <c:h val="9.7222222222222224E-2"/>
                    </c:manualLayout>
                  </c15:layout>
                  <c15:showDataLabelsRange val="1"/>
                </c:ext>
                <c:ext xmlns:c16="http://schemas.microsoft.com/office/drawing/2014/chart" uri="{C3380CC4-5D6E-409C-BE32-E72D297353CC}">
                  <c16:uniqueId val="{00000014-E25D-4AD6-A50F-4464693895B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'FINAL Chart CCO state only'!$J$2:$J$16</c:f>
              <c:numCache>
                <c:formatCode>0.0%</c:formatCode>
                <c:ptCount val="15"/>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numCache>
            </c:numRef>
          </c:xVal>
          <c:yVal>
            <c:numRef>
              <c:f>'FINAL Chart CCO state only'!$C$2:$C$16</c:f>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c:ext xmlns:c15="http://schemas.microsoft.com/office/drawing/2012/chart" uri="{02D57815-91ED-43cb-92C2-25804820EDAC}">
              <c15:datalabelsRange>
                <c15:f>'FINAL Chart CCO state only'!$B$2:$B$16</c15:f>
                <c15:dlblRangeCache>
                  <c:ptCount val="15"/>
                  <c:pt idx="0">
                    <c:v>Screening for Depression and Follow-Up Plan</c:v>
                  </c:pt>
                  <c:pt idx="1">
                    <c:v>Childhood Immunization Status: Combo 3</c:v>
                  </c:pt>
                  <c:pt idx="2">
                    <c:v>Assessments for Children in ODHS Custody</c:v>
                  </c:pt>
                  <c:pt idx="3">
                    <c:v>Diabetes: HbA1c Poor Control^</c:v>
                  </c:pt>
                  <c:pt idx="4">
                    <c:v>Initation and Engagement of SUD Treatment: Engagement</c:v>
                  </c:pt>
                  <c:pt idx="5">
                    <c:v>Initation and Engagement of SUD Treatment: Initiation</c:v>
                  </c:pt>
                  <c:pt idx="6">
                    <c:v>Immunizations for Adolescents: Combo 2</c:v>
                  </c:pt>
                  <c:pt idx="7">
                    <c:v>Meaningful Language Access (Health Equity)</c:v>
                  </c:pt>
                  <c:pt idx="8">
                    <c:v>Adults with Diabetes - Oral Evaluation</c:v>
                  </c:pt>
                  <c:pt idx="9">
                    <c:v>Prenatal and Postpartum Care: Postpartum Care^</c:v>
                  </c:pt>
                  <c:pt idx="10">
                    <c:v>Preventive Dental or Oral Health Services (Ages 1-5)^</c:v>
                  </c:pt>
                  <c:pt idx="11">
                    <c:v>Preventive Dental or Oral Health Services (Ages 6-14)^</c:v>
                  </c:pt>
                  <c:pt idx="12">
                    <c:v>SDOH: Social Needs Screening and Referral - Rate 1</c:v>
                  </c:pt>
                  <c:pt idx="13">
                    <c:v>SDOH: Social Needs Screening and Referral - Rate 3</c:v>
                  </c:pt>
                  <c:pt idx="14">
                    <c:v>Child and Adolescent Well-Care Visits (Ages 3-6)^</c:v>
                  </c:pt>
                </c15:dlblRangeCache>
              </c15:datalabelsRange>
            </c:ext>
            <c:ext xmlns:c16="http://schemas.microsoft.com/office/drawing/2014/chart" uri="{C3380CC4-5D6E-409C-BE32-E72D297353CC}">
              <c16:uniqueId val="{00000015-E25D-4AD6-A50F-4464693895BE}"/>
            </c:ext>
          </c:extLst>
        </c:ser>
        <c:dLbls>
          <c:showLegendKey val="0"/>
          <c:showVal val="0"/>
          <c:showCatName val="0"/>
          <c:showSerName val="0"/>
          <c:showPercent val="0"/>
          <c:showBubbleSize val="0"/>
        </c:dLbls>
        <c:axId val="799829584"/>
        <c:axId val="799827064"/>
        <c:extLst>
          <c:ext xmlns:c15="http://schemas.microsoft.com/office/drawing/2012/chart" uri="{02D57815-91ED-43cb-92C2-25804820EDAC}">
            <c15:filteredScatterSeries>
              <c15:ser>
                <c:idx val="5"/>
                <c:order val="0"/>
                <c:tx>
                  <c:strRef>
                    <c:extLst>
                      <c:ext uri="{02D57815-91ED-43cb-92C2-25804820EDAC}">
                        <c15:formulaRef>
                          <c15:sqref>'FINAL Chart CCO state only'!$K$1</c15:sqref>
                        </c15:formulaRef>
                      </c:ext>
                    </c:extLst>
                    <c:strCache>
                      <c:ptCount val="1"/>
                      <c:pt idx="0">
                        <c:v>Advanced Health</c:v>
                      </c:pt>
                    </c:strCache>
                  </c:strRef>
                </c:tx>
                <c:spPr>
                  <a:ln w="25400" cap="rnd">
                    <a:noFill/>
                    <a:round/>
                  </a:ln>
                  <a:effectLst/>
                </c:spPr>
                <c:marker>
                  <c:symbol val="circle"/>
                  <c:size val="10"/>
                  <c:spPr>
                    <a:solidFill>
                      <a:srgbClr val="F2F2F2"/>
                    </a:solidFill>
                    <a:ln w="9525">
                      <a:solidFill>
                        <a:srgbClr val="606060"/>
                      </a:solidFill>
                    </a:ln>
                    <a:effectLst/>
                  </c:spPr>
                </c:marker>
                <c:dPt>
                  <c:idx val="7"/>
                  <c:marker>
                    <c:symbol val="triangle"/>
                    <c:size val="10"/>
                    <c:spPr>
                      <a:solidFill>
                        <a:srgbClr val="F2F2F2"/>
                      </a:solidFill>
                      <a:ln w="9525">
                        <a:solidFill>
                          <a:srgbClr val="606060"/>
                        </a:solidFill>
                      </a:ln>
                      <a:effectLst/>
                    </c:spPr>
                  </c:marker>
                  <c:bubble3D val="0"/>
                  <c:extLst>
                    <c:ext xmlns:c16="http://schemas.microsoft.com/office/drawing/2014/chart" uri="{C3380CC4-5D6E-409C-BE32-E72D297353CC}">
                      <c16:uniqueId val="{00000016-E25D-4AD6-A50F-4464693895BE}"/>
                    </c:ext>
                  </c:extLst>
                </c:dPt>
                <c:xVal>
                  <c:numRef>
                    <c:extLst>
                      <c:ext uri="{02D57815-91ED-43cb-92C2-25804820EDAC}">
                        <c15:formulaRef>
                          <c15:sqref>'FINAL Chart CCO state only'!$K$2:$K$16</c15:sqref>
                        </c15:formulaRef>
                      </c:ext>
                    </c:extLst>
                    <c:numCache>
                      <c:formatCode>0.0%</c:formatCode>
                      <c:ptCount val="15"/>
                      <c:pt idx="0">
                        <c:v>-0.13265306122448972</c:v>
                      </c:pt>
                      <c:pt idx="1">
                        <c:v>1.2820512820512832E-2</c:v>
                      </c:pt>
                      <c:pt idx="2">
                        <c:v>7.4547390841320626E-3</c:v>
                      </c:pt>
                      <c:pt idx="3">
                        <c:v>-0.11743772241992873</c:v>
                      </c:pt>
                      <c:pt idx="4">
                        <c:v>8.9041095890411037E-2</c:v>
                      </c:pt>
                      <c:pt idx="5">
                        <c:v>4.2154566744730719E-2</c:v>
                      </c:pt>
                      <c:pt idx="6">
                        <c:v>7.5539568345323604E-2</c:v>
                      </c:pt>
                      <c:pt idx="7">
                        <c:v>-0.37209302325581389</c:v>
                      </c:pt>
                      <c:pt idx="8">
                        <c:v>-4.3478260869565258E-2</c:v>
                      </c:pt>
                      <c:pt idx="9">
                        <c:v>6.2060889929742444E-2</c:v>
                      </c:pt>
                      <c:pt idx="10">
                        <c:v>-1.1560693641618347E-2</c:v>
                      </c:pt>
                      <c:pt idx="11">
                        <c:v>-3.5063113604488112E-2</c:v>
                      </c:pt>
                      <c:pt idx="12">
                        <c:v>0</c:v>
                      </c:pt>
                      <c:pt idx="13">
                        <c:v>0</c:v>
                      </c:pt>
                      <c:pt idx="14">
                        <c:v>2.6277372262773581E-2</c:v>
                      </c:pt>
                    </c:numCache>
                  </c:numRef>
                </c:xVal>
                <c:yVal>
                  <c:numRef>
                    <c:extLst>
                      <c:ex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c:ext xmlns:c16="http://schemas.microsoft.com/office/drawing/2014/chart" uri="{C3380CC4-5D6E-409C-BE32-E72D297353CC}">
                    <c16:uniqueId val="{00000017-E25D-4AD6-A50F-4464693895BE}"/>
                  </c:ext>
                </c:extLst>
              </c15:ser>
            </c15:filteredScatterSeries>
            <c15:filteredScatterSeries>
              <c15:ser>
                <c:idx val="6"/>
                <c:order val="1"/>
                <c:tx>
                  <c:strRef>
                    <c:extLst xmlns:c15="http://schemas.microsoft.com/office/drawing/2012/chart">
                      <c:ext xmlns:c15="http://schemas.microsoft.com/office/drawing/2012/chart" uri="{02D57815-91ED-43cb-92C2-25804820EDAC}">
                        <c15:formulaRef>
                          <c15:sqref>'FINAL Chart CCO state only'!$L$1</c15:sqref>
                        </c15:formulaRef>
                      </c:ext>
                    </c:extLst>
                    <c:strCache>
                      <c:ptCount val="1"/>
                      <c:pt idx="0">
                        <c:v>AllCare CCO</c:v>
                      </c:pt>
                    </c:strCache>
                  </c:strRef>
                </c:tx>
                <c:spPr>
                  <a:ln w="25400" cap="rnd">
                    <a:noFill/>
                    <a:round/>
                  </a:ln>
                  <a:effectLst/>
                </c:spPr>
                <c:marker>
                  <c:symbol val="circle"/>
                  <c:size val="10"/>
                  <c:spPr>
                    <a:solidFill>
                      <a:srgbClr val="F2F2F2"/>
                    </a:solidFill>
                    <a:ln w="9525">
                      <a:solidFill>
                        <a:srgbClr val="606060"/>
                      </a:solidFill>
                    </a:ln>
                    <a:effectLst/>
                  </c:spPr>
                </c:marker>
                <c:dPt>
                  <c:idx val="7"/>
                  <c:marker>
                    <c:symbol val="triangle"/>
                    <c:size val="10"/>
                    <c:spPr>
                      <a:solidFill>
                        <a:srgbClr val="F2F2F2"/>
                      </a:solidFill>
                      <a:ln w="9525">
                        <a:solidFill>
                          <a:srgbClr val="606060"/>
                        </a:solidFill>
                      </a:ln>
                      <a:effectLst/>
                    </c:spPr>
                  </c:marker>
                  <c:bubble3D val="0"/>
                  <c:extLst xmlns:c15="http://schemas.microsoft.com/office/drawing/2012/chart">
                    <c:ext xmlns:c16="http://schemas.microsoft.com/office/drawing/2014/chart" uri="{C3380CC4-5D6E-409C-BE32-E72D297353CC}">
                      <c16:uniqueId val="{00000018-E25D-4AD6-A50F-4464693895BE}"/>
                    </c:ext>
                  </c:extLst>
                </c:dPt>
                <c:xVal>
                  <c:numRef>
                    <c:extLst xmlns:c15="http://schemas.microsoft.com/office/drawing/2012/chart">
                      <c:ext xmlns:c15="http://schemas.microsoft.com/office/drawing/2012/chart" uri="{02D57815-91ED-43cb-92C2-25804820EDAC}">
                        <c15:formulaRef>
                          <c15:sqref>'FINAL Chart CCO state only'!$L$2:$L$16</c15:sqref>
                        </c15:formulaRef>
                      </c:ext>
                    </c:extLst>
                    <c:numCache>
                      <c:formatCode>0.0%</c:formatCode>
                      <c:ptCount val="15"/>
                      <c:pt idx="0">
                        <c:v>0.12071535022354687</c:v>
                      </c:pt>
                      <c:pt idx="1">
                        <c:v>1.6279069767441874E-2</c:v>
                      </c:pt>
                      <c:pt idx="2">
                        <c:v>-0.10784313725490205</c:v>
                      </c:pt>
                      <c:pt idx="3">
                        <c:v>0.11594202898550722</c:v>
                      </c:pt>
                      <c:pt idx="4">
                        <c:v>7.2580645161290383E-2</c:v>
                      </c:pt>
                      <c:pt idx="5">
                        <c:v>8.3550913838120036E-2</c:v>
                      </c:pt>
                      <c:pt idx="6">
                        <c:v>-7.1856287425149754E-2</c:v>
                      </c:pt>
                      <c:pt idx="7">
                        <c:v>0.68817204301075274</c:v>
                      </c:pt>
                      <c:pt idx="8">
                        <c:v>-1.5936254980079695E-2</c:v>
                      </c:pt>
                      <c:pt idx="9">
                        <c:v>3.1431897555296885E-2</c:v>
                      </c:pt>
                      <c:pt idx="10">
                        <c:v>-9.6969696969697053E-2</c:v>
                      </c:pt>
                      <c:pt idx="11">
                        <c:v>-7.5734157650695577E-2</c:v>
                      </c:pt>
                      <c:pt idx="12">
                        <c:v>0</c:v>
                      </c:pt>
                      <c:pt idx="13">
                        <c:v>0</c:v>
                      </c:pt>
                      <c:pt idx="14">
                        <c:v>3.4690799396681779E-2</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19-E25D-4AD6-A50F-4464693895BE}"/>
                  </c:ext>
                </c:extLst>
              </c15:ser>
            </c15:filteredScatterSeries>
            <c15:filteredScatterSeries>
              <c15:ser>
                <c:idx val="7"/>
                <c:order val="2"/>
                <c:tx>
                  <c:strRef>
                    <c:extLst xmlns:c15="http://schemas.microsoft.com/office/drawing/2012/chart">
                      <c:ext xmlns:c15="http://schemas.microsoft.com/office/drawing/2012/chart" uri="{02D57815-91ED-43cb-92C2-25804820EDAC}">
                        <c15:formulaRef>
                          <c15:sqref>'FINAL Chart CCO state only'!$M$1</c15:sqref>
                        </c15:formulaRef>
                      </c:ext>
                    </c:extLst>
                    <c:strCache>
                      <c:ptCount val="1"/>
                      <c:pt idx="0">
                        <c:v>Cascade Health Alliance</c:v>
                      </c:pt>
                    </c:strCache>
                  </c:strRef>
                </c:tx>
                <c:spPr>
                  <a:ln w="25400" cap="rnd">
                    <a:noFill/>
                    <a:round/>
                  </a:ln>
                  <a:effectLst/>
                </c:spPr>
                <c:marker>
                  <c:symbol val="circle"/>
                  <c:size val="10"/>
                  <c:spPr>
                    <a:solidFill>
                      <a:srgbClr val="F2F2F2"/>
                    </a:solidFill>
                    <a:ln w="9525">
                      <a:solidFill>
                        <a:srgbClr val="606060"/>
                      </a:solidFill>
                    </a:ln>
                    <a:effectLst/>
                  </c:spPr>
                </c:marker>
                <c:dPt>
                  <c:idx val="7"/>
                  <c:marker>
                    <c:symbol val="triangle"/>
                    <c:size val="10"/>
                    <c:spPr>
                      <a:solidFill>
                        <a:srgbClr val="F2F2F2"/>
                      </a:solidFill>
                      <a:ln w="9525">
                        <a:solidFill>
                          <a:srgbClr val="606060"/>
                        </a:solidFill>
                      </a:ln>
                      <a:effectLst/>
                    </c:spPr>
                  </c:marker>
                  <c:bubble3D val="0"/>
                  <c:extLst xmlns:c15="http://schemas.microsoft.com/office/drawing/2012/chart">
                    <c:ext xmlns:c16="http://schemas.microsoft.com/office/drawing/2014/chart" uri="{C3380CC4-5D6E-409C-BE32-E72D297353CC}">
                      <c16:uniqueId val="{0000001A-E25D-4AD6-A50F-4464693895BE}"/>
                    </c:ext>
                  </c:extLst>
                </c:dPt>
                <c:xVal>
                  <c:numRef>
                    <c:extLst xmlns:c15="http://schemas.microsoft.com/office/drawing/2012/chart">
                      <c:ext xmlns:c15="http://schemas.microsoft.com/office/drawing/2012/chart" uri="{02D57815-91ED-43cb-92C2-25804820EDAC}">
                        <c15:formulaRef>
                          <c15:sqref>'FINAL Chart CCO state only'!$M$2:$M$16</c15:sqref>
                        </c15:formulaRef>
                      </c:ext>
                    </c:extLst>
                    <c:numCache>
                      <c:formatCode>0.0%</c:formatCode>
                      <c:ptCount val="15"/>
                      <c:pt idx="0">
                        <c:v>3.652173913043482E-2</c:v>
                      </c:pt>
                      <c:pt idx="1">
                        <c:v>2.9268292682926855E-2</c:v>
                      </c:pt>
                      <c:pt idx="2">
                        <c:v>-2.7466937945066151E-2</c:v>
                      </c:pt>
                      <c:pt idx="3">
                        <c:v>0.23043478260869574</c:v>
                      </c:pt>
                      <c:pt idx="4">
                        <c:v>0.10382513661202196</c:v>
                      </c:pt>
                      <c:pt idx="5">
                        <c:v>8.6956521739130391E-2</c:v>
                      </c:pt>
                      <c:pt idx="6">
                        <c:v>3.2828282828282714E-2</c:v>
                      </c:pt>
                      <c:pt idx="7">
                        <c:v>1.6428571428571428</c:v>
                      </c:pt>
                      <c:pt idx="8">
                        <c:v>0.12177121771217701</c:v>
                      </c:pt>
                      <c:pt idx="9">
                        <c:v>-3.1180400890868622E-2</c:v>
                      </c:pt>
                      <c:pt idx="10">
                        <c:v>-8.6805555555555646E-3</c:v>
                      </c:pt>
                      <c:pt idx="11">
                        <c:v>7.3770491803278757E-2</c:v>
                      </c:pt>
                      <c:pt idx="12">
                        <c:v>0</c:v>
                      </c:pt>
                      <c:pt idx="13">
                        <c:v>0</c:v>
                      </c:pt>
                      <c:pt idx="14">
                        <c:v>6.3559322033898372E-2</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1B-E25D-4AD6-A50F-4464693895BE}"/>
                  </c:ext>
                </c:extLst>
              </c15:ser>
            </c15:filteredScatterSeries>
            <c15:filteredScatterSeries>
              <c15:ser>
                <c:idx val="8"/>
                <c:order val="3"/>
                <c:tx>
                  <c:strRef>
                    <c:extLst xmlns:c15="http://schemas.microsoft.com/office/drawing/2012/chart">
                      <c:ext xmlns:c15="http://schemas.microsoft.com/office/drawing/2012/chart" uri="{02D57815-91ED-43cb-92C2-25804820EDAC}">
                        <c15:formulaRef>
                          <c15:sqref>'FINAL Chart CCO state only'!$N$1</c15:sqref>
                        </c15:formulaRef>
                      </c:ext>
                    </c:extLst>
                    <c:strCache>
                      <c:ptCount val="1"/>
                      <c:pt idx="0">
                        <c:v>Columbia Pacific</c:v>
                      </c:pt>
                    </c:strCache>
                  </c:strRef>
                </c:tx>
                <c:spPr>
                  <a:ln w="25400" cap="rnd">
                    <a:noFill/>
                    <a:round/>
                  </a:ln>
                  <a:effectLst/>
                </c:spPr>
                <c:marker>
                  <c:symbol val="circle"/>
                  <c:size val="10"/>
                  <c:spPr>
                    <a:solidFill>
                      <a:srgbClr val="F2F2F2"/>
                    </a:solidFill>
                    <a:ln w="9525">
                      <a:solidFill>
                        <a:srgbClr val="606060"/>
                      </a:solidFill>
                    </a:ln>
                    <a:effectLst/>
                  </c:spPr>
                </c:marker>
                <c:dPt>
                  <c:idx val="7"/>
                  <c:marker>
                    <c:symbol val="triangle"/>
                    <c:size val="10"/>
                    <c:spPr>
                      <a:solidFill>
                        <a:srgbClr val="F2F2F2"/>
                      </a:solidFill>
                      <a:ln w="9525">
                        <a:solidFill>
                          <a:srgbClr val="606060"/>
                        </a:solidFill>
                      </a:ln>
                      <a:effectLst/>
                    </c:spPr>
                  </c:marker>
                  <c:bubble3D val="0"/>
                  <c:extLst xmlns:c15="http://schemas.microsoft.com/office/drawing/2012/chart">
                    <c:ext xmlns:c16="http://schemas.microsoft.com/office/drawing/2014/chart" uri="{C3380CC4-5D6E-409C-BE32-E72D297353CC}">
                      <c16:uniqueId val="{0000001C-E25D-4AD6-A50F-4464693895BE}"/>
                    </c:ext>
                  </c:extLst>
                </c:dPt>
                <c:xVal>
                  <c:numRef>
                    <c:extLst xmlns:c15="http://schemas.microsoft.com/office/drawing/2012/chart">
                      <c:ext xmlns:c15="http://schemas.microsoft.com/office/drawing/2012/chart" uri="{02D57815-91ED-43cb-92C2-25804820EDAC}">
                        <c15:formulaRef>
                          <c15:sqref>'FINAL Chart CCO state only'!$N$2:$N$16</c15:sqref>
                        </c15:formulaRef>
                      </c:ext>
                    </c:extLst>
                    <c:numCache>
                      <c:formatCode>0.0%</c:formatCode>
                      <c:ptCount val="15"/>
                      <c:pt idx="0">
                        <c:v>7.8286558345642437E-2</c:v>
                      </c:pt>
                      <c:pt idx="1">
                        <c:v>4.0650406504065074E-2</c:v>
                      </c:pt>
                      <c:pt idx="2">
                        <c:v>-0.12365591397849458</c:v>
                      </c:pt>
                      <c:pt idx="3">
                        <c:v>4.587155963302756E-3</c:v>
                      </c:pt>
                      <c:pt idx="4">
                        <c:v>8.1481481481481349E-2</c:v>
                      </c:pt>
                      <c:pt idx="5">
                        <c:v>-1.0899182561307912E-2</c:v>
                      </c:pt>
                      <c:pt idx="6">
                        <c:v>0.2290748898678415</c:v>
                      </c:pt>
                      <c:pt idx="7">
                        <c:v>0.32653061224489793</c:v>
                      </c:pt>
                      <c:pt idx="8">
                        <c:v>-9.3749999999999903E-2</c:v>
                      </c:pt>
                      <c:pt idx="9">
                        <c:v>2.5462962962962986E-2</c:v>
                      </c:pt>
                      <c:pt idx="10">
                        <c:v>-4.7706422018348661E-2</c:v>
                      </c:pt>
                      <c:pt idx="11">
                        <c:v>-5.1813471502590728E-3</c:v>
                      </c:pt>
                      <c:pt idx="12">
                        <c:v>0</c:v>
                      </c:pt>
                      <c:pt idx="13">
                        <c:v>0</c:v>
                      </c:pt>
                      <c:pt idx="14">
                        <c:v>0.10231023102310241</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1D-E25D-4AD6-A50F-4464693895BE}"/>
                  </c:ext>
                </c:extLst>
              </c15:ser>
            </c15:filteredScatterSeries>
            <c15:filteredScatterSeries>
              <c15:ser>
                <c:idx val="9"/>
                <c:order val="4"/>
                <c:tx>
                  <c:strRef>
                    <c:extLst xmlns:c15="http://schemas.microsoft.com/office/drawing/2012/chart">
                      <c:ext xmlns:c15="http://schemas.microsoft.com/office/drawing/2012/chart" uri="{02D57815-91ED-43cb-92C2-25804820EDAC}">
                        <c15:formulaRef>
                          <c15:sqref>'FINAL Chart CCO state only'!$O$1</c15:sqref>
                        </c15:formulaRef>
                      </c:ext>
                    </c:extLst>
                    <c:strCache>
                      <c:ptCount val="1"/>
                      <c:pt idx="0">
                        <c:v>Eastern Oregon CCO</c:v>
                      </c:pt>
                    </c:strCache>
                  </c:strRef>
                </c:tx>
                <c:spPr>
                  <a:ln w="25400" cap="rnd">
                    <a:noFill/>
                    <a:round/>
                  </a:ln>
                  <a:effectLst/>
                </c:spPr>
                <c:marker>
                  <c:symbol val="circle"/>
                  <c:size val="10"/>
                  <c:spPr>
                    <a:solidFill>
                      <a:srgbClr val="F2F2F2"/>
                    </a:solidFill>
                    <a:ln w="9525">
                      <a:solidFill>
                        <a:srgbClr val="606060"/>
                      </a:solidFill>
                    </a:ln>
                    <a:effectLst/>
                  </c:spPr>
                </c:marker>
                <c:xVal>
                  <c:numRef>
                    <c:extLst xmlns:c15="http://schemas.microsoft.com/office/drawing/2012/chart">
                      <c:ext xmlns:c15="http://schemas.microsoft.com/office/drawing/2012/chart" uri="{02D57815-91ED-43cb-92C2-25804820EDAC}">
                        <c15:formulaRef>
                          <c15:sqref>'FINAL Chart CCO state only'!$O$2:$O$16</c15:sqref>
                        </c15:formulaRef>
                      </c:ext>
                    </c:extLst>
                    <c:numCache>
                      <c:formatCode>0.0%</c:formatCode>
                      <c:ptCount val="15"/>
                      <c:pt idx="0">
                        <c:v>8.8150289017341121E-2</c:v>
                      </c:pt>
                      <c:pt idx="1">
                        <c:v>-5.1127819548872223E-2</c:v>
                      </c:pt>
                      <c:pt idx="2">
                        <c:v>-4.136504653567739E-3</c:v>
                      </c:pt>
                      <c:pt idx="3">
                        <c:v>0.12019230769230767</c:v>
                      </c:pt>
                      <c:pt idx="4">
                        <c:v>7.4074074074074138E-3</c:v>
                      </c:pt>
                      <c:pt idx="5">
                        <c:v>-1.3586956521739142E-2</c:v>
                      </c:pt>
                      <c:pt idx="6">
                        <c:v>4.021447721179628E-2</c:v>
                      </c:pt>
                      <c:pt idx="7">
                        <c:v>-0.27272727272727271</c:v>
                      </c:pt>
                      <c:pt idx="8">
                        <c:v>-4.9019607843137303E-2</c:v>
                      </c:pt>
                      <c:pt idx="9">
                        <c:v>4.2713567839195873E-2</c:v>
                      </c:pt>
                      <c:pt idx="10">
                        <c:v>-3.3485540334855429E-2</c:v>
                      </c:pt>
                      <c:pt idx="11">
                        <c:v>-2.1186440677966122E-2</c:v>
                      </c:pt>
                      <c:pt idx="12">
                        <c:v>0</c:v>
                      </c:pt>
                      <c:pt idx="13">
                        <c:v>0</c:v>
                      </c:pt>
                      <c:pt idx="14">
                        <c:v>3.3724340175952945E-2</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1E-E25D-4AD6-A50F-4464693895BE}"/>
                  </c:ext>
                </c:extLst>
              </c15:ser>
            </c15:filteredScatterSeries>
            <c15:filteredScatterSeries>
              <c15:ser>
                <c:idx val="10"/>
                <c:order val="5"/>
                <c:tx>
                  <c:strRef>
                    <c:extLst xmlns:c15="http://schemas.microsoft.com/office/drawing/2012/chart">
                      <c:ext xmlns:c15="http://schemas.microsoft.com/office/drawing/2012/chart" uri="{02D57815-91ED-43cb-92C2-25804820EDAC}">
                        <c15:formulaRef>
                          <c15:sqref>'FINAL Chart CCO state only'!$P$1</c15:sqref>
                        </c15:formulaRef>
                      </c:ext>
                    </c:extLst>
                    <c:strCache>
                      <c:ptCount val="1"/>
                      <c:pt idx="0">
                        <c:v>Health Share of Oregon</c:v>
                      </c:pt>
                    </c:strCache>
                  </c:strRef>
                </c:tx>
                <c:spPr>
                  <a:ln w="25400" cap="rnd">
                    <a:noFill/>
                    <a:round/>
                  </a:ln>
                  <a:effectLst/>
                </c:spPr>
                <c:marker>
                  <c:symbol val="circle"/>
                  <c:size val="10"/>
                  <c:spPr>
                    <a:solidFill>
                      <a:srgbClr val="F2F2F2"/>
                    </a:solidFill>
                    <a:ln w="9525">
                      <a:solidFill>
                        <a:srgbClr val="606060"/>
                      </a:solidFill>
                    </a:ln>
                    <a:effectLst/>
                  </c:spPr>
                </c:marker>
                <c:xVal>
                  <c:numRef>
                    <c:extLst xmlns:c15="http://schemas.microsoft.com/office/drawing/2012/chart">
                      <c:ext xmlns:c15="http://schemas.microsoft.com/office/drawing/2012/chart" uri="{02D57815-91ED-43cb-92C2-25804820EDAC}">
                        <c15:formulaRef>
                          <c15:sqref>'FINAL Chart CCO state only'!$P$2:$P$16</c15:sqref>
                        </c15:formulaRef>
                      </c:ext>
                    </c:extLst>
                    <c:numCache>
                      <c:formatCode>0.0%</c:formatCode>
                      <c:ptCount val="15"/>
                      <c:pt idx="0">
                        <c:v>4.8850574712643723E-2</c:v>
                      </c:pt>
                      <c:pt idx="1">
                        <c:v>6.5040650406504126E-3</c:v>
                      </c:pt>
                      <c:pt idx="2">
                        <c:v>-5.3304904051171571E-3</c:v>
                      </c:pt>
                      <c:pt idx="3">
                        <c:v>6.3025210084033556E-2</c:v>
                      </c:pt>
                      <c:pt idx="4">
                        <c:v>6.7039106145251465E-2</c:v>
                      </c:pt>
                      <c:pt idx="5">
                        <c:v>-1.075268817204302E-2</c:v>
                      </c:pt>
                      <c:pt idx="6">
                        <c:v>7.9081632653061146E-2</c:v>
                      </c:pt>
                      <c:pt idx="7">
                        <c:v>0.22784810126582281</c:v>
                      </c:pt>
                      <c:pt idx="8">
                        <c:v>7.4675324675324742E-2</c:v>
                      </c:pt>
                      <c:pt idx="9">
                        <c:v>-1.2485811577752566E-2</c:v>
                      </c:pt>
                      <c:pt idx="10">
                        <c:v>3.6423841059602682E-2</c:v>
                      </c:pt>
                      <c:pt idx="11">
                        <c:v>4.1806020066889674E-2</c:v>
                      </c:pt>
                      <c:pt idx="12">
                        <c:v>0</c:v>
                      </c:pt>
                      <c:pt idx="13">
                        <c:v>0</c:v>
                      </c:pt>
                      <c:pt idx="14">
                        <c:v>4.4349070100143106E-2</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1F-E25D-4AD6-A50F-4464693895BE}"/>
                  </c:ext>
                </c:extLst>
              </c15:ser>
            </c15:filteredScatterSeries>
            <c15:filteredScatterSeries>
              <c15:ser>
                <c:idx val="11"/>
                <c:order val="6"/>
                <c:tx>
                  <c:strRef>
                    <c:extLst xmlns:c15="http://schemas.microsoft.com/office/drawing/2012/chart">
                      <c:ext xmlns:c15="http://schemas.microsoft.com/office/drawing/2012/chart" uri="{02D57815-91ED-43cb-92C2-25804820EDAC}">
                        <c15:formulaRef>
                          <c15:sqref>'FINAL Chart CCO state only'!$Q$1</c15:sqref>
                        </c15:formulaRef>
                      </c:ext>
                    </c:extLst>
                    <c:strCache>
                      <c:ptCount val="1"/>
                      <c:pt idx="0">
                        <c:v>InterCommunity Health Network</c:v>
                      </c:pt>
                    </c:strCache>
                  </c:strRef>
                </c:tx>
                <c:spPr>
                  <a:ln w="25400" cap="rnd">
                    <a:noFill/>
                    <a:round/>
                  </a:ln>
                  <a:effectLst/>
                </c:spPr>
                <c:marker>
                  <c:symbol val="circle"/>
                  <c:size val="10"/>
                  <c:spPr>
                    <a:solidFill>
                      <a:srgbClr val="F2F2F2"/>
                    </a:solidFill>
                    <a:ln w="9525">
                      <a:solidFill>
                        <a:srgbClr val="606060"/>
                      </a:solidFill>
                    </a:ln>
                    <a:effectLst/>
                  </c:spPr>
                </c:marker>
                <c:dPt>
                  <c:idx val="7"/>
                  <c:marker>
                    <c:symbol val="triangle"/>
                    <c:size val="10"/>
                    <c:spPr>
                      <a:solidFill>
                        <a:srgbClr val="F2F2F2"/>
                      </a:solidFill>
                      <a:ln w="9525">
                        <a:solidFill>
                          <a:srgbClr val="606060"/>
                        </a:solidFill>
                      </a:ln>
                      <a:effectLst/>
                    </c:spPr>
                  </c:marker>
                  <c:bubble3D val="0"/>
                  <c:extLst xmlns:c15="http://schemas.microsoft.com/office/drawing/2012/chart">
                    <c:ext xmlns:c16="http://schemas.microsoft.com/office/drawing/2014/chart" uri="{C3380CC4-5D6E-409C-BE32-E72D297353CC}">
                      <c16:uniqueId val="{00000020-E25D-4AD6-A50F-4464693895BE}"/>
                    </c:ext>
                  </c:extLst>
                </c:dPt>
                <c:xVal>
                  <c:numRef>
                    <c:extLst xmlns:c15="http://schemas.microsoft.com/office/drawing/2012/chart">
                      <c:ext xmlns:c15="http://schemas.microsoft.com/office/drawing/2012/chart" uri="{02D57815-91ED-43cb-92C2-25804820EDAC}">
                        <c15:formulaRef>
                          <c15:sqref>'FINAL Chart CCO state only'!$Q$2:$Q$16</c15:sqref>
                        </c15:formulaRef>
                      </c:ext>
                    </c:extLst>
                    <c:numCache>
                      <c:formatCode>0.0%</c:formatCode>
                      <c:ptCount val="15"/>
                      <c:pt idx="0">
                        <c:v>0.10276679841897242</c:v>
                      </c:pt>
                      <c:pt idx="1">
                        <c:v>-5.8346839546191298E-2</c:v>
                      </c:pt>
                      <c:pt idx="2">
                        <c:v>4.4340723453909027E-2</c:v>
                      </c:pt>
                      <c:pt idx="3">
                        <c:v>9.9290780141843879E-2</c:v>
                      </c:pt>
                      <c:pt idx="4">
                        <c:v>4.7368421052631622E-2</c:v>
                      </c:pt>
                      <c:pt idx="5">
                        <c:v>9.9216710182767565E-2</c:v>
                      </c:pt>
                      <c:pt idx="6">
                        <c:v>0.15151515151515152</c:v>
                      </c:pt>
                      <c:pt idx="7">
                        <c:v>2.4545454545454546</c:v>
                      </c:pt>
                      <c:pt idx="8">
                        <c:v>4.2553191489361746E-3</c:v>
                      </c:pt>
                      <c:pt idx="9">
                        <c:v>1.3872832369942209E-2</c:v>
                      </c:pt>
                      <c:pt idx="10">
                        <c:v>5.3054662379421268E-2</c:v>
                      </c:pt>
                      <c:pt idx="11">
                        <c:v>2.5796661608497747E-2</c:v>
                      </c:pt>
                      <c:pt idx="12">
                        <c:v>0</c:v>
                      </c:pt>
                      <c:pt idx="13">
                        <c:v>0</c:v>
                      </c:pt>
                      <c:pt idx="14">
                        <c:v>6.4971751412429446E-2</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21-E25D-4AD6-A50F-4464693895BE}"/>
                  </c:ext>
                </c:extLst>
              </c15:ser>
            </c15:filteredScatterSeries>
            <c15:filteredScatterSeries>
              <c15:ser>
                <c:idx val="12"/>
                <c:order val="7"/>
                <c:tx>
                  <c:strRef>
                    <c:extLst xmlns:c15="http://schemas.microsoft.com/office/drawing/2012/chart">
                      <c:ext xmlns:c15="http://schemas.microsoft.com/office/drawing/2012/chart" uri="{02D57815-91ED-43cb-92C2-25804820EDAC}">
                        <c15:formulaRef>
                          <c15:sqref>'FINAL Chart CCO state only'!$R$1</c15:sqref>
                        </c15:formulaRef>
                      </c:ext>
                    </c:extLst>
                    <c:strCache>
                      <c:ptCount val="1"/>
                      <c:pt idx="0">
                        <c:v>Jackson Care Connect</c:v>
                      </c:pt>
                    </c:strCache>
                  </c:strRef>
                </c:tx>
                <c:spPr>
                  <a:ln w="25400" cap="rnd">
                    <a:noFill/>
                    <a:round/>
                  </a:ln>
                  <a:effectLst/>
                </c:spPr>
                <c:marker>
                  <c:symbol val="circle"/>
                  <c:size val="10"/>
                  <c:spPr>
                    <a:solidFill>
                      <a:srgbClr val="F2F2F2"/>
                    </a:solidFill>
                    <a:ln w="9525">
                      <a:solidFill>
                        <a:srgbClr val="606060"/>
                      </a:solidFill>
                    </a:ln>
                    <a:effectLst/>
                  </c:spPr>
                </c:marker>
                <c:xVal>
                  <c:numRef>
                    <c:extLst xmlns:c15="http://schemas.microsoft.com/office/drawing/2012/chart">
                      <c:ext xmlns:c15="http://schemas.microsoft.com/office/drawing/2012/chart" uri="{02D57815-91ED-43cb-92C2-25804820EDAC}">
                        <c15:formulaRef>
                          <c15:sqref>'FINAL Chart CCO state only'!$R$2:$R$16</c15:sqref>
                        </c15:formulaRef>
                      </c:ext>
                    </c:extLst>
                    <c:numCache>
                      <c:formatCode>0.0%</c:formatCode>
                      <c:ptCount val="15"/>
                      <c:pt idx="0">
                        <c:v>3.9113428943937455E-2</c:v>
                      </c:pt>
                      <c:pt idx="1">
                        <c:v>5.2336448598130678E-2</c:v>
                      </c:pt>
                      <c:pt idx="2">
                        <c:v>9.5948827292110968E-3</c:v>
                      </c:pt>
                      <c:pt idx="3">
                        <c:v>5.9090909090909145E-2</c:v>
                      </c:pt>
                      <c:pt idx="4">
                        <c:v>-1.8292682926829285E-2</c:v>
                      </c:pt>
                      <c:pt idx="5">
                        <c:v>-8.8636363636363583E-2</c:v>
                      </c:pt>
                      <c:pt idx="6">
                        <c:v>1.7006802721088451E-2</c:v>
                      </c:pt>
                      <c:pt idx="7">
                        <c:v>-4.5045045045045085E-2</c:v>
                      </c:pt>
                      <c:pt idx="8">
                        <c:v>-2.1276595744680674E-2</c:v>
                      </c:pt>
                      <c:pt idx="9">
                        <c:v>1.7123287671232893E-2</c:v>
                      </c:pt>
                      <c:pt idx="10">
                        <c:v>0</c:v>
                      </c:pt>
                      <c:pt idx="11">
                        <c:v>-7.5642965204236069E-3</c:v>
                      </c:pt>
                      <c:pt idx="12">
                        <c:v>0</c:v>
                      </c:pt>
                      <c:pt idx="13">
                        <c:v>0</c:v>
                      </c:pt>
                      <c:pt idx="14">
                        <c:v>3.3182503770739093E-2</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22-E25D-4AD6-A50F-4464693895BE}"/>
                  </c:ext>
                </c:extLst>
              </c15:ser>
            </c15:filteredScatterSeries>
            <c15:filteredScatterSeries>
              <c15:ser>
                <c:idx val="13"/>
                <c:order val="8"/>
                <c:tx>
                  <c:strRef>
                    <c:extLst xmlns:c15="http://schemas.microsoft.com/office/drawing/2012/chart">
                      <c:ext xmlns:c15="http://schemas.microsoft.com/office/drawing/2012/chart" uri="{02D57815-91ED-43cb-92C2-25804820EDAC}">
                        <c15:formulaRef>
                          <c15:sqref>'FINAL Chart CCO state only'!$S$1</c15:sqref>
                        </c15:formulaRef>
                      </c:ext>
                    </c:extLst>
                    <c:strCache>
                      <c:ptCount val="1"/>
                      <c:pt idx="0">
                        <c:v>PacificSource Central</c:v>
                      </c:pt>
                    </c:strCache>
                  </c:strRef>
                </c:tx>
                <c:spPr>
                  <a:ln w="25400" cap="rnd">
                    <a:noFill/>
                    <a:round/>
                  </a:ln>
                  <a:effectLst/>
                </c:spPr>
                <c:marker>
                  <c:symbol val="circle"/>
                  <c:size val="10"/>
                  <c:spPr>
                    <a:solidFill>
                      <a:srgbClr val="F2F2F2"/>
                    </a:solidFill>
                    <a:ln w="9525">
                      <a:solidFill>
                        <a:srgbClr val="606060"/>
                      </a:solidFill>
                    </a:ln>
                    <a:effectLst/>
                  </c:spPr>
                </c:marker>
                <c:xVal>
                  <c:numRef>
                    <c:extLst xmlns:c15="http://schemas.microsoft.com/office/drawing/2012/chart">
                      <c:ext xmlns:c15="http://schemas.microsoft.com/office/drawing/2012/chart" uri="{02D57815-91ED-43cb-92C2-25804820EDAC}">
                        <c15:formulaRef>
                          <c15:sqref>'FINAL Chart CCO state only'!$S$2:$S$16</c15:sqref>
                        </c15:formulaRef>
                      </c:ext>
                    </c:extLst>
                    <c:numCache>
                      <c:formatCode>0.0%</c:formatCode>
                      <c:ptCount val="15"/>
                      <c:pt idx="0">
                        <c:v>1.1612903225806461E-2</c:v>
                      </c:pt>
                      <c:pt idx="1">
                        <c:v>-4.7775947281713388E-2</c:v>
                      </c:pt>
                      <c:pt idx="2">
                        <c:v>0.31470588235294111</c:v>
                      </c:pt>
                      <c:pt idx="3">
                        <c:v>0.12135922330097085</c:v>
                      </c:pt>
                      <c:pt idx="4">
                        <c:v>4.0229885057471305E-2</c:v>
                      </c:pt>
                      <c:pt idx="5">
                        <c:v>2.2443890274314093E-2</c:v>
                      </c:pt>
                      <c:pt idx="6">
                        <c:v>3.8147138964577693E-2</c:v>
                      </c:pt>
                      <c:pt idx="7">
                        <c:v>-0.13698630136986295</c:v>
                      </c:pt>
                      <c:pt idx="8">
                        <c:v>-0.1076388888888888</c:v>
                      </c:pt>
                      <c:pt idx="9">
                        <c:v>1.3777267508610804E-2</c:v>
                      </c:pt>
                      <c:pt idx="10">
                        <c:v>-1.5151515151515166E-2</c:v>
                      </c:pt>
                      <c:pt idx="11">
                        <c:v>-4.5662100456621045E-3</c:v>
                      </c:pt>
                      <c:pt idx="12">
                        <c:v>0</c:v>
                      </c:pt>
                      <c:pt idx="13">
                        <c:v>0</c:v>
                      </c:pt>
                      <c:pt idx="14">
                        <c:v>1.4627659574468098E-2</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23-E25D-4AD6-A50F-4464693895BE}"/>
                  </c:ext>
                </c:extLst>
              </c15:ser>
            </c15:filteredScatterSeries>
            <c15:filteredScatterSeries>
              <c15:ser>
                <c:idx val="14"/>
                <c:order val="9"/>
                <c:tx>
                  <c:strRef>
                    <c:extLst xmlns:c15="http://schemas.microsoft.com/office/drawing/2012/chart">
                      <c:ext xmlns:c15="http://schemas.microsoft.com/office/drawing/2012/chart" uri="{02D57815-91ED-43cb-92C2-25804820EDAC}">
                        <c15:formulaRef>
                          <c15:sqref>'FINAL Chart CCO state only'!$T$1</c15:sqref>
                        </c15:formulaRef>
                      </c:ext>
                    </c:extLst>
                    <c:strCache>
                      <c:ptCount val="1"/>
                      <c:pt idx="0">
                        <c:v>PacificSource Gorge</c:v>
                      </c:pt>
                    </c:strCache>
                  </c:strRef>
                </c:tx>
                <c:spPr>
                  <a:ln w="25400" cap="rnd">
                    <a:noFill/>
                    <a:round/>
                  </a:ln>
                  <a:effectLst/>
                </c:spPr>
                <c:marker>
                  <c:symbol val="circle"/>
                  <c:size val="10"/>
                  <c:spPr>
                    <a:solidFill>
                      <a:srgbClr val="F2F2F2"/>
                    </a:solidFill>
                    <a:ln w="9525">
                      <a:solidFill>
                        <a:srgbClr val="606060"/>
                      </a:solidFill>
                    </a:ln>
                    <a:effectLst/>
                  </c:spPr>
                </c:marker>
                <c:dPt>
                  <c:idx val="2"/>
                  <c:marker>
                    <c:symbol val="diamond"/>
                    <c:size val="10"/>
                    <c:spPr>
                      <a:solidFill>
                        <a:srgbClr val="F2F2F2"/>
                      </a:solidFill>
                      <a:ln w="9525">
                        <a:solidFill>
                          <a:srgbClr val="606060"/>
                        </a:solidFill>
                      </a:ln>
                      <a:effectLst/>
                    </c:spPr>
                  </c:marker>
                  <c:bubble3D val="0"/>
                  <c:extLst xmlns:c15="http://schemas.microsoft.com/office/drawing/2012/chart">
                    <c:ext xmlns:c16="http://schemas.microsoft.com/office/drawing/2014/chart" uri="{C3380CC4-5D6E-409C-BE32-E72D297353CC}">
                      <c16:uniqueId val="{00000024-E25D-4AD6-A50F-4464693895BE}"/>
                    </c:ext>
                  </c:extLst>
                </c:dPt>
                <c:xVal>
                  <c:numRef>
                    <c:extLst xmlns:c15="http://schemas.microsoft.com/office/drawing/2012/chart">
                      <c:ext xmlns:c15="http://schemas.microsoft.com/office/drawing/2012/chart" uri="{02D57815-91ED-43cb-92C2-25804820EDAC}">
                        <c15:formulaRef>
                          <c15:sqref>'FINAL Chart CCO state only'!$T$2:$T$16</c15:sqref>
                        </c15:formulaRef>
                      </c:ext>
                    </c:extLst>
                    <c:numCache>
                      <c:formatCode>0.0%</c:formatCode>
                      <c:ptCount val="15"/>
                      <c:pt idx="0">
                        <c:v>0.10374149659863956</c:v>
                      </c:pt>
                      <c:pt idx="1">
                        <c:v>7.3649754500818398E-2</c:v>
                      </c:pt>
                      <c:pt idx="2">
                        <c:v>5.9322033898305142E-2</c:v>
                      </c:pt>
                      <c:pt idx="3">
                        <c:v>5.1020408163265345E-3</c:v>
                      </c:pt>
                      <c:pt idx="4">
                        <c:v>-0.23684210526315796</c:v>
                      </c:pt>
                      <c:pt idx="5">
                        <c:v>-0.18840579710144914</c:v>
                      </c:pt>
                      <c:pt idx="6">
                        <c:v>-5.0505050505050553E-2</c:v>
                      </c:pt>
                      <c:pt idx="7">
                        <c:v>11.533333333333333</c:v>
                      </c:pt>
                      <c:pt idx="8">
                        <c:v>0.1688311688311688</c:v>
                      </c:pt>
                      <c:pt idx="9">
                        <c:v>1.0262257696693282E-2</c:v>
                      </c:pt>
                      <c:pt idx="10">
                        <c:v>0.14705882352941169</c:v>
                      </c:pt>
                      <c:pt idx="11">
                        <c:v>3.4954407294832859E-2</c:v>
                      </c:pt>
                      <c:pt idx="12">
                        <c:v>0</c:v>
                      </c:pt>
                      <c:pt idx="13">
                        <c:v>0</c:v>
                      </c:pt>
                      <c:pt idx="14">
                        <c:v>-2.1935483870967762E-2</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25-E25D-4AD6-A50F-4464693895BE}"/>
                  </c:ext>
                </c:extLst>
              </c15:ser>
            </c15:filteredScatterSeries>
            <c15:filteredScatterSeries>
              <c15:ser>
                <c:idx val="15"/>
                <c:order val="10"/>
                <c:tx>
                  <c:strRef>
                    <c:extLst xmlns:c15="http://schemas.microsoft.com/office/drawing/2012/chart">
                      <c:ext xmlns:c15="http://schemas.microsoft.com/office/drawing/2012/chart" uri="{02D57815-91ED-43cb-92C2-25804820EDAC}">
                        <c15:formulaRef>
                          <c15:sqref>'FINAL Chart CCO state only'!$U$1</c15:sqref>
                        </c15:formulaRef>
                      </c:ext>
                    </c:extLst>
                    <c:strCache>
                      <c:ptCount val="1"/>
                      <c:pt idx="0">
                        <c:v>PacificSource Lane</c:v>
                      </c:pt>
                    </c:strCache>
                  </c:strRef>
                </c:tx>
                <c:spPr>
                  <a:ln w="25400" cap="rnd">
                    <a:noFill/>
                    <a:round/>
                  </a:ln>
                  <a:effectLst/>
                </c:spPr>
                <c:marker>
                  <c:symbol val="circle"/>
                  <c:size val="10"/>
                  <c:spPr>
                    <a:solidFill>
                      <a:srgbClr val="F2F2F2"/>
                    </a:solidFill>
                    <a:ln w="9525">
                      <a:solidFill>
                        <a:srgbClr val="606060"/>
                      </a:solidFill>
                    </a:ln>
                    <a:effectLst/>
                  </c:spPr>
                </c:marker>
                <c:xVal>
                  <c:numRef>
                    <c:extLst xmlns:c15="http://schemas.microsoft.com/office/drawing/2012/chart">
                      <c:ext xmlns:c15="http://schemas.microsoft.com/office/drawing/2012/chart" uri="{02D57815-91ED-43cb-92C2-25804820EDAC}">
                        <c15:formulaRef>
                          <c15:sqref>'FINAL Chart CCO state only'!$U$2:$U$16</c15:sqref>
                        </c15:formulaRef>
                      </c:ext>
                    </c:extLst>
                    <c:numCache>
                      <c:formatCode>0.0%</c:formatCode>
                      <c:ptCount val="15"/>
                      <c:pt idx="0">
                        <c:v>0.15988779803646563</c:v>
                      </c:pt>
                      <c:pt idx="1">
                        <c:v>4.6801872074883032E-3</c:v>
                      </c:pt>
                      <c:pt idx="2">
                        <c:v>0.1552197802197802</c:v>
                      </c:pt>
                      <c:pt idx="3">
                        <c:v>0.12376237623762386</c:v>
                      </c:pt>
                      <c:pt idx="4">
                        <c:v>0.15286624203821653</c:v>
                      </c:pt>
                      <c:pt idx="5">
                        <c:v>6.0913705583756257E-2</c:v>
                      </c:pt>
                      <c:pt idx="6">
                        <c:v>9.3189964157705973E-2</c:v>
                      </c:pt>
                      <c:pt idx="7">
                        <c:v>4.2735042735042653E-2</c:v>
                      </c:pt>
                      <c:pt idx="8">
                        <c:v>0</c:v>
                      </c:pt>
                      <c:pt idx="9">
                        <c:v>4.5662100456621045E-3</c:v>
                      </c:pt>
                      <c:pt idx="10">
                        <c:v>0.10207336523125989</c:v>
                      </c:pt>
                      <c:pt idx="11">
                        <c:v>3.6603221083455213E-2</c:v>
                      </c:pt>
                      <c:pt idx="12">
                        <c:v>0</c:v>
                      </c:pt>
                      <c:pt idx="13">
                        <c:v>0</c:v>
                      </c:pt>
                      <c:pt idx="14">
                        <c:v>4.0066777963272154E-2</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26-E25D-4AD6-A50F-4464693895BE}"/>
                  </c:ext>
                </c:extLst>
              </c15:ser>
            </c15:filteredScatterSeries>
            <c15:filteredScatterSeries>
              <c15:ser>
                <c:idx val="16"/>
                <c:order val="11"/>
                <c:tx>
                  <c:strRef>
                    <c:extLst xmlns:c15="http://schemas.microsoft.com/office/drawing/2012/chart">
                      <c:ext xmlns:c15="http://schemas.microsoft.com/office/drawing/2012/chart" uri="{02D57815-91ED-43cb-92C2-25804820EDAC}">
                        <c15:formulaRef>
                          <c15:sqref>'FINAL Chart CCO state only'!$V$1</c15:sqref>
                        </c15:formulaRef>
                      </c:ext>
                    </c:extLst>
                    <c:strCache>
                      <c:ptCount val="1"/>
                      <c:pt idx="0">
                        <c:v>PacificSource Marion Polk</c:v>
                      </c:pt>
                    </c:strCache>
                  </c:strRef>
                </c:tx>
                <c:spPr>
                  <a:ln w="25400" cap="rnd">
                    <a:noFill/>
                    <a:round/>
                  </a:ln>
                  <a:effectLst/>
                </c:spPr>
                <c:marker>
                  <c:symbol val="circle"/>
                  <c:size val="10"/>
                  <c:spPr>
                    <a:solidFill>
                      <a:srgbClr val="F2F2F2"/>
                    </a:solidFill>
                    <a:ln w="9525">
                      <a:solidFill>
                        <a:srgbClr val="606060"/>
                      </a:solidFill>
                    </a:ln>
                    <a:effectLst/>
                  </c:spPr>
                </c:marker>
                <c:xVal>
                  <c:numRef>
                    <c:extLst xmlns:c15="http://schemas.microsoft.com/office/drawing/2012/chart">
                      <c:ext xmlns:c15="http://schemas.microsoft.com/office/drawing/2012/chart" uri="{02D57815-91ED-43cb-92C2-25804820EDAC}">
                        <c15:formulaRef>
                          <c15:sqref>'FINAL Chart CCO state only'!$V$2:$V$16</c15:sqref>
                        </c15:formulaRef>
                      </c:ext>
                    </c:extLst>
                    <c:numCache>
                      <c:formatCode>0.0%</c:formatCode>
                      <c:ptCount val="15"/>
                      <c:pt idx="0">
                        <c:v>9.7087378640776795E-3</c:v>
                      </c:pt>
                      <c:pt idx="1">
                        <c:v>3.1796502384737707E-3</c:v>
                      </c:pt>
                      <c:pt idx="2">
                        <c:v>-2.685950413223143E-2</c:v>
                      </c:pt>
                      <c:pt idx="3">
                        <c:v>-8.0321285140562328E-3</c:v>
                      </c:pt>
                      <c:pt idx="4">
                        <c:v>-4.7337278106508916E-2</c:v>
                      </c:pt>
                      <c:pt idx="5">
                        <c:v>1.0554089709762543E-2</c:v>
                      </c:pt>
                      <c:pt idx="6">
                        <c:v>9.9730458221024193E-2</c:v>
                      </c:pt>
                      <c:pt idx="7">
                        <c:v>-1.3245033112582794E-2</c:v>
                      </c:pt>
                      <c:pt idx="8">
                        <c:v>5.9479553903345569E-2</c:v>
                      </c:pt>
                      <c:pt idx="9">
                        <c:v>1.8583042973286893E-2</c:v>
                      </c:pt>
                      <c:pt idx="10">
                        <c:v>3.3123028391167222E-2</c:v>
                      </c:pt>
                      <c:pt idx="11">
                        <c:v>3.4632034632034667E-2</c:v>
                      </c:pt>
                      <c:pt idx="12">
                        <c:v>0</c:v>
                      </c:pt>
                      <c:pt idx="13">
                        <c:v>0</c:v>
                      </c:pt>
                      <c:pt idx="14">
                        <c:v>-2.7434842249657088E-3</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27-E25D-4AD6-A50F-4464693895BE}"/>
                  </c:ext>
                </c:extLst>
              </c15:ser>
            </c15:filteredScatterSeries>
            <c15:filteredScatterSeries>
              <c15:ser>
                <c:idx val="17"/>
                <c:order val="12"/>
                <c:tx>
                  <c:strRef>
                    <c:extLst xmlns:c15="http://schemas.microsoft.com/office/drawing/2012/chart">
                      <c:ext xmlns:c15="http://schemas.microsoft.com/office/drawing/2012/chart" uri="{02D57815-91ED-43cb-92C2-25804820EDAC}">
                        <c15:formulaRef>
                          <c15:sqref>'FINAL Chart CCO state only'!$W$1</c15:sqref>
                        </c15:formulaRef>
                      </c:ext>
                    </c:extLst>
                    <c:strCache>
                      <c:ptCount val="1"/>
                      <c:pt idx="0">
                        <c:v>Trillium North</c:v>
                      </c:pt>
                    </c:strCache>
                  </c:strRef>
                </c:tx>
                <c:spPr>
                  <a:ln w="25400" cap="rnd">
                    <a:noFill/>
                    <a:round/>
                  </a:ln>
                  <a:effectLst/>
                </c:spPr>
                <c:marker>
                  <c:symbol val="circle"/>
                  <c:size val="10"/>
                  <c:spPr>
                    <a:solidFill>
                      <a:srgbClr val="F2F2F2"/>
                    </a:solidFill>
                    <a:ln w="9525">
                      <a:solidFill>
                        <a:srgbClr val="606060"/>
                      </a:solidFill>
                    </a:ln>
                    <a:effectLst/>
                  </c:spPr>
                </c:marker>
                <c:dPt>
                  <c:idx val="2"/>
                  <c:marker>
                    <c:symbol val="diamond"/>
                    <c:size val="10"/>
                    <c:spPr>
                      <a:solidFill>
                        <a:srgbClr val="F2F2F2"/>
                      </a:solidFill>
                      <a:ln w="9525">
                        <a:solidFill>
                          <a:srgbClr val="606060"/>
                        </a:solidFill>
                      </a:ln>
                      <a:effectLst/>
                    </c:spPr>
                  </c:marker>
                  <c:bubble3D val="0"/>
                  <c:extLst xmlns:c15="http://schemas.microsoft.com/office/drawing/2012/chart">
                    <c:ext xmlns:c16="http://schemas.microsoft.com/office/drawing/2014/chart" uri="{C3380CC4-5D6E-409C-BE32-E72D297353CC}">
                      <c16:uniqueId val="{00000028-E25D-4AD6-A50F-4464693895BE}"/>
                    </c:ext>
                  </c:extLst>
                </c:dPt>
                <c:xVal>
                  <c:numRef>
                    <c:extLst xmlns:c15="http://schemas.microsoft.com/office/drawing/2012/chart">
                      <c:ext xmlns:c15="http://schemas.microsoft.com/office/drawing/2012/chart" uri="{02D57815-91ED-43cb-92C2-25804820EDAC}">
                        <c15:formulaRef>
                          <c15:sqref>'FINAL Chart CCO state only'!$W$2:$W$16</c15:sqref>
                        </c15:formulaRef>
                      </c:ext>
                    </c:extLst>
                    <c:numCache>
                      <c:formatCode>0.0%</c:formatCode>
                      <c:ptCount val="15"/>
                      <c:pt idx="0">
                        <c:v>0.14787701317715954</c:v>
                      </c:pt>
                      <c:pt idx="1">
                        <c:v>0.12211981566820275</c:v>
                      </c:pt>
                      <c:pt idx="2">
                        <c:v>0.20048019207683079</c:v>
                      </c:pt>
                      <c:pt idx="3">
                        <c:v>0.26146788990825687</c:v>
                      </c:pt>
                      <c:pt idx="4">
                        <c:v>0.29931972789115657</c:v>
                      </c:pt>
                      <c:pt idx="5">
                        <c:v>6.9716775599128478E-2</c:v>
                      </c:pt>
                      <c:pt idx="6">
                        <c:v>0.29050279329608952</c:v>
                      </c:pt>
                      <c:pt idx="7">
                        <c:v>0.32571428571428584</c:v>
                      </c:pt>
                      <c:pt idx="8">
                        <c:v>0</c:v>
                      </c:pt>
                      <c:pt idx="9">
                        <c:v>0.1053315994798439</c:v>
                      </c:pt>
                      <c:pt idx="10">
                        <c:v>0.17551963048498848</c:v>
                      </c:pt>
                      <c:pt idx="11">
                        <c:v>0.14247311827956988</c:v>
                      </c:pt>
                      <c:pt idx="12">
                        <c:v>0</c:v>
                      </c:pt>
                      <c:pt idx="13">
                        <c:v>0</c:v>
                      </c:pt>
                      <c:pt idx="14">
                        <c:v>0.12601626016260173</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29-E25D-4AD6-A50F-4464693895BE}"/>
                  </c:ext>
                </c:extLst>
              </c15:ser>
            </c15:filteredScatterSeries>
            <c15:filteredScatterSeries>
              <c15:ser>
                <c:idx val="18"/>
                <c:order val="13"/>
                <c:tx>
                  <c:strRef>
                    <c:extLst xmlns:c15="http://schemas.microsoft.com/office/drawing/2012/chart">
                      <c:ext xmlns:c15="http://schemas.microsoft.com/office/drawing/2012/chart" uri="{02D57815-91ED-43cb-92C2-25804820EDAC}">
                        <c15:formulaRef>
                          <c15:sqref>'FINAL Chart CCO state only'!$X$1</c15:sqref>
                        </c15:formulaRef>
                      </c:ext>
                    </c:extLst>
                    <c:strCache>
                      <c:ptCount val="1"/>
                      <c:pt idx="0">
                        <c:v>Trillium South</c:v>
                      </c:pt>
                    </c:strCache>
                  </c:strRef>
                </c:tx>
                <c:spPr>
                  <a:ln w="25400" cap="rnd">
                    <a:noFill/>
                    <a:round/>
                  </a:ln>
                  <a:effectLst/>
                </c:spPr>
                <c:marker>
                  <c:symbol val="circle"/>
                  <c:size val="10"/>
                  <c:spPr>
                    <a:solidFill>
                      <a:srgbClr val="F2F2F2"/>
                    </a:solidFill>
                    <a:ln w="9525">
                      <a:solidFill>
                        <a:srgbClr val="606060"/>
                      </a:solidFill>
                    </a:ln>
                    <a:effectLst/>
                  </c:spPr>
                </c:marker>
                <c:xVal>
                  <c:numRef>
                    <c:extLst xmlns:c15="http://schemas.microsoft.com/office/drawing/2012/chart">
                      <c:ext xmlns:c15="http://schemas.microsoft.com/office/drawing/2012/chart" uri="{02D57815-91ED-43cb-92C2-25804820EDAC}">
                        <c15:formulaRef>
                          <c15:sqref>'FINAL Chart CCO state only'!$X$2:$X$16</c15:sqref>
                        </c15:formulaRef>
                      </c:ext>
                    </c:extLst>
                    <c:numCache>
                      <c:formatCode>0.0%</c:formatCode>
                      <c:ptCount val="15"/>
                      <c:pt idx="0">
                        <c:v>9.8648648648648585E-2</c:v>
                      </c:pt>
                      <c:pt idx="1">
                        <c:v>2.7075812274368054E-2</c:v>
                      </c:pt>
                      <c:pt idx="2">
                        <c:v>0.31754874651810583</c:v>
                      </c:pt>
                      <c:pt idx="3">
                        <c:v>-9.7826086956521827E-2</c:v>
                      </c:pt>
                      <c:pt idx="4">
                        <c:v>1.1299435028248598E-2</c:v>
                      </c:pt>
                      <c:pt idx="5">
                        <c:v>9.7799511002445074E-3</c:v>
                      </c:pt>
                      <c:pt idx="6">
                        <c:v>-7.6923076923076988E-3</c:v>
                      </c:pt>
                      <c:pt idx="7">
                        <c:v>-6.0810810810810682E-2</c:v>
                      </c:pt>
                      <c:pt idx="8">
                        <c:v>3.5842293906810066E-3</c:v>
                      </c:pt>
                      <c:pt idx="9">
                        <c:v>1.1494252873563229E-2</c:v>
                      </c:pt>
                      <c:pt idx="10">
                        <c:v>4.4334975369458171E-2</c:v>
                      </c:pt>
                      <c:pt idx="11">
                        <c:v>1.5050167224080282E-2</c:v>
                      </c:pt>
                      <c:pt idx="12">
                        <c:v>0</c:v>
                      </c:pt>
                      <c:pt idx="13">
                        <c:v>0</c:v>
                      </c:pt>
                      <c:pt idx="14">
                        <c:v>-2.1558872305140982E-2</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2A-E25D-4AD6-A50F-4464693895BE}"/>
                  </c:ext>
                </c:extLst>
              </c15:ser>
            </c15:filteredScatterSeries>
            <c15:filteredScatterSeries>
              <c15:ser>
                <c:idx val="19"/>
                <c:order val="14"/>
                <c:tx>
                  <c:strRef>
                    <c:extLst xmlns:c15="http://schemas.microsoft.com/office/drawing/2012/chart">
                      <c:ext xmlns:c15="http://schemas.microsoft.com/office/drawing/2012/chart" uri="{02D57815-91ED-43cb-92C2-25804820EDAC}">
                        <c15:formulaRef>
                          <c15:sqref>'FINAL Chart CCO state only'!$Y$1</c15:sqref>
                        </c15:formulaRef>
                      </c:ext>
                    </c:extLst>
                    <c:strCache>
                      <c:ptCount val="1"/>
                      <c:pt idx="0">
                        <c:v>Umpqua Health Alliance</c:v>
                      </c:pt>
                    </c:strCache>
                  </c:strRef>
                </c:tx>
                <c:spPr>
                  <a:ln w="25400" cap="rnd">
                    <a:noFill/>
                    <a:round/>
                  </a:ln>
                  <a:effectLst/>
                </c:spPr>
                <c:marker>
                  <c:symbol val="circle"/>
                  <c:size val="10"/>
                  <c:spPr>
                    <a:solidFill>
                      <a:srgbClr val="F2F2F2"/>
                    </a:solidFill>
                    <a:ln w="9525">
                      <a:solidFill>
                        <a:srgbClr val="606060"/>
                      </a:solidFill>
                    </a:ln>
                    <a:effectLst/>
                  </c:spPr>
                </c:marker>
                <c:dPt>
                  <c:idx val="7"/>
                  <c:marker>
                    <c:symbol val="triangle"/>
                    <c:size val="10"/>
                    <c:spPr>
                      <a:solidFill>
                        <a:srgbClr val="F2F2F2"/>
                      </a:solidFill>
                      <a:ln w="9525">
                        <a:solidFill>
                          <a:srgbClr val="606060"/>
                        </a:solidFill>
                      </a:ln>
                      <a:effectLst/>
                    </c:spPr>
                  </c:marker>
                  <c:bubble3D val="0"/>
                  <c:extLst xmlns:c15="http://schemas.microsoft.com/office/drawing/2012/chart">
                    <c:ext xmlns:c16="http://schemas.microsoft.com/office/drawing/2014/chart" uri="{C3380CC4-5D6E-409C-BE32-E72D297353CC}">
                      <c16:uniqueId val="{0000002B-E25D-4AD6-A50F-4464693895BE}"/>
                    </c:ext>
                  </c:extLst>
                </c:dPt>
                <c:xVal>
                  <c:numRef>
                    <c:extLst xmlns:c15="http://schemas.microsoft.com/office/drawing/2012/chart">
                      <c:ext xmlns:c15="http://schemas.microsoft.com/office/drawing/2012/chart" uri="{02D57815-91ED-43cb-92C2-25804820EDAC}">
                        <c15:formulaRef>
                          <c15:sqref>'FINAL Chart CCO state only'!$Y$2:$Y$16</c15:sqref>
                        </c15:formulaRef>
                      </c:ext>
                    </c:extLst>
                    <c:numCache>
                      <c:formatCode>0.0%</c:formatCode>
                      <c:ptCount val="15"/>
                      <c:pt idx="0">
                        <c:v>3.8406827880512126E-2</c:v>
                      </c:pt>
                      <c:pt idx="1">
                        <c:v>4.0462427745664775E-2</c:v>
                      </c:pt>
                      <c:pt idx="2">
                        <c:v>-3.6119711042311577E-2</c:v>
                      </c:pt>
                      <c:pt idx="3">
                        <c:v>9.3617021276595713E-2</c:v>
                      </c:pt>
                      <c:pt idx="4">
                        <c:v>0.2119205298013245</c:v>
                      </c:pt>
                      <c:pt idx="5">
                        <c:v>0.10497237569060783</c:v>
                      </c:pt>
                      <c:pt idx="6">
                        <c:v>0.18146718146718141</c:v>
                      </c:pt>
                      <c:pt idx="7">
                        <c:v>0.73417721518987356</c:v>
                      </c:pt>
                      <c:pt idx="8">
                        <c:v>-5.7377049180327919E-2</c:v>
                      </c:pt>
                      <c:pt idx="9">
                        <c:v>2.5056947608200479E-2</c:v>
                      </c:pt>
                      <c:pt idx="10">
                        <c:v>-3.3557046979865801E-3</c:v>
                      </c:pt>
                      <c:pt idx="11">
                        <c:v>-2.1186440677966122E-2</c:v>
                      </c:pt>
                      <c:pt idx="12">
                        <c:v>0</c:v>
                      </c:pt>
                      <c:pt idx="13">
                        <c:v>0</c:v>
                      </c:pt>
                      <c:pt idx="14">
                        <c:v>1.7241379310344841E-2</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2C-E25D-4AD6-A50F-4464693895BE}"/>
                  </c:ext>
                </c:extLst>
              </c15:ser>
            </c15:filteredScatterSeries>
            <c15:filteredScatterSeries>
              <c15:ser>
                <c:idx val="20"/>
                <c:order val="15"/>
                <c:tx>
                  <c:strRef>
                    <c:extLst xmlns:c15="http://schemas.microsoft.com/office/drawing/2012/chart">
                      <c:ext xmlns:c15="http://schemas.microsoft.com/office/drawing/2012/chart" uri="{02D57815-91ED-43cb-92C2-25804820EDAC}">
                        <c15:formulaRef>
                          <c15:sqref>'FINAL Chart CCO state only'!$Z$1</c15:sqref>
                        </c15:formulaRef>
                      </c:ext>
                    </c:extLst>
                    <c:strCache>
                      <c:ptCount val="1"/>
                      <c:pt idx="0">
                        <c:v>Individual CCO</c:v>
                      </c:pt>
                    </c:strCache>
                  </c:strRef>
                </c:tx>
                <c:spPr>
                  <a:ln w="25400" cap="rnd">
                    <a:noFill/>
                    <a:round/>
                  </a:ln>
                  <a:effectLst/>
                </c:spPr>
                <c:marker>
                  <c:symbol val="circle"/>
                  <c:size val="10"/>
                  <c:spPr>
                    <a:solidFill>
                      <a:srgbClr val="F2F2F2"/>
                    </a:solidFill>
                    <a:ln w="9525">
                      <a:solidFill>
                        <a:srgbClr val="606060"/>
                      </a:solidFill>
                    </a:ln>
                    <a:effectLst/>
                  </c:spPr>
                </c:marker>
                <c:dPt>
                  <c:idx val="2"/>
                  <c:marker>
                    <c:symbol val="diamond"/>
                    <c:size val="10"/>
                    <c:spPr>
                      <a:solidFill>
                        <a:srgbClr val="F2F2F2"/>
                      </a:solidFill>
                      <a:ln w="9525">
                        <a:solidFill>
                          <a:srgbClr val="606060"/>
                        </a:solidFill>
                      </a:ln>
                      <a:effectLst/>
                    </c:spPr>
                  </c:marker>
                  <c:bubble3D val="0"/>
                  <c:extLst xmlns:c15="http://schemas.microsoft.com/office/drawing/2012/chart">
                    <c:ext xmlns:c16="http://schemas.microsoft.com/office/drawing/2014/chart" uri="{C3380CC4-5D6E-409C-BE32-E72D297353CC}">
                      <c16:uniqueId val="{0000002D-E25D-4AD6-A50F-4464693895BE}"/>
                    </c:ext>
                  </c:extLst>
                </c:dPt>
                <c:xVal>
                  <c:numRef>
                    <c:extLst xmlns:c15="http://schemas.microsoft.com/office/drawing/2012/chart">
                      <c:ext xmlns:c15="http://schemas.microsoft.com/office/drawing/2012/chart" uri="{02D57815-91ED-43cb-92C2-25804820EDAC}">
                        <c15:formulaRef>
                          <c15:sqref>'FINAL Chart CCO state only'!$Z$2:$Z$16</c15:sqref>
                        </c15:formulaRef>
                      </c:ext>
                    </c:extLst>
                    <c:numCache>
                      <c:formatCode>0.0%</c:formatCode>
                      <c:ptCount val="15"/>
                      <c:pt idx="0">
                        <c:v>5.3435114503816696E-2</c:v>
                      </c:pt>
                      <c:pt idx="1">
                        <c:v>1.4423076923076936E-2</c:v>
                      </c:pt>
                      <c:pt idx="2">
                        <c:v>-7.276507276507283E-3</c:v>
                      </c:pt>
                      <c:pt idx="3">
                        <c:v>-0.14432989690721648</c:v>
                      </c:pt>
                      <c:pt idx="4">
                        <c:v>0.29577464788732405</c:v>
                      </c:pt>
                      <c:pt idx="5">
                        <c:v>7.9019073569482359E-2</c:v>
                      </c:pt>
                      <c:pt idx="6">
                        <c:v>3.5175879396984813E-2</c:v>
                      </c:pt>
                      <c:pt idx="7">
                        <c:v>-0.10970464135021096</c:v>
                      </c:pt>
                      <c:pt idx="8">
                        <c:v>7.4534161490683121E-2</c:v>
                      </c:pt>
                      <c:pt idx="9">
                        <c:v>3.3681765389082491E-2</c:v>
                      </c:pt>
                      <c:pt idx="10">
                        <c:v>0.11190053285968039</c:v>
                      </c:pt>
                      <c:pt idx="11">
                        <c:v>5.0000000000000044E-2</c:v>
                      </c:pt>
                      <c:pt idx="12">
                        <c:v>0</c:v>
                      </c:pt>
                      <c:pt idx="13">
                        <c:v>0</c:v>
                      </c:pt>
                      <c:pt idx="14">
                        <c:v>3.3566433566433601E-2</c:v>
                      </c:pt>
                    </c:numCache>
                  </c:numRef>
                </c:xVal>
                <c:yVal>
                  <c:numRef>
                    <c:extLst xmlns:c15="http://schemas.microsoft.com/office/drawing/2012/chart">
                      <c:ext xmlns:c15="http://schemas.microsoft.com/office/drawing/2012/chart" uri="{02D57815-91ED-43cb-92C2-25804820EDAC}">
                        <c15:formulaRef>
                          <c15:sqref>'FINAL Chart CCO state only'!$C$2:$C$16</c15:sqref>
                        </c15:formulaRef>
                      </c:ext>
                    </c:extLst>
                    <c:numCache>
                      <c:formatCode>General</c:formatCode>
                      <c:ptCount val="15"/>
                      <c:pt idx="0">
                        <c:v>10</c:v>
                      </c:pt>
                      <c:pt idx="1">
                        <c:v>1</c:v>
                      </c:pt>
                      <c:pt idx="2">
                        <c:v>5</c:v>
                      </c:pt>
                      <c:pt idx="3">
                        <c:v>12</c:v>
                      </c:pt>
                      <c:pt idx="4">
                        <c:v>9</c:v>
                      </c:pt>
                      <c:pt idx="5">
                        <c:v>2</c:v>
                      </c:pt>
                      <c:pt idx="6">
                        <c:v>11</c:v>
                      </c:pt>
                      <c:pt idx="7">
                        <c:v>13</c:v>
                      </c:pt>
                      <c:pt idx="8">
                        <c:v>4</c:v>
                      </c:pt>
                      <c:pt idx="9">
                        <c:v>6</c:v>
                      </c:pt>
                      <c:pt idx="10">
                        <c:v>7</c:v>
                      </c:pt>
                      <c:pt idx="11">
                        <c:v>3</c:v>
                      </c:pt>
                      <c:pt idx="12">
                        <c:v>#N/A</c:v>
                      </c:pt>
                      <c:pt idx="13">
                        <c:v>#N/A</c:v>
                      </c:pt>
                      <c:pt idx="14">
                        <c:v>8</c:v>
                      </c:pt>
                    </c:numCache>
                  </c:numRef>
                </c:yVal>
                <c:smooth val="0"/>
                <c:extLst xmlns:c15="http://schemas.microsoft.com/office/drawing/2012/chart">
                  <c:ext xmlns:c16="http://schemas.microsoft.com/office/drawing/2014/chart" uri="{C3380CC4-5D6E-409C-BE32-E72D297353CC}">
                    <c16:uniqueId val="{0000002E-E25D-4AD6-A50F-4464693895BE}"/>
                  </c:ext>
                </c:extLst>
              </c15:ser>
            </c15:filteredScatterSeries>
          </c:ext>
        </c:extLst>
      </c:scatterChart>
      <c:valAx>
        <c:axId val="799829584"/>
        <c:scaling>
          <c:orientation val="minMax"/>
          <c:max val="0.27"/>
          <c:min val="-0.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high"/>
        <c:spPr>
          <a:noFill/>
          <a:ln w="9525" cap="flat" cmpd="sng" algn="ctr">
            <a:no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799827064"/>
        <c:crosses val="autoZero"/>
        <c:crossBetween val="midCat"/>
        <c:minorUnit val="5.000000000000001E-2"/>
      </c:valAx>
      <c:valAx>
        <c:axId val="799827064"/>
        <c:scaling>
          <c:orientation val="minMax"/>
        </c:scaling>
        <c:delete val="1"/>
        <c:axPos val="l"/>
        <c:numFmt formatCode="General" sourceLinked="1"/>
        <c:majorTickMark val="none"/>
        <c:minorTickMark val="none"/>
        <c:tickLblPos val="nextTo"/>
        <c:crossAx val="799829584"/>
        <c:crosses val="autoZero"/>
        <c:crossBetween val="midCat"/>
      </c:valAx>
      <c:spPr>
        <a:noFill/>
        <a:ln>
          <a:noFill/>
        </a:ln>
        <a:effectLst/>
      </c:spPr>
    </c:plotArea>
    <c:legend>
      <c:legendPos val="b"/>
      <c:legendEntry>
        <c:idx val="0"/>
        <c:delete val="1"/>
      </c:legendEntry>
      <c:legendEntry>
        <c:idx val="4"/>
        <c:delete val="1"/>
      </c:legendEntry>
      <c:legendEntry>
        <c:idx val="5"/>
        <c:delete val="1"/>
      </c:legendEntry>
      <c:layout>
        <c:manualLayout>
          <c:xMode val="edge"/>
          <c:yMode val="edge"/>
          <c:x val="8.6378625748704488E-4"/>
          <c:y val="0.89811789151356081"/>
          <c:w val="0.99613567534827374"/>
          <c:h val="6.0315585551806022E-2"/>
        </c:manualLayout>
      </c:layout>
      <c:overlay val="0"/>
      <c:spPr>
        <a:solidFill>
          <a:schemeClr val="bg1"/>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2"/>
          <c:order val="16"/>
          <c:tx>
            <c:strRef>
              <c:f>CIS_C3!$A$18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CIS_C3!$B$1:$F$1</c:f>
              <c:strCache>
                <c:ptCount val="5"/>
                <c:pt idx="0">
                  <c:v>'21</c:v>
                </c:pt>
                <c:pt idx="1">
                  <c:v>'22</c:v>
                </c:pt>
                <c:pt idx="2">
                  <c:v>'23</c:v>
                </c:pt>
                <c:pt idx="3">
                  <c:v>'24</c:v>
                </c:pt>
                <c:pt idx="4">
                  <c:v>'25</c:v>
                </c:pt>
              </c:strCache>
            </c:strRef>
          </c:cat>
          <c:val>
            <c:numRef>
              <c:f>CIS_C3!$B$18:$F$18</c:f>
              <c:numCache>
                <c:formatCode>0.0%</c:formatCode>
                <c:ptCount val="5"/>
                <c:pt idx="0">
                  <c:v>0.63200000000000001</c:v>
                </c:pt>
                <c:pt idx="1">
                  <c:v>0.61299999999999999</c:v>
                </c:pt>
                <c:pt idx="2">
                  <c:v>0.64700000000000002</c:v>
                </c:pt>
                <c:pt idx="3">
                  <c:v>0.624</c:v>
                </c:pt>
                <c:pt idx="4">
                  <c:v>0.63300000000000001</c:v>
                </c:pt>
              </c:numCache>
            </c:numRef>
          </c:val>
          <c:smooth val="0"/>
          <c:extLst>
            <c:ext xmlns:c16="http://schemas.microsoft.com/office/drawing/2014/chart" uri="{C3380CC4-5D6E-409C-BE32-E72D297353CC}">
              <c16:uniqueId val="{00000000-E8CF-4852-8C5B-AB4732BB2BCF}"/>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CIS_C3!$A$2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CIS_C3!$B$2:$F$2</c:f>
              <c:numCache>
                <c:formatCode>0.0%</c:formatCode>
                <c:ptCount val="5"/>
                <c:pt idx="0">
                  <c:v>0.623</c:v>
                </c:pt>
                <c:pt idx="1">
                  <c:v>0.63500000000000001</c:v>
                </c:pt>
                <c:pt idx="2">
                  <c:v>0.61599999999999999</c:v>
                </c:pt>
                <c:pt idx="3">
                  <c:v>0.624</c:v>
                </c:pt>
                <c:pt idx="4">
                  <c:v>0.63200000000000001</c:v>
                </c:pt>
              </c:numCache>
            </c:numRef>
          </c:yVal>
          <c:smooth val="0"/>
          <c:extLst>
            <c:ext xmlns:c16="http://schemas.microsoft.com/office/drawing/2014/chart" uri="{C3380CC4-5D6E-409C-BE32-E72D297353CC}">
              <c16:uniqueId val="{00000001-E8CF-4852-8C5B-AB4732BB2BCF}"/>
            </c:ext>
          </c:extLst>
        </c:ser>
        <c:ser>
          <c:idx val="1"/>
          <c:order val="1"/>
          <c:tx>
            <c:strRef>
              <c:f>CIS_C3!$A$3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CIS_C3!$B$3:$F$3</c:f>
              <c:numCache>
                <c:formatCode>0.0%</c:formatCode>
                <c:ptCount val="5"/>
                <c:pt idx="0">
                  <c:v>0.45799999999999996</c:v>
                </c:pt>
                <c:pt idx="1">
                  <c:v>0.46500000000000002</c:v>
                </c:pt>
                <c:pt idx="2">
                  <c:v>0.45400000000000001</c:v>
                </c:pt>
                <c:pt idx="3">
                  <c:v>0.43</c:v>
                </c:pt>
                <c:pt idx="4">
                  <c:v>0.437</c:v>
                </c:pt>
              </c:numCache>
            </c:numRef>
          </c:yVal>
          <c:smooth val="0"/>
          <c:extLst>
            <c:ext xmlns:c16="http://schemas.microsoft.com/office/drawing/2014/chart" uri="{C3380CC4-5D6E-409C-BE32-E72D297353CC}">
              <c16:uniqueId val="{00000002-E8CF-4852-8C5B-AB4732BB2BCF}"/>
            </c:ext>
          </c:extLst>
        </c:ser>
        <c:ser>
          <c:idx val="2"/>
          <c:order val="2"/>
          <c:tx>
            <c:strRef>
              <c:f>CIS_C3!$A$4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CIS_C3!$B$4:$F$4</c:f>
              <c:numCache>
                <c:formatCode>0.0%</c:formatCode>
                <c:ptCount val="5"/>
                <c:pt idx="0">
                  <c:v>0.66</c:v>
                </c:pt>
                <c:pt idx="1">
                  <c:v>0.68299999999999994</c:v>
                </c:pt>
                <c:pt idx="2">
                  <c:v>0.58499999999999996</c:v>
                </c:pt>
                <c:pt idx="3">
                  <c:v>0.61499999999999999</c:v>
                </c:pt>
                <c:pt idx="4">
                  <c:v>0.63300000000000001</c:v>
                </c:pt>
              </c:numCache>
            </c:numRef>
          </c:yVal>
          <c:smooth val="0"/>
          <c:extLst>
            <c:ext xmlns:c16="http://schemas.microsoft.com/office/drawing/2014/chart" uri="{C3380CC4-5D6E-409C-BE32-E72D297353CC}">
              <c16:uniqueId val="{00000003-E8CF-4852-8C5B-AB4732BB2BCF}"/>
            </c:ext>
          </c:extLst>
        </c:ser>
        <c:ser>
          <c:idx val="3"/>
          <c:order val="3"/>
          <c:tx>
            <c:strRef>
              <c:f>CIS_C3!$A$5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CIS_C3!$B$5:$F$5</c:f>
              <c:numCache>
                <c:formatCode>0.0%</c:formatCode>
                <c:ptCount val="5"/>
                <c:pt idx="0">
                  <c:v>0.504</c:v>
                </c:pt>
                <c:pt idx="1">
                  <c:v>0.50700000000000001</c:v>
                </c:pt>
                <c:pt idx="2">
                  <c:v>0.55300000000000005</c:v>
                </c:pt>
                <c:pt idx="3">
                  <c:v>0.49199999999999999</c:v>
                </c:pt>
                <c:pt idx="4">
                  <c:v>0.51200000000000001</c:v>
                </c:pt>
              </c:numCache>
            </c:numRef>
          </c:yVal>
          <c:smooth val="0"/>
          <c:extLst>
            <c:ext xmlns:c16="http://schemas.microsoft.com/office/drawing/2014/chart" uri="{C3380CC4-5D6E-409C-BE32-E72D297353CC}">
              <c16:uniqueId val="{00000004-E8CF-4852-8C5B-AB4732BB2BCF}"/>
            </c:ext>
          </c:extLst>
        </c:ser>
        <c:ser>
          <c:idx val="4"/>
          <c:order val="4"/>
          <c:tx>
            <c:strRef>
              <c:f>CIS_C3!$A$6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CIS_C3!$B$6:$F$6</c:f>
              <c:numCache>
                <c:formatCode>0.0%</c:formatCode>
                <c:ptCount val="5"/>
                <c:pt idx="0">
                  <c:v>0.65800000000000003</c:v>
                </c:pt>
                <c:pt idx="1">
                  <c:v>0.65500000000000003</c:v>
                </c:pt>
                <c:pt idx="2">
                  <c:v>0.64900000000000002</c:v>
                </c:pt>
                <c:pt idx="3">
                  <c:v>0.66500000000000004</c:v>
                </c:pt>
                <c:pt idx="4">
                  <c:v>0.63100000000000001</c:v>
                </c:pt>
              </c:numCache>
            </c:numRef>
          </c:yVal>
          <c:smooth val="0"/>
          <c:extLst>
            <c:ext xmlns:c16="http://schemas.microsoft.com/office/drawing/2014/chart" uri="{C3380CC4-5D6E-409C-BE32-E72D297353CC}">
              <c16:uniqueId val="{00000005-E8CF-4852-8C5B-AB4732BB2BCF}"/>
            </c:ext>
          </c:extLst>
        </c:ser>
        <c:ser>
          <c:idx val="5"/>
          <c:order val="5"/>
          <c:tx>
            <c:strRef>
              <c:f>CIS_C3!$A$7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CIS_C3!$B$7:$F$7</c:f>
              <c:numCache>
                <c:formatCode>0.0%</c:formatCode>
                <c:ptCount val="5"/>
                <c:pt idx="0">
                  <c:v>0.6070000000000001</c:v>
                </c:pt>
                <c:pt idx="1">
                  <c:v>0.59899999999999998</c:v>
                </c:pt>
                <c:pt idx="2">
                  <c:v>0.59499999999999997</c:v>
                </c:pt>
                <c:pt idx="3">
                  <c:v>0.61499999999999999</c:v>
                </c:pt>
                <c:pt idx="4">
                  <c:v>0.61899999999999999</c:v>
                </c:pt>
              </c:numCache>
            </c:numRef>
          </c:yVal>
          <c:smooth val="0"/>
          <c:extLst>
            <c:ext xmlns:c16="http://schemas.microsoft.com/office/drawing/2014/chart" uri="{C3380CC4-5D6E-409C-BE32-E72D297353CC}">
              <c16:uniqueId val="{00000006-E8CF-4852-8C5B-AB4732BB2BCF}"/>
            </c:ext>
          </c:extLst>
        </c:ser>
        <c:ser>
          <c:idx val="6"/>
          <c:order val="6"/>
          <c:tx>
            <c:strRef>
              <c:f>CIS_C3!$A$8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CIS_C3!$B$8:$F$8</c:f>
              <c:numCache>
                <c:formatCode>0.0%</c:formatCode>
                <c:ptCount val="5"/>
                <c:pt idx="0">
                  <c:v>0.60799999999999998</c:v>
                </c:pt>
                <c:pt idx="1">
                  <c:v>0.6</c:v>
                </c:pt>
                <c:pt idx="2">
                  <c:v>0.55600000000000005</c:v>
                </c:pt>
                <c:pt idx="3">
                  <c:v>0.61699999999999999</c:v>
                </c:pt>
                <c:pt idx="4">
                  <c:v>0.58099999999999996</c:v>
                </c:pt>
              </c:numCache>
            </c:numRef>
          </c:yVal>
          <c:smooth val="0"/>
          <c:extLst>
            <c:ext xmlns:c16="http://schemas.microsoft.com/office/drawing/2014/chart" uri="{C3380CC4-5D6E-409C-BE32-E72D297353CC}">
              <c16:uniqueId val="{00000007-E8CF-4852-8C5B-AB4732BB2BCF}"/>
            </c:ext>
          </c:extLst>
        </c:ser>
        <c:ser>
          <c:idx val="7"/>
          <c:order val="7"/>
          <c:tx>
            <c:strRef>
              <c:f>CIS_C3!$A$9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CIS_C3!$B$9:$F$9</c:f>
              <c:numCache>
                <c:formatCode>0.0%</c:formatCode>
                <c:ptCount val="5"/>
                <c:pt idx="0">
                  <c:v>0.53300000000000003</c:v>
                </c:pt>
                <c:pt idx="1">
                  <c:v>0.55100000000000005</c:v>
                </c:pt>
                <c:pt idx="2">
                  <c:v>0.55200000000000005</c:v>
                </c:pt>
                <c:pt idx="3">
                  <c:v>0.53500000000000003</c:v>
                </c:pt>
                <c:pt idx="4">
                  <c:v>0.56299999999999994</c:v>
                </c:pt>
              </c:numCache>
            </c:numRef>
          </c:yVal>
          <c:smooth val="0"/>
          <c:extLst>
            <c:ext xmlns:c16="http://schemas.microsoft.com/office/drawing/2014/chart" uri="{C3380CC4-5D6E-409C-BE32-E72D297353CC}">
              <c16:uniqueId val="{00000008-E8CF-4852-8C5B-AB4732BB2BCF}"/>
            </c:ext>
          </c:extLst>
        </c:ser>
        <c:ser>
          <c:idx val="8"/>
          <c:order val="8"/>
          <c:tx>
            <c:strRef>
              <c:f>CIS_C3!$A$10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CIS_C3!$B$10:$F$10</c:f>
              <c:numCache>
                <c:formatCode>0.0%</c:formatCode>
                <c:ptCount val="5"/>
                <c:pt idx="0">
                  <c:v>0.55600000000000005</c:v>
                </c:pt>
                <c:pt idx="1">
                  <c:v>0.57600000000000007</c:v>
                </c:pt>
                <c:pt idx="2">
                  <c:v>0.60199999999999998</c:v>
                </c:pt>
                <c:pt idx="3">
                  <c:v>0.60699999999999998</c:v>
                </c:pt>
                <c:pt idx="4">
                  <c:v>0.57799999999999996</c:v>
                </c:pt>
              </c:numCache>
            </c:numRef>
          </c:yVal>
          <c:smooth val="0"/>
          <c:extLst>
            <c:ext xmlns:c16="http://schemas.microsoft.com/office/drawing/2014/chart" uri="{C3380CC4-5D6E-409C-BE32-E72D297353CC}">
              <c16:uniqueId val="{00000009-E8CF-4852-8C5B-AB4732BB2BCF}"/>
            </c:ext>
          </c:extLst>
        </c:ser>
        <c:ser>
          <c:idx val="9"/>
          <c:order val="9"/>
          <c:tx>
            <c:strRef>
              <c:f>CIS_C3!$A$11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CIS_C3!$B$11:$F$11</c:f>
              <c:numCache>
                <c:formatCode>0.0%</c:formatCode>
                <c:ptCount val="5"/>
                <c:pt idx="0">
                  <c:v>0.67799999999999994</c:v>
                </c:pt>
                <c:pt idx="1">
                  <c:v>0.59399999999999997</c:v>
                </c:pt>
                <c:pt idx="2">
                  <c:v>0.626</c:v>
                </c:pt>
                <c:pt idx="3">
                  <c:v>0.61099999999999999</c:v>
                </c:pt>
                <c:pt idx="4">
                  <c:v>0.65600000000000003</c:v>
                </c:pt>
              </c:numCache>
            </c:numRef>
          </c:yVal>
          <c:smooth val="0"/>
          <c:extLst>
            <c:ext xmlns:c16="http://schemas.microsoft.com/office/drawing/2014/chart" uri="{C3380CC4-5D6E-409C-BE32-E72D297353CC}">
              <c16:uniqueId val="{0000000A-E8CF-4852-8C5B-AB4732BB2BCF}"/>
            </c:ext>
          </c:extLst>
        </c:ser>
        <c:ser>
          <c:idx val="10"/>
          <c:order val="10"/>
          <c:tx>
            <c:strRef>
              <c:f>CIS_C3!$A$12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CIS_C3!$B$12:$F$12</c:f>
              <c:numCache>
                <c:formatCode>0.0%</c:formatCode>
                <c:ptCount val="5"/>
                <c:pt idx="0">
                  <c:v>0.69200000000000006</c:v>
                </c:pt>
                <c:pt idx="1">
                  <c:v>0.67700000000000005</c:v>
                </c:pt>
                <c:pt idx="2">
                  <c:v>0.64100000000000001</c:v>
                </c:pt>
                <c:pt idx="3">
                  <c:v>0.64100000000000001</c:v>
                </c:pt>
                <c:pt idx="4">
                  <c:v>0.64400000000000002</c:v>
                </c:pt>
              </c:numCache>
            </c:numRef>
          </c:yVal>
          <c:smooth val="0"/>
          <c:extLst>
            <c:ext xmlns:c16="http://schemas.microsoft.com/office/drawing/2014/chart" uri="{C3380CC4-5D6E-409C-BE32-E72D297353CC}">
              <c16:uniqueId val="{0000000B-E8CF-4852-8C5B-AB4732BB2BCF}"/>
            </c:ext>
          </c:extLst>
        </c:ser>
        <c:ser>
          <c:idx val="11"/>
          <c:order val="11"/>
          <c:tx>
            <c:strRef>
              <c:f>CIS_C3!$A$13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CIS_C3!$B$13:$F$13</c:f>
              <c:numCache>
                <c:formatCode>0.0%</c:formatCode>
                <c:ptCount val="5"/>
                <c:pt idx="0">
                  <c:v>0.65599999999999992</c:v>
                </c:pt>
                <c:pt idx="1">
                  <c:v>0.63800000000000001</c:v>
                </c:pt>
                <c:pt idx="2">
                  <c:v>0.61299999999999999</c:v>
                </c:pt>
                <c:pt idx="3">
                  <c:v>0.629</c:v>
                </c:pt>
                <c:pt idx="4">
                  <c:v>0.63100000000000001</c:v>
                </c:pt>
              </c:numCache>
            </c:numRef>
          </c:yVal>
          <c:smooth val="0"/>
          <c:extLst>
            <c:ext xmlns:c16="http://schemas.microsoft.com/office/drawing/2014/chart" uri="{C3380CC4-5D6E-409C-BE32-E72D297353CC}">
              <c16:uniqueId val="{0000000C-E8CF-4852-8C5B-AB4732BB2BCF}"/>
            </c:ext>
          </c:extLst>
        </c:ser>
        <c:ser>
          <c:idx val="13"/>
          <c:order val="12"/>
          <c:tx>
            <c:strRef>
              <c:f>CIS_C3!$A$14</c:f>
              <c:strCache>
                <c:ptCount val="1"/>
                <c:pt idx="0">
                  <c:v>Statewide</c:v>
                </c:pt>
              </c:strCache>
            </c:strRef>
          </c:tx>
          <c:spPr>
            <a:ln w="28575" cap="rnd">
              <a:solidFill>
                <a:schemeClr val="accent1">
                  <a:lumMod val="75000"/>
                </a:schemeClr>
              </a:solidFill>
              <a:round/>
            </a:ln>
            <a:effectLst/>
          </c:spPr>
          <c:marker>
            <c:symbol val="none"/>
          </c:marker>
          <c:dPt>
            <c:idx val="0"/>
            <c:marker>
              <c:symbol val="none"/>
            </c:marker>
            <c:bubble3D val="0"/>
            <c:extLst>
              <c:ext xmlns:c16="http://schemas.microsoft.com/office/drawing/2014/chart" uri="{C3380CC4-5D6E-409C-BE32-E72D297353CC}">
                <c16:uniqueId val="{0000000D-E8CF-4852-8C5B-AB4732BB2BCF}"/>
              </c:ext>
            </c:extLst>
          </c:dPt>
          <c:xVal>
            <c:strRef>
              <c:f>CIS_C3!$B$1:$F$1</c:f>
              <c:strCache>
                <c:ptCount val="5"/>
                <c:pt idx="0">
                  <c:v>'21</c:v>
                </c:pt>
                <c:pt idx="1">
                  <c:v>'22</c:v>
                </c:pt>
                <c:pt idx="2">
                  <c:v>'23</c:v>
                </c:pt>
                <c:pt idx="3">
                  <c:v>'24</c:v>
                </c:pt>
                <c:pt idx="4">
                  <c:v>'25</c:v>
                </c:pt>
              </c:strCache>
            </c:strRef>
          </c:xVal>
          <c:yVal>
            <c:numRef>
              <c:f>CIS_C3!$B$14:$F$14</c:f>
              <c:numCache>
                <c:formatCode>0.0%</c:formatCode>
                <c:ptCount val="5"/>
                <c:pt idx="0">
                  <c:v>0.60799999999999998</c:v>
                </c:pt>
                <c:pt idx="1">
                  <c:v>0.60200000000000009</c:v>
                </c:pt>
                <c:pt idx="2">
                  <c:v>0.59</c:v>
                </c:pt>
                <c:pt idx="3">
                  <c:v>0.6</c:v>
                </c:pt>
                <c:pt idx="4">
                  <c:v>0.60099999999999998</c:v>
                </c:pt>
              </c:numCache>
            </c:numRef>
          </c:yVal>
          <c:smooth val="0"/>
          <c:extLst>
            <c:ext xmlns:c16="http://schemas.microsoft.com/office/drawing/2014/chart" uri="{C3380CC4-5D6E-409C-BE32-E72D297353CC}">
              <c16:uniqueId val="{0000000E-E8CF-4852-8C5B-AB4732BB2BCF}"/>
            </c:ext>
          </c:extLst>
        </c:ser>
        <c:ser>
          <c:idx val="14"/>
          <c:order val="13"/>
          <c:tx>
            <c:strRef>
              <c:f>CIS_C3!$A$15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CIS_C3!$B$15:$F$15</c:f>
              <c:numCache>
                <c:formatCode>0.0%</c:formatCode>
                <c:ptCount val="5"/>
                <c:pt idx="0">
                  <c:v>0.14300000000000002</c:v>
                </c:pt>
                <c:pt idx="1">
                  <c:v>0.443</c:v>
                </c:pt>
                <c:pt idx="2">
                  <c:v>0.442</c:v>
                </c:pt>
                <c:pt idx="3">
                  <c:v>0.434</c:v>
                </c:pt>
                <c:pt idx="4">
                  <c:v>0.48699999999999999</c:v>
                </c:pt>
              </c:numCache>
            </c:numRef>
          </c:yVal>
          <c:smooth val="0"/>
          <c:extLst>
            <c:ext xmlns:c16="http://schemas.microsoft.com/office/drawing/2014/chart" uri="{C3380CC4-5D6E-409C-BE32-E72D297353CC}">
              <c16:uniqueId val="{0000000F-E8CF-4852-8C5B-AB4732BB2BCF}"/>
            </c:ext>
          </c:extLst>
        </c:ser>
        <c:ser>
          <c:idx val="15"/>
          <c:order val="14"/>
          <c:tx>
            <c:strRef>
              <c:f>CIS_C3!$A$16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CIS_C3!$B$16:$F$16</c:f>
              <c:numCache>
                <c:formatCode>0.0%</c:formatCode>
                <c:ptCount val="5"/>
                <c:pt idx="0">
                  <c:v>0.51100000000000001</c:v>
                </c:pt>
                <c:pt idx="1">
                  <c:v>0.52900000000000003</c:v>
                </c:pt>
                <c:pt idx="2">
                  <c:v>0.47099999999999997</c:v>
                </c:pt>
                <c:pt idx="3">
                  <c:v>0.55400000000000005</c:v>
                </c:pt>
                <c:pt idx="4">
                  <c:v>0.56899999999999995</c:v>
                </c:pt>
              </c:numCache>
            </c:numRef>
          </c:yVal>
          <c:smooth val="0"/>
          <c:extLst>
            <c:ext xmlns:c16="http://schemas.microsoft.com/office/drawing/2014/chart" uri="{C3380CC4-5D6E-409C-BE32-E72D297353CC}">
              <c16:uniqueId val="{00000010-E8CF-4852-8C5B-AB4732BB2BCF}"/>
            </c:ext>
          </c:extLst>
        </c:ser>
        <c:ser>
          <c:idx val="16"/>
          <c:order val="15"/>
          <c:tx>
            <c:strRef>
              <c:f>CIS_C3!$A$17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CIS_C3!$B$1:$F$1</c:f>
              <c:strCache>
                <c:ptCount val="5"/>
                <c:pt idx="0">
                  <c:v>'21</c:v>
                </c:pt>
                <c:pt idx="1">
                  <c:v>'22</c:v>
                </c:pt>
                <c:pt idx="2">
                  <c:v>'23</c:v>
                </c:pt>
                <c:pt idx="3">
                  <c:v>'24</c:v>
                </c:pt>
                <c:pt idx="4">
                  <c:v>'25</c:v>
                </c:pt>
              </c:strCache>
            </c:strRef>
          </c:xVal>
          <c:yVal>
            <c:numRef>
              <c:f>CIS_C3!$B$17:$F$17</c:f>
              <c:numCache>
                <c:formatCode>0.0%</c:formatCode>
                <c:ptCount val="5"/>
                <c:pt idx="0">
                  <c:v>0.57799999999999996</c:v>
                </c:pt>
                <c:pt idx="1">
                  <c:v>0.59100000000000008</c:v>
                </c:pt>
                <c:pt idx="2">
                  <c:v>0.55400000000000005</c:v>
                </c:pt>
                <c:pt idx="3">
                  <c:v>0.51900000000000002</c:v>
                </c:pt>
                <c:pt idx="4">
                  <c:v>0.54</c:v>
                </c:pt>
              </c:numCache>
            </c:numRef>
          </c:yVal>
          <c:smooth val="0"/>
          <c:extLst>
            <c:ext xmlns:c16="http://schemas.microsoft.com/office/drawing/2014/chart" uri="{C3380CC4-5D6E-409C-BE32-E72D297353CC}">
              <c16:uniqueId val="{00000011-E8CF-4852-8C5B-AB4732BB2BCF}"/>
            </c:ext>
          </c:extLst>
        </c:ser>
        <c:ser>
          <c:idx val="17"/>
          <c:order val="17"/>
          <c:tx>
            <c:strRef>
              <c:f>CIS_C3!$A$20</c:f>
              <c:strCache>
                <c:ptCount val="1"/>
                <c:pt idx="0">
                  <c:v>CCO statewide</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CIS_C3!$B$1:$F$1</c:f>
              <c:strCache>
                <c:ptCount val="5"/>
                <c:pt idx="0">
                  <c:v>'21</c:v>
                </c:pt>
                <c:pt idx="1">
                  <c:v>'22</c:v>
                </c:pt>
                <c:pt idx="2">
                  <c:v>'23</c:v>
                </c:pt>
                <c:pt idx="3">
                  <c:v>'24</c:v>
                </c:pt>
                <c:pt idx="4">
                  <c:v>'25</c:v>
                </c:pt>
              </c:strCache>
            </c:strRef>
          </c:xVal>
          <c:yVal>
            <c:numRef>
              <c:f>CIS_C3!$B$20:$F$20</c:f>
              <c:numCache>
                <c:formatCode>0.0%</c:formatCode>
                <c:ptCount val="5"/>
                <c:pt idx="0">
                  <c:v>0.60799999999999998</c:v>
                </c:pt>
                <c:pt idx="1">
                  <c:v>0.60200000000000009</c:v>
                </c:pt>
                <c:pt idx="2">
                  <c:v>0.59</c:v>
                </c:pt>
                <c:pt idx="3">
                  <c:v>0.6</c:v>
                </c:pt>
                <c:pt idx="4">
                  <c:v>0.60099999999999998</c:v>
                </c:pt>
              </c:numCache>
            </c:numRef>
          </c:yVal>
          <c:smooth val="0"/>
          <c:extLst>
            <c:ext xmlns:c16="http://schemas.microsoft.com/office/drawing/2014/chart" uri="{C3380CC4-5D6E-409C-BE32-E72D297353CC}">
              <c16:uniqueId val="{00000012-E8CF-4852-8C5B-AB4732BB2BCF}"/>
            </c:ext>
          </c:extLst>
        </c:ser>
        <c:ser>
          <c:idx val="18"/>
          <c:order val="18"/>
          <c:tx>
            <c:strRef>
              <c:f>CIS_C3!$A$21</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dLbls>
            <c:dLbl>
              <c:idx val="1"/>
              <c:layout>
                <c:manualLayout>
                  <c:x val="-0.22113888888888888"/>
                  <c:y val="-5.5555555555555552E-2"/>
                </c:manualLayout>
              </c:layout>
              <c:tx>
                <c:rich>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r>
                      <a:rPr lang="en-US" sz="1100">
                        <a:solidFill>
                          <a:schemeClr val="accent2">
                            <a:lumMod val="50000"/>
                          </a:schemeClr>
                        </a:solidFill>
                        <a:latin typeface="Aptos" panose="020B0004020202020204" pitchFamily="34" charset="0"/>
                      </a:rPr>
                      <a:t>Benchmark</a:t>
                    </a:r>
                  </a:p>
                </c:rich>
              </c:tx>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E8CF-4852-8C5B-AB4732BB2B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CIS_C3!$B$1:$F$1</c:f>
              <c:strCache>
                <c:ptCount val="5"/>
                <c:pt idx="0">
                  <c:v>'21</c:v>
                </c:pt>
                <c:pt idx="1">
                  <c:v>'22</c:v>
                </c:pt>
                <c:pt idx="2">
                  <c:v>'23</c:v>
                </c:pt>
                <c:pt idx="3">
                  <c:v>'24</c:v>
                </c:pt>
                <c:pt idx="4">
                  <c:v>'25</c:v>
                </c:pt>
              </c:strCache>
            </c:strRef>
          </c:xVal>
          <c:yVal>
            <c:numRef>
              <c:f>CIS_C3!$B$21:$F$21</c:f>
              <c:numCache>
                <c:formatCode>0.0%</c:formatCode>
                <c:ptCount val="5"/>
                <c:pt idx="1">
                  <c:v>0.71099999999999997</c:v>
                </c:pt>
                <c:pt idx="2">
                  <c:v>0.67900000000000005</c:v>
                </c:pt>
                <c:pt idx="3">
                  <c:v>0.67900000000000005</c:v>
                </c:pt>
                <c:pt idx="4">
                  <c:v>0.69</c:v>
                </c:pt>
              </c:numCache>
            </c:numRef>
          </c:yVal>
          <c:smooth val="0"/>
          <c:extLst>
            <c:ext xmlns:c16="http://schemas.microsoft.com/office/drawing/2014/chart" uri="{C3380CC4-5D6E-409C-BE32-E72D297353CC}">
              <c16:uniqueId val="{00000014-E8CF-4852-8C5B-AB4732BB2BCF}"/>
            </c:ext>
          </c:extLst>
        </c:ser>
        <c:ser>
          <c:idx val="19"/>
          <c:order val="19"/>
          <c:tx>
            <c:strRef>
              <c:f>CIS_C3!$A$19</c:f>
              <c:strCache>
                <c:ptCount val="1"/>
                <c:pt idx="0">
                  <c:v>Individual CCOs</c:v>
                </c:pt>
              </c:strCache>
            </c:strRef>
          </c:tx>
          <c:spPr>
            <a:ln w="25400" cap="rnd">
              <a:noFill/>
              <a:round/>
            </a:ln>
            <a:effectLst/>
          </c:spPr>
          <c:marker>
            <c:symbol val="circle"/>
            <c:size val="6"/>
            <c:spPr>
              <a:noFill/>
              <a:ln w="9525">
                <a:solidFill>
                  <a:srgbClr val="606060"/>
                </a:solidFill>
              </a:ln>
              <a:effectLst/>
            </c:spPr>
          </c:marker>
          <c:xVal>
            <c:strRef>
              <c:f>CIS_C3!$B$1:$G$1</c:f>
              <c:strCache>
                <c:ptCount val="5"/>
                <c:pt idx="0">
                  <c:v>'21</c:v>
                </c:pt>
                <c:pt idx="1">
                  <c:v>'22</c:v>
                </c:pt>
                <c:pt idx="2">
                  <c:v>'23</c:v>
                </c:pt>
                <c:pt idx="3">
                  <c:v>'24</c:v>
                </c:pt>
                <c:pt idx="4">
                  <c:v>'25</c:v>
                </c:pt>
              </c:strCache>
            </c:strRef>
          </c:xVal>
          <c:yVal>
            <c:numRef>
              <c:f>CIS_C3!$B$19:$G$19</c:f>
              <c:numCache>
                <c:formatCode>0.0%</c:formatCode>
                <c:ptCount val="6"/>
                <c:pt idx="0">
                  <c:v>0.63200000000000001</c:v>
                </c:pt>
                <c:pt idx="1">
                  <c:v>0.61299999999999999</c:v>
                </c:pt>
                <c:pt idx="2">
                  <c:v>0.64700000000000002</c:v>
                </c:pt>
                <c:pt idx="3">
                  <c:v>0.624</c:v>
                </c:pt>
                <c:pt idx="4">
                  <c:v>0.63300000000000001</c:v>
                </c:pt>
                <c:pt idx="5">
                  <c:v>1.4423076923076936E-2</c:v>
                </c:pt>
              </c:numCache>
            </c:numRef>
          </c:yVal>
          <c:smooth val="0"/>
          <c:extLst>
            <c:ext xmlns:c16="http://schemas.microsoft.com/office/drawing/2014/chart" uri="{C3380CC4-5D6E-409C-BE32-E72D297353CC}">
              <c16:uniqueId val="{00000015-E8CF-4852-8C5B-AB4732BB2BCF}"/>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5"/>
        <c:minorUnit val="0.25"/>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8"/>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ptos" panose="020B00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2"/>
          <c:order val="16"/>
          <c:tx>
            <c:strRef>
              <c:f>IMA_C2!$A$18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IMA_C2!$B$1:$J$1</c:f>
              <c:strCache>
                <c:ptCount val="9"/>
                <c:pt idx="0">
                  <c:v>'17</c:v>
                </c:pt>
                <c:pt idx="1">
                  <c:v>'18</c:v>
                </c:pt>
                <c:pt idx="2">
                  <c:v>'19</c:v>
                </c:pt>
                <c:pt idx="3">
                  <c:v>'20</c:v>
                </c:pt>
                <c:pt idx="4">
                  <c:v>'21</c:v>
                </c:pt>
                <c:pt idx="5">
                  <c:v>'22</c:v>
                </c:pt>
                <c:pt idx="6">
                  <c:v>'23</c:v>
                </c:pt>
                <c:pt idx="7">
                  <c:v>'24</c:v>
                </c:pt>
                <c:pt idx="8">
                  <c:v>'25</c:v>
                </c:pt>
              </c:strCache>
            </c:strRef>
          </c:cat>
          <c:val>
            <c:numRef>
              <c:f>IMA_C2!$B$18:$J$18</c:f>
              <c:numCache>
                <c:formatCode>0.0%</c:formatCode>
                <c:ptCount val="9"/>
                <c:pt idx="0">
                  <c:v>0.37</c:v>
                </c:pt>
                <c:pt idx="1">
                  <c:v>0.34799999999999998</c:v>
                </c:pt>
                <c:pt idx="2">
                  <c:v>0.38</c:v>
                </c:pt>
                <c:pt idx="3">
                  <c:v>0.43</c:v>
                </c:pt>
                <c:pt idx="4">
                  <c:v>0.35700000000000004</c:v>
                </c:pt>
                <c:pt idx="5">
                  <c:v>0.32500000000000001</c:v>
                </c:pt>
                <c:pt idx="6">
                  <c:v>0.371</c:v>
                </c:pt>
                <c:pt idx="7">
                  <c:v>0.39800000000000002</c:v>
                </c:pt>
                <c:pt idx="8">
                  <c:v>0.41199999999999998</c:v>
                </c:pt>
              </c:numCache>
            </c:numRef>
          </c:val>
          <c:smooth val="0"/>
          <c:extLst>
            <c:ext xmlns:c16="http://schemas.microsoft.com/office/drawing/2014/chart" uri="{C3380CC4-5D6E-409C-BE32-E72D297353CC}">
              <c16:uniqueId val="{00000000-994A-4C1A-B6D9-C75EE74C059A}"/>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IMA_C2!$A$2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IMA_C2!$B$2:$J$2</c:f>
              <c:numCache>
                <c:formatCode>0.0%</c:formatCode>
                <c:ptCount val="9"/>
                <c:pt idx="0">
                  <c:v>0.16899999999999998</c:v>
                </c:pt>
                <c:pt idx="1">
                  <c:v>0.23899999999999999</c:v>
                </c:pt>
                <c:pt idx="2">
                  <c:v>0.33299999999999996</c:v>
                </c:pt>
                <c:pt idx="3">
                  <c:v>0.36299999999999999</c:v>
                </c:pt>
                <c:pt idx="4">
                  <c:v>0.25600000000000001</c:v>
                </c:pt>
                <c:pt idx="5">
                  <c:v>0.23399999999999999</c:v>
                </c:pt>
                <c:pt idx="6">
                  <c:v>0.27300000000000002</c:v>
                </c:pt>
                <c:pt idx="7">
                  <c:v>0.27800000000000002</c:v>
                </c:pt>
                <c:pt idx="8">
                  <c:v>0.29899999999999999</c:v>
                </c:pt>
              </c:numCache>
            </c:numRef>
          </c:yVal>
          <c:smooth val="0"/>
          <c:extLst>
            <c:ext xmlns:c16="http://schemas.microsoft.com/office/drawing/2014/chart" uri="{C3380CC4-5D6E-409C-BE32-E72D297353CC}">
              <c16:uniqueId val="{00000001-994A-4C1A-B6D9-C75EE74C059A}"/>
            </c:ext>
          </c:extLst>
        </c:ser>
        <c:ser>
          <c:idx val="1"/>
          <c:order val="1"/>
          <c:tx>
            <c:strRef>
              <c:f>IMA_C2!$A$3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IMA_C2!$B$3:$J$3</c:f>
              <c:numCache>
                <c:formatCode>0.0%</c:formatCode>
                <c:ptCount val="9"/>
                <c:pt idx="0">
                  <c:v>0.16899999999999998</c:v>
                </c:pt>
                <c:pt idx="1">
                  <c:v>0.20699999999999999</c:v>
                </c:pt>
                <c:pt idx="2">
                  <c:v>0.222</c:v>
                </c:pt>
                <c:pt idx="3">
                  <c:v>0.19800000000000001</c:v>
                </c:pt>
                <c:pt idx="4">
                  <c:v>0.17600000000000002</c:v>
                </c:pt>
                <c:pt idx="5">
                  <c:v>0.14199999999999999</c:v>
                </c:pt>
                <c:pt idx="6">
                  <c:v>0.16</c:v>
                </c:pt>
                <c:pt idx="7">
                  <c:v>0.16699999999999998</c:v>
                </c:pt>
                <c:pt idx="8">
                  <c:v>0.155</c:v>
                </c:pt>
              </c:numCache>
            </c:numRef>
          </c:yVal>
          <c:smooth val="0"/>
          <c:extLst>
            <c:ext xmlns:c16="http://schemas.microsoft.com/office/drawing/2014/chart" uri="{C3380CC4-5D6E-409C-BE32-E72D297353CC}">
              <c16:uniqueId val="{00000002-994A-4C1A-B6D9-C75EE74C059A}"/>
            </c:ext>
          </c:extLst>
        </c:ser>
        <c:ser>
          <c:idx val="2"/>
          <c:order val="2"/>
          <c:tx>
            <c:strRef>
              <c:f>IMA_C2!$A$4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IMA_C2!$B$4:$J$4</c:f>
              <c:numCache>
                <c:formatCode>0.0%</c:formatCode>
                <c:ptCount val="9"/>
                <c:pt idx="0">
                  <c:v>0.34799999999999998</c:v>
                </c:pt>
                <c:pt idx="1">
                  <c:v>0.438</c:v>
                </c:pt>
                <c:pt idx="2">
                  <c:v>0.47000000000000003</c:v>
                </c:pt>
                <c:pt idx="3">
                  <c:v>0.499</c:v>
                </c:pt>
                <c:pt idx="4">
                  <c:v>0.40600000000000003</c:v>
                </c:pt>
                <c:pt idx="5">
                  <c:v>0.38600000000000001</c:v>
                </c:pt>
                <c:pt idx="6">
                  <c:v>0.36799999999999999</c:v>
                </c:pt>
                <c:pt idx="7">
                  <c:v>0.39600000000000002</c:v>
                </c:pt>
                <c:pt idx="8">
                  <c:v>0.40899999999999997</c:v>
                </c:pt>
              </c:numCache>
            </c:numRef>
          </c:yVal>
          <c:smooth val="0"/>
          <c:extLst>
            <c:ext xmlns:c16="http://schemas.microsoft.com/office/drawing/2014/chart" uri="{C3380CC4-5D6E-409C-BE32-E72D297353CC}">
              <c16:uniqueId val="{00000003-994A-4C1A-B6D9-C75EE74C059A}"/>
            </c:ext>
          </c:extLst>
        </c:ser>
        <c:ser>
          <c:idx val="3"/>
          <c:order val="3"/>
          <c:tx>
            <c:strRef>
              <c:f>IMA_C2!$A$5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IMA_C2!$B$5:$J$5</c:f>
              <c:numCache>
                <c:formatCode>0.0%</c:formatCode>
                <c:ptCount val="9"/>
                <c:pt idx="0">
                  <c:v>0.24300000000000002</c:v>
                </c:pt>
                <c:pt idx="1">
                  <c:v>0.25900000000000001</c:v>
                </c:pt>
                <c:pt idx="2">
                  <c:v>0.32</c:v>
                </c:pt>
                <c:pt idx="3">
                  <c:v>0.34399999999999997</c:v>
                </c:pt>
                <c:pt idx="4">
                  <c:v>0.29100000000000004</c:v>
                </c:pt>
                <c:pt idx="5">
                  <c:v>0.252</c:v>
                </c:pt>
                <c:pt idx="6">
                  <c:v>0.28899999999999998</c:v>
                </c:pt>
                <c:pt idx="7">
                  <c:v>0.22699999999999998</c:v>
                </c:pt>
                <c:pt idx="8">
                  <c:v>0.27900000000000003</c:v>
                </c:pt>
              </c:numCache>
            </c:numRef>
          </c:yVal>
          <c:smooth val="0"/>
          <c:extLst>
            <c:ext xmlns:c16="http://schemas.microsoft.com/office/drawing/2014/chart" uri="{C3380CC4-5D6E-409C-BE32-E72D297353CC}">
              <c16:uniqueId val="{00000004-994A-4C1A-B6D9-C75EE74C059A}"/>
            </c:ext>
          </c:extLst>
        </c:ser>
        <c:ser>
          <c:idx val="4"/>
          <c:order val="4"/>
          <c:tx>
            <c:strRef>
              <c:f>IMA_C2!$A$6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IMA_C2!$B$6:$J$6</c:f>
              <c:numCache>
                <c:formatCode>0.0%</c:formatCode>
                <c:ptCount val="9"/>
                <c:pt idx="0">
                  <c:v>0.317</c:v>
                </c:pt>
                <c:pt idx="1">
                  <c:v>0.33899999999999997</c:v>
                </c:pt>
                <c:pt idx="2">
                  <c:v>0.36</c:v>
                </c:pt>
                <c:pt idx="3">
                  <c:v>0.35200000000000004</c:v>
                </c:pt>
                <c:pt idx="4">
                  <c:v>0.39700000000000002</c:v>
                </c:pt>
                <c:pt idx="5">
                  <c:v>0.36499999999999999</c:v>
                </c:pt>
                <c:pt idx="6">
                  <c:v>0.36499999999999999</c:v>
                </c:pt>
                <c:pt idx="7">
                  <c:v>0.373</c:v>
                </c:pt>
                <c:pt idx="8">
                  <c:v>0.38800000000000001</c:v>
                </c:pt>
              </c:numCache>
            </c:numRef>
          </c:yVal>
          <c:smooth val="0"/>
          <c:extLst>
            <c:ext xmlns:c16="http://schemas.microsoft.com/office/drawing/2014/chart" uri="{C3380CC4-5D6E-409C-BE32-E72D297353CC}">
              <c16:uniqueId val="{00000005-994A-4C1A-B6D9-C75EE74C059A}"/>
            </c:ext>
          </c:extLst>
        </c:ser>
        <c:ser>
          <c:idx val="5"/>
          <c:order val="5"/>
          <c:tx>
            <c:strRef>
              <c:f>IMA_C2!$A$7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IMA_C2!$B$7:$J$7</c:f>
              <c:numCache>
                <c:formatCode>0.0%</c:formatCode>
                <c:ptCount val="9"/>
                <c:pt idx="0">
                  <c:v>0.40899999999999997</c:v>
                </c:pt>
                <c:pt idx="1">
                  <c:v>0.42700000000000005</c:v>
                </c:pt>
                <c:pt idx="2">
                  <c:v>0.435</c:v>
                </c:pt>
                <c:pt idx="3">
                  <c:v>0.41899999999999998</c:v>
                </c:pt>
                <c:pt idx="4">
                  <c:v>0.36799999999999999</c:v>
                </c:pt>
                <c:pt idx="5">
                  <c:v>0.36100000000000004</c:v>
                </c:pt>
                <c:pt idx="6">
                  <c:v>0.38400000000000001</c:v>
                </c:pt>
                <c:pt idx="7">
                  <c:v>0.39200000000000002</c:v>
                </c:pt>
                <c:pt idx="8">
                  <c:v>0.42299999999999999</c:v>
                </c:pt>
              </c:numCache>
            </c:numRef>
          </c:yVal>
          <c:smooth val="0"/>
          <c:extLst>
            <c:ext xmlns:c16="http://schemas.microsoft.com/office/drawing/2014/chart" uri="{C3380CC4-5D6E-409C-BE32-E72D297353CC}">
              <c16:uniqueId val="{00000006-994A-4C1A-B6D9-C75EE74C059A}"/>
            </c:ext>
          </c:extLst>
        </c:ser>
        <c:ser>
          <c:idx val="6"/>
          <c:order val="6"/>
          <c:tx>
            <c:strRef>
              <c:f>IMA_C2!$A$8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IMA_C2!$B$8:$J$8</c:f>
              <c:numCache>
                <c:formatCode>0.0%</c:formatCode>
                <c:ptCount val="9"/>
                <c:pt idx="0">
                  <c:v>0.22100000000000003</c:v>
                </c:pt>
                <c:pt idx="1">
                  <c:v>0.214</c:v>
                </c:pt>
                <c:pt idx="2">
                  <c:v>0.24300000000000002</c:v>
                </c:pt>
                <c:pt idx="3">
                  <c:v>0.26100000000000001</c:v>
                </c:pt>
                <c:pt idx="4">
                  <c:v>0.23399999999999999</c:v>
                </c:pt>
                <c:pt idx="5">
                  <c:v>0.24100000000000002</c:v>
                </c:pt>
                <c:pt idx="6">
                  <c:v>0.224</c:v>
                </c:pt>
                <c:pt idx="7">
                  <c:v>0.23100000000000001</c:v>
                </c:pt>
                <c:pt idx="8">
                  <c:v>0.26600000000000001</c:v>
                </c:pt>
              </c:numCache>
            </c:numRef>
          </c:yVal>
          <c:smooth val="0"/>
          <c:extLst>
            <c:ext xmlns:c16="http://schemas.microsoft.com/office/drawing/2014/chart" uri="{C3380CC4-5D6E-409C-BE32-E72D297353CC}">
              <c16:uniqueId val="{00000007-994A-4C1A-B6D9-C75EE74C059A}"/>
            </c:ext>
          </c:extLst>
        </c:ser>
        <c:ser>
          <c:idx val="7"/>
          <c:order val="7"/>
          <c:tx>
            <c:strRef>
              <c:f>IMA_C2!$A$9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IMA_C2!$B$9:$J$9</c:f>
              <c:numCache>
                <c:formatCode>0.0%</c:formatCode>
                <c:ptCount val="9"/>
                <c:pt idx="0">
                  <c:v>0.249</c:v>
                </c:pt>
                <c:pt idx="1">
                  <c:v>0.24600000000000002</c:v>
                </c:pt>
                <c:pt idx="2">
                  <c:v>0.24399999999999999</c:v>
                </c:pt>
                <c:pt idx="3">
                  <c:v>0.25900000000000001</c:v>
                </c:pt>
                <c:pt idx="4">
                  <c:v>0.25</c:v>
                </c:pt>
                <c:pt idx="5">
                  <c:v>0.23399999999999999</c:v>
                </c:pt>
                <c:pt idx="6">
                  <c:v>0.26400000000000001</c:v>
                </c:pt>
                <c:pt idx="7">
                  <c:v>0.29399999999999998</c:v>
                </c:pt>
                <c:pt idx="8">
                  <c:v>0.29899999999999999</c:v>
                </c:pt>
              </c:numCache>
            </c:numRef>
          </c:yVal>
          <c:smooth val="0"/>
          <c:extLst>
            <c:ext xmlns:c16="http://schemas.microsoft.com/office/drawing/2014/chart" uri="{C3380CC4-5D6E-409C-BE32-E72D297353CC}">
              <c16:uniqueId val="{00000008-994A-4C1A-B6D9-C75EE74C059A}"/>
            </c:ext>
          </c:extLst>
        </c:ser>
        <c:ser>
          <c:idx val="8"/>
          <c:order val="8"/>
          <c:tx>
            <c:strRef>
              <c:f>IMA_C2!$A$10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IMA_C2!$B$10:$J$10</c:f>
              <c:numCache>
                <c:formatCode>0.0%</c:formatCode>
                <c:ptCount val="9"/>
                <c:pt idx="0">
                  <c:v>0.314</c:v>
                </c:pt>
                <c:pt idx="1">
                  <c:v>0.32200000000000001</c:v>
                </c:pt>
                <c:pt idx="2">
                  <c:v>0.36799999999999999</c:v>
                </c:pt>
                <c:pt idx="3">
                  <c:v>0.32299999999999995</c:v>
                </c:pt>
                <c:pt idx="4">
                  <c:v>0.35100000000000003</c:v>
                </c:pt>
                <c:pt idx="5">
                  <c:v>0.314</c:v>
                </c:pt>
                <c:pt idx="6">
                  <c:v>0.34499999999999997</c:v>
                </c:pt>
                <c:pt idx="7">
                  <c:v>0.36700000000000005</c:v>
                </c:pt>
                <c:pt idx="8">
                  <c:v>0.38100000000000001</c:v>
                </c:pt>
              </c:numCache>
            </c:numRef>
          </c:yVal>
          <c:smooth val="0"/>
          <c:extLst>
            <c:ext xmlns:c16="http://schemas.microsoft.com/office/drawing/2014/chart" uri="{C3380CC4-5D6E-409C-BE32-E72D297353CC}">
              <c16:uniqueId val="{00000009-994A-4C1A-B6D9-C75EE74C059A}"/>
            </c:ext>
          </c:extLst>
        </c:ser>
        <c:ser>
          <c:idx val="9"/>
          <c:order val="9"/>
          <c:tx>
            <c:strRef>
              <c:f>IMA_C2!$A$11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IMA_C2!$B$11:$J$11</c:f>
              <c:numCache>
                <c:formatCode>0.0%</c:formatCode>
                <c:ptCount val="9"/>
                <c:pt idx="0">
                  <c:v>0.32600000000000001</c:v>
                </c:pt>
                <c:pt idx="1">
                  <c:v>0.34299999999999997</c:v>
                </c:pt>
                <c:pt idx="2">
                  <c:v>0.40100000000000002</c:v>
                </c:pt>
                <c:pt idx="3">
                  <c:v>0.42600000000000005</c:v>
                </c:pt>
                <c:pt idx="4">
                  <c:v>0.41100000000000003</c:v>
                </c:pt>
                <c:pt idx="5">
                  <c:v>0.40899999999999997</c:v>
                </c:pt>
                <c:pt idx="6">
                  <c:v>0.42099999999999999</c:v>
                </c:pt>
                <c:pt idx="7">
                  <c:v>0.495</c:v>
                </c:pt>
                <c:pt idx="8">
                  <c:v>0.47</c:v>
                </c:pt>
              </c:numCache>
            </c:numRef>
          </c:yVal>
          <c:smooth val="0"/>
          <c:extLst>
            <c:ext xmlns:c16="http://schemas.microsoft.com/office/drawing/2014/chart" uri="{C3380CC4-5D6E-409C-BE32-E72D297353CC}">
              <c16:uniqueId val="{0000000A-994A-4C1A-B6D9-C75EE74C059A}"/>
            </c:ext>
          </c:extLst>
        </c:ser>
        <c:ser>
          <c:idx val="10"/>
          <c:order val="10"/>
          <c:tx>
            <c:strRef>
              <c:f>IMA_C2!$A$12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IMA_C2!$B$12:$J$12</c:f>
              <c:numCache>
                <c:formatCode>General</c:formatCode>
                <c:ptCount val="9"/>
                <c:pt idx="3" formatCode="0.0%">
                  <c:v>0.35499999999999998</c:v>
                </c:pt>
                <c:pt idx="4" formatCode="0.0%">
                  <c:v>0.36200000000000004</c:v>
                </c:pt>
                <c:pt idx="5" formatCode="0.0%">
                  <c:v>0.32400000000000001</c:v>
                </c:pt>
                <c:pt idx="6" formatCode="0.0%">
                  <c:v>0.29399999999999998</c:v>
                </c:pt>
                <c:pt idx="7" formatCode="0.0%">
                  <c:v>0.27900000000000003</c:v>
                </c:pt>
                <c:pt idx="8" formatCode="0.0%">
                  <c:v>0.30499999999999999</c:v>
                </c:pt>
              </c:numCache>
            </c:numRef>
          </c:yVal>
          <c:smooth val="0"/>
          <c:extLst>
            <c:ext xmlns:c16="http://schemas.microsoft.com/office/drawing/2014/chart" uri="{C3380CC4-5D6E-409C-BE32-E72D297353CC}">
              <c16:uniqueId val="{0000000B-994A-4C1A-B6D9-C75EE74C059A}"/>
            </c:ext>
          </c:extLst>
        </c:ser>
        <c:ser>
          <c:idx val="11"/>
          <c:order val="11"/>
          <c:tx>
            <c:strRef>
              <c:f>IMA_C2!$A$13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IMA_C2!$B$13:$J$13</c:f>
              <c:numCache>
                <c:formatCode>General</c:formatCode>
                <c:ptCount val="9"/>
                <c:pt idx="3" formatCode="0.0%">
                  <c:v>0.36499999999999999</c:v>
                </c:pt>
                <c:pt idx="4" formatCode="0.0%">
                  <c:v>0.34100000000000003</c:v>
                </c:pt>
                <c:pt idx="5" formatCode="0.0%">
                  <c:v>0.34399999999999997</c:v>
                </c:pt>
                <c:pt idx="6" formatCode="0.0%">
                  <c:v>0.32900000000000001</c:v>
                </c:pt>
                <c:pt idx="7" formatCode="0.0%">
                  <c:v>0.371</c:v>
                </c:pt>
                <c:pt idx="8" formatCode="0.0%">
                  <c:v>0.40799999999999997</c:v>
                </c:pt>
              </c:numCache>
            </c:numRef>
          </c:yVal>
          <c:smooth val="0"/>
          <c:extLst>
            <c:ext xmlns:c16="http://schemas.microsoft.com/office/drawing/2014/chart" uri="{C3380CC4-5D6E-409C-BE32-E72D297353CC}">
              <c16:uniqueId val="{0000000C-994A-4C1A-B6D9-C75EE74C059A}"/>
            </c:ext>
          </c:extLst>
        </c:ser>
        <c:ser>
          <c:idx val="13"/>
          <c:order val="12"/>
          <c:tx>
            <c:strRef>
              <c:f>IMA_C2!$A$14</c:f>
              <c:strCache>
                <c:ptCount val="1"/>
                <c:pt idx="0">
                  <c:v>Statewide</c:v>
                </c:pt>
              </c:strCache>
            </c:strRef>
          </c:tx>
          <c:spPr>
            <a:ln w="25400" cap="rnd">
              <a:solidFill>
                <a:schemeClr val="accent1">
                  <a:lumMod val="75000"/>
                </a:schemeClr>
              </a:solidFill>
              <a:round/>
            </a:ln>
            <a:effectLst/>
          </c:spPr>
          <c:marker>
            <c:symbol val="none"/>
          </c:marker>
          <c:dPt>
            <c:idx val="4"/>
            <c:marker>
              <c:symbol val="none"/>
            </c:marker>
            <c:bubble3D val="0"/>
            <c:extLst>
              <c:ext xmlns:c16="http://schemas.microsoft.com/office/drawing/2014/chart" uri="{C3380CC4-5D6E-409C-BE32-E72D297353CC}">
                <c16:uniqueId val="{0000000D-994A-4C1A-B6D9-C75EE74C059A}"/>
              </c:ext>
            </c:extLst>
          </c:dPt>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IMA_C2!$B$14:$J$14</c:f>
              <c:numCache>
                <c:formatCode>0.0%</c:formatCode>
                <c:ptCount val="9"/>
                <c:pt idx="0">
                  <c:v>0.313</c:v>
                </c:pt>
                <c:pt idx="1">
                  <c:v>0.33299999999999996</c:v>
                </c:pt>
                <c:pt idx="2">
                  <c:v>0.36</c:v>
                </c:pt>
                <c:pt idx="3">
                  <c:v>0.36299999999999999</c:v>
                </c:pt>
                <c:pt idx="4">
                  <c:v>0.33500000000000002</c:v>
                </c:pt>
                <c:pt idx="5">
                  <c:v>0.318</c:v>
                </c:pt>
                <c:pt idx="6">
                  <c:v>0.32700000000000001</c:v>
                </c:pt>
                <c:pt idx="7">
                  <c:v>0.33900000000000008</c:v>
                </c:pt>
                <c:pt idx="8">
                  <c:v>0.36299999999999999</c:v>
                </c:pt>
              </c:numCache>
            </c:numRef>
          </c:yVal>
          <c:smooth val="0"/>
          <c:extLst>
            <c:ext xmlns:c16="http://schemas.microsoft.com/office/drawing/2014/chart" uri="{C3380CC4-5D6E-409C-BE32-E72D297353CC}">
              <c16:uniqueId val="{0000000E-994A-4C1A-B6D9-C75EE74C059A}"/>
            </c:ext>
          </c:extLst>
        </c:ser>
        <c:ser>
          <c:idx val="14"/>
          <c:order val="13"/>
          <c:tx>
            <c:strRef>
              <c:f>IMA_C2!$A$15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IMA_C2!$B$15:$J$15</c:f>
              <c:numCache>
                <c:formatCode>General</c:formatCode>
                <c:ptCount val="9"/>
                <c:pt idx="4" formatCode="0.0%">
                  <c:v>0.16700000000000001</c:v>
                </c:pt>
                <c:pt idx="5" formatCode="0.0%">
                  <c:v>0.17</c:v>
                </c:pt>
                <c:pt idx="6" formatCode="0.0%">
                  <c:v>0.16500000000000001</c:v>
                </c:pt>
                <c:pt idx="7" formatCode="0.0%">
                  <c:v>0.17899999999999999</c:v>
                </c:pt>
                <c:pt idx="8" formatCode="0.0%">
                  <c:v>0.23100000000000001</c:v>
                </c:pt>
              </c:numCache>
            </c:numRef>
          </c:yVal>
          <c:smooth val="0"/>
          <c:extLst>
            <c:ext xmlns:c16="http://schemas.microsoft.com/office/drawing/2014/chart" uri="{C3380CC4-5D6E-409C-BE32-E72D297353CC}">
              <c16:uniqueId val="{0000000F-994A-4C1A-B6D9-C75EE74C059A}"/>
            </c:ext>
          </c:extLst>
        </c:ser>
        <c:ser>
          <c:idx val="15"/>
          <c:order val="14"/>
          <c:tx>
            <c:strRef>
              <c:f>IMA_C2!$A$16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IMA_C2!$B$16:$J$16</c:f>
              <c:numCache>
                <c:formatCode>0.0%</c:formatCode>
                <c:ptCount val="9"/>
                <c:pt idx="0">
                  <c:v>0.245</c:v>
                </c:pt>
                <c:pt idx="1">
                  <c:v>0.32200000000000001</c:v>
                </c:pt>
                <c:pt idx="2">
                  <c:v>0.34200000000000003</c:v>
                </c:pt>
                <c:pt idx="3">
                  <c:v>0.219</c:v>
                </c:pt>
                <c:pt idx="4">
                  <c:v>0.26</c:v>
                </c:pt>
                <c:pt idx="5">
                  <c:v>0.24300000000000002</c:v>
                </c:pt>
                <c:pt idx="6">
                  <c:v>0.222</c:v>
                </c:pt>
                <c:pt idx="7">
                  <c:v>0.26</c:v>
                </c:pt>
                <c:pt idx="8">
                  <c:v>0.25800000000000001</c:v>
                </c:pt>
              </c:numCache>
            </c:numRef>
          </c:yVal>
          <c:smooth val="0"/>
          <c:extLst>
            <c:ext xmlns:c16="http://schemas.microsoft.com/office/drawing/2014/chart" uri="{C3380CC4-5D6E-409C-BE32-E72D297353CC}">
              <c16:uniqueId val="{00000010-994A-4C1A-B6D9-C75EE74C059A}"/>
            </c:ext>
          </c:extLst>
        </c:ser>
        <c:ser>
          <c:idx val="16"/>
          <c:order val="15"/>
          <c:tx>
            <c:strRef>
              <c:f>IMA_C2!$A$17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IMA_C2!$B$17:$J$17</c:f>
              <c:numCache>
                <c:formatCode>0.0%</c:formatCode>
                <c:ptCount val="9"/>
                <c:pt idx="0">
                  <c:v>0.154</c:v>
                </c:pt>
                <c:pt idx="1">
                  <c:v>0.23500000000000001</c:v>
                </c:pt>
                <c:pt idx="2">
                  <c:v>0.26500000000000001</c:v>
                </c:pt>
                <c:pt idx="3">
                  <c:v>0.27100000000000002</c:v>
                </c:pt>
                <c:pt idx="4">
                  <c:v>0.28399999999999997</c:v>
                </c:pt>
                <c:pt idx="5">
                  <c:v>0.20600000000000002</c:v>
                </c:pt>
                <c:pt idx="6">
                  <c:v>0.26</c:v>
                </c:pt>
                <c:pt idx="7">
                  <c:v>0.25900000000000001</c:v>
                </c:pt>
                <c:pt idx="8">
                  <c:v>0.30599999999999999</c:v>
                </c:pt>
              </c:numCache>
            </c:numRef>
          </c:yVal>
          <c:smooth val="0"/>
          <c:extLst>
            <c:ext xmlns:c16="http://schemas.microsoft.com/office/drawing/2014/chart" uri="{C3380CC4-5D6E-409C-BE32-E72D297353CC}">
              <c16:uniqueId val="{00000011-994A-4C1A-B6D9-C75EE74C059A}"/>
            </c:ext>
          </c:extLst>
        </c:ser>
        <c:ser>
          <c:idx val="17"/>
          <c:order val="17"/>
          <c:tx>
            <c:strRef>
              <c:f>IMA_C2!$A$20</c:f>
              <c:strCache>
                <c:ptCount val="1"/>
                <c:pt idx="0">
                  <c:v>CCO statewide</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IMA_C2!$B$20:$J$20</c:f>
              <c:numCache>
                <c:formatCode>0.0%</c:formatCode>
                <c:ptCount val="9"/>
                <c:pt idx="0">
                  <c:v>0.313</c:v>
                </c:pt>
                <c:pt idx="1">
                  <c:v>0.33299999999999996</c:v>
                </c:pt>
                <c:pt idx="2">
                  <c:v>0.36</c:v>
                </c:pt>
                <c:pt idx="3">
                  <c:v>0.36299999999999999</c:v>
                </c:pt>
                <c:pt idx="4">
                  <c:v>0.33500000000000002</c:v>
                </c:pt>
                <c:pt idx="5">
                  <c:v>0.318</c:v>
                </c:pt>
                <c:pt idx="6">
                  <c:v>0.32700000000000001</c:v>
                </c:pt>
                <c:pt idx="7">
                  <c:v>0.33900000000000008</c:v>
                </c:pt>
                <c:pt idx="8">
                  <c:v>0.36299999999999999</c:v>
                </c:pt>
              </c:numCache>
            </c:numRef>
          </c:yVal>
          <c:smooth val="0"/>
          <c:extLst>
            <c:ext xmlns:c16="http://schemas.microsoft.com/office/drawing/2014/chart" uri="{C3380CC4-5D6E-409C-BE32-E72D297353CC}">
              <c16:uniqueId val="{00000012-994A-4C1A-B6D9-C75EE74C059A}"/>
            </c:ext>
          </c:extLst>
        </c:ser>
        <c:ser>
          <c:idx val="19"/>
          <c:order val="18"/>
          <c:tx>
            <c:strRef>
              <c:f>IMA_C2!$A$19</c:f>
              <c:strCache>
                <c:ptCount val="1"/>
                <c:pt idx="0">
                  <c:v>Individual CCOs</c:v>
                </c:pt>
              </c:strCache>
            </c:strRef>
          </c:tx>
          <c:spPr>
            <a:ln w="25400" cap="rnd">
              <a:noFill/>
              <a:round/>
            </a:ln>
            <a:effectLst/>
          </c:spPr>
          <c:marker>
            <c:symbol val="circle"/>
            <c:size val="6"/>
            <c:spPr>
              <a:noFill/>
              <a:ln w="9525">
                <a:solidFill>
                  <a:srgbClr val="606060"/>
                </a:solidFill>
              </a:ln>
              <a:effectLst/>
            </c:spPr>
          </c:marker>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IMA_C2!$B$19:$J$19</c:f>
              <c:numCache>
                <c:formatCode>0.0%</c:formatCode>
                <c:ptCount val="9"/>
                <c:pt idx="0">
                  <c:v>0.37</c:v>
                </c:pt>
                <c:pt idx="1">
                  <c:v>0.34799999999999998</c:v>
                </c:pt>
                <c:pt idx="2">
                  <c:v>0.38</c:v>
                </c:pt>
                <c:pt idx="3">
                  <c:v>0.43</c:v>
                </c:pt>
                <c:pt idx="4">
                  <c:v>0.35700000000000004</c:v>
                </c:pt>
                <c:pt idx="5">
                  <c:v>0.32500000000000001</c:v>
                </c:pt>
                <c:pt idx="6">
                  <c:v>0.371</c:v>
                </c:pt>
                <c:pt idx="7">
                  <c:v>0.39800000000000002</c:v>
                </c:pt>
                <c:pt idx="8">
                  <c:v>0.41199999999999998</c:v>
                </c:pt>
              </c:numCache>
            </c:numRef>
          </c:yVal>
          <c:smooth val="0"/>
          <c:extLst>
            <c:ext xmlns:c16="http://schemas.microsoft.com/office/drawing/2014/chart" uri="{C3380CC4-5D6E-409C-BE32-E72D297353CC}">
              <c16:uniqueId val="{00000013-994A-4C1A-B6D9-C75EE74C059A}"/>
            </c:ext>
          </c:extLst>
        </c:ser>
        <c:ser>
          <c:idx val="18"/>
          <c:order val="19"/>
          <c:tx>
            <c:strRef>
              <c:f>IMA_C2!$A$21</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dLbls>
            <c:dLbl>
              <c:idx val="3"/>
              <c:layout>
                <c:manualLayout>
                  <c:x val="-0.19629155730533687"/>
                  <c:y val="-0.1111111111111112"/>
                </c:manualLayout>
              </c:layout>
              <c:tx>
                <c:rich>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mn-lt"/>
                        <a:ea typeface="+mn-ea"/>
                        <a:cs typeface="+mn-cs"/>
                      </a:defRPr>
                    </a:pPr>
                    <a:r>
                      <a:rPr lang="en-US" sz="1100">
                        <a:solidFill>
                          <a:schemeClr val="accent2">
                            <a:lumMod val="50000"/>
                          </a:schemeClr>
                        </a:solidFill>
                      </a:rPr>
                      <a:t>Benchmark</a:t>
                    </a:r>
                  </a:p>
                </c:rich>
              </c:tx>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994A-4C1A-B6D9-C75EE74C05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IMA_C2!$B$1:$J$1</c:f>
              <c:strCache>
                <c:ptCount val="9"/>
                <c:pt idx="0">
                  <c:v>'17</c:v>
                </c:pt>
                <c:pt idx="1">
                  <c:v>'18</c:v>
                </c:pt>
                <c:pt idx="2">
                  <c:v>'19</c:v>
                </c:pt>
                <c:pt idx="3">
                  <c:v>'20</c:v>
                </c:pt>
                <c:pt idx="4">
                  <c:v>'21</c:v>
                </c:pt>
                <c:pt idx="5">
                  <c:v>'22</c:v>
                </c:pt>
                <c:pt idx="6">
                  <c:v>'23</c:v>
                </c:pt>
                <c:pt idx="7">
                  <c:v>'24</c:v>
                </c:pt>
                <c:pt idx="8">
                  <c:v>'25</c:v>
                </c:pt>
              </c:strCache>
            </c:strRef>
          </c:xVal>
          <c:yVal>
            <c:numRef>
              <c:f>IMA_C2!$B$21:$J$21</c:f>
              <c:numCache>
                <c:formatCode>General</c:formatCode>
                <c:ptCount val="9"/>
                <c:pt idx="3" formatCode="0.0%">
                  <c:v>0.40400000000000003</c:v>
                </c:pt>
                <c:pt idx="4" formatCode="0.0%">
                  <c:v>0.28999999999999998</c:v>
                </c:pt>
                <c:pt idx="5" formatCode="0.0%">
                  <c:v>0.36899999999999999</c:v>
                </c:pt>
                <c:pt idx="6" formatCode="0.0%">
                  <c:v>0.36899999999999999</c:v>
                </c:pt>
                <c:pt idx="7" formatCode="0.0%">
                  <c:v>0.36899999999999999</c:v>
                </c:pt>
                <c:pt idx="8" formatCode="0.0%">
                  <c:v>0.40899999999999997</c:v>
                </c:pt>
              </c:numCache>
            </c:numRef>
          </c:yVal>
          <c:smooth val="0"/>
          <c:extLst>
            <c:ext xmlns:c16="http://schemas.microsoft.com/office/drawing/2014/chart" uri="{C3380CC4-5D6E-409C-BE32-E72D297353CC}">
              <c16:uniqueId val="{00000015-994A-4C1A-B6D9-C75EE74C059A}"/>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5"/>
        <c:minorUnit val="0.25"/>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9"/>
        <c:delete val="1"/>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2"/>
          <c:order val="16"/>
          <c:tx>
            <c:strRef>
              <c:f>PPCPst!$A$18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cat>
          <c:val>
            <c:numRef>
              <c:f>PPCPst!$B$18:$O$18</c:f>
              <c:numCache>
                <c:formatCode>General</c:formatCode>
                <c:ptCount val="14"/>
                <c:pt idx="2" formatCode="0.0%">
                  <c:v>0.46100000000000002</c:v>
                </c:pt>
                <c:pt idx="3" formatCode="0.0%">
                  <c:v>0.55799999999999994</c:v>
                </c:pt>
                <c:pt idx="4" formatCode="0.0%">
                  <c:v>0.54300000000000004</c:v>
                </c:pt>
                <c:pt idx="5" formatCode="0.0%">
                  <c:v>0.30499999999999999</c:v>
                </c:pt>
                <c:pt idx="6" formatCode="0.0%">
                  <c:v>0.57799999999999996</c:v>
                </c:pt>
                <c:pt idx="7" formatCode="0.0%">
                  <c:v>0.63900000000000001</c:v>
                </c:pt>
                <c:pt idx="8" formatCode="0.0%">
                  <c:v>0.41100000000000003</c:v>
                </c:pt>
                <c:pt idx="9" formatCode="0.0%">
                  <c:v>0.62</c:v>
                </c:pt>
                <c:pt idx="10" formatCode="0.0%">
                  <c:v>0.79200000000000004</c:v>
                </c:pt>
                <c:pt idx="11" formatCode="0.0%">
                  <c:v>0.84499999999999997</c:v>
                </c:pt>
                <c:pt idx="12" formatCode="0.0%">
                  <c:v>0.86099999999999999</c:v>
                </c:pt>
                <c:pt idx="13" formatCode="0.0%">
                  <c:v>0.89</c:v>
                </c:pt>
              </c:numCache>
            </c:numRef>
          </c:val>
          <c:smooth val="0"/>
          <c:extLst>
            <c:ext xmlns:c16="http://schemas.microsoft.com/office/drawing/2014/chart" uri="{C3380CC4-5D6E-409C-BE32-E72D297353CC}">
              <c16:uniqueId val="{00000000-624D-4FF2-967C-603D04B04D3C}"/>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PPCPst!$A$2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PPCPst!$B$2:$O$2</c:f>
              <c:numCache>
                <c:formatCode>General</c:formatCode>
                <c:ptCount val="14"/>
                <c:pt idx="2" formatCode="0.0%">
                  <c:v>0.22700000000000001</c:v>
                </c:pt>
                <c:pt idx="3" formatCode="0.0%">
                  <c:v>0.55900000000000005</c:v>
                </c:pt>
                <c:pt idx="4" formatCode="0.0%">
                  <c:v>0.58799999999999997</c:v>
                </c:pt>
                <c:pt idx="5" formatCode="0.0%">
                  <c:v>0.64500000000000002</c:v>
                </c:pt>
                <c:pt idx="6" formatCode="0.0%">
                  <c:v>0.61599999999999999</c:v>
                </c:pt>
                <c:pt idx="7" formatCode="0.0%">
                  <c:v>0.69599999999999995</c:v>
                </c:pt>
                <c:pt idx="8" formatCode="0.0%">
                  <c:v>0.84200000000000008</c:v>
                </c:pt>
                <c:pt idx="9" formatCode="0.0%">
                  <c:v>0.76100000000000001</c:v>
                </c:pt>
                <c:pt idx="10" formatCode="0.0%">
                  <c:v>0.82299999999999995</c:v>
                </c:pt>
                <c:pt idx="11" formatCode="0.0%">
                  <c:v>0.91400000000000003</c:v>
                </c:pt>
                <c:pt idx="12" formatCode="0.0%">
                  <c:v>0.85399999999999998</c:v>
                </c:pt>
                <c:pt idx="13" formatCode="0.0%">
                  <c:v>0.90700000000000003</c:v>
                </c:pt>
              </c:numCache>
            </c:numRef>
          </c:yVal>
          <c:smooth val="0"/>
          <c:extLst>
            <c:ext xmlns:c16="http://schemas.microsoft.com/office/drawing/2014/chart" uri="{C3380CC4-5D6E-409C-BE32-E72D297353CC}">
              <c16:uniqueId val="{00000001-624D-4FF2-967C-603D04B04D3C}"/>
            </c:ext>
          </c:extLst>
        </c:ser>
        <c:ser>
          <c:idx val="1"/>
          <c:order val="1"/>
          <c:tx>
            <c:strRef>
              <c:f>PPCPst!$A$3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PPCPst!$B$3:$O$3</c:f>
              <c:numCache>
                <c:formatCode>General</c:formatCode>
                <c:ptCount val="14"/>
                <c:pt idx="2" formatCode="0.0%">
                  <c:v>0.56100000000000005</c:v>
                </c:pt>
                <c:pt idx="3" formatCode="0.0%">
                  <c:v>0.41399999999999998</c:v>
                </c:pt>
                <c:pt idx="4" formatCode="0.0%">
                  <c:v>0.47799999999999998</c:v>
                </c:pt>
                <c:pt idx="5" formatCode="0.0%">
                  <c:v>0.48700000000000004</c:v>
                </c:pt>
                <c:pt idx="6" formatCode="0.0%">
                  <c:v>0.48700000000000004</c:v>
                </c:pt>
                <c:pt idx="7" formatCode="0.0%">
                  <c:v>0.63700000000000001</c:v>
                </c:pt>
                <c:pt idx="8" formatCode="0.0%">
                  <c:v>0.71499999999999997</c:v>
                </c:pt>
                <c:pt idx="9" formatCode="0.0%">
                  <c:v>0.71799999999999997</c:v>
                </c:pt>
                <c:pt idx="10" formatCode="0.0%">
                  <c:v>0.76900000000000013</c:v>
                </c:pt>
                <c:pt idx="11" formatCode="0.0%">
                  <c:v>0.81499999999999995</c:v>
                </c:pt>
                <c:pt idx="12" formatCode="0.0%">
                  <c:v>0.85899999999999999</c:v>
                </c:pt>
                <c:pt idx="13" formatCode="0.0%">
                  <c:v>0.88600000000000001</c:v>
                </c:pt>
              </c:numCache>
            </c:numRef>
          </c:yVal>
          <c:smooth val="0"/>
          <c:extLst>
            <c:ext xmlns:c16="http://schemas.microsoft.com/office/drawing/2014/chart" uri="{C3380CC4-5D6E-409C-BE32-E72D297353CC}">
              <c16:uniqueId val="{00000002-624D-4FF2-967C-603D04B04D3C}"/>
            </c:ext>
          </c:extLst>
        </c:ser>
        <c:ser>
          <c:idx val="2"/>
          <c:order val="2"/>
          <c:tx>
            <c:strRef>
              <c:f>PPCPst!$A$4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PPCPst!$B$4:$O$4</c:f>
              <c:numCache>
                <c:formatCode>General</c:formatCode>
                <c:ptCount val="14"/>
                <c:pt idx="2" formatCode="0.0%">
                  <c:v>0.53300000000000003</c:v>
                </c:pt>
                <c:pt idx="3" formatCode="0.0%">
                  <c:v>0.71</c:v>
                </c:pt>
                <c:pt idx="4" formatCode="0.0%">
                  <c:v>0.53100000000000003</c:v>
                </c:pt>
                <c:pt idx="5" formatCode="0.0%">
                  <c:v>0.60200000000000009</c:v>
                </c:pt>
                <c:pt idx="6" formatCode="0.0%">
                  <c:v>0.73</c:v>
                </c:pt>
                <c:pt idx="7" formatCode="0.0%">
                  <c:v>0.86299999999999999</c:v>
                </c:pt>
                <c:pt idx="8" formatCode="0.0%">
                  <c:v>0.91700000000000004</c:v>
                </c:pt>
                <c:pt idx="9" formatCode="0.0%">
                  <c:v>0.876</c:v>
                </c:pt>
                <c:pt idx="10" formatCode="0.0%">
                  <c:v>0.84299999999999997</c:v>
                </c:pt>
                <c:pt idx="11" formatCode="0.0%">
                  <c:v>0.86299999999999999</c:v>
                </c:pt>
                <c:pt idx="12" formatCode="0.0%">
                  <c:v>0.89800000000000002</c:v>
                </c:pt>
                <c:pt idx="13" formatCode="0.0%">
                  <c:v>0.87</c:v>
                </c:pt>
              </c:numCache>
            </c:numRef>
          </c:yVal>
          <c:smooth val="0"/>
          <c:extLst>
            <c:ext xmlns:c16="http://schemas.microsoft.com/office/drawing/2014/chart" uri="{C3380CC4-5D6E-409C-BE32-E72D297353CC}">
              <c16:uniqueId val="{00000003-624D-4FF2-967C-603D04B04D3C}"/>
            </c:ext>
          </c:extLst>
        </c:ser>
        <c:ser>
          <c:idx val="3"/>
          <c:order val="3"/>
          <c:tx>
            <c:strRef>
              <c:f>PPCPst!$A$5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PPCPst!$B$5:$O$5</c:f>
              <c:numCache>
                <c:formatCode>General</c:formatCode>
                <c:ptCount val="14"/>
                <c:pt idx="2" formatCode="0.0%">
                  <c:v>0.40700000000000003</c:v>
                </c:pt>
                <c:pt idx="3" formatCode="0.0%">
                  <c:v>0.504</c:v>
                </c:pt>
                <c:pt idx="4" formatCode="0.0%">
                  <c:v>0.57899999999999996</c:v>
                </c:pt>
                <c:pt idx="5" formatCode="0.0%">
                  <c:v>0.40500000000000003</c:v>
                </c:pt>
                <c:pt idx="6" formatCode="0.0%">
                  <c:v>0.54200000000000004</c:v>
                </c:pt>
                <c:pt idx="7" formatCode="0.0%">
                  <c:v>0.66300000000000003</c:v>
                </c:pt>
                <c:pt idx="8" formatCode="0.0%">
                  <c:v>0.88400000000000012</c:v>
                </c:pt>
                <c:pt idx="9" formatCode="0.0%">
                  <c:v>0.81</c:v>
                </c:pt>
                <c:pt idx="10" formatCode="0.0%">
                  <c:v>0.84599999999999997</c:v>
                </c:pt>
                <c:pt idx="11" formatCode="0.0%">
                  <c:v>0.86899999999999999</c:v>
                </c:pt>
                <c:pt idx="12" formatCode="0.0%">
                  <c:v>0.86399999999999999</c:v>
                </c:pt>
                <c:pt idx="13" formatCode="0.0%">
                  <c:v>0.88600000000000001</c:v>
                </c:pt>
              </c:numCache>
            </c:numRef>
          </c:yVal>
          <c:smooth val="0"/>
          <c:extLst>
            <c:ext xmlns:c16="http://schemas.microsoft.com/office/drawing/2014/chart" uri="{C3380CC4-5D6E-409C-BE32-E72D297353CC}">
              <c16:uniqueId val="{00000004-624D-4FF2-967C-603D04B04D3C}"/>
            </c:ext>
          </c:extLst>
        </c:ser>
        <c:ser>
          <c:idx val="4"/>
          <c:order val="4"/>
          <c:tx>
            <c:strRef>
              <c:f>PPCPst!$A$6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PPCPst!$B$6:$O$6</c:f>
              <c:numCache>
                <c:formatCode>General</c:formatCode>
                <c:ptCount val="14"/>
                <c:pt idx="2" formatCode="0.0%">
                  <c:v>0.375</c:v>
                </c:pt>
                <c:pt idx="3" formatCode="0.0%">
                  <c:v>0.35200000000000004</c:v>
                </c:pt>
                <c:pt idx="4" formatCode="0.0%">
                  <c:v>0.42799999999999999</c:v>
                </c:pt>
                <c:pt idx="5" formatCode="0.0%">
                  <c:v>0.55799999999999994</c:v>
                </c:pt>
                <c:pt idx="6" formatCode="0.0%">
                  <c:v>0.58399999999999996</c:v>
                </c:pt>
                <c:pt idx="7" formatCode="0.0%">
                  <c:v>0.65500000000000003</c:v>
                </c:pt>
                <c:pt idx="8" formatCode="0.0%">
                  <c:v>0.76400000000000012</c:v>
                </c:pt>
                <c:pt idx="9" formatCode="0.0%">
                  <c:v>0.70400000000000007</c:v>
                </c:pt>
                <c:pt idx="10" formatCode="0.0%">
                  <c:v>0.72400000000000009</c:v>
                </c:pt>
                <c:pt idx="11" formatCode="0.0%">
                  <c:v>0.75700000000000001</c:v>
                </c:pt>
                <c:pt idx="12" formatCode="0.0%">
                  <c:v>0.79600000000000004</c:v>
                </c:pt>
                <c:pt idx="13" formatCode="0.0%">
                  <c:v>0.83</c:v>
                </c:pt>
              </c:numCache>
            </c:numRef>
          </c:yVal>
          <c:smooth val="0"/>
          <c:extLst>
            <c:ext xmlns:c16="http://schemas.microsoft.com/office/drawing/2014/chart" uri="{C3380CC4-5D6E-409C-BE32-E72D297353CC}">
              <c16:uniqueId val="{00000005-624D-4FF2-967C-603D04B04D3C}"/>
            </c:ext>
          </c:extLst>
        </c:ser>
        <c:ser>
          <c:idx val="5"/>
          <c:order val="5"/>
          <c:tx>
            <c:strRef>
              <c:f>PPCPst!$A$7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PPCPst!$B$7:$O$7</c:f>
              <c:numCache>
                <c:formatCode>General</c:formatCode>
                <c:ptCount val="14"/>
                <c:pt idx="2" formatCode="0.0%">
                  <c:v>0.45500000000000002</c:v>
                </c:pt>
                <c:pt idx="3" formatCode="0.0%">
                  <c:v>0.57700000000000007</c:v>
                </c:pt>
                <c:pt idx="4" formatCode="0.0%">
                  <c:v>0.61099999999999999</c:v>
                </c:pt>
                <c:pt idx="5" formatCode="0.0%">
                  <c:v>0.35499999999999998</c:v>
                </c:pt>
                <c:pt idx="6" formatCode="0.0%">
                  <c:v>0.67200000000000004</c:v>
                </c:pt>
                <c:pt idx="7" formatCode="0.0%">
                  <c:v>0.625</c:v>
                </c:pt>
                <c:pt idx="8" formatCode="0.0%">
                  <c:v>0.80400000000000005</c:v>
                </c:pt>
                <c:pt idx="9" formatCode="0.0%">
                  <c:v>0.82200000000000006</c:v>
                </c:pt>
                <c:pt idx="10" formatCode="0.0%">
                  <c:v>0.81599999999999995</c:v>
                </c:pt>
                <c:pt idx="11" formatCode="0.0%">
                  <c:v>0.86199999999999999</c:v>
                </c:pt>
                <c:pt idx="12" formatCode="0.0%">
                  <c:v>0.88100000000000001</c:v>
                </c:pt>
                <c:pt idx="13" formatCode="0.0%">
                  <c:v>0.87</c:v>
                </c:pt>
              </c:numCache>
            </c:numRef>
          </c:yVal>
          <c:smooth val="0"/>
          <c:extLst>
            <c:ext xmlns:c16="http://schemas.microsoft.com/office/drawing/2014/chart" uri="{C3380CC4-5D6E-409C-BE32-E72D297353CC}">
              <c16:uniqueId val="{00000006-624D-4FF2-967C-603D04B04D3C}"/>
            </c:ext>
          </c:extLst>
        </c:ser>
        <c:ser>
          <c:idx val="6"/>
          <c:order val="6"/>
          <c:tx>
            <c:strRef>
              <c:f>PPCPst!$A$8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PPCPst!$B$8:$O$8</c:f>
              <c:numCache>
                <c:formatCode>General</c:formatCode>
                <c:ptCount val="14"/>
                <c:pt idx="2" formatCode="0.0%">
                  <c:v>0.56899999999999995</c:v>
                </c:pt>
                <c:pt idx="3" formatCode="0.0%">
                  <c:v>0.59599999999999997</c:v>
                </c:pt>
                <c:pt idx="4" formatCode="0.0%">
                  <c:v>0.68700000000000006</c:v>
                </c:pt>
                <c:pt idx="5" formatCode="0.0%">
                  <c:v>0.629</c:v>
                </c:pt>
                <c:pt idx="6" formatCode="0.0%">
                  <c:v>0.63200000000000001</c:v>
                </c:pt>
                <c:pt idx="7" formatCode="0.0%">
                  <c:v>0.62</c:v>
                </c:pt>
                <c:pt idx="8" formatCode="0.0%">
                  <c:v>0.753</c:v>
                </c:pt>
                <c:pt idx="9" formatCode="0.0%">
                  <c:v>0.82700000000000007</c:v>
                </c:pt>
                <c:pt idx="10" formatCode="0.0%">
                  <c:v>0.8590000000000001</c:v>
                </c:pt>
                <c:pt idx="11" formatCode="0.0%">
                  <c:v>0.85099999999999998</c:v>
                </c:pt>
                <c:pt idx="12" formatCode="0.0%">
                  <c:v>0.86499999999999999</c:v>
                </c:pt>
                <c:pt idx="13" formatCode="0.0%">
                  <c:v>0.877</c:v>
                </c:pt>
              </c:numCache>
            </c:numRef>
          </c:yVal>
          <c:smooth val="0"/>
          <c:extLst>
            <c:ext xmlns:c16="http://schemas.microsoft.com/office/drawing/2014/chart" uri="{C3380CC4-5D6E-409C-BE32-E72D297353CC}">
              <c16:uniqueId val="{00000007-624D-4FF2-967C-603D04B04D3C}"/>
            </c:ext>
          </c:extLst>
        </c:ser>
        <c:ser>
          <c:idx val="7"/>
          <c:order val="7"/>
          <c:tx>
            <c:strRef>
              <c:f>PPCPst!$A$9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PPCPst!$B$9:$O$9</c:f>
              <c:numCache>
                <c:formatCode>General</c:formatCode>
                <c:ptCount val="14"/>
                <c:pt idx="2" formatCode="0.0%">
                  <c:v>0.435</c:v>
                </c:pt>
                <c:pt idx="3" formatCode="0.0%">
                  <c:v>0.52100000000000002</c:v>
                </c:pt>
                <c:pt idx="4" formatCode="0.0%">
                  <c:v>0.6</c:v>
                </c:pt>
                <c:pt idx="5" formatCode="0.0%">
                  <c:v>0.44500000000000001</c:v>
                </c:pt>
                <c:pt idx="6" formatCode="0.0%">
                  <c:v>0.56399999999999995</c:v>
                </c:pt>
                <c:pt idx="7" formatCode="0.0%">
                  <c:v>0.59899999999999998</c:v>
                </c:pt>
                <c:pt idx="8" formatCode="0.0%">
                  <c:v>0.78900000000000003</c:v>
                </c:pt>
                <c:pt idx="9" formatCode="0.0%">
                  <c:v>0.81400000000000006</c:v>
                </c:pt>
                <c:pt idx="10" formatCode="0.0%">
                  <c:v>0.85799999999999998</c:v>
                </c:pt>
                <c:pt idx="11" formatCode="0.0%">
                  <c:v>0.83699999999999997</c:v>
                </c:pt>
                <c:pt idx="12" formatCode="0.0%">
                  <c:v>0.876</c:v>
                </c:pt>
                <c:pt idx="13" formatCode="0.0%">
                  <c:v>0.89100000000000001</c:v>
                </c:pt>
              </c:numCache>
            </c:numRef>
          </c:yVal>
          <c:smooth val="0"/>
          <c:extLst>
            <c:ext xmlns:c16="http://schemas.microsoft.com/office/drawing/2014/chart" uri="{C3380CC4-5D6E-409C-BE32-E72D297353CC}">
              <c16:uniqueId val="{00000008-624D-4FF2-967C-603D04B04D3C}"/>
            </c:ext>
          </c:extLst>
        </c:ser>
        <c:ser>
          <c:idx val="8"/>
          <c:order val="8"/>
          <c:tx>
            <c:strRef>
              <c:f>PPCPst!$A$10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PPCPst!$B$10:$O$10</c:f>
              <c:numCache>
                <c:formatCode>General</c:formatCode>
                <c:ptCount val="14"/>
                <c:pt idx="2" formatCode="0.0%">
                  <c:v>0.748</c:v>
                </c:pt>
                <c:pt idx="3" formatCode="0.0%">
                  <c:v>0.748</c:v>
                </c:pt>
                <c:pt idx="4" formatCode="0.0%">
                  <c:v>0.77599999999999991</c:v>
                </c:pt>
                <c:pt idx="5" formatCode="0.0%">
                  <c:v>0.74400000000000011</c:v>
                </c:pt>
                <c:pt idx="6" formatCode="0.0%">
                  <c:v>0.79300000000000004</c:v>
                </c:pt>
                <c:pt idx="7" formatCode="0.0%">
                  <c:v>0.73699999999999999</c:v>
                </c:pt>
                <c:pt idx="8" formatCode="0.0%">
                  <c:v>0.74099999999999999</c:v>
                </c:pt>
                <c:pt idx="9" formatCode="0.0%">
                  <c:v>0.85400000000000009</c:v>
                </c:pt>
                <c:pt idx="10" formatCode="0.0%">
                  <c:v>0.86099999999999999</c:v>
                </c:pt>
                <c:pt idx="11" formatCode="0.0%">
                  <c:v>0.85699999999999998</c:v>
                </c:pt>
                <c:pt idx="12" formatCode="0.0%">
                  <c:v>0.871</c:v>
                </c:pt>
                <c:pt idx="13" formatCode="0.0%">
                  <c:v>0.88300000000000001</c:v>
                </c:pt>
              </c:numCache>
            </c:numRef>
          </c:yVal>
          <c:smooth val="0"/>
          <c:extLst>
            <c:ext xmlns:c16="http://schemas.microsoft.com/office/drawing/2014/chart" uri="{C3380CC4-5D6E-409C-BE32-E72D297353CC}">
              <c16:uniqueId val="{00000009-624D-4FF2-967C-603D04B04D3C}"/>
            </c:ext>
          </c:extLst>
        </c:ser>
        <c:ser>
          <c:idx val="9"/>
          <c:order val="9"/>
          <c:tx>
            <c:strRef>
              <c:f>PPCPst!$A$11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PPCPst!$B$11:$O$11</c:f>
              <c:numCache>
                <c:formatCode>General</c:formatCode>
                <c:ptCount val="14"/>
                <c:pt idx="2" formatCode="0.0%">
                  <c:v>0.71</c:v>
                </c:pt>
                <c:pt idx="3" formatCode="0.0%">
                  <c:v>0.66200000000000003</c:v>
                </c:pt>
                <c:pt idx="4" formatCode="0.0%">
                  <c:v>0.68500000000000005</c:v>
                </c:pt>
                <c:pt idx="5" formatCode="0.0%">
                  <c:v>0.627</c:v>
                </c:pt>
                <c:pt idx="6" formatCode="0.0%">
                  <c:v>0.79800000000000004</c:v>
                </c:pt>
                <c:pt idx="7" formatCode="0.0%">
                  <c:v>0.75</c:v>
                </c:pt>
                <c:pt idx="8" formatCode="0.0%">
                  <c:v>0.71099999999999997</c:v>
                </c:pt>
                <c:pt idx="9" formatCode="0.0%">
                  <c:v>0.91099999999999992</c:v>
                </c:pt>
                <c:pt idx="10" formatCode="0.0%">
                  <c:v>0.84</c:v>
                </c:pt>
                <c:pt idx="11" formatCode="0.0%">
                  <c:v>0.87</c:v>
                </c:pt>
                <c:pt idx="12" formatCode="0.0%">
                  <c:v>0.877</c:v>
                </c:pt>
                <c:pt idx="13" formatCode="0.0%">
                  <c:v>0.88600000000000001</c:v>
                </c:pt>
              </c:numCache>
            </c:numRef>
          </c:yVal>
          <c:smooth val="0"/>
          <c:extLst>
            <c:ext xmlns:c16="http://schemas.microsoft.com/office/drawing/2014/chart" uri="{C3380CC4-5D6E-409C-BE32-E72D297353CC}">
              <c16:uniqueId val="{0000000A-624D-4FF2-967C-603D04B04D3C}"/>
            </c:ext>
          </c:extLst>
        </c:ser>
        <c:ser>
          <c:idx val="10"/>
          <c:order val="10"/>
          <c:tx>
            <c:strRef>
              <c:f>PPCPst!$A$12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PPCPst!$B$12:$O$12</c:f>
              <c:numCache>
                <c:formatCode>General</c:formatCode>
                <c:ptCount val="14"/>
                <c:pt idx="8" formatCode="0.0%">
                  <c:v>0.66800000000000004</c:v>
                </c:pt>
                <c:pt idx="9" formatCode="0.0%">
                  <c:v>0.85400000000000009</c:v>
                </c:pt>
                <c:pt idx="10" formatCode="0.0%">
                  <c:v>0.81500000000000006</c:v>
                </c:pt>
                <c:pt idx="11" formatCode="0.0%">
                  <c:v>0.82199999999999995</c:v>
                </c:pt>
                <c:pt idx="12" formatCode="0.0%">
                  <c:v>0.876</c:v>
                </c:pt>
                <c:pt idx="13" formatCode="0.0%">
                  <c:v>0.88</c:v>
                </c:pt>
              </c:numCache>
            </c:numRef>
          </c:yVal>
          <c:smooth val="0"/>
          <c:extLst>
            <c:ext xmlns:c16="http://schemas.microsoft.com/office/drawing/2014/chart" uri="{C3380CC4-5D6E-409C-BE32-E72D297353CC}">
              <c16:uniqueId val="{0000000B-624D-4FF2-967C-603D04B04D3C}"/>
            </c:ext>
          </c:extLst>
        </c:ser>
        <c:ser>
          <c:idx val="11"/>
          <c:order val="11"/>
          <c:tx>
            <c:strRef>
              <c:f>PPCPst!$A$13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PPCPst!$B$13:$O$13</c:f>
              <c:numCache>
                <c:formatCode>General</c:formatCode>
                <c:ptCount val="14"/>
                <c:pt idx="8" formatCode="0.0%">
                  <c:v>0.68099999999999994</c:v>
                </c:pt>
                <c:pt idx="9" formatCode="0.0%">
                  <c:v>0.71099999999999997</c:v>
                </c:pt>
                <c:pt idx="10" formatCode="0.0%">
                  <c:v>0.76</c:v>
                </c:pt>
                <c:pt idx="11" formatCode="0.0%">
                  <c:v>0.82599999999999996</c:v>
                </c:pt>
                <c:pt idx="12" formatCode="0.0%">
                  <c:v>0.86099999999999999</c:v>
                </c:pt>
                <c:pt idx="13" formatCode="0.0%">
                  <c:v>0.877</c:v>
                </c:pt>
              </c:numCache>
            </c:numRef>
          </c:yVal>
          <c:smooth val="0"/>
          <c:extLst>
            <c:ext xmlns:c16="http://schemas.microsoft.com/office/drawing/2014/chart" uri="{C3380CC4-5D6E-409C-BE32-E72D297353CC}">
              <c16:uniqueId val="{0000000C-624D-4FF2-967C-603D04B04D3C}"/>
            </c:ext>
          </c:extLst>
        </c:ser>
        <c:ser>
          <c:idx val="13"/>
          <c:order val="12"/>
          <c:tx>
            <c:strRef>
              <c:f>PPCPst!$A$14</c:f>
              <c:strCache>
                <c:ptCount val="1"/>
                <c:pt idx="0">
                  <c:v>Statewide</c:v>
                </c:pt>
              </c:strCache>
            </c:strRef>
          </c:tx>
          <c:spPr>
            <a:ln w="28575" cap="rnd">
              <a:solidFill>
                <a:schemeClr val="accent1">
                  <a:lumMod val="75000"/>
                </a:schemeClr>
              </a:solidFill>
              <a:round/>
            </a:ln>
            <a:effectLst/>
          </c:spPr>
          <c:marker>
            <c:symbol val="none"/>
          </c:marker>
          <c:dPt>
            <c:idx val="9"/>
            <c:marker>
              <c:symbol val="none"/>
            </c:marker>
            <c:bubble3D val="0"/>
            <c:extLst>
              <c:ext xmlns:c16="http://schemas.microsoft.com/office/drawing/2014/chart" uri="{C3380CC4-5D6E-409C-BE32-E72D297353CC}">
                <c16:uniqueId val="{0000000D-624D-4FF2-967C-603D04B04D3C}"/>
              </c:ext>
            </c:extLst>
          </c:dPt>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PPCPst!$B$14:$O$14</c:f>
              <c:numCache>
                <c:formatCode>0.0%</c:formatCode>
                <c:ptCount val="14"/>
                <c:pt idx="0">
                  <c:v>0.33400000000000002</c:v>
                </c:pt>
                <c:pt idx="1">
                  <c:v>0.33400000000000002</c:v>
                </c:pt>
                <c:pt idx="2">
                  <c:v>0.44700000000000006</c:v>
                </c:pt>
                <c:pt idx="3">
                  <c:v>0.51</c:v>
                </c:pt>
                <c:pt idx="4">
                  <c:v>0.57700000000000007</c:v>
                </c:pt>
                <c:pt idx="5">
                  <c:v>0.499</c:v>
                </c:pt>
                <c:pt idx="6">
                  <c:v>0.61299999999999999</c:v>
                </c:pt>
                <c:pt idx="7">
                  <c:v>0.68200000000000005</c:v>
                </c:pt>
                <c:pt idx="8">
                  <c:v>0.73699999999999999</c:v>
                </c:pt>
                <c:pt idx="9">
                  <c:v>0.77800000000000002</c:v>
                </c:pt>
                <c:pt idx="10">
                  <c:v>0.80799999999999994</c:v>
                </c:pt>
                <c:pt idx="11">
                  <c:v>0.83599999999999997</c:v>
                </c:pt>
                <c:pt idx="12">
                  <c:v>0.85899999999999999</c:v>
                </c:pt>
                <c:pt idx="13">
                  <c:v>0.878</c:v>
                </c:pt>
              </c:numCache>
            </c:numRef>
          </c:yVal>
          <c:smooth val="0"/>
          <c:extLst>
            <c:ext xmlns:c16="http://schemas.microsoft.com/office/drawing/2014/chart" uri="{C3380CC4-5D6E-409C-BE32-E72D297353CC}">
              <c16:uniqueId val="{0000000E-624D-4FF2-967C-603D04B04D3C}"/>
            </c:ext>
          </c:extLst>
        </c:ser>
        <c:ser>
          <c:idx val="14"/>
          <c:order val="13"/>
          <c:tx>
            <c:strRef>
              <c:f>PPCPst!$A$15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PPCPst!$B$15:$O$15</c:f>
              <c:numCache>
                <c:formatCode>General</c:formatCode>
                <c:ptCount val="14"/>
                <c:pt idx="9" formatCode="0.0%">
                  <c:v>0.63900000000000001</c:v>
                </c:pt>
                <c:pt idx="10" formatCode="0.0%">
                  <c:v>0.69299999999999995</c:v>
                </c:pt>
                <c:pt idx="11" formatCode="0.0%">
                  <c:v>0.73499999999999999</c:v>
                </c:pt>
                <c:pt idx="12" formatCode="0.0%">
                  <c:v>0.76900000000000002</c:v>
                </c:pt>
                <c:pt idx="13" formatCode="0.0%">
                  <c:v>0.85</c:v>
                </c:pt>
              </c:numCache>
            </c:numRef>
          </c:yVal>
          <c:smooth val="0"/>
          <c:extLst>
            <c:ext xmlns:c16="http://schemas.microsoft.com/office/drawing/2014/chart" uri="{C3380CC4-5D6E-409C-BE32-E72D297353CC}">
              <c16:uniqueId val="{0000000F-624D-4FF2-967C-603D04B04D3C}"/>
            </c:ext>
          </c:extLst>
        </c:ser>
        <c:ser>
          <c:idx val="15"/>
          <c:order val="14"/>
          <c:tx>
            <c:strRef>
              <c:f>PPCPst!$A$16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PPCPst!$B$16:$O$16</c:f>
              <c:numCache>
                <c:formatCode>General</c:formatCode>
                <c:ptCount val="14"/>
                <c:pt idx="2" formatCode="0.0%">
                  <c:v>0.55000000000000004</c:v>
                </c:pt>
                <c:pt idx="3" formatCode="0.0%">
                  <c:v>0.53800000000000003</c:v>
                </c:pt>
                <c:pt idx="4" formatCode="0.0%">
                  <c:v>0.53500000000000003</c:v>
                </c:pt>
                <c:pt idx="5" formatCode="0.0%">
                  <c:v>0.28699999999999998</c:v>
                </c:pt>
                <c:pt idx="6" formatCode="0.0%">
                  <c:v>0.625</c:v>
                </c:pt>
                <c:pt idx="7" formatCode="0.0%">
                  <c:v>0.69799999999999995</c:v>
                </c:pt>
                <c:pt idx="8" formatCode="0.0%">
                  <c:v>0.76100000000000001</c:v>
                </c:pt>
                <c:pt idx="9" formatCode="0.0%">
                  <c:v>0.7320000000000001</c:v>
                </c:pt>
                <c:pt idx="10" formatCode="0.0%">
                  <c:v>0.79599999999999993</c:v>
                </c:pt>
                <c:pt idx="11" formatCode="0.0%">
                  <c:v>0.82899999999999996</c:v>
                </c:pt>
                <c:pt idx="12" formatCode="0.0%">
                  <c:v>0.87</c:v>
                </c:pt>
                <c:pt idx="13" formatCode="0.0%">
                  <c:v>0.88</c:v>
                </c:pt>
              </c:numCache>
            </c:numRef>
          </c:yVal>
          <c:smooth val="0"/>
          <c:extLst>
            <c:ext xmlns:c16="http://schemas.microsoft.com/office/drawing/2014/chart" uri="{C3380CC4-5D6E-409C-BE32-E72D297353CC}">
              <c16:uniqueId val="{00000010-624D-4FF2-967C-603D04B04D3C}"/>
            </c:ext>
          </c:extLst>
        </c:ser>
        <c:ser>
          <c:idx val="16"/>
          <c:order val="15"/>
          <c:tx>
            <c:strRef>
              <c:f>PPCPst!$A$17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PPCPst!$B$17:$O$17</c:f>
              <c:numCache>
                <c:formatCode>General</c:formatCode>
                <c:ptCount val="14"/>
                <c:pt idx="2" formatCode="0.0%">
                  <c:v>0.24</c:v>
                </c:pt>
                <c:pt idx="3" formatCode="0.0%">
                  <c:v>0.41700000000000004</c:v>
                </c:pt>
                <c:pt idx="4" formatCode="0.0%">
                  <c:v>0.55600000000000005</c:v>
                </c:pt>
                <c:pt idx="5" formatCode="0.0%">
                  <c:v>0.49100000000000005</c:v>
                </c:pt>
                <c:pt idx="6" formatCode="0.0%">
                  <c:v>0.6409999999999999</c:v>
                </c:pt>
                <c:pt idx="7" formatCode="0.0%">
                  <c:v>0.747</c:v>
                </c:pt>
                <c:pt idx="8" formatCode="0.0%">
                  <c:v>0.65800000000000003</c:v>
                </c:pt>
                <c:pt idx="9" formatCode="0.0%">
                  <c:v>0.73699999999999999</c:v>
                </c:pt>
                <c:pt idx="10" formatCode="0.0%">
                  <c:v>0.79099999999999993</c:v>
                </c:pt>
                <c:pt idx="11" formatCode="0.0%">
                  <c:v>0.82899999999999996</c:v>
                </c:pt>
                <c:pt idx="12" formatCode="0.0%">
                  <c:v>0.878</c:v>
                </c:pt>
                <c:pt idx="13" formatCode="0.0%">
                  <c:v>0.9</c:v>
                </c:pt>
              </c:numCache>
            </c:numRef>
          </c:yVal>
          <c:smooth val="0"/>
          <c:extLst>
            <c:ext xmlns:c16="http://schemas.microsoft.com/office/drawing/2014/chart" uri="{C3380CC4-5D6E-409C-BE32-E72D297353CC}">
              <c16:uniqueId val="{00000011-624D-4FF2-967C-603D04B04D3C}"/>
            </c:ext>
          </c:extLst>
        </c:ser>
        <c:ser>
          <c:idx val="17"/>
          <c:order val="17"/>
          <c:tx>
            <c:strRef>
              <c:f>PPCPst!$A$20</c:f>
              <c:strCache>
                <c:ptCount val="1"/>
                <c:pt idx="0">
                  <c:v>CCO statewide</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PPCPst!$B$20:$O$20</c:f>
              <c:numCache>
                <c:formatCode>0.0%</c:formatCode>
                <c:ptCount val="14"/>
                <c:pt idx="0">
                  <c:v>0.33400000000000002</c:v>
                </c:pt>
                <c:pt idx="1">
                  <c:v>0.33400000000000002</c:v>
                </c:pt>
                <c:pt idx="2">
                  <c:v>0.44700000000000006</c:v>
                </c:pt>
                <c:pt idx="3">
                  <c:v>0.51</c:v>
                </c:pt>
                <c:pt idx="4">
                  <c:v>0.57700000000000007</c:v>
                </c:pt>
                <c:pt idx="5">
                  <c:v>0.499</c:v>
                </c:pt>
                <c:pt idx="6">
                  <c:v>0.61299999999999999</c:v>
                </c:pt>
                <c:pt idx="7">
                  <c:v>0.68200000000000005</c:v>
                </c:pt>
                <c:pt idx="8">
                  <c:v>0.73699999999999999</c:v>
                </c:pt>
                <c:pt idx="9">
                  <c:v>0.77800000000000002</c:v>
                </c:pt>
                <c:pt idx="10">
                  <c:v>0.80799999999999994</c:v>
                </c:pt>
                <c:pt idx="11">
                  <c:v>0.83599999999999997</c:v>
                </c:pt>
                <c:pt idx="12">
                  <c:v>0.85899999999999999</c:v>
                </c:pt>
                <c:pt idx="13">
                  <c:v>0.878</c:v>
                </c:pt>
              </c:numCache>
            </c:numRef>
          </c:yVal>
          <c:smooth val="0"/>
          <c:extLst>
            <c:ext xmlns:c16="http://schemas.microsoft.com/office/drawing/2014/chart" uri="{C3380CC4-5D6E-409C-BE32-E72D297353CC}">
              <c16:uniqueId val="{00000012-624D-4FF2-967C-603D04B04D3C}"/>
            </c:ext>
          </c:extLst>
        </c:ser>
        <c:ser>
          <c:idx val="20"/>
          <c:order val="18"/>
          <c:tx>
            <c:strRef>
              <c:f>PPCPst!$A$19</c:f>
              <c:strCache>
                <c:ptCount val="1"/>
                <c:pt idx="0">
                  <c:v>Individual CCOs</c:v>
                </c:pt>
              </c:strCache>
            </c:strRef>
          </c:tx>
          <c:spPr>
            <a:ln w="25400" cap="rnd">
              <a:noFill/>
              <a:round/>
            </a:ln>
            <a:effectLst/>
          </c:spPr>
          <c:marker>
            <c:symbol val="circle"/>
            <c:size val="6"/>
            <c:spPr>
              <a:noFill/>
              <a:ln w="9525">
                <a:solidFill>
                  <a:srgbClr val="606060"/>
                </a:solidFill>
              </a:ln>
              <a:effectLst/>
            </c:spPr>
          </c:marker>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PPCPst!$B$19:$O$19</c:f>
              <c:numCache>
                <c:formatCode>General</c:formatCode>
                <c:ptCount val="14"/>
                <c:pt idx="2" formatCode="0.0%">
                  <c:v>0.46100000000000002</c:v>
                </c:pt>
                <c:pt idx="3" formatCode="0.0%">
                  <c:v>0.55799999999999994</c:v>
                </c:pt>
                <c:pt idx="4" formatCode="0.0%">
                  <c:v>0.54300000000000004</c:v>
                </c:pt>
                <c:pt idx="5" formatCode="0.0%">
                  <c:v>0.30499999999999999</c:v>
                </c:pt>
                <c:pt idx="6" formatCode="0.0%">
                  <c:v>0.57799999999999996</c:v>
                </c:pt>
                <c:pt idx="7" formatCode="0.0%">
                  <c:v>0.63900000000000001</c:v>
                </c:pt>
                <c:pt idx="8" formatCode="0.0%">
                  <c:v>0.41100000000000003</c:v>
                </c:pt>
                <c:pt idx="9" formatCode="0.0%">
                  <c:v>0.62</c:v>
                </c:pt>
                <c:pt idx="10" formatCode="0.0%">
                  <c:v>0.79200000000000004</c:v>
                </c:pt>
                <c:pt idx="11" formatCode="0.0%">
                  <c:v>0.84499999999999997</c:v>
                </c:pt>
                <c:pt idx="12" formatCode="0.0%">
                  <c:v>0.86099999999999999</c:v>
                </c:pt>
                <c:pt idx="13" formatCode="0.0%">
                  <c:v>0.89</c:v>
                </c:pt>
              </c:numCache>
            </c:numRef>
          </c:yVal>
          <c:smooth val="0"/>
          <c:extLst>
            <c:ext xmlns:c16="http://schemas.microsoft.com/office/drawing/2014/chart" uri="{C3380CC4-5D6E-409C-BE32-E72D297353CC}">
              <c16:uniqueId val="{00000013-624D-4FF2-967C-603D04B04D3C}"/>
            </c:ext>
          </c:extLst>
        </c:ser>
        <c:ser>
          <c:idx val="18"/>
          <c:order val="19"/>
          <c:tx>
            <c:strRef>
              <c:f>PPCPst!$A$21</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dLbls>
            <c:dLbl>
              <c:idx val="7"/>
              <c:layout>
                <c:manualLayout>
                  <c:x val="-0.22947222222222227"/>
                  <c:y val="-0.16203703703703706"/>
                </c:manualLayout>
              </c:layout>
              <c:tx>
                <c:rich>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r>
                      <a:rPr lang="en-US" sz="1100">
                        <a:solidFill>
                          <a:schemeClr val="accent2">
                            <a:lumMod val="50000"/>
                          </a:schemeClr>
                        </a:solidFill>
                        <a:latin typeface="Aptos" panose="020B0004020202020204" pitchFamily="34" charset="0"/>
                      </a:rPr>
                      <a:t>Benchmark</a:t>
                    </a:r>
                  </a:p>
                </c:rich>
              </c:tx>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624D-4FF2-967C-603D04B04D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PPCPst!$B$1:$O$1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PPCPst!$B$21:$O$21</c:f>
              <c:numCache>
                <c:formatCode>General</c:formatCode>
                <c:ptCount val="14"/>
                <c:pt idx="7" formatCode="0.0%">
                  <c:v>0.69299999999999995</c:v>
                </c:pt>
                <c:pt idx="8" formatCode="0.0%">
                  <c:v>0.61299999999999999</c:v>
                </c:pt>
                <c:pt idx="9" formatCode="0.0%">
                  <c:v>0.61299999999999999</c:v>
                </c:pt>
                <c:pt idx="10" formatCode="0.0%">
                  <c:v>0.80900000000000005</c:v>
                </c:pt>
                <c:pt idx="11" formatCode="0.0%">
                  <c:v>0.84199999999999997</c:v>
                </c:pt>
                <c:pt idx="12" formatCode="0.0%">
                  <c:v>0.8590000000000001</c:v>
                </c:pt>
                <c:pt idx="13" formatCode="0.0%">
                  <c:v>0.87</c:v>
                </c:pt>
              </c:numCache>
            </c:numRef>
          </c:yVal>
          <c:smooth val="0"/>
          <c:extLst>
            <c:ext xmlns:c16="http://schemas.microsoft.com/office/drawing/2014/chart" uri="{C3380CC4-5D6E-409C-BE32-E72D297353CC}">
              <c16:uniqueId val="{00000015-624D-4FF2-967C-603D04B04D3C}"/>
            </c:ext>
          </c:extLst>
        </c:ser>
        <c:ser>
          <c:idx val="19"/>
          <c:order val="20"/>
          <c:tx>
            <c:strRef>
              <c:f>PPCPst!$Q$1</c:f>
              <c:strCache>
                <c:ptCount val="1"/>
                <c:pt idx="0">
                  <c:v>Spec change year:</c:v>
                </c:pt>
              </c:strCache>
            </c:strRef>
          </c:tx>
          <c:spPr>
            <a:ln w="19050" cap="rnd">
              <a:solidFill>
                <a:schemeClr val="tx1">
                  <a:lumMod val="60000"/>
                  <a:lumOff val="40000"/>
                </a:schemeClr>
              </a:solidFill>
              <a:prstDash val="dash"/>
              <a:round/>
            </a:ln>
            <a:effectLst/>
          </c:spPr>
          <c:marker>
            <c:symbol val="none"/>
          </c:marker>
          <c:xVal>
            <c:numRef>
              <c:f>PPCPst!$Q$3:$Q$4</c:f>
              <c:numCache>
                <c:formatCode>General</c:formatCode>
                <c:ptCount val="2"/>
                <c:pt idx="0">
                  <c:v>3</c:v>
                </c:pt>
                <c:pt idx="1">
                  <c:v>3</c:v>
                </c:pt>
              </c:numCache>
            </c:numRef>
          </c:xVal>
          <c:yVal>
            <c:numRef>
              <c:f>PPCPst!$R$3:$R$4</c:f>
              <c:numCache>
                <c:formatCode>General</c:formatCode>
                <c:ptCount val="2"/>
                <c:pt idx="0">
                  <c:v>0</c:v>
                </c:pt>
                <c:pt idx="1">
                  <c:v>1</c:v>
                </c:pt>
              </c:numCache>
            </c:numRef>
          </c:yVal>
          <c:smooth val="0"/>
          <c:extLst>
            <c:ext xmlns:c16="http://schemas.microsoft.com/office/drawing/2014/chart" uri="{C3380CC4-5D6E-409C-BE32-E72D297353CC}">
              <c16:uniqueId val="{00000016-624D-4FF2-967C-603D04B04D3C}"/>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5"/>
        <c:minorUnit val="0.25"/>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9"/>
        <c:delete val="1"/>
      </c:legendEntry>
      <c:legendEntry>
        <c:idx val="20"/>
        <c:delete val="1"/>
      </c:legendEntry>
      <c:layout>
        <c:manualLayout>
          <c:xMode val="edge"/>
          <c:yMode val="edge"/>
          <c:x val="0.1108167104111986"/>
          <c:y val="0.89353707680479322"/>
          <c:w val="0.57836636045494316"/>
          <c:h val="8.121039794268140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ptos" panose="020B00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u="none" strike="noStrike" kern="1200" spc="0" baseline="0">
                <a:solidFill>
                  <a:schemeClr val="accent1">
                    <a:lumMod val="75000"/>
                  </a:schemeClr>
                </a:solidFill>
                <a:cs typeface="Arial" panose="020B0604020202020204" pitchFamily="34" charset="0"/>
              </a:rPr>
              <a:t>Lower is better </a:t>
            </a:r>
            <a:r>
              <a:rPr lang="en-US" sz="1400" b="0" i="0" u="none" strike="noStrike" kern="1200" spc="0" baseline="0">
                <a:solidFill>
                  <a:schemeClr val="accent1">
                    <a:lumMod val="75000"/>
                  </a:schemeClr>
                </a:solidFill>
                <a:cs typeface="Arial" panose="020B0604020202020204" pitchFamily="34" charset="0"/>
              </a:rPr>
              <a:t>↓</a:t>
            </a:r>
          </a:p>
        </c:rich>
      </c:tx>
      <c:layout>
        <c:manualLayout>
          <c:xMode val="edge"/>
          <c:yMode val="edge"/>
          <c:x val="0.40208333333333329"/>
          <c:y val="5.05050505050505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048162729658793"/>
          <c:y val="2.8640406691587798E-2"/>
          <c:w val="0.84896281714785649"/>
          <c:h val="0.75203213234709299"/>
        </c:manualLayout>
      </c:layout>
      <c:lineChart>
        <c:grouping val="standard"/>
        <c:varyColors val="0"/>
        <c:ser>
          <c:idx val="0"/>
          <c:order val="0"/>
          <c:tx>
            <c:strRef>
              <c:f>HPC!$A$2</c:f>
              <c:strCache>
                <c:ptCount val="1"/>
                <c:pt idx="0">
                  <c:v>Advanced Health</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HPC!$B$2:$M$2</c:f>
              <c:numCache>
                <c:formatCode>0.0%</c:formatCode>
                <c:ptCount val="12"/>
                <c:pt idx="0">
                  <c:v>0.27899999999999997</c:v>
                </c:pt>
                <c:pt idx="1">
                  <c:v>0.29199999999999998</c:v>
                </c:pt>
                <c:pt idx="2">
                  <c:v>0.25800000000000001</c:v>
                </c:pt>
                <c:pt idx="3">
                  <c:v>0.25800000000000001</c:v>
                </c:pt>
                <c:pt idx="4">
                  <c:v>0.24800000000000003</c:v>
                </c:pt>
                <c:pt idx="5">
                  <c:v>0.25600000000000001</c:v>
                </c:pt>
                <c:pt idx="6">
                  <c:v>0.39700000000000002</c:v>
                </c:pt>
                <c:pt idx="7">
                  <c:v>0.40799999999999997</c:v>
                </c:pt>
                <c:pt idx="8">
                  <c:v>0.31</c:v>
                </c:pt>
                <c:pt idx="9">
                  <c:v>0.26400000000000001</c:v>
                </c:pt>
                <c:pt idx="10">
                  <c:v>0.28100000000000003</c:v>
                </c:pt>
                <c:pt idx="11">
                  <c:v>0.314</c:v>
                </c:pt>
              </c:numCache>
            </c:numRef>
          </c:val>
          <c:smooth val="0"/>
          <c:extLst>
            <c:ext xmlns:c16="http://schemas.microsoft.com/office/drawing/2014/chart" uri="{C3380CC4-5D6E-409C-BE32-E72D297353CC}">
              <c16:uniqueId val="{00000000-A88A-4BE0-A623-CCF3545F1F64}"/>
            </c:ext>
          </c:extLst>
        </c:ser>
        <c:ser>
          <c:idx val="1"/>
          <c:order val="1"/>
          <c:tx>
            <c:strRef>
              <c:f>HPC!$A$3</c:f>
              <c:strCache>
                <c:ptCount val="1"/>
                <c:pt idx="0">
                  <c:v>AllCare CCO</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HPC!$B$3:$M$3</c:f>
              <c:numCache>
                <c:formatCode>0.0%</c:formatCode>
                <c:ptCount val="12"/>
                <c:pt idx="0">
                  <c:v>0.115</c:v>
                </c:pt>
                <c:pt idx="1">
                  <c:v>0.29399999999999998</c:v>
                </c:pt>
                <c:pt idx="2">
                  <c:v>0.28600000000000003</c:v>
                </c:pt>
                <c:pt idx="3">
                  <c:v>0.29899999999999999</c:v>
                </c:pt>
                <c:pt idx="4">
                  <c:v>0.27600000000000002</c:v>
                </c:pt>
                <c:pt idx="5">
                  <c:v>0.255</c:v>
                </c:pt>
                <c:pt idx="6">
                  <c:v>0.27</c:v>
                </c:pt>
                <c:pt idx="7">
                  <c:v>0.26100000000000001</c:v>
                </c:pt>
                <c:pt idx="8">
                  <c:v>0.249</c:v>
                </c:pt>
                <c:pt idx="9">
                  <c:v>0.24099999999999999</c:v>
                </c:pt>
                <c:pt idx="10">
                  <c:v>0.20699999999999999</c:v>
                </c:pt>
                <c:pt idx="11">
                  <c:v>0.183</c:v>
                </c:pt>
              </c:numCache>
            </c:numRef>
          </c:val>
          <c:smooth val="0"/>
          <c:extLst>
            <c:ext xmlns:c16="http://schemas.microsoft.com/office/drawing/2014/chart" uri="{C3380CC4-5D6E-409C-BE32-E72D297353CC}">
              <c16:uniqueId val="{00000001-A88A-4BE0-A623-CCF3545F1F64}"/>
            </c:ext>
          </c:extLst>
        </c:ser>
        <c:ser>
          <c:idx val="2"/>
          <c:order val="2"/>
          <c:tx>
            <c:strRef>
              <c:f>HPC!$A$4</c:f>
              <c:strCache>
                <c:ptCount val="1"/>
                <c:pt idx="0">
                  <c:v>Cascade Health Alliance</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HPC!$B$4:$M$4</c:f>
              <c:numCache>
                <c:formatCode>0.0%</c:formatCode>
                <c:ptCount val="12"/>
                <c:pt idx="0">
                  <c:v>0.32500000000000001</c:v>
                </c:pt>
                <c:pt idx="1">
                  <c:v>0.114</c:v>
                </c:pt>
                <c:pt idx="2">
                  <c:v>0.223</c:v>
                </c:pt>
                <c:pt idx="3">
                  <c:v>0.25</c:v>
                </c:pt>
                <c:pt idx="4">
                  <c:v>0.27399999999999997</c:v>
                </c:pt>
                <c:pt idx="5">
                  <c:v>0.28199999999999997</c:v>
                </c:pt>
                <c:pt idx="6">
                  <c:v>0.28699999999999998</c:v>
                </c:pt>
                <c:pt idx="7">
                  <c:v>0.29100000000000004</c:v>
                </c:pt>
                <c:pt idx="8">
                  <c:v>0.27500000000000002</c:v>
                </c:pt>
                <c:pt idx="9">
                  <c:v>0.27</c:v>
                </c:pt>
                <c:pt idx="10">
                  <c:v>0.23</c:v>
                </c:pt>
                <c:pt idx="11">
                  <c:v>0.17699999999999999</c:v>
                </c:pt>
              </c:numCache>
            </c:numRef>
          </c:val>
          <c:smooth val="0"/>
          <c:extLst>
            <c:ext xmlns:c16="http://schemas.microsoft.com/office/drawing/2014/chart" uri="{C3380CC4-5D6E-409C-BE32-E72D297353CC}">
              <c16:uniqueId val="{00000002-A88A-4BE0-A623-CCF3545F1F64}"/>
            </c:ext>
          </c:extLst>
        </c:ser>
        <c:ser>
          <c:idx val="3"/>
          <c:order val="3"/>
          <c:tx>
            <c:strRef>
              <c:f>HPC!$A$5</c:f>
              <c:strCache>
                <c:ptCount val="1"/>
                <c:pt idx="0">
                  <c:v>Columbia Pacific</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HPC!$B$5:$M$5</c:f>
              <c:numCache>
                <c:formatCode>0.0%</c:formatCode>
                <c:ptCount val="12"/>
                <c:pt idx="0">
                  <c:v>0.21600000000000003</c:v>
                </c:pt>
                <c:pt idx="1">
                  <c:v>0.33500000000000002</c:v>
                </c:pt>
                <c:pt idx="2">
                  <c:v>0.253</c:v>
                </c:pt>
                <c:pt idx="3">
                  <c:v>0.214</c:v>
                </c:pt>
                <c:pt idx="4">
                  <c:v>0.223</c:v>
                </c:pt>
                <c:pt idx="5">
                  <c:v>0.22899999999999998</c:v>
                </c:pt>
                <c:pt idx="6">
                  <c:v>0.27300000000000002</c:v>
                </c:pt>
                <c:pt idx="7">
                  <c:v>0.27899999999999997</c:v>
                </c:pt>
                <c:pt idx="8">
                  <c:v>0.25700000000000001</c:v>
                </c:pt>
                <c:pt idx="9">
                  <c:v>0.22900000000000001</c:v>
                </c:pt>
                <c:pt idx="10">
                  <c:v>0.218</c:v>
                </c:pt>
                <c:pt idx="11">
                  <c:v>0.217</c:v>
                </c:pt>
              </c:numCache>
            </c:numRef>
          </c:val>
          <c:smooth val="0"/>
          <c:extLst>
            <c:ext xmlns:c16="http://schemas.microsoft.com/office/drawing/2014/chart" uri="{C3380CC4-5D6E-409C-BE32-E72D297353CC}">
              <c16:uniqueId val="{00000003-A88A-4BE0-A623-CCF3545F1F64}"/>
            </c:ext>
          </c:extLst>
        </c:ser>
        <c:ser>
          <c:idx val="4"/>
          <c:order val="4"/>
          <c:tx>
            <c:strRef>
              <c:f>HPC!$A$6</c:f>
              <c:strCache>
                <c:ptCount val="1"/>
                <c:pt idx="0">
                  <c:v>Eastern Oregon CCO</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HPC!$B$6:$M$6</c:f>
              <c:numCache>
                <c:formatCode>0.0%</c:formatCode>
                <c:ptCount val="12"/>
                <c:pt idx="0">
                  <c:v>0.311</c:v>
                </c:pt>
                <c:pt idx="1">
                  <c:v>0.26400000000000001</c:v>
                </c:pt>
                <c:pt idx="2">
                  <c:v>0.26500000000000001</c:v>
                </c:pt>
                <c:pt idx="3">
                  <c:v>0.3</c:v>
                </c:pt>
                <c:pt idx="4">
                  <c:v>0.27</c:v>
                </c:pt>
                <c:pt idx="5">
                  <c:v>0.22</c:v>
                </c:pt>
                <c:pt idx="6">
                  <c:v>0.26400000000000001</c:v>
                </c:pt>
                <c:pt idx="7">
                  <c:v>0.31900000000000001</c:v>
                </c:pt>
                <c:pt idx="8">
                  <c:v>0.21300000000000002</c:v>
                </c:pt>
                <c:pt idx="9">
                  <c:v>0.2</c:v>
                </c:pt>
                <c:pt idx="10">
                  <c:v>0.20799999999999999</c:v>
                </c:pt>
                <c:pt idx="11">
                  <c:v>0.183</c:v>
                </c:pt>
              </c:numCache>
            </c:numRef>
          </c:val>
          <c:smooth val="0"/>
          <c:extLst>
            <c:ext xmlns:c16="http://schemas.microsoft.com/office/drawing/2014/chart" uri="{C3380CC4-5D6E-409C-BE32-E72D297353CC}">
              <c16:uniqueId val="{00000004-A88A-4BE0-A623-CCF3545F1F64}"/>
            </c:ext>
          </c:extLst>
        </c:ser>
        <c:ser>
          <c:idx val="5"/>
          <c:order val="5"/>
          <c:tx>
            <c:strRef>
              <c:f>HPC!$A$7</c:f>
              <c:strCache>
                <c:ptCount val="1"/>
                <c:pt idx="0">
                  <c:v>Health Share of Oregon</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HPC!$B$7:$M$7</c:f>
              <c:numCache>
                <c:formatCode>0.0%</c:formatCode>
                <c:ptCount val="12"/>
                <c:pt idx="0">
                  <c:v>0.189</c:v>
                </c:pt>
                <c:pt idx="1">
                  <c:v>0.252</c:v>
                </c:pt>
                <c:pt idx="2">
                  <c:v>0.26300000000000001</c:v>
                </c:pt>
                <c:pt idx="3">
                  <c:v>0.23600000000000002</c:v>
                </c:pt>
                <c:pt idx="4">
                  <c:v>0.247</c:v>
                </c:pt>
                <c:pt idx="5">
                  <c:v>0.23699999999999999</c:v>
                </c:pt>
                <c:pt idx="6">
                  <c:v>0.30299999999999999</c:v>
                </c:pt>
                <c:pt idx="7">
                  <c:v>0.29300000000000004</c:v>
                </c:pt>
                <c:pt idx="8">
                  <c:v>0.28300000000000003</c:v>
                </c:pt>
                <c:pt idx="9">
                  <c:v>0.26400000000000001</c:v>
                </c:pt>
                <c:pt idx="10">
                  <c:v>0.23799999999999999</c:v>
                </c:pt>
                <c:pt idx="11">
                  <c:v>0.223</c:v>
                </c:pt>
              </c:numCache>
            </c:numRef>
          </c:val>
          <c:smooth val="0"/>
          <c:extLst>
            <c:ext xmlns:c16="http://schemas.microsoft.com/office/drawing/2014/chart" uri="{C3380CC4-5D6E-409C-BE32-E72D297353CC}">
              <c16:uniqueId val="{00000005-A88A-4BE0-A623-CCF3545F1F64}"/>
            </c:ext>
          </c:extLst>
        </c:ser>
        <c:ser>
          <c:idx val="6"/>
          <c:order val="6"/>
          <c:tx>
            <c:strRef>
              <c:f>HPC!$A$8</c:f>
              <c:strCache>
                <c:ptCount val="1"/>
                <c:pt idx="0">
                  <c:v>InterCommunity Health Network</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HPC!$B$8:$M$8</c:f>
              <c:numCache>
                <c:formatCode>0.0%</c:formatCode>
                <c:ptCount val="12"/>
                <c:pt idx="0">
                  <c:v>0.32900000000000001</c:v>
                </c:pt>
                <c:pt idx="1">
                  <c:v>0.25900000000000001</c:v>
                </c:pt>
                <c:pt idx="2">
                  <c:v>0.24</c:v>
                </c:pt>
                <c:pt idx="3">
                  <c:v>0.25800000000000001</c:v>
                </c:pt>
                <c:pt idx="4">
                  <c:v>0.27399999999999997</c:v>
                </c:pt>
                <c:pt idx="5">
                  <c:v>0.25900000000000001</c:v>
                </c:pt>
                <c:pt idx="6">
                  <c:v>0.29899999999999999</c:v>
                </c:pt>
                <c:pt idx="7">
                  <c:v>0.27899999999999997</c:v>
                </c:pt>
                <c:pt idx="8">
                  <c:v>0.318</c:v>
                </c:pt>
                <c:pt idx="9">
                  <c:v>0.30199999999999999</c:v>
                </c:pt>
                <c:pt idx="10">
                  <c:v>0.28199999999999997</c:v>
                </c:pt>
                <c:pt idx="11">
                  <c:v>0.254</c:v>
                </c:pt>
              </c:numCache>
            </c:numRef>
          </c:val>
          <c:smooth val="0"/>
          <c:extLst>
            <c:ext xmlns:c16="http://schemas.microsoft.com/office/drawing/2014/chart" uri="{C3380CC4-5D6E-409C-BE32-E72D297353CC}">
              <c16:uniqueId val="{00000006-A88A-4BE0-A623-CCF3545F1F64}"/>
            </c:ext>
          </c:extLst>
        </c:ser>
        <c:ser>
          <c:idx val="7"/>
          <c:order val="7"/>
          <c:tx>
            <c:strRef>
              <c:f>HPC!$A$9</c:f>
              <c:strCache>
                <c:ptCount val="1"/>
                <c:pt idx="0">
                  <c:v>Jackson Care Connect</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HPC!$B$9:$M$9</c:f>
              <c:numCache>
                <c:formatCode>0.0%</c:formatCode>
                <c:ptCount val="12"/>
                <c:pt idx="0">
                  <c:v>0.14699999999999999</c:v>
                </c:pt>
                <c:pt idx="1">
                  <c:v>0.33899999999999997</c:v>
                </c:pt>
                <c:pt idx="2">
                  <c:v>0.29799999999999999</c:v>
                </c:pt>
                <c:pt idx="3">
                  <c:v>0.318</c:v>
                </c:pt>
                <c:pt idx="4">
                  <c:v>0.28000000000000003</c:v>
                </c:pt>
                <c:pt idx="5">
                  <c:v>0.25800000000000001</c:v>
                </c:pt>
                <c:pt idx="6">
                  <c:v>0.35600000000000004</c:v>
                </c:pt>
                <c:pt idx="7">
                  <c:v>0.307</c:v>
                </c:pt>
                <c:pt idx="8">
                  <c:v>0.27100000000000002</c:v>
                </c:pt>
                <c:pt idx="9">
                  <c:v>0.24199999999999999</c:v>
                </c:pt>
                <c:pt idx="10">
                  <c:v>0.22</c:v>
                </c:pt>
                <c:pt idx="11">
                  <c:v>0.20699999999999999</c:v>
                </c:pt>
              </c:numCache>
            </c:numRef>
          </c:val>
          <c:smooth val="0"/>
          <c:extLst>
            <c:ext xmlns:c16="http://schemas.microsoft.com/office/drawing/2014/chart" uri="{C3380CC4-5D6E-409C-BE32-E72D297353CC}">
              <c16:uniqueId val="{00000007-A88A-4BE0-A623-CCF3545F1F64}"/>
            </c:ext>
          </c:extLst>
        </c:ser>
        <c:ser>
          <c:idx val="8"/>
          <c:order val="8"/>
          <c:tx>
            <c:strRef>
              <c:f>HPC!$A$10</c:f>
              <c:strCache>
                <c:ptCount val="1"/>
                <c:pt idx="0">
                  <c:v>PacificSource Central</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HPC!$B$10:$M$10</c:f>
              <c:numCache>
                <c:formatCode>0.0%</c:formatCode>
                <c:ptCount val="12"/>
                <c:pt idx="0">
                  <c:v>0.18</c:v>
                </c:pt>
                <c:pt idx="1">
                  <c:v>0.184</c:v>
                </c:pt>
                <c:pt idx="2">
                  <c:v>0.26400000000000001</c:v>
                </c:pt>
                <c:pt idx="3">
                  <c:v>0.217</c:v>
                </c:pt>
                <c:pt idx="4">
                  <c:v>0.252</c:v>
                </c:pt>
                <c:pt idx="5">
                  <c:v>0.23</c:v>
                </c:pt>
                <c:pt idx="6">
                  <c:v>0.29100000000000004</c:v>
                </c:pt>
                <c:pt idx="7">
                  <c:v>0.26400000000000001</c:v>
                </c:pt>
                <c:pt idx="8">
                  <c:v>0.21</c:v>
                </c:pt>
                <c:pt idx="9">
                  <c:v>0.22700000000000001</c:v>
                </c:pt>
                <c:pt idx="10">
                  <c:v>0.20599999999999999</c:v>
                </c:pt>
                <c:pt idx="11">
                  <c:v>0.18099999999999999</c:v>
                </c:pt>
              </c:numCache>
            </c:numRef>
          </c:val>
          <c:smooth val="0"/>
          <c:extLst>
            <c:ext xmlns:c16="http://schemas.microsoft.com/office/drawing/2014/chart" uri="{C3380CC4-5D6E-409C-BE32-E72D297353CC}">
              <c16:uniqueId val="{00000008-A88A-4BE0-A623-CCF3545F1F64}"/>
            </c:ext>
          </c:extLst>
        </c:ser>
        <c:ser>
          <c:idx val="9"/>
          <c:order val="9"/>
          <c:tx>
            <c:strRef>
              <c:f>HPC!$A$11</c:f>
              <c:strCache>
                <c:ptCount val="1"/>
                <c:pt idx="0">
                  <c:v>PacificSource Gorge</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HPC!$B$11:$M$11</c:f>
              <c:numCache>
                <c:formatCode>0.0%</c:formatCode>
                <c:ptCount val="12"/>
                <c:pt idx="0">
                  <c:v>0.26400000000000001</c:v>
                </c:pt>
                <c:pt idx="1">
                  <c:v>0.27600000000000002</c:v>
                </c:pt>
                <c:pt idx="2">
                  <c:v>0.26100000000000001</c:v>
                </c:pt>
                <c:pt idx="3">
                  <c:v>0.21</c:v>
                </c:pt>
                <c:pt idx="4">
                  <c:v>0.21199999999999999</c:v>
                </c:pt>
                <c:pt idx="5">
                  <c:v>0.222</c:v>
                </c:pt>
                <c:pt idx="6">
                  <c:v>0.26400000000000001</c:v>
                </c:pt>
                <c:pt idx="7">
                  <c:v>0.254</c:v>
                </c:pt>
                <c:pt idx="8">
                  <c:v>0.21100000000000002</c:v>
                </c:pt>
                <c:pt idx="9">
                  <c:v>0.246</c:v>
                </c:pt>
                <c:pt idx="10">
                  <c:v>0.19600000000000001</c:v>
                </c:pt>
                <c:pt idx="11">
                  <c:v>0.19500000000000001</c:v>
                </c:pt>
              </c:numCache>
            </c:numRef>
          </c:val>
          <c:smooth val="0"/>
          <c:extLst>
            <c:ext xmlns:c16="http://schemas.microsoft.com/office/drawing/2014/chart" uri="{C3380CC4-5D6E-409C-BE32-E72D297353CC}">
              <c16:uniqueId val="{00000009-A88A-4BE0-A623-CCF3545F1F64}"/>
            </c:ext>
          </c:extLst>
        </c:ser>
        <c:ser>
          <c:idx val="10"/>
          <c:order val="10"/>
          <c:tx>
            <c:strRef>
              <c:f>HPC!$A$12</c:f>
              <c:strCache>
                <c:ptCount val="1"/>
                <c:pt idx="0">
                  <c:v>PacificSource Lane</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HPC!$B$12:$M$12</c:f>
              <c:numCache>
                <c:formatCode>General</c:formatCode>
                <c:ptCount val="12"/>
                <c:pt idx="6" formatCode="0.0%">
                  <c:v>0.23699999999999999</c:v>
                </c:pt>
                <c:pt idx="7" formatCode="0.0%">
                  <c:v>0.158</c:v>
                </c:pt>
                <c:pt idx="8" formatCode="0.0%">
                  <c:v>0.20300000000000001</c:v>
                </c:pt>
                <c:pt idx="9" formatCode="0.0%">
                  <c:v>0.20799999999999999</c:v>
                </c:pt>
                <c:pt idx="10" formatCode="0.0%">
                  <c:v>0.20200000000000001</c:v>
                </c:pt>
                <c:pt idx="11" formatCode="0.0%">
                  <c:v>0.17699999999999999</c:v>
                </c:pt>
              </c:numCache>
            </c:numRef>
          </c:val>
          <c:smooth val="0"/>
          <c:extLst>
            <c:ext xmlns:c16="http://schemas.microsoft.com/office/drawing/2014/chart" uri="{C3380CC4-5D6E-409C-BE32-E72D297353CC}">
              <c16:uniqueId val="{0000000A-A88A-4BE0-A623-CCF3545F1F64}"/>
            </c:ext>
          </c:extLst>
        </c:ser>
        <c:ser>
          <c:idx val="11"/>
          <c:order val="11"/>
          <c:tx>
            <c:strRef>
              <c:f>HPC!$A$13</c:f>
              <c:strCache>
                <c:ptCount val="1"/>
                <c:pt idx="0">
                  <c:v>PacificSource Marion Polk</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HPC!$B$13:$M$13</c:f>
              <c:numCache>
                <c:formatCode>General</c:formatCode>
                <c:ptCount val="12"/>
                <c:pt idx="6" formatCode="0.0%">
                  <c:v>0.27300000000000002</c:v>
                </c:pt>
                <c:pt idx="7" formatCode="0.0%">
                  <c:v>0.27200000000000002</c:v>
                </c:pt>
                <c:pt idx="8" formatCode="0.0%">
                  <c:v>0.26500000000000001</c:v>
                </c:pt>
                <c:pt idx="9" formatCode="0.0%">
                  <c:v>0.253</c:v>
                </c:pt>
                <c:pt idx="10" formatCode="0.0%">
                  <c:v>0.249</c:v>
                </c:pt>
                <c:pt idx="11" formatCode="0.0%">
                  <c:v>0.251</c:v>
                </c:pt>
              </c:numCache>
            </c:numRef>
          </c:val>
          <c:smooth val="0"/>
          <c:extLst>
            <c:ext xmlns:c16="http://schemas.microsoft.com/office/drawing/2014/chart" uri="{C3380CC4-5D6E-409C-BE32-E72D297353CC}">
              <c16:uniqueId val="{0000000B-A88A-4BE0-A623-CCF3545F1F64}"/>
            </c:ext>
          </c:extLst>
        </c:ser>
        <c:ser>
          <c:idx val="12"/>
          <c:order val="12"/>
          <c:tx>
            <c:strRef>
              <c:f>HPC!$A$14</c:f>
              <c:strCache>
                <c:ptCount val="1"/>
                <c:pt idx="0">
                  <c:v>Statewide</c:v>
                </c:pt>
              </c:strCache>
            </c:strRef>
          </c:tx>
          <c:spPr>
            <a:ln w="28575" cap="rnd">
              <a:solidFill>
                <a:schemeClr val="accent1">
                  <a:lumMod val="75000"/>
                </a:schemeClr>
              </a:solid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HPC!$B$14:$M$14</c:f>
              <c:numCache>
                <c:formatCode>0.0%</c:formatCode>
                <c:ptCount val="12"/>
                <c:pt idx="0">
                  <c:v>0.26300000000000001</c:v>
                </c:pt>
                <c:pt idx="1">
                  <c:v>0.26700000000000002</c:v>
                </c:pt>
                <c:pt idx="2">
                  <c:v>0.254</c:v>
                </c:pt>
                <c:pt idx="3">
                  <c:v>0.23600000000000002</c:v>
                </c:pt>
                <c:pt idx="4">
                  <c:v>0.23399999999999999</c:v>
                </c:pt>
                <c:pt idx="5">
                  <c:v>0.215</c:v>
                </c:pt>
                <c:pt idx="6">
                  <c:v>0.28999999999999998</c:v>
                </c:pt>
                <c:pt idx="7">
                  <c:v>0.27</c:v>
                </c:pt>
                <c:pt idx="8">
                  <c:v>0.25900000000000001</c:v>
                </c:pt>
                <c:pt idx="9">
                  <c:v>0.246</c:v>
                </c:pt>
                <c:pt idx="10">
                  <c:v>0.22900000000000001</c:v>
                </c:pt>
                <c:pt idx="11">
                  <c:v>0.21</c:v>
                </c:pt>
              </c:numCache>
            </c:numRef>
          </c:val>
          <c:smooth val="0"/>
          <c:extLst>
            <c:ext xmlns:c16="http://schemas.microsoft.com/office/drawing/2014/chart" uri="{C3380CC4-5D6E-409C-BE32-E72D297353CC}">
              <c16:uniqueId val="{0000000C-A88A-4BE0-A623-CCF3545F1F64}"/>
            </c:ext>
          </c:extLst>
        </c:ser>
        <c:ser>
          <c:idx val="13"/>
          <c:order val="13"/>
          <c:tx>
            <c:strRef>
              <c:f>HPC!$A$15</c:f>
              <c:strCache>
                <c:ptCount val="1"/>
                <c:pt idx="0">
                  <c:v>Trillium North</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HPC!$B$15:$M$15</c:f>
              <c:numCache>
                <c:formatCode>General</c:formatCode>
                <c:ptCount val="12"/>
                <c:pt idx="7" formatCode="0.0%">
                  <c:v>0.35200000000000004</c:v>
                </c:pt>
                <c:pt idx="8" formatCode="0.0%">
                  <c:v>0.24100000000000002</c:v>
                </c:pt>
                <c:pt idx="9" formatCode="0.0%">
                  <c:v>0.20399999999999999</c:v>
                </c:pt>
                <c:pt idx="10" formatCode="0.0%">
                  <c:v>0.218</c:v>
                </c:pt>
                <c:pt idx="11" formatCode="0.0%">
                  <c:v>0.161</c:v>
                </c:pt>
              </c:numCache>
            </c:numRef>
          </c:val>
          <c:smooth val="0"/>
          <c:extLst>
            <c:ext xmlns:c16="http://schemas.microsoft.com/office/drawing/2014/chart" uri="{C3380CC4-5D6E-409C-BE32-E72D297353CC}">
              <c16:uniqueId val="{0000000D-A88A-4BE0-A623-CCF3545F1F64}"/>
            </c:ext>
          </c:extLst>
        </c:ser>
        <c:ser>
          <c:idx val="14"/>
          <c:order val="14"/>
          <c:tx>
            <c:strRef>
              <c:f>HPC!$A$16</c:f>
              <c:strCache>
                <c:ptCount val="1"/>
                <c:pt idx="0">
                  <c:v>Trillium South</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HPC!$B$16:$M$16</c:f>
              <c:numCache>
                <c:formatCode>0.0%</c:formatCode>
                <c:ptCount val="12"/>
                <c:pt idx="0">
                  <c:v>0.26300000000000001</c:v>
                </c:pt>
                <c:pt idx="1">
                  <c:v>0.22899999999999998</c:v>
                </c:pt>
                <c:pt idx="2">
                  <c:v>0.222</c:v>
                </c:pt>
                <c:pt idx="3">
                  <c:v>0.187</c:v>
                </c:pt>
                <c:pt idx="4">
                  <c:v>0.19700000000000001</c:v>
                </c:pt>
                <c:pt idx="5">
                  <c:v>0.16399999999999998</c:v>
                </c:pt>
                <c:pt idx="6">
                  <c:v>0.30199999999999999</c:v>
                </c:pt>
                <c:pt idx="7">
                  <c:v>0.30299999999999999</c:v>
                </c:pt>
                <c:pt idx="8">
                  <c:v>0.217</c:v>
                </c:pt>
                <c:pt idx="9">
                  <c:v>0.245</c:v>
                </c:pt>
                <c:pt idx="10">
                  <c:v>0.184</c:v>
                </c:pt>
                <c:pt idx="11">
                  <c:v>0.20200000000000001</c:v>
                </c:pt>
              </c:numCache>
            </c:numRef>
          </c:val>
          <c:smooth val="0"/>
          <c:extLst>
            <c:ext xmlns:c16="http://schemas.microsoft.com/office/drawing/2014/chart" uri="{C3380CC4-5D6E-409C-BE32-E72D297353CC}">
              <c16:uniqueId val="{0000000E-A88A-4BE0-A623-CCF3545F1F64}"/>
            </c:ext>
          </c:extLst>
        </c:ser>
        <c:ser>
          <c:idx val="15"/>
          <c:order val="15"/>
          <c:tx>
            <c:strRef>
              <c:f>HPC!$A$17</c:f>
              <c:strCache>
                <c:ptCount val="1"/>
                <c:pt idx="0">
                  <c:v>Umpqua Health Alliance</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HPC!$B$17:$M$17</c:f>
              <c:numCache>
                <c:formatCode>0.0%</c:formatCode>
                <c:ptCount val="12"/>
                <c:pt idx="0">
                  <c:v>0.28399999999999997</c:v>
                </c:pt>
                <c:pt idx="1">
                  <c:v>0.27100000000000002</c:v>
                </c:pt>
                <c:pt idx="2">
                  <c:v>0.22899999999999998</c:v>
                </c:pt>
                <c:pt idx="3">
                  <c:v>0.21</c:v>
                </c:pt>
                <c:pt idx="4">
                  <c:v>0.23699999999999999</c:v>
                </c:pt>
                <c:pt idx="5">
                  <c:v>0.26</c:v>
                </c:pt>
                <c:pt idx="6">
                  <c:v>0.33200000000000002</c:v>
                </c:pt>
                <c:pt idx="7">
                  <c:v>0.42600000000000005</c:v>
                </c:pt>
                <c:pt idx="8">
                  <c:v>0.38700000000000001</c:v>
                </c:pt>
                <c:pt idx="9">
                  <c:v>0.31</c:v>
                </c:pt>
                <c:pt idx="10">
                  <c:v>0.23499999999999999</c:v>
                </c:pt>
                <c:pt idx="11">
                  <c:v>0.21299999999999999</c:v>
                </c:pt>
              </c:numCache>
            </c:numRef>
          </c:val>
          <c:smooth val="0"/>
          <c:extLst>
            <c:ext xmlns:c16="http://schemas.microsoft.com/office/drawing/2014/chart" uri="{C3380CC4-5D6E-409C-BE32-E72D297353CC}">
              <c16:uniqueId val="{0000000F-A88A-4BE0-A623-CCF3545F1F64}"/>
            </c:ext>
          </c:extLst>
        </c:ser>
        <c:ser>
          <c:idx val="16"/>
          <c:order val="16"/>
          <c:tx>
            <c:strRef>
              <c:f>HPC!$A$18</c:f>
              <c:strCache>
                <c:ptCount val="1"/>
                <c:pt idx="0">
                  <c:v>Yamhill Community Care</c:v>
                </c:pt>
              </c:strCache>
            </c:strRef>
          </c:tx>
          <c:spPr>
            <a:ln w="28575" cap="rnd">
              <a:noFill/>
              <a:round/>
            </a:ln>
            <a:effectLst/>
          </c:spPr>
          <c:marker>
            <c:symbol val="circle"/>
            <c:size val="6"/>
            <c:spPr>
              <a:noFill/>
              <a:ln w="9525">
                <a:solidFill>
                  <a:srgbClr val="606060"/>
                </a:solidFill>
              </a:ln>
              <a:effectLst/>
            </c:spPr>
          </c:marker>
          <c:cat>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HPC!$B$18:$M$18</c:f>
              <c:numCache>
                <c:formatCode>0.0%</c:formatCode>
                <c:ptCount val="12"/>
                <c:pt idx="0">
                  <c:v>0.23699999999999999</c:v>
                </c:pt>
                <c:pt idx="1">
                  <c:v>0.22600000000000001</c:v>
                </c:pt>
                <c:pt idx="2">
                  <c:v>0.25600000000000001</c:v>
                </c:pt>
                <c:pt idx="3">
                  <c:v>0.253</c:v>
                </c:pt>
                <c:pt idx="4">
                  <c:v>0.28000000000000003</c:v>
                </c:pt>
                <c:pt idx="5">
                  <c:v>0.25900000000000001</c:v>
                </c:pt>
                <c:pt idx="6">
                  <c:v>0.3</c:v>
                </c:pt>
                <c:pt idx="7">
                  <c:v>0.26800000000000002</c:v>
                </c:pt>
                <c:pt idx="8">
                  <c:v>0.25600000000000001</c:v>
                </c:pt>
                <c:pt idx="9">
                  <c:v>0.24299999999999999</c:v>
                </c:pt>
                <c:pt idx="10">
                  <c:v>0.19400000000000001</c:v>
                </c:pt>
                <c:pt idx="11">
                  <c:v>0.222</c:v>
                </c:pt>
              </c:numCache>
            </c:numRef>
          </c:val>
          <c:smooth val="0"/>
          <c:extLst>
            <c:ext xmlns:c16="http://schemas.microsoft.com/office/drawing/2014/chart" uri="{C3380CC4-5D6E-409C-BE32-E72D297353CC}">
              <c16:uniqueId val="{00000010-A88A-4BE0-A623-CCF3545F1F64}"/>
            </c:ext>
          </c:extLst>
        </c:ser>
        <c:dLbls>
          <c:showLegendKey val="0"/>
          <c:showVal val="0"/>
          <c:showCatName val="0"/>
          <c:showSerName val="0"/>
          <c:showPercent val="0"/>
          <c:showBubbleSize val="0"/>
        </c:dLbls>
        <c:marker val="1"/>
        <c:smooth val="0"/>
        <c:axId val="818639439"/>
        <c:axId val="818644719"/>
      </c:lineChart>
      <c:scatterChart>
        <c:scatterStyle val="lineMarker"/>
        <c:varyColors val="0"/>
        <c:ser>
          <c:idx val="18"/>
          <c:order val="17"/>
          <c:tx>
            <c:strRef>
              <c:f>HPC!$A$20</c:f>
              <c:strCache>
                <c:ptCount val="1"/>
                <c:pt idx="0">
                  <c:v>CCO statewide</c:v>
                </c:pt>
              </c:strCache>
            </c:strRef>
          </c:tx>
          <c:spPr>
            <a:ln w="25400" cap="rnd">
              <a:noFill/>
              <a:round/>
            </a:ln>
            <a:effectLst/>
          </c:spPr>
          <c:marker>
            <c:symbol val="circle"/>
            <c:size val="6"/>
            <c:spPr>
              <a:solidFill>
                <a:schemeClr val="accent1">
                  <a:lumMod val="75000"/>
                </a:schemeClr>
              </a:solidFill>
              <a:ln w="9525">
                <a:solidFill>
                  <a:schemeClr val="accent1">
                    <a:lumMod val="75000"/>
                  </a:schemeClr>
                </a:solidFill>
              </a:ln>
              <a:effectLst/>
            </c:spPr>
          </c:marker>
          <c:xVal>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HPC!$B$20:$M$20</c:f>
              <c:numCache>
                <c:formatCode>0.0%</c:formatCode>
                <c:ptCount val="12"/>
                <c:pt idx="0">
                  <c:v>0.26300000000000001</c:v>
                </c:pt>
                <c:pt idx="1">
                  <c:v>0.26700000000000002</c:v>
                </c:pt>
                <c:pt idx="2">
                  <c:v>0.254</c:v>
                </c:pt>
                <c:pt idx="3">
                  <c:v>0.23600000000000002</c:v>
                </c:pt>
                <c:pt idx="4">
                  <c:v>0.23399999999999999</c:v>
                </c:pt>
                <c:pt idx="5">
                  <c:v>0.215</c:v>
                </c:pt>
                <c:pt idx="6">
                  <c:v>0.28999999999999998</c:v>
                </c:pt>
                <c:pt idx="7">
                  <c:v>0.27</c:v>
                </c:pt>
                <c:pt idx="8">
                  <c:v>0.25900000000000001</c:v>
                </c:pt>
                <c:pt idx="9">
                  <c:v>0.246</c:v>
                </c:pt>
                <c:pt idx="10">
                  <c:v>0.22900000000000001</c:v>
                </c:pt>
                <c:pt idx="11">
                  <c:v>0.21</c:v>
                </c:pt>
              </c:numCache>
            </c:numRef>
          </c:yVal>
          <c:smooth val="0"/>
          <c:extLst>
            <c:ext xmlns:c16="http://schemas.microsoft.com/office/drawing/2014/chart" uri="{C3380CC4-5D6E-409C-BE32-E72D297353CC}">
              <c16:uniqueId val="{00000011-A88A-4BE0-A623-CCF3545F1F64}"/>
            </c:ext>
          </c:extLst>
        </c:ser>
        <c:ser>
          <c:idx val="17"/>
          <c:order val="18"/>
          <c:tx>
            <c:strRef>
              <c:f>HPC!$A$19</c:f>
              <c:strCache>
                <c:ptCount val="1"/>
                <c:pt idx="0">
                  <c:v>Individual CCOs</c:v>
                </c:pt>
              </c:strCache>
            </c:strRef>
          </c:tx>
          <c:spPr>
            <a:ln w="25400" cap="rnd">
              <a:noFill/>
              <a:round/>
            </a:ln>
            <a:effectLst/>
          </c:spPr>
          <c:marker>
            <c:symbol val="circle"/>
            <c:size val="6"/>
            <c:spPr>
              <a:noFill/>
              <a:ln w="9525">
                <a:solidFill>
                  <a:srgbClr val="606060"/>
                </a:solidFill>
              </a:ln>
              <a:effectLst/>
            </c:spPr>
          </c:marker>
          <c:xVal>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HPC!$B$19:$M$19</c:f>
              <c:numCache>
                <c:formatCode>0.0%</c:formatCode>
                <c:ptCount val="12"/>
                <c:pt idx="0">
                  <c:v>0.23699999999999999</c:v>
                </c:pt>
                <c:pt idx="1">
                  <c:v>0.22600000000000001</c:v>
                </c:pt>
                <c:pt idx="2">
                  <c:v>0.25600000000000001</c:v>
                </c:pt>
                <c:pt idx="3">
                  <c:v>0.253</c:v>
                </c:pt>
                <c:pt idx="4">
                  <c:v>0.28000000000000003</c:v>
                </c:pt>
                <c:pt idx="5">
                  <c:v>0.25900000000000001</c:v>
                </c:pt>
                <c:pt idx="6">
                  <c:v>0.3</c:v>
                </c:pt>
                <c:pt idx="7">
                  <c:v>0.26800000000000002</c:v>
                </c:pt>
                <c:pt idx="8">
                  <c:v>0.25600000000000001</c:v>
                </c:pt>
                <c:pt idx="9">
                  <c:v>0.24299999999999999</c:v>
                </c:pt>
                <c:pt idx="10">
                  <c:v>0.19400000000000001</c:v>
                </c:pt>
                <c:pt idx="11">
                  <c:v>0.222</c:v>
                </c:pt>
              </c:numCache>
            </c:numRef>
          </c:yVal>
          <c:smooth val="0"/>
          <c:extLst>
            <c:ext xmlns:c16="http://schemas.microsoft.com/office/drawing/2014/chart" uri="{C3380CC4-5D6E-409C-BE32-E72D297353CC}">
              <c16:uniqueId val="{00000012-A88A-4BE0-A623-CCF3545F1F64}"/>
            </c:ext>
          </c:extLst>
        </c:ser>
        <c:ser>
          <c:idx val="19"/>
          <c:order val="19"/>
          <c:tx>
            <c:strRef>
              <c:f>HPC!$A$21</c:f>
              <c:strCache>
                <c:ptCount val="1"/>
                <c:pt idx="0">
                  <c:v>Benchmark</c:v>
                </c:pt>
              </c:strCache>
            </c:strRef>
          </c:tx>
          <c:spPr>
            <a:ln w="25400" cap="rnd">
              <a:noFill/>
              <a:round/>
            </a:ln>
            <a:effectLst/>
          </c:spPr>
          <c:marker>
            <c:symbol val="dash"/>
            <c:size val="14"/>
            <c:spPr>
              <a:solidFill>
                <a:schemeClr val="accent2">
                  <a:lumMod val="75000"/>
                </a:schemeClr>
              </a:solidFill>
              <a:ln w="9525">
                <a:solidFill>
                  <a:schemeClr val="bg1"/>
                </a:solidFill>
              </a:ln>
              <a:effectLst/>
            </c:spPr>
          </c:marker>
          <c:dLbls>
            <c:dLbl>
              <c:idx val="0"/>
              <c:tx>
                <c:rich>
                  <a:bodyPr/>
                  <a:lstStyle/>
                  <a:p>
                    <a:r>
                      <a:rPr lang="en-US" sz="1100">
                        <a:solidFill>
                          <a:schemeClr val="accent2">
                            <a:lumMod val="50000"/>
                          </a:schemeClr>
                        </a:solidFill>
                      </a:rPr>
                      <a:t>Benchmark</a:t>
                    </a:r>
                    <a:endParaRPr lang="en-US">
                      <a:solidFill>
                        <a:schemeClr val="accent2">
                          <a:lumMod val="50000"/>
                        </a:schemeClr>
                      </a:solidFill>
                    </a:endParaRP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A88A-4BE0-A623-CCF3545F1F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HPC!$B$1:$M$1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HPC!$B$21:$M$21</c:f>
              <c:numCache>
                <c:formatCode>0.0%</c:formatCode>
                <c:ptCount val="12"/>
                <c:pt idx="0">
                  <c:v>0.34</c:v>
                </c:pt>
                <c:pt idx="1">
                  <c:v>0.34</c:v>
                </c:pt>
                <c:pt idx="2">
                  <c:v>0.19</c:v>
                </c:pt>
                <c:pt idx="3">
                  <c:v>0.19</c:v>
                </c:pt>
                <c:pt idx="4">
                  <c:v>0.22600000000000001</c:v>
                </c:pt>
                <c:pt idx="5">
                  <c:v>0.217</c:v>
                </c:pt>
                <c:pt idx="6">
                  <c:v>0.23400000000000001</c:v>
                </c:pt>
                <c:pt idx="7">
                  <c:v>0.33300000000000002</c:v>
                </c:pt>
                <c:pt idx="8">
                  <c:v>0.27500000000000002</c:v>
                </c:pt>
                <c:pt idx="9">
                  <c:v>0.248</c:v>
                </c:pt>
                <c:pt idx="10">
                  <c:v>0.21100000000000002</c:v>
                </c:pt>
                <c:pt idx="11">
                  <c:v>0.2</c:v>
                </c:pt>
              </c:numCache>
            </c:numRef>
          </c:yVal>
          <c:smooth val="0"/>
          <c:extLst>
            <c:ext xmlns:c16="http://schemas.microsoft.com/office/drawing/2014/chart" uri="{C3380CC4-5D6E-409C-BE32-E72D297353CC}">
              <c16:uniqueId val="{00000014-A88A-4BE0-A623-CCF3545F1F64}"/>
            </c:ext>
          </c:extLst>
        </c:ser>
        <c:dLbls>
          <c:showLegendKey val="0"/>
          <c:showVal val="0"/>
          <c:showCatName val="0"/>
          <c:showSerName val="0"/>
          <c:showPercent val="0"/>
          <c:showBubbleSize val="0"/>
        </c:dLbls>
        <c:axId val="818639439"/>
        <c:axId val="818644719"/>
      </c:scatterChart>
      <c:catAx>
        <c:axId val="818639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818644719"/>
        <c:crosses val="autoZero"/>
        <c:auto val="1"/>
        <c:lblAlgn val="ctr"/>
        <c:lblOffset val="100"/>
        <c:noMultiLvlLbl val="0"/>
      </c:catAx>
      <c:valAx>
        <c:axId val="818644719"/>
        <c:scaling>
          <c:orientation val="minMax"/>
          <c:max val="1"/>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818639439"/>
        <c:crosses val="autoZero"/>
        <c:crossBetween val="between"/>
        <c:majorUnit val="0.5"/>
        <c:minorUnit val="0.25"/>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9"/>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solidFill>
                  <a:schemeClr val="accent1">
                    <a:lumMod val="75000"/>
                  </a:schemeClr>
                </a:solidFill>
                <a:latin typeface="+mn-lt"/>
              </a:rPr>
              <a:t>Initiation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IET_INI_18!$A$18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IET_INI_18!$B$1:$H$1</c:f>
              <c:strCache>
                <c:ptCount val="7"/>
                <c:pt idx="0">
                  <c:v>'19</c:v>
                </c:pt>
                <c:pt idx="1">
                  <c:v>'20</c:v>
                </c:pt>
                <c:pt idx="2">
                  <c:v>'21</c:v>
                </c:pt>
                <c:pt idx="3">
                  <c:v>'22</c:v>
                </c:pt>
                <c:pt idx="4">
                  <c:v>'23</c:v>
                </c:pt>
                <c:pt idx="5">
                  <c:v>'24</c:v>
                </c:pt>
                <c:pt idx="6">
                  <c:v>'25</c:v>
                </c:pt>
              </c:strCache>
            </c:strRef>
          </c:cat>
          <c:val>
            <c:numRef>
              <c:f>IET_INI_18!$B$18:$H$18</c:f>
              <c:numCache>
                <c:formatCode>0.0%</c:formatCode>
                <c:ptCount val="7"/>
                <c:pt idx="0">
                  <c:v>0.37</c:v>
                </c:pt>
                <c:pt idx="1">
                  <c:v>0.42499999999999999</c:v>
                </c:pt>
                <c:pt idx="2">
                  <c:v>0.42200000000000004</c:v>
                </c:pt>
                <c:pt idx="3">
                  <c:v>0.40799999999999997</c:v>
                </c:pt>
                <c:pt idx="4">
                  <c:v>0.41699999999999998</c:v>
                </c:pt>
                <c:pt idx="5">
                  <c:v>0.36700000000000005</c:v>
                </c:pt>
                <c:pt idx="6">
                  <c:v>0.39600000000000002</c:v>
                </c:pt>
              </c:numCache>
            </c:numRef>
          </c:val>
          <c:smooth val="0"/>
          <c:extLst>
            <c:ext xmlns:c16="http://schemas.microsoft.com/office/drawing/2014/chart" uri="{C3380CC4-5D6E-409C-BE32-E72D297353CC}">
              <c16:uniqueId val="{00000000-583D-4CE2-9F8F-DD89CA0FBF4E}"/>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IET_INI_18!$A$2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IET_INI_18!$B$2:$H$2</c:f>
              <c:numCache>
                <c:formatCode>0.0%</c:formatCode>
                <c:ptCount val="7"/>
                <c:pt idx="0">
                  <c:v>0.30100000000000005</c:v>
                </c:pt>
                <c:pt idx="1">
                  <c:v>0.378</c:v>
                </c:pt>
                <c:pt idx="2">
                  <c:v>0.316</c:v>
                </c:pt>
                <c:pt idx="3">
                  <c:v>0.34500000000000003</c:v>
                </c:pt>
                <c:pt idx="4">
                  <c:v>0.378</c:v>
                </c:pt>
                <c:pt idx="5">
                  <c:v>0.42699999999999994</c:v>
                </c:pt>
                <c:pt idx="6">
                  <c:v>0.44500000000000001</c:v>
                </c:pt>
              </c:numCache>
            </c:numRef>
          </c:yVal>
          <c:smooth val="0"/>
          <c:extLst>
            <c:ext xmlns:c16="http://schemas.microsoft.com/office/drawing/2014/chart" uri="{C3380CC4-5D6E-409C-BE32-E72D297353CC}">
              <c16:uniqueId val="{00000001-583D-4CE2-9F8F-DD89CA0FBF4E}"/>
            </c:ext>
          </c:extLst>
        </c:ser>
        <c:ser>
          <c:idx val="1"/>
          <c:order val="1"/>
          <c:tx>
            <c:strRef>
              <c:f>IET_INI_18!$A$3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IET_INI_18!$B$3:$H$3</c:f>
              <c:numCache>
                <c:formatCode>0.0%</c:formatCode>
                <c:ptCount val="7"/>
                <c:pt idx="0">
                  <c:v>0.36100000000000004</c:v>
                </c:pt>
                <c:pt idx="1">
                  <c:v>0.36499999999999999</c:v>
                </c:pt>
                <c:pt idx="2">
                  <c:v>0.36700000000000005</c:v>
                </c:pt>
                <c:pt idx="3">
                  <c:v>0.34500000000000003</c:v>
                </c:pt>
                <c:pt idx="4">
                  <c:v>0.376</c:v>
                </c:pt>
                <c:pt idx="5">
                  <c:v>0.38299999999999995</c:v>
                </c:pt>
                <c:pt idx="6">
                  <c:v>0.41499999999999998</c:v>
                </c:pt>
              </c:numCache>
            </c:numRef>
          </c:yVal>
          <c:smooth val="0"/>
          <c:extLst>
            <c:ext xmlns:c16="http://schemas.microsoft.com/office/drawing/2014/chart" uri="{C3380CC4-5D6E-409C-BE32-E72D297353CC}">
              <c16:uniqueId val="{00000002-583D-4CE2-9F8F-DD89CA0FBF4E}"/>
            </c:ext>
          </c:extLst>
        </c:ser>
        <c:ser>
          <c:idx val="2"/>
          <c:order val="2"/>
          <c:tx>
            <c:strRef>
              <c:f>IET_INI_18!$A$4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IET_INI_18!$B$4:$H$4</c:f>
              <c:numCache>
                <c:formatCode>0.0%</c:formatCode>
                <c:ptCount val="7"/>
                <c:pt idx="0">
                  <c:v>0.41299999999999998</c:v>
                </c:pt>
                <c:pt idx="1">
                  <c:v>0.44500000000000001</c:v>
                </c:pt>
                <c:pt idx="2">
                  <c:v>0.45299999999999996</c:v>
                </c:pt>
                <c:pt idx="3">
                  <c:v>0.45200000000000001</c:v>
                </c:pt>
                <c:pt idx="4">
                  <c:v>0.46899999999999997</c:v>
                </c:pt>
                <c:pt idx="5">
                  <c:v>0.43700000000000006</c:v>
                </c:pt>
                <c:pt idx="6">
                  <c:v>0.47499999999999998</c:v>
                </c:pt>
              </c:numCache>
            </c:numRef>
          </c:yVal>
          <c:smooth val="0"/>
          <c:extLst>
            <c:ext xmlns:c16="http://schemas.microsoft.com/office/drawing/2014/chart" uri="{C3380CC4-5D6E-409C-BE32-E72D297353CC}">
              <c16:uniqueId val="{00000003-583D-4CE2-9F8F-DD89CA0FBF4E}"/>
            </c:ext>
          </c:extLst>
        </c:ser>
        <c:ser>
          <c:idx val="3"/>
          <c:order val="3"/>
          <c:tx>
            <c:strRef>
              <c:f>IET_INI_18!$A$5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IET_INI_18!$B$5:$H$5</c:f>
              <c:numCache>
                <c:formatCode>0.0%</c:formatCode>
                <c:ptCount val="7"/>
                <c:pt idx="0">
                  <c:v>0.38400000000000001</c:v>
                </c:pt>
                <c:pt idx="1">
                  <c:v>0.41200000000000003</c:v>
                </c:pt>
                <c:pt idx="2">
                  <c:v>0.38400000000000001</c:v>
                </c:pt>
                <c:pt idx="3">
                  <c:v>0.39200000000000002</c:v>
                </c:pt>
                <c:pt idx="4">
                  <c:v>0.372</c:v>
                </c:pt>
                <c:pt idx="5">
                  <c:v>0.36700000000000005</c:v>
                </c:pt>
                <c:pt idx="6">
                  <c:v>0.36299999999999999</c:v>
                </c:pt>
              </c:numCache>
            </c:numRef>
          </c:yVal>
          <c:smooth val="0"/>
          <c:extLst>
            <c:ext xmlns:c16="http://schemas.microsoft.com/office/drawing/2014/chart" uri="{C3380CC4-5D6E-409C-BE32-E72D297353CC}">
              <c16:uniqueId val="{00000004-583D-4CE2-9F8F-DD89CA0FBF4E}"/>
            </c:ext>
          </c:extLst>
        </c:ser>
        <c:ser>
          <c:idx val="4"/>
          <c:order val="4"/>
          <c:tx>
            <c:strRef>
              <c:f>IET_INI_18!$A$6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IET_INI_18!$B$6:$H$6</c:f>
              <c:numCache>
                <c:formatCode>0.0%</c:formatCode>
                <c:ptCount val="7"/>
                <c:pt idx="0">
                  <c:v>0.371</c:v>
                </c:pt>
                <c:pt idx="1">
                  <c:v>0.35799999999999998</c:v>
                </c:pt>
                <c:pt idx="2">
                  <c:v>0.373</c:v>
                </c:pt>
                <c:pt idx="3">
                  <c:v>0.38500000000000001</c:v>
                </c:pt>
                <c:pt idx="4">
                  <c:v>0.37</c:v>
                </c:pt>
                <c:pt idx="5">
                  <c:v>0.36799999999999999</c:v>
                </c:pt>
                <c:pt idx="6">
                  <c:v>0.36299999999999999</c:v>
                </c:pt>
              </c:numCache>
            </c:numRef>
          </c:yVal>
          <c:smooth val="0"/>
          <c:extLst>
            <c:ext xmlns:c16="http://schemas.microsoft.com/office/drawing/2014/chart" uri="{C3380CC4-5D6E-409C-BE32-E72D297353CC}">
              <c16:uniqueId val="{00000005-583D-4CE2-9F8F-DD89CA0FBF4E}"/>
            </c:ext>
          </c:extLst>
        </c:ser>
        <c:ser>
          <c:idx val="5"/>
          <c:order val="5"/>
          <c:tx>
            <c:strRef>
              <c:f>IET_INI_18!$A$7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IET_INI_18!$B$7:$H$7</c:f>
              <c:numCache>
                <c:formatCode>0.0%</c:formatCode>
                <c:ptCount val="7"/>
                <c:pt idx="0">
                  <c:v>0.39500000000000002</c:v>
                </c:pt>
                <c:pt idx="1">
                  <c:v>0.40399999999999997</c:v>
                </c:pt>
                <c:pt idx="2">
                  <c:v>0.40600000000000003</c:v>
                </c:pt>
                <c:pt idx="3">
                  <c:v>0.42899999999999999</c:v>
                </c:pt>
                <c:pt idx="4">
                  <c:v>0.46100000000000002</c:v>
                </c:pt>
                <c:pt idx="5">
                  <c:v>0.46500000000000002</c:v>
                </c:pt>
                <c:pt idx="6">
                  <c:v>0.46</c:v>
                </c:pt>
              </c:numCache>
            </c:numRef>
          </c:yVal>
          <c:smooth val="0"/>
          <c:extLst>
            <c:ext xmlns:c16="http://schemas.microsoft.com/office/drawing/2014/chart" uri="{C3380CC4-5D6E-409C-BE32-E72D297353CC}">
              <c16:uniqueId val="{00000006-583D-4CE2-9F8F-DD89CA0FBF4E}"/>
            </c:ext>
          </c:extLst>
        </c:ser>
        <c:ser>
          <c:idx val="6"/>
          <c:order val="6"/>
          <c:tx>
            <c:strRef>
              <c:f>IET_INI_18!$A$8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IET_INI_18!$B$8:$H$8</c:f>
              <c:numCache>
                <c:formatCode>0.0%</c:formatCode>
                <c:ptCount val="7"/>
                <c:pt idx="0">
                  <c:v>0.38400000000000001</c:v>
                </c:pt>
                <c:pt idx="1">
                  <c:v>0.39</c:v>
                </c:pt>
                <c:pt idx="2">
                  <c:v>0.36700000000000005</c:v>
                </c:pt>
                <c:pt idx="3">
                  <c:v>0.39700000000000002</c:v>
                </c:pt>
                <c:pt idx="4">
                  <c:v>0.377</c:v>
                </c:pt>
                <c:pt idx="5">
                  <c:v>0.38299999999999995</c:v>
                </c:pt>
                <c:pt idx="6">
                  <c:v>0.42099999999999999</c:v>
                </c:pt>
              </c:numCache>
            </c:numRef>
          </c:yVal>
          <c:smooth val="0"/>
          <c:extLst>
            <c:ext xmlns:c16="http://schemas.microsoft.com/office/drawing/2014/chart" uri="{C3380CC4-5D6E-409C-BE32-E72D297353CC}">
              <c16:uniqueId val="{00000007-583D-4CE2-9F8F-DD89CA0FBF4E}"/>
            </c:ext>
          </c:extLst>
        </c:ser>
        <c:ser>
          <c:idx val="7"/>
          <c:order val="7"/>
          <c:tx>
            <c:strRef>
              <c:f>IET_INI_18!$A$9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IET_INI_18!$B$9:$H$9</c:f>
              <c:numCache>
                <c:formatCode>0.0%</c:formatCode>
                <c:ptCount val="7"/>
                <c:pt idx="0">
                  <c:v>0.40700000000000003</c:v>
                </c:pt>
                <c:pt idx="1">
                  <c:v>0.41299999999999998</c:v>
                </c:pt>
                <c:pt idx="2">
                  <c:v>0.39500000000000002</c:v>
                </c:pt>
                <c:pt idx="3">
                  <c:v>0.38600000000000001</c:v>
                </c:pt>
                <c:pt idx="4">
                  <c:v>0.41599999999999998</c:v>
                </c:pt>
                <c:pt idx="5">
                  <c:v>0.44</c:v>
                </c:pt>
                <c:pt idx="6">
                  <c:v>0.40100000000000002</c:v>
                </c:pt>
              </c:numCache>
            </c:numRef>
          </c:yVal>
          <c:smooth val="0"/>
          <c:extLst>
            <c:ext xmlns:c16="http://schemas.microsoft.com/office/drawing/2014/chart" uri="{C3380CC4-5D6E-409C-BE32-E72D297353CC}">
              <c16:uniqueId val="{00000008-583D-4CE2-9F8F-DD89CA0FBF4E}"/>
            </c:ext>
          </c:extLst>
        </c:ser>
        <c:ser>
          <c:idx val="8"/>
          <c:order val="8"/>
          <c:tx>
            <c:strRef>
              <c:f>IET_INI_18!$A$10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IET_INI_18!$B$10:$H$10</c:f>
              <c:numCache>
                <c:formatCode>0.0%</c:formatCode>
                <c:ptCount val="7"/>
                <c:pt idx="0">
                  <c:v>0.36</c:v>
                </c:pt>
                <c:pt idx="1">
                  <c:v>0.34500000000000003</c:v>
                </c:pt>
                <c:pt idx="2">
                  <c:v>0.36600000000000005</c:v>
                </c:pt>
                <c:pt idx="3">
                  <c:v>0.47100000000000003</c:v>
                </c:pt>
                <c:pt idx="4">
                  <c:v>0.42</c:v>
                </c:pt>
                <c:pt idx="5">
                  <c:v>0.40100000000000002</c:v>
                </c:pt>
                <c:pt idx="6">
                  <c:v>0.41</c:v>
                </c:pt>
              </c:numCache>
            </c:numRef>
          </c:yVal>
          <c:smooth val="0"/>
          <c:extLst>
            <c:ext xmlns:c16="http://schemas.microsoft.com/office/drawing/2014/chart" uri="{C3380CC4-5D6E-409C-BE32-E72D297353CC}">
              <c16:uniqueId val="{00000009-583D-4CE2-9F8F-DD89CA0FBF4E}"/>
            </c:ext>
          </c:extLst>
        </c:ser>
        <c:ser>
          <c:idx val="9"/>
          <c:order val="9"/>
          <c:tx>
            <c:strRef>
              <c:f>IET_INI_18!$A$11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IET_INI_18!$B$11:$H$11</c:f>
              <c:numCache>
                <c:formatCode>0.0%</c:formatCode>
                <c:ptCount val="7"/>
                <c:pt idx="0">
                  <c:v>0.36600000000000005</c:v>
                </c:pt>
                <c:pt idx="1">
                  <c:v>0.42499999999999999</c:v>
                </c:pt>
                <c:pt idx="2">
                  <c:v>0.379</c:v>
                </c:pt>
                <c:pt idx="3">
                  <c:v>0.46200000000000002</c:v>
                </c:pt>
                <c:pt idx="4">
                  <c:v>0.4</c:v>
                </c:pt>
                <c:pt idx="5">
                  <c:v>0.34499999999999997</c:v>
                </c:pt>
                <c:pt idx="6">
                  <c:v>0.28000000000000003</c:v>
                </c:pt>
              </c:numCache>
            </c:numRef>
          </c:yVal>
          <c:smooth val="0"/>
          <c:extLst>
            <c:ext xmlns:c16="http://schemas.microsoft.com/office/drawing/2014/chart" uri="{C3380CC4-5D6E-409C-BE32-E72D297353CC}">
              <c16:uniqueId val="{0000000A-583D-4CE2-9F8F-DD89CA0FBF4E}"/>
            </c:ext>
          </c:extLst>
        </c:ser>
        <c:ser>
          <c:idx val="10"/>
          <c:order val="10"/>
          <c:tx>
            <c:strRef>
              <c:f>IET_INI_18!$A$12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IET_INI_18!$B$12:$H$12</c:f>
              <c:numCache>
                <c:formatCode>0.0%</c:formatCode>
                <c:ptCount val="7"/>
                <c:pt idx="1">
                  <c:v>0.42100000000000004</c:v>
                </c:pt>
                <c:pt idx="2">
                  <c:v>0.42700000000000005</c:v>
                </c:pt>
                <c:pt idx="3">
                  <c:v>0.5</c:v>
                </c:pt>
                <c:pt idx="4">
                  <c:v>0.41499999999999998</c:v>
                </c:pt>
                <c:pt idx="5">
                  <c:v>0.39399999999999996</c:v>
                </c:pt>
                <c:pt idx="6">
                  <c:v>0.41799999999999998</c:v>
                </c:pt>
              </c:numCache>
            </c:numRef>
          </c:yVal>
          <c:smooth val="0"/>
          <c:extLst>
            <c:ext xmlns:c16="http://schemas.microsoft.com/office/drawing/2014/chart" uri="{C3380CC4-5D6E-409C-BE32-E72D297353CC}">
              <c16:uniqueId val="{0000000B-583D-4CE2-9F8F-DD89CA0FBF4E}"/>
            </c:ext>
          </c:extLst>
        </c:ser>
        <c:ser>
          <c:idx val="11"/>
          <c:order val="11"/>
          <c:tx>
            <c:strRef>
              <c:f>IET_INI_18!$A$13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IET_INI_18!$B$13:$H$13</c:f>
              <c:numCache>
                <c:formatCode>0.0%</c:formatCode>
                <c:ptCount val="7"/>
                <c:pt idx="1">
                  <c:v>0.38</c:v>
                </c:pt>
                <c:pt idx="2">
                  <c:v>0.39700000000000002</c:v>
                </c:pt>
                <c:pt idx="3">
                  <c:v>0.46299999999999997</c:v>
                </c:pt>
                <c:pt idx="4">
                  <c:v>0.41099999999999998</c:v>
                </c:pt>
                <c:pt idx="5">
                  <c:v>0.379</c:v>
                </c:pt>
                <c:pt idx="6">
                  <c:v>0.38300000000000001</c:v>
                </c:pt>
              </c:numCache>
            </c:numRef>
          </c:yVal>
          <c:smooth val="0"/>
          <c:extLst>
            <c:ext xmlns:c16="http://schemas.microsoft.com/office/drawing/2014/chart" uri="{C3380CC4-5D6E-409C-BE32-E72D297353CC}">
              <c16:uniqueId val="{0000000C-583D-4CE2-9F8F-DD89CA0FBF4E}"/>
            </c:ext>
          </c:extLst>
        </c:ser>
        <c:ser>
          <c:idx val="13"/>
          <c:order val="12"/>
          <c:tx>
            <c:strRef>
              <c:f>IET_INI_18!$A$14</c:f>
              <c:strCache>
                <c:ptCount val="1"/>
                <c:pt idx="0">
                  <c:v>Statewide</c:v>
                </c:pt>
              </c:strCache>
            </c:strRef>
          </c:tx>
          <c:spPr>
            <a:ln w="28575" cap="rnd">
              <a:solidFill>
                <a:schemeClr val="accent1">
                  <a:lumMod val="75000"/>
                </a:schemeClr>
              </a:solidFill>
              <a:round/>
            </a:ln>
            <a:effectLst/>
          </c:spPr>
          <c:marker>
            <c:symbol val="none"/>
          </c:marker>
          <c:dPt>
            <c:idx val="2"/>
            <c:marker>
              <c:symbol val="none"/>
            </c:marker>
            <c:bubble3D val="0"/>
            <c:extLst>
              <c:ext xmlns:c16="http://schemas.microsoft.com/office/drawing/2014/chart" uri="{C3380CC4-5D6E-409C-BE32-E72D297353CC}">
                <c16:uniqueId val="{0000000D-583D-4CE2-9F8F-DD89CA0FBF4E}"/>
              </c:ext>
            </c:extLst>
          </c:dPt>
          <c:xVal>
            <c:strRef>
              <c:f>IET_INI_18!$B$1:$H$1</c:f>
              <c:strCache>
                <c:ptCount val="7"/>
                <c:pt idx="0">
                  <c:v>'19</c:v>
                </c:pt>
                <c:pt idx="1">
                  <c:v>'20</c:v>
                </c:pt>
                <c:pt idx="2">
                  <c:v>'21</c:v>
                </c:pt>
                <c:pt idx="3">
                  <c:v>'22</c:v>
                </c:pt>
                <c:pt idx="4">
                  <c:v>'23</c:v>
                </c:pt>
                <c:pt idx="5">
                  <c:v>'24</c:v>
                </c:pt>
                <c:pt idx="6">
                  <c:v>'25</c:v>
                </c:pt>
              </c:strCache>
            </c:strRef>
          </c:xVal>
          <c:yVal>
            <c:numRef>
              <c:f>IET_INI_18!$B$14:$H$14</c:f>
              <c:numCache>
                <c:formatCode>0.0%</c:formatCode>
                <c:ptCount val="7"/>
                <c:pt idx="0">
                  <c:v>0.38400000000000001</c:v>
                </c:pt>
                <c:pt idx="1">
                  <c:v>0.39299999999999996</c:v>
                </c:pt>
                <c:pt idx="2">
                  <c:v>0.39300000000000002</c:v>
                </c:pt>
                <c:pt idx="3">
                  <c:v>0.42399999999999999</c:v>
                </c:pt>
                <c:pt idx="4">
                  <c:v>0.42299999999999999</c:v>
                </c:pt>
                <c:pt idx="5">
                  <c:v>0.41699999999999998</c:v>
                </c:pt>
                <c:pt idx="6">
                  <c:v>0.42399999999999999</c:v>
                </c:pt>
              </c:numCache>
            </c:numRef>
          </c:yVal>
          <c:smooth val="0"/>
          <c:extLst>
            <c:ext xmlns:c16="http://schemas.microsoft.com/office/drawing/2014/chart" uri="{C3380CC4-5D6E-409C-BE32-E72D297353CC}">
              <c16:uniqueId val="{0000000E-583D-4CE2-9F8F-DD89CA0FBF4E}"/>
            </c:ext>
          </c:extLst>
        </c:ser>
        <c:ser>
          <c:idx val="14"/>
          <c:order val="13"/>
          <c:tx>
            <c:strRef>
              <c:f>IET_INI_18!$A$15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IET_INI_18!$B$15:$H$15</c:f>
              <c:numCache>
                <c:formatCode>General</c:formatCode>
                <c:ptCount val="7"/>
                <c:pt idx="2" formatCode="0.0%">
                  <c:v>0.39</c:v>
                </c:pt>
                <c:pt idx="3" formatCode="0.0%">
                  <c:v>0.41200000000000003</c:v>
                </c:pt>
                <c:pt idx="4" formatCode="0.0%">
                  <c:v>0.45700000000000002</c:v>
                </c:pt>
                <c:pt idx="5" formatCode="0.0%">
                  <c:v>0.45899999999999996</c:v>
                </c:pt>
                <c:pt idx="6" formatCode="0.0%">
                  <c:v>0.49099999999999999</c:v>
                </c:pt>
              </c:numCache>
            </c:numRef>
          </c:yVal>
          <c:smooth val="0"/>
          <c:extLst>
            <c:ext xmlns:c16="http://schemas.microsoft.com/office/drawing/2014/chart" uri="{C3380CC4-5D6E-409C-BE32-E72D297353CC}">
              <c16:uniqueId val="{0000000F-583D-4CE2-9F8F-DD89CA0FBF4E}"/>
            </c:ext>
          </c:extLst>
        </c:ser>
        <c:ser>
          <c:idx val="15"/>
          <c:order val="14"/>
          <c:tx>
            <c:strRef>
              <c:f>IET_INI_18!$A$16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IET_INI_18!$B$16:$H$16</c:f>
              <c:numCache>
                <c:formatCode>0.0%</c:formatCode>
                <c:ptCount val="7"/>
                <c:pt idx="0">
                  <c:v>0.42100000000000004</c:v>
                </c:pt>
                <c:pt idx="1">
                  <c:v>0.41299999999999998</c:v>
                </c:pt>
                <c:pt idx="2">
                  <c:v>0.40600000000000003</c:v>
                </c:pt>
                <c:pt idx="3">
                  <c:v>0.42600000000000005</c:v>
                </c:pt>
                <c:pt idx="4">
                  <c:v>0.42499999999999999</c:v>
                </c:pt>
                <c:pt idx="5">
                  <c:v>0.40899999999999997</c:v>
                </c:pt>
                <c:pt idx="6">
                  <c:v>0.41299999999999998</c:v>
                </c:pt>
              </c:numCache>
            </c:numRef>
          </c:yVal>
          <c:smooth val="0"/>
          <c:extLst>
            <c:ext xmlns:c16="http://schemas.microsoft.com/office/drawing/2014/chart" uri="{C3380CC4-5D6E-409C-BE32-E72D297353CC}">
              <c16:uniqueId val="{00000010-583D-4CE2-9F8F-DD89CA0FBF4E}"/>
            </c:ext>
          </c:extLst>
        </c:ser>
        <c:ser>
          <c:idx val="16"/>
          <c:order val="15"/>
          <c:tx>
            <c:strRef>
              <c:f>IET_INI_18!$A$17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IET_INI_18!$B$17:$H$17</c:f>
              <c:numCache>
                <c:formatCode>0.0%</c:formatCode>
                <c:ptCount val="7"/>
                <c:pt idx="0">
                  <c:v>0.36</c:v>
                </c:pt>
                <c:pt idx="1">
                  <c:v>0.33500000000000002</c:v>
                </c:pt>
                <c:pt idx="2">
                  <c:v>0.35499999999999998</c:v>
                </c:pt>
                <c:pt idx="3">
                  <c:v>0.4</c:v>
                </c:pt>
                <c:pt idx="4">
                  <c:v>0.39300000000000002</c:v>
                </c:pt>
                <c:pt idx="5">
                  <c:v>0.36199999999999993</c:v>
                </c:pt>
                <c:pt idx="6">
                  <c:v>0.4</c:v>
                </c:pt>
              </c:numCache>
            </c:numRef>
          </c:yVal>
          <c:smooth val="0"/>
          <c:extLst>
            <c:ext xmlns:c16="http://schemas.microsoft.com/office/drawing/2014/chart" uri="{C3380CC4-5D6E-409C-BE32-E72D297353CC}">
              <c16:uniqueId val="{00000011-583D-4CE2-9F8F-DD89CA0FBF4E}"/>
            </c:ext>
          </c:extLst>
        </c:ser>
        <c:ser>
          <c:idx val="17"/>
          <c:order val="17"/>
          <c:tx>
            <c:strRef>
              <c:f>IET_INI_18!$A$20</c:f>
              <c:strCache>
                <c:ptCount val="1"/>
                <c:pt idx="0">
                  <c:v>CCO statewide</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IET_INI_18!$B$20:$H$20</c:f>
              <c:numCache>
                <c:formatCode>0.0%</c:formatCode>
                <c:ptCount val="7"/>
                <c:pt idx="0">
                  <c:v>0.38400000000000001</c:v>
                </c:pt>
                <c:pt idx="1">
                  <c:v>0.39299999999999996</c:v>
                </c:pt>
                <c:pt idx="2">
                  <c:v>0.39300000000000002</c:v>
                </c:pt>
                <c:pt idx="3">
                  <c:v>0.42399999999999999</c:v>
                </c:pt>
                <c:pt idx="4">
                  <c:v>0.42299999999999999</c:v>
                </c:pt>
                <c:pt idx="5">
                  <c:v>0.41699999999999998</c:v>
                </c:pt>
                <c:pt idx="6">
                  <c:v>0.42399999999999999</c:v>
                </c:pt>
              </c:numCache>
            </c:numRef>
          </c:yVal>
          <c:smooth val="0"/>
          <c:extLst>
            <c:ext xmlns:c16="http://schemas.microsoft.com/office/drawing/2014/chart" uri="{C3380CC4-5D6E-409C-BE32-E72D297353CC}">
              <c16:uniqueId val="{00000012-583D-4CE2-9F8F-DD89CA0FBF4E}"/>
            </c:ext>
          </c:extLst>
        </c:ser>
        <c:ser>
          <c:idx val="20"/>
          <c:order val="18"/>
          <c:tx>
            <c:strRef>
              <c:f>IET_INI_18!$A$19</c:f>
              <c:strCache>
                <c:ptCount val="1"/>
                <c:pt idx="0">
                  <c:v>Individual CCOs</c:v>
                </c:pt>
              </c:strCache>
            </c:strRef>
          </c:tx>
          <c:spPr>
            <a:ln w="25400" cap="rnd">
              <a:noFill/>
              <a:round/>
            </a:ln>
            <a:effectLst/>
          </c:spPr>
          <c:marker>
            <c:symbol val="circle"/>
            <c:size val="6"/>
            <c:spPr>
              <a:noFill/>
              <a:ln w="9525">
                <a:solidFill>
                  <a:srgbClr val="606060"/>
                </a:solidFill>
              </a:ln>
              <a:effectLst/>
            </c:spPr>
          </c:marker>
          <c:xVal>
            <c:strRef>
              <c:f>IET_INI_18!$B$1:$H$1</c:f>
              <c:strCache>
                <c:ptCount val="7"/>
                <c:pt idx="0">
                  <c:v>'19</c:v>
                </c:pt>
                <c:pt idx="1">
                  <c:v>'20</c:v>
                </c:pt>
                <c:pt idx="2">
                  <c:v>'21</c:v>
                </c:pt>
                <c:pt idx="3">
                  <c:v>'22</c:v>
                </c:pt>
                <c:pt idx="4">
                  <c:v>'23</c:v>
                </c:pt>
                <c:pt idx="5">
                  <c:v>'24</c:v>
                </c:pt>
                <c:pt idx="6">
                  <c:v>'25</c:v>
                </c:pt>
              </c:strCache>
            </c:strRef>
          </c:xVal>
          <c:yVal>
            <c:numRef>
              <c:f>IET_INI_18!$B$19:$H$19</c:f>
              <c:numCache>
                <c:formatCode>0.0%</c:formatCode>
                <c:ptCount val="7"/>
                <c:pt idx="0">
                  <c:v>0.37</c:v>
                </c:pt>
                <c:pt idx="1">
                  <c:v>0.42499999999999999</c:v>
                </c:pt>
                <c:pt idx="2">
                  <c:v>0.42200000000000004</c:v>
                </c:pt>
                <c:pt idx="3">
                  <c:v>0.40799999999999997</c:v>
                </c:pt>
                <c:pt idx="4">
                  <c:v>0.41699999999999998</c:v>
                </c:pt>
                <c:pt idx="5">
                  <c:v>0.36700000000000005</c:v>
                </c:pt>
                <c:pt idx="6">
                  <c:v>0.39600000000000002</c:v>
                </c:pt>
              </c:numCache>
            </c:numRef>
          </c:yVal>
          <c:smooth val="0"/>
          <c:extLst>
            <c:ext xmlns:c16="http://schemas.microsoft.com/office/drawing/2014/chart" uri="{C3380CC4-5D6E-409C-BE32-E72D297353CC}">
              <c16:uniqueId val="{00000013-583D-4CE2-9F8F-DD89CA0FBF4E}"/>
            </c:ext>
          </c:extLst>
        </c:ser>
        <c:ser>
          <c:idx val="18"/>
          <c:order val="19"/>
          <c:tx>
            <c:strRef>
              <c:f>IET_INI_18!$A$21</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dLbls>
            <c:dLbl>
              <c:idx val="1"/>
              <c:layout>
                <c:manualLayout>
                  <c:x val="-0.21558333333333332"/>
                  <c:y val="-4.629629629629637E-2"/>
                </c:manualLayout>
              </c:layout>
              <c:tx>
                <c:rich>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r>
                      <a:rPr lang="en-US" sz="1100">
                        <a:solidFill>
                          <a:schemeClr val="accent2">
                            <a:lumMod val="50000"/>
                          </a:schemeClr>
                        </a:solidFill>
                        <a:latin typeface="Aptos" panose="020B0004020202020204" pitchFamily="34" charset="0"/>
                      </a:rPr>
                      <a:t>Benchmark</a:t>
                    </a:r>
                  </a:p>
                </c:rich>
              </c:tx>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583D-4CE2-9F8F-DD89CA0FBF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IET_INI_18!$B$1:$H$1</c:f>
              <c:strCache>
                <c:ptCount val="7"/>
                <c:pt idx="0">
                  <c:v>'19</c:v>
                </c:pt>
                <c:pt idx="1">
                  <c:v>'20</c:v>
                </c:pt>
                <c:pt idx="2">
                  <c:v>'21</c:v>
                </c:pt>
                <c:pt idx="3">
                  <c:v>'22</c:v>
                </c:pt>
                <c:pt idx="4">
                  <c:v>'23</c:v>
                </c:pt>
                <c:pt idx="5">
                  <c:v>'24</c:v>
                </c:pt>
                <c:pt idx="6">
                  <c:v>'25</c:v>
                </c:pt>
              </c:strCache>
            </c:strRef>
          </c:xVal>
          <c:yVal>
            <c:numRef>
              <c:f>IET_INI_18!$B$21:$H$21</c:f>
              <c:numCache>
                <c:formatCode>0.0%</c:formatCode>
                <c:ptCount val="7"/>
                <c:pt idx="1">
                  <c:v>0.46800000000000003</c:v>
                </c:pt>
                <c:pt idx="2">
                  <c:v>0.38800000000000001</c:v>
                </c:pt>
                <c:pt idx="3">
                  <c:v>0.43</c:v>
                </c:pt>
                <c:pt idx="4">
                  <c:v>0.433</c:v>
                </c:pt>
                <c:pt idx="5">
                  <c:v>0.48599999999999999</c:v>
                </c:pt>
                <c:pt idx="6">
                  <c:v>0.49</c:v>
                </c:pt>
              </c:numCache>
            </c:numRef>
          </c:yVal>
          <c:smooth val="0"/>
          <c:extLst>
            <c:ext xmlns:c16="http://schemas.microsoft.com/office/drawing/2014/chart" uri="{C3380CC4-5D6E-409C-BE32-E72D297353CC}">
              <c16:uniqueId val="{00000015-583D-4CE2-9F8F-DD89CA0FBF4E}"/>
            </c:ext>
          </c:extLst>
        </c:ser>
        <c:ser>
          <c:idx val="19"/>
          <c:order val="20"/>
          <c:tx>
            <c:v>Spec change</c:v>
          </c:tx>
          <c:spPr>
            <a:ln w="19050" cap="rnd">
              <a:solidFill>
                <a:srgbClr val="606060"/>
              </a:solidFill>
              <a:prstDash val="dash"/>
              <a:round/>
            </a:ln>
            <a:effectLst/>
          </c:spPr>
          <c:marker>
            <c:symbol val="none"/>
          </c:marker>
          <c:xVal>
            <c:numRef>
              <c:f>IET_INI_18!$J$3:$J$4</c:f>
              <c:numCache>
                <c:formatCode>General</c:formatCode>
                <c:ptCount val="2"/>
                <c:pt idx="0">
                  <c:v>4</c:v>
                </c:pt>
                <c:pt idx="1">
                  <c:v>4</c:v>
                </c:pt>
              </c:numCache>
            </c:numRef>
          </c:xVal>
          <c:yVal>
            <c:numRef>
              <c:f>IET_INI_18!$K$3:$K$4</c:f>
              <c:numCache>
                <c:formatCode>General</c:formatCode>
                <c:ptCount val="2"/>
                <c:pt idx="0">
                  <c:v>0</c:v>
                </c:pt>
                <c:pt idx="1">
                  <c:v>1</c:v>
                </c:pt>
              </c:numCache>
            </c:numRef>
          </c:yVal>
          <c:smooth val="0"/>
          <c:extLst>
            <c:ext xmlns:c16="http://schemas.microsoft.com/office/drawing/2014/chart" uri="{C3380CC4-5D6E-409C-BE32-E72D297353CC}">
              <c16:uniqueId val="{00000016-583D-4CE2-9F8F-DD89CA0FBF4E}"/>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5"/>
        <c:minorUnit val="0.25"/>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9"/>
        <c:delete val="1"/>
      </c:legendEntry>
      <c:legendEntry>
        <c:idx val="20"/>
        <c:delete val="1"/>
      </c:legendEntry>
      <c:layout>
        <c:manualLayout>
          <c:xMode val="edge"/>
          <c:yMode val="edge"/>
          <c:x val="7.9568022747156603E-2"/>
          <c:y val="0.89828700389724014"/>
          <c:w val="0.57836636045494316"/>
          <c:h val="7.6569803774528183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ptos" panose="020B00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solidFill>
                  <a:schemeClr val="accent1">
                    <a:lumMod val="75000"/>
                  </a:schemeClr>
                </a:solidFill>
                <a:latin typeface="+mn-lt"/>
              </a:rPr>
              <a:t>Engagement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IET_ENG_18!$A$18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IET_ENG_18!$B$1:$H$1</c:f>
              <c:strCache>
                <c:ptCount val="7"/>
                <c:pt idx="0">
                  <c:v>'19</c:v>
                </c:pt>
                <c:pt idx="1">
                  <c:v>'20</c:v>
                </c:pt>
                <c:pt idx="2">
                  <c:v>'21</c:v>
                </c:pt>
                <c:pt idx="3">
                  <c:v>'22</c:v>
                </c:pt>
                <c:pt idx="4">
                  <c:v>'23</c:v>
                </c:pt>
                <c:pt idx="5">
                  <c:v>'24</c:v>
                </c:pt>
                <c:pt idx="6">
                  <c:v>'25</c:v>
                </c:pt>
              </c:strCache>
            </c:strRef>
          </c:cat>
          <c:val>
            <c:numRef>
              <c:f>IET_ENG_18!$B$18:$H$18</c:f>
              <c:numCache>
                <c:formatCode>0.0%</c:formatCode>
                <c:ptCount val="7"/>
                <c:pt idx="0">
                  <c:v>0.17800000000000002</c:v>
                </c:pt>
                <c:pt idx="1">
                  <c:v>0.214</c:v>
                </c:pt>
                <c:pt idx="2">
                  <c:v>0.192</c:v>
                </c:pt>
                <c:pt idx="3">
                  <c:v>0.16</c:v>
                </c:pt>
                <c:pt idx="4">
                  <c:v>0.151</c:v>
                </c:pt>
                <c:pt idx="5">
                  <c:v>0.14199999999999999</c:v>
                </c:pt>
                <c:pt idx="6">
                  <c:v>0.184</c:v>
                </c:pt>
              </c:numCache>
            </c:numRef>
          </c:val>
          <c:smooth val="0"/>
          <c:extLst>
            <c:ext xmlns:c16="http://schemas.microsoft.com/office/drawing/2014/chart" uri="{C3380CC4-5D6E-409C-BE32-E72D297353CC}">
              <c16:uniqueId val="{00000000-36EF-46F9-9BB4-FE835D235F07}"/>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IET_ENG_18!$A$2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IET_ENG_18!$B$2:$H$2</c:f>
              <c:numCache>
                <c:formatCode>0.0%</c:formatCode>
                <c:ptCount val="7"/>
                <c:pt idx="0">
                  <c:v>0.11</c:v>
                </c:pt>
                <c:pt idx="1">
                  <c:v>0.1</c:v>
                </c:pt>
                <c:pt idx="2">
                  <c:v>9.4E-2</c:v>
                </c:pt>
                <c:pt idx="3">
                  <c:v>0.11899999999999999</c:v>
                </c:pt>
                <c:pt idx="4">
                  <c:v>0.11899999999999999</c:v>
                </c:pt>
                <c:pt idx="5">
                  <c:v>0.14599999999999999</c:v>
                </c:pt>
                <c:pt idx="6">
                  <c:v>0.159</c:v>
                </c:pt>
              </c:numCache>
            </c:numRef>
          </c:yVal>
          <c:smooth val="0"/>
          <c:extLst>
            <c:ext xmlns:c16="http://schemas.microsoft.com/office/drawing/2014/chart" uri="{C3380CC4-5D6E-409C-BE32-E72D297353CC}">
              <c16:uniqueId val="{00000001-36EF-46F9-9BB4-FE835D235F07}"/>
            </c:ext>
          </c:extLst>
        </c:ser>
        <c:ser>
          <c:idx val="1"/>
          <c:order val="1"/>
          <c:tx>
            <c:strRef>
              <c:f>IET_ENG_18!$A$3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IET_ENG_18!$B$3:$H$3</c:f>
              <c:numCache>
                <c:formatCode>0.0%</c:formatCode>
                <c:ptCount val="7"/>
                <c:pt idx="0">
                  <c:v>0.17100000000000001</c:v>
                </c:pt>
                <c:pt idx="1">
                  <c:v>0.13200000000000001</c:v>
                </c:pt>
                <c:pt idx="2">
                  <c:v>0.14300000000000002</c:v>
                </c:pt>
                <c:pt idx="3">
                  <c:v>0.13500000000000001</c:v>
                </c:pt>
                <c:pt idx="4">
                  <c:v>0.14799999999999999</c:v>
                </c:pt>
                <c:pt idx="5">
                  <c:v>0.124</c:v>
                </c:pt>
                <c:pt idx="6">
                  <c:v>0.13300000000000001</c:v>
                </c:pt>
              </c:numCache>
            </c:numRef>
          </c:yVal>
          <c:smooth val="0"/>
          <c:extLst>
            <c:ext xmlns:c16="http://schemas.microsoft.com/office/drawing/2014/chart" uri="{C3380CC4-5D6E-409C-BE32-E72D297353CC}">
              <c16:uniqueId val="{00000002-36EF-46F9-9BB4-FE835D235F07}"/>
            </c:ext>
          </c:extLst>
        </c:ser>
        <c:ser>
          <c:idx val="2"/>
          <c:order val="2"/>
          <c:tx>
            <c:strRef>
              <c:f>IET_ENG_18!$A$4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IET_ENG_18!$B$4:$H$4</c:f>
              <c:numCache>
                <c:formatCode>0.0%</c:formatCode>
                <c:ptCount val="7"/>
                <c:pt idx="0">
                  <c:v>0.17199999999999999</c:v>
                </c:pt>
                <c:pt idx="1">
                  <c:v>0.16500000000000001</c:v>
                </c:pt>
                <c:pt idx="2">
                  <c:v>0.19700000000000001</c:v>
                </c:pt>
                <c:pt idx="3">
                  <c:v>0.23200000000000001</c:v>
                </c:pt>
                <c:pt idx="4">
                  <c:v>0.214</c:v>
                </c:pt>
                <c:pt idx="5">
                  <c:v>0.183</c:v>
                </c:pt>
                <c:pt idx="6">
                  <c:v>0.20200000000000001</c:v>
                </c:pt>
              </c:numCache>
            </c:numRef>
          </c:yVal>
          <c:smooth val="0"/>
          <c:extLst>
            <c:ext xmlns:c16="http://schemas.microsoft.com/office/drawing/2014/chart" uri="{C3380CC4-5D6E-409C-BE32-E72D297353CC}">
              <c16:uniqueId val="{00000003-36EF-46F9-9BB4-FE835D235F07}"/>
            </c:ext>
          </c:extLst>
        </c:ser>
        <c:ser>
          <c:idx val="3"/>
          <c:order val="3"/>
          <c:tx>
            <c:strRef>
              <c:f>IET_ENG_18!$A$5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IET_ENG_18!$B$5:$H$5</c:f>
              <c:numCache>
                <c:formatCode>0.0%</c:formatCode>
                <c:ptCount val="7"/>
                <c:pt idx="0">
                  <c:v>0.16399999999999998</c:v>
                </c:pt>
                <c:pt idx="1">
                  <c:v>0.16600000000000001</c:v>
                </c:pt>
                <c:pt idx="2">
                  <c:v>0.13400000000000001</c:v>
                </c:pt>
                <c:pt idx="3">
                  <c:v>0.13400000000000001</c:v>
                </c:pt>
                <c:pt idx="4">
                  <c:v>0.14000000000000001</c:v>
                </c:pt>
                <c:pt idx="5">
                  <c:v>0.13500000000000001</c:v>
                </c:pt>
                <c:pt idx="6">
                  <c:v>0.14599999999999999</c:v>
                </c:pt>
              </c:numCache>
            </c:numRef>
          </c:yVal>
          <c:smooth val="0"/>
          <c:extLst>
            <c:ext xmlns:c16="http://schemas.microsoft.com/office/drawing/2014/chart" uri="{C3380CC4-5D6E-409C-BE32-E72D297353CC}">
              <c16:uniqueId val="{00000004-36EF-46F9-9BB4-FE835D235F07}"/>
            </c:ext>
          </c:extLst>
        </c:ser>
        <c:ser>
          <c:idx val="4"/>
          <c:order val="4"/>
          <c:tx>
            <c:strRef>
              <c:f>IET_ENG_18!$A$6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IET_ENG_18!$B$6:$H$6</c:f>
              <c:numCache>
                <c:formatCode>0.0%</c:formatCode>
                <c:ptCount val="7"/>
                <c:pt idx="0">
                  <c:v>0.153</c:v>
                </c:pt>
                <c:pt idx="1">
                  <c:v>0.129</c:v>
                </c:pt>
                <c:pt idx="2">
                  <c:v>0.13400000000000001</c:v>
                </c:pt>
                <c:pt idx="3">
                  <c:v>0.14899999999999999</c:v>
                </c:pt>
                <c:pt idx="4">
                  <c:v>0.14000000000000001</c:v>
                </c:pt>
                <c:pt idx="5">
                  <c:v>0.13500000000000001</c:v>
                </c:pt>
                <c:pt idx="6">
                  <c:v>0.13600000000000001</c:v>
                </c:pt>
              </c:numCache>
            </c:numRef>
          </c:yVal>
          <c:smooth val="0"/>
          <c:extLst>
            <c:ext xmlns:c16="http://schemas.microsoft.com/office/drawing/2014/chart" uri="{C3380CC4-5D6E-409C-BE32-E72D297353CC}">
              <c16:uniqueId val="{00000005-36EF-46F9-9BB4-FE835D235F07}"/>
            </c:ext>
          </c:extLst>
        </c:ser>
        <c:ser>
          <c:idx val="5"/>
          <c:order val="5"/>
          <c:tx>
            <c:strRef>
              <c:f>IET_ENG_18!$A$7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IET_ENG_18!$B$7:$H$7</c:f>
              <c:numCache>
                <c:formatCode>0.0%</c:formatCode>
                <c:ptCount val="7"/>
                <c:pt idx="0">
                  <c:v>0.16899999999999998</c:v>
                </c:pt>
                <c:pt idx="1">
                  <c:v>0.161</c:v>
                </c:pt>
                <c:pt idx="2">
                  <c:v>0.15</c:v>
                </c:pt>
                <c:pt idx="3">
                  <c:v>0.152</c:v>
                </c:pt>
                <c:pt idx="4">
                  <c:v>0.17</c:v>
                </c:pt>
                <c:pt idx="5">
                  <c:v>0.17899999999999999</c:v>
                </c:pt>
                <c:pt idx="6">
                  <c:v>0.191</c:v>
                </c:pt>
              </c:numCache>
            </c:numRef>
          </c:yVal>
          <c:smooth val="0"/>
          <c:extLst>
            <c:ext xmlns:c16="http://schemas.microsoft.com/office/drawing/2014/chart" uri="{C3380CC4-5D6E-409C-BE32-E72D297353CC}">
              <c16:uniqueId val="{00000006-36EF-46F9-9BB4-FE835D235F07}"/>
            </c:ext>
          </c:extLst>
        </c:ser>
        <c:ser>
          <c:idx val="6"/>
          <c:order val="6"/>
          <c:tx>
            <c:strRef>
              <c:f>IET_ENG_18!$A$8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IET_ENG_18!$B$8:$H$8</c:f>
              <c:numCache>
                <c:formatCode>0.0%</c:formatCode>
                <c:ptCount val="7"/>
                <c:pt idx="0">
                  <c:v>0.19800000000000001</c:v>
                </c:pt>
                <c:pt idx="1">
                  <c:v>0.19500000000000001</c:v>
                </c:pt>
                <c:pt idx="2">
                  <c:v>0.16700000000000001</c:v>
                </c:pt>
                <c:pt idx="3">
                  <c:v>0.19700000000000001</c:v>
                </c:pt>
                <c:pt idx="4">
                  <c:v>0.186</c:v>
                </c:pt>
                <c:pt idx="5">
                  <c:v>0.19</c:v>
                </c:pt>
                <c:pt idx="6">
                  <c:v>0.19900000000000001</c:v>
                </c:pt>
              </c:numCache>
            </c:numRef>
          </c:yVal>
          <c:smooth val="0"/>
          <c:extLst>
            <c:ext xmlns:c16="http://schemas.microsoft.com/office/drawing/2014/chart" uri="{C3380CC4-5D6E-409C-BE32-E72D297353CC}">
              <c16:uniqueId val="{00000007-36EF-46F9-9BB4-FE835D235F07}"/>
            </c:ext>
          </c:extLst>
        </c:ser>
        <c:ser>
          <c:idx val="7"/>
          <c:order val="7"/>
          <c:tx>
            <c:strRef>
              <c:f>IET_ENG_18!$A$9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IET_ENG_18!$B$9:$H$9</c:f>
              <c:numCache>
                <c:formatCode>0.0%</c:formatCode>
                <c:ptCount val="7"/>
                <c:pt idx="0">
                  <c:v>0.21</c:v>
                </c:pt>
                <c:pt idx="1">
                  <c:v>0.158</c:v>
                </c:pt>
                <c:pt idx="2">
                  <c:v>0.17</c:v>
                </c:pt>
                <c:pt idx="3">
                  <c:v>0.14499999999999999</c:v>
                </c:pt>
                <c:pt idx="4">
                  <c:v>0.152</c:v>
                </c:pt>
                <c:pt idx="5">
                  <c:v>0.16400000000000003</c:v>
                </c:pt>
                <c:pt idx="6">
                  <c:v>0.161</c:v>
                </c:pt>
              </c:numCache>
            </c:numRef>
          </c:yVal>
          <c:smooth val="0"/>
          <c:extLst>
            <c:ext xmlns:c16="http://schemas.microsoft.com/office/drawing/2014/chart" uri="{C3380CC4-5D6E-409C-BE32-E72D297353CC}">
              <c16:uniqueId val="{00000008-36EF-46F9-9BB4-FE835D235F07}"/>
            </c:ext>
          </c:extLst>
        </c:ser>
        <c:ser>
          <c:idx val="8"/>
          <c:order val="8"/>
          <c:tx>
            <c:strRef>
              <c:f>IET_ENG_18!$A$10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IET_ENG_18!$B$10:$H$10</c:f>
              <c:numCache>
                <c:formatCode>0.0%</c:formatCode>
                <c:ptCount val="7"/>
                <c:pt idx="0">
                  <c:v>0.16200000000000001</c:v>
                </c:pt>
                <c:pt idx="1">
                  <c:v>0.17500000000000002</c:v>
                </c:pt>
                <c:pt idx="2">
                  <c:v>0.156</c:v>
                </c:pt>
                <c:pt idx="3">
                  <c:v>0.16400000000000001</c:v>
                </c:pt>
                <c:pt idx="4">
                  <c:v>0.16400000000000001</c:v>
                </c:pt>
                <c:pt idx="5">
                  <c:v>0.17399999999999999</c:v>
                </c:pt>
                <c:pt idx="6">
                  <c:v>0.18099999999999999</c:v>
                </c:pt>
              </c:numCache>
            </c:numRef>
          </c:yVal>
          <c:smooth val="0"/>
          <c:extLst>
            <c:ext xmlns:c16="http://schemas.microsoft.com/office/drawing/2014/chart" uri="{C3380CC4-5D6E-409C-BE32-E72D297353CC}">
              <c16:uniqueId val="{00000009-36EF-46F9-9BB4-FE835D235F07}"/>
            </c:ext>
          </c:extLst>
        </c:ser>
        <c:ser>
          <c:idx val="9"/>
          <c:order val="9"/>
          <c:tx>
            <c:strRef>
              <c:f>IET_ENG_18!$A$11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IET_ENG_18!$B$11:$H$11</c:f>
              <c:numCache>
                <c:formatCode>0.0%</c:formatCode>
                <c:ptCount val="7"/>
                <c:pt idx="0">
                  <c:v>0.185</c:v>
                </c:pt>
                <c:pt idx="1">
                  <c:v>0.19700000000000001</c:v>
                </c:pt>
                <c:pt idx="2">
                  <c:v>0.127</c:v>
                </c:pt>
                <c:pt idx="3">
                  <c:v>0.14599999999999999</c:v>
                </c:pt>
                <c:pt idx="4">
                  <c:v>0.14599999999999999</c:v>
                </c:pt>
                <c:pt idx="5">
                  <c:v>0.114</c:v>
                </c:pt>
                <c:pt idx="6">
                  <c:v>8.6999999999999994E-2</c:v>
                </c:pt>
              </c:numCache>
            </c:numRef>
          </c:yVal>
          <c:smooth val="0"/>
          <c:extLst>
            <c:ext xmlns:c16="http://schemas.microsoft.com/office/drawing/2014/chart" uri="{C3380CC4-5D6E-409C-BE32-E72D297353CC}">
              <c16:uniqueId val="{0000000A-36EF-46F9-9BB4-FE835D235F07}"/>
            </c:ext>
          </c:extLst>
        </c:ser>
        <c:ser>
          <c:idx val="10"/>
          <c:order val="10"/>
          <c:tx>
            <c:strRef>
              <c:f>IET_ENG_18!$A$12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IET_ENG_18!$B$12:$H$12</c:f>
              <c:numCache>
                <c:formatCode>0.0%</c:formatCode>
                <c:ptCount val="7"/>
                <c:pt idx="1">
                  <c:v>0.17600000000000002</c:v>
                </c:pt>
                <c:pt idx="2">
                  <c:v>0.16600000000000001</c:v>
                </c:pt>
                <c:pt idx="3">
                  <c:v>0.17899999999999999</c:v>
                </c:pt>
                <c:pt idx="4">
                  <c:v>0.16900000000000001</c:v>
                </c:pt>
                <c:pt idx="5">
                  <c:v>0.157</c:v>
                </c:pt>
                <c:pt idx="6">
                  <c:v>0.18099999999999999</c:v>
                </c:pt>
              </c:numCache>
            </c:numRef>
          </c:yVal>
          <c:smooth val="0"/>
          <c:extLst>
            <c:ext xmlns:c16="http://schemas.microsoft.com/office/drawing/2014/chart" uri="{C3380CC4-5D6E-409C-BE32-E72D297353CC}">
              <c16:uniqueId val="{0000000B-36EF-46F9-9BB4-FE835D235F07}"/>
            </c:ext>
          </c:extLst>
        </c:ser>
        <c:ser>
          <c:idx val="11"/>
          <c:order val="11"/>
          <c:tx>
            <c:strRef>
              <c:f>IET_ENG_18!$A$13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IET_ENG_18!$B$13:$H$13</c:f>
              <c:numCache>
                <c:formatCode>0.0%</c:formatCode>
                <c:ptCount val="7"/>
                <c:pt idx="1">
                  <c:v>0.16500000000000001</c:v>
                </c:pt>
                <c:pt idx="2">
                  <c:v>0.17500000000000002</c:v>
                </c:pt>
                <c:pt idx="3">
                  <c:v>0.18</c:v>
                </c:pt>
                <c:pt idx="4">
                  <c:v>0.188</c:v>
                </c:pt>
                <c:pt idx="5">
                  <c:v>0.16900000000000001</c:v>
                </c:pt>
                <c:pt idx="6">
                  <c:v>0.161</c:v>
                </c:pt>
              </c:numCache>
            </c:numRef>
          </c:yVal>
          <c:smooth val="0"/>
          <c:extLst>
            <c:ext xmlns:c16="http://schemas.microsoft.com/office/drawing/2014/chart" uri="{C3380CC4-5D6E-409C-BE32-E72D297353CC}">
              <c16:uniqueId val="{0000000C-36EF-46F9-9BB4-FE835D235F07}"/>
            </c:ext>
          </c:extLst>
        </c:ser>
        <c:ser>
          <c:idx val="13"/>
          <c:order val="12"/>
          <c:tx>
            <c:strRef>
              <c:f>IET_ENG_18!$A$14</c:f>
              <c:strCache>
                <c:ptCount val="1"/>
                <c:pt idx="0">
                  <c:v>Statewide</c:v>
                </c:pt>
              </c:strCache>
            </c:strRef>
          </c:tx>
          <c:spPr>
            <a:ln w="28575" cap="rnd">
              <a:solidFill>
                <a:schemeClr val="accent1">
                  <a:lumMod val="75000"/>
                </a:schemeClr>
              </a:solidFill>
              <a:round/>
            </a:ln>
            <a:effectLst/>
          </c:spPr>
          <c:marker>
            <c:symbol val="none"/>
          </c:marker>
          <c:dPt>
            <c:idx val="2"/>
            <c:marker>
              <c:symbol val="none"/>
            </c:marker>
            <c:bubble3D val="0"/>
            <c:extLst>
              <c:ext xmlns:c16="http://schemas.microsoft.com/office/drawing/2014/chart" uri="{C3380CC4-5D6E-409C-BE32-E72D297353CC}">
                <c16:uniqueId val="{0000000D-36EF-46F9-9BB4-FE835D235F07}"/>
              </c:ext>
            </c:extLst>
          </c:dPt>
          <c:xVal>
            <c:strRef>
              <c:f>IET_ENG_18!$B$1:$H$1</c:f>
              <c:strCache>
                <c:ptCount val="7"/>
                <c:pt idx="0">
                  <c:v>'19</c:v>
                </c:pt>
                <c:pt idx="1">
                  <c:v>'20</c:v>
                </c:pt>
                <c:pt idx="2">
                  <c:v>'21</c:v>
                </c:pt>
                <c:pt idx="3">
                  <c:v>'22</c:v>
                </c:pt>
                <c:pt idx="4">
                  <c:v>'23</c:v>
                </c:pt>
                <c:pt idx="5">
                  <c:v>'24</c:v>
                </c:pt>
                <c:pt idx="6">
                  <c:v>'25</c:v>
                </c:pt>
              </c:strCache>
            </c:strRef>
          </c:xVal>
          <c:yVal>
            <c:numRef>
              <c:f>IET_ENG_18!$B$14:$H$14</c:f>
              <c:numCache>
                <c:formatCode>0.0%</c:formatCode>
                <c:ptCount val="7"/>
                <c:pt idx="0">
                  <c:v>0.17</c:v>
                </c:pt>
                <c:pt idx="1">
                  <c:v>0.16200000000000001</c:v>
                </c:pt>
                <c:pt idx="2">
                  <c:v>0.154</c:v>
                </c:pt>
                <c:pt idx="3">
                  <c:v>0.161</c:v>
                </c:pt>
                <c:pt idx="4">
                  <c:v>0.16600000000000001</c:v>
                </c:pt>
                <c:pt idx="5">
                  <c:v>0.16500000000000001</c:v>
                </c:pt>
                <c:pt idx="6">
                  <c:v>0.17499999999999999</c:v>
                </c:pt>
              </c:numCache>
            </c:numRef>
          </c:yVal>
          <c:smooth val="0"/>
          <c:extLst>
            <c:ext xmlns:c16="http://schemas.microsoft.com/office/drawing/2014/chart" uri="{C3380CC4-5D6E-409C-BE32-E72D297353CC}">
              <c16:uniqueId val="{0000000E-36EF-46F9-9BB4-FE835D235F07}"/>
            </c:ext>
          </c:extLst>
        </c:ser>
        <c:ser>
          <c:idx val="14"/>
          <c:order val="13"/>
          <c:tx>
            <c:strRef>
              <c:f>IET_ENG_18!$A$15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IET_ENG_18!$B$15:$H$15</c:f>
              <c:numCache>
                <c:formatCode>General</c:formatCode>
                <c:ptCount val="7"/>
                <c:pt idx="2" formatCode="0.0%">
                  <c:v>0.158</c:v>
                </c:pt>
                <c:pt idx="3" formatCode="0.0%">
                  <c:v>0.151</c:v>
                </c:pt>
                <c:pt idx="4" formatCode="0.0%">
                  <c:v>0.17499999999999999</c:v>
                </c:pt>
                <c:pt idx="5" formatCode="0.0%">
                  <c:v>0.14699999999999999</c:v>
                </c:pt>
                <c:pt idx="6" formatCode="0.0%">
                  <c:v>0.191</c:v>
                </c:pt>
              </c:numCache>
            </c:numRef>
          </c:yVal>
          <c:smooth val="0"/>
          <c:extLst>
            <c:ext xmlns:c16="http://schemas.microsoft.com/office/drawing/2014/chart" uri="{C3380CC4-5D6E-409C-BE32-E72D297353CC}">
              <c16:uniqueId val="{0000000F-36EF-46F9-9BB4-FE835D235F07}"/>
            </c:ext>
          </c:extLst>
        </c:ser>
        <c:ser>
          <c:idx val="15"/>
          <c:order val="14"/>
          <c:tx>
            <c:strRef>
              <c:f>IET_ENG_18!$A$16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IET_ENG_18!$B$16:$H$16</c:f>
              <c:numCache>
                <c:formatCode>0.0%</c:formatCode>
                <c:ptCount val="7"/>
                <c:pt idx="0">
                  <c:v>0.17500000000000002</c:v>
                </c:pt>
                <c:pt idx="1">
                  <c:v>0.17500000000000002</c:v>
                </c:pt>
                <c:pt idx="2">
                  <c:v>0.16700000000000001</c:v>
                </c:pt>
                <c:pt idx="3">
                  <c:v>0.16400000000000001</c:v>
                </c:pt>
                <c:pt idx="4">
                  <c:v>0.16400000000000001</c:v>
                </c:pt>
                <c:pt idx="5">
                  <c:v>0.17699999999999999</c:v>
                </c:pt>
                <c:pt idx="6">
                  <c:v>0.17899999999999999</c:v>
                </c:pt>
              </c:numCache>
            </c:numRef>
          </c:yVal>
          <c:smooth val="0"/>
          <c:extLst>
            <c:ext xmlns:c16="http://schemas.microsoft.com/office/drawing/2014/chart" uri="{C3380CC4-5D6E-409C-BE32-E72D297353CC}">
              <c16:uniqueId val="{00000010-36EF-46F9-9BB4-FE835D235F07}"/>
            </c:ext>
          </c:extLst>
        </c:ser>
        <c:ser>
          <c:idx val="16"/>
          <c:order val="15"/>
          <c:tx>
            <c:strRef>
              <c:f>IET_ENG_18!$A$17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IET_ENG_18!$B$17:$H$17</c:f>
              <c:numCache>
                <c:formatCode>0.0%</c:formatCode>
                <c:ptCount val="7"/>
                <c:pt idx="0">
                  <c:v>0.16300000000000001</c:v>
                </c:pt>
                <c:pt idx="1">
                  <c:v>0.152</c:v>
                </c:pt>
                <c:pt idx="2">
                  <c:v>0.13600000000000001</c:v>
                </c:pt>
                <c:pt idx="3">
                  <c:v>0.156</c:v>
                </c:pt>
                <c:pt idx="4">
                  <c:v>0.14699999999999999</c:v>
                </c:pt>
                <c:pt idx="5">
                  <c:v>0.151</c:v>
                </c:pt>
                <c:pt idx="6">
                  <c:v>0.183</c:v>
                </c:pt>
              </c:numCache>
            </c:numRef>
          </c:yVal>
          <c:smooth val="0"/>
          <c:extLst>
            <c:ext xmlns:c16="http://schemas.microsoft.com/office/drawing/2014/chart" uri="{C3380CC4-5D6E-409C-BE32-E72D297353CC}">
              <c16:uniqueId val="{00000011-36EF-46F9-9BB4-FE835D235F07}"/>
            </c:ext>
          </c:extLst>
        </c:ser>
        <c:ser>
          <c:idx val="17"/>
          <c:order val="17"/>
          <c:tx>
            <c:strRef>
              <c:f>IET_ENG_18!$A$20</c:f>
              <c:strCache>
                <c:ptCount val="1"/>
                <c:pt idx="0">
                  <c:v>CCO statewide</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IET_ENG_18!$B$20:$H$20</c:f>
              <c:numCache>
                <c:formatCode>0.0%</c:formatCode>
                <c:ptCount val="7"/>
                <c:pt idx="0">
                  <c:v>0.17</c:v>
                </c:pt>
                <c:pt idx="1">
                  <c:v>0.16200000000000001</c:v>
                </c:pt>
                <c:pt idx="2">
                  <c:v>0.154</c:v>
                </c:pt>
                <c:pt idx="3">
                  <c:v>0.161</c:v>
                </c:pt>
                <c:pt idx="4">
                  <c:v>0.16600000000000001</c:v>
                </c:pt>
                <c:pt idx="5">
                  <c:v>0.16500000000000001</c:v>
                </c:pt>
                <c:pt idx="6">
                  <c:v>0.17499999999999999</c:v>
                </c:pt>
              </c:numCache>
            </c:numRef>
          </c:yVal>
          <c:smooth val="0"/>
          <c:extLst>
            <c:ext xmlns:c16="http://schemas.microsoft.com/office/drawing/2014/chart" uri="{C3380CC4-5D6E-409C-BE32-E72D297353CC}">
              <c16:uniqueId val="{00000012-36EF-46F9-9BB4-FE835D235F07}"/>
            </c:ext>
          </c:extLst>
        </c:ser>
        <c:ser>
          <c:idx val="20"/>
          <c:order val="18"/>
          <c:tx>
            <c:strRef>
              <c:f>IET_ENG_18!$A$19</c:f>
              <c:strCache>
                <c:ptCount val="1"/>
                <c:pt idx="0">
                  <c:v>Individual CCOs</c:v>
                </c:pt>
              </c:strCache>
            </c:strRef>
          </c:tx>
          <c:spPr>
            <a:ln w="25400" cap="rnd">
              <a:noFill/>
              <a:round/>
            </a:ln>
            <a:effectLst/>
          </c:spPr>
          <c:marker>
            <c:symbol val="circle"/>
            <c:size val="6"/>
            <c:spPr>
              <a:noFill/>
              <a:ln w="9525">
                <a:solidFill>
                  <a:srgbClr val="606060"/>
                </a:solidFill>
              </a:ln>
              <a:effectLst/>
            </c:spPr>
          </c:marker>
          <c:xVal>
            <c:strRef>
              <c:f>IET_ENG_18!$B$1:$H$1</c:f>
              <c:strCache>
                <c:ptCount val="7"/>
                <c:pt idx="0">
                  <c:v>'19</c:v>
                </c:pt>
                <c:pt idx="1">
                  <c:v>'20</c:v>
                </c:pt>
                <c:pt idx="2">
                  <c:v>'21</c:v>
                </c:pt>
                <c:pt idx="3">
                  <c:v>'22</c:v>
                </c:pt>
                <c:pt idx="4">
                  <c:v>'23</c:v>
                </c:pt>
                <c:pt idx="5">
                  <c:v>'24</c:v>
                </c:pt>
                <c:pt idx="6">
                  <c:v>'25</c:v>
                </c:pt>
              </c:strCache>
            </c:strRef>
          </c:xVal>
          <c:yVal>
            <c:numRef>
              <c:f>IET_ENG_18!$B$19:$H$19</c:f>
              <c:numCache>
                <c:formatCode>0.0%</c:formatCode>
                <c:ptCount val="7"/>
                <c:pt idx="0">
                  <c:v>0.17800000000000002</c:v>
                </c:pt>
                <c:pt idx="1">
                  <c:v>0.214</c:v>
                </c:pt>
                <c:pt idx="2">
                  <c:v>0.192</c:v>
                </c:pt>
                <c:pt idx="3">
                  <c:v>0.16</c:v>
                </c:pt>
                <c:pt idx="4">
                  <c:v>0.151</c:v>
                </c:pt>
                <c:pt idx="5">
                  <c:v>0.14199999999999999</c:v>
                </c:pt>
                <c:pt idx="6">
                  <c:v>0.184</c:v>
                </c:pt>
              </c:numCache>
            </c:numRef>
          </c:yVal>
          <c:smooth val="0"/>
          <c:extLst>
            <c:ext xmlns:c16="http://schemas.microsoft.com/office/drawing/2014/chart" uri="{C3380CC4-5D6E-409C-BE32-E72D297353CC}">
              <c16:uniqueId val="{00000013-36EF-46F9-9BB4-FE835D235F07}"/>
            </c:ext>
          </c:extLst>
        </c:ser>
        <c:ser>
          <c:idx val="18"/>
          <c:order val="19"/>
          <c:tx>
            <c:strRef>
              <c:f>IET_ENG_18!$A$21</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dLbls>
            <c:dLbl>
              <c:idx val="1"/>
              <c:layout>
                <c:manualLayout>
                  <c:x val="-0.22113888888888888"/>
                  <c:y val="-7.1428571428571425E-2"/>
                </c:manualLayout>
              </c:layout>
              <c:tx>
                <c:rich>
                  <a:bodyPr/>
                  <a:lstStyle/>
                  <a:p>
                    <a:r>
                      <a:rPr lang="en-US"/>
                      <a:t>Benchmark</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36EF-46F9-9BB4-FE835D235F07}"/>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endParaRPr lang="en-US"/>
              </a:p>
            </c:txPr>
            <c:dLblPos val="l"/>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IET_ENG_18!$B$1:$H$1</c:f>
              <c:strCache>
                <c:ptCount val="7"/>
                <c:pt idx="0">
                  <c:v>'19</c:v>
                </c:pt>
                <c:pt idx="1">
                  <c:v>'20</c:v>
                </c:pt>
                <c:pt idx="2">
                  <c:v>'21</c:v>
                </c:pt>
                <c:pt idx="3">
                  <c:v>'22</c:v>
                </c:pt>
                <c:pt idx="4">
                  <c:v>'23</c:v>
                </c:pt>
                <c:pt idx="5">
                  <c:v>'24</c:v>
                </c:pt>
                <c:pt idx="6">
                  <c:v>'25</c:v>
                </c:pt>
              </c:strCache>
            </c:strRef>
          </c:xVal>
          <c:yVal>
            <c:numRef>
              <c:f>IET_ENG_18!$B$21:$H$21</c:f>
              <c:numCache>
                <c:formatCode>0.0%</c:formatCode>
                <c:ptCount val="7"/>
                <c:pt idx="1">
                  <c:v>0.185</c:v>
                </c:pt>
                <c:pt idx="2">
                  <c:v>9.9000000000000005E-2</c:v>
                </c:pt>
                <c:pt idx="3">
                  <c:v>0.13900000000000001</c:v>
                </c:pt>
                <c:pt idx="4">
                  <c:v>0.16300000000000001</c:v>
                </c:pt>
                <c:pt idx="5">
                  <c:v>0.18100000000000002</c:v>
                </c:pt>
                <c:pt idx="6">
                  <c:v>0.188</c:v>
                </c:pt>
              </c:numCache>
            </c:numRef>
          </c:yVal>
          <c:smooth val="0"/>
          <c:extLst>
            <c:ext xmlns:c16="http://schemas.microsoft.com/office/drawing/2014/chart" uri="{C3380CC4-5D6E-409C-BE32-E72D297353CC}">
              <c16:uniqueId val="{00000015-36EF-46F9-9BB4-FE835D235F07}"/>
            </c:ext>
          </c:extLst>
        </c:ser>
        <c:ser>
          <c:idx val="19"/>
          <c:order val="20"/>
          <c:tx>
            <c:v>Spec change</c:v>
          </c:tx>
          <c:spPr>
            <a:ln w="19050" cap="rnd">
              <a:solidFill>
                <a:srgbClr val="606060"/>
              </a:solidFill>
              <a:prstDash val="dash"/>
              <a:round/>
            </a:ln>
            <a:effectLst/>
          </c:spPr>
          <c:marker>
            <c:symbol val="none"/>
          </c:marker>
          <c:xVal>
            <c:numRef>
              <c:f>IET_ENG_18!$J$3:$J$4</c:f>
              <c:numCache>
                <c:formatCode>General</c:formatCode>
                <c:ptCount val="2"/>
                <c:pt idx="0">
                  <c:v>4</c:v>
                </c:pt>
                <c:pt idx="1">
                  <c:v>4</c:v>
                </c:pt>
              </c:numCache>
            </c:numRef>
          </c:xVal>
          <c:yVal>
            <c:numRef>
              <c:f>IET_ENG_18!$K$3:$K$4</c:f>
              <c:numCache>
                <c:formatCode>General</c:formatCode>
                <c:ptCount val="2"/>
                <c:pt idx="0">
                  <c:v>0</c:v>
                </c:pt>
                <c:pt idx="1">
                  <c:v>1</c:v>
                </c:pt>
              </c:numCache>
            </c:numRef>
          </c:yVal>
          <c:smooth val="0"/>
          <c:extLst>
            <c:ext xmlns:c16="http://schemas.microsoft.com/office/drawing/2014/chart" uri="{C3380CC4-5D6E-409C-BE32-E72D297353CC}">
              <c16:uniqueId val="{00000016-36EF-46F9-9BB4-FE835D235F07}"/>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5"/>
        <c:minorUnit val="0.25"/>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9"/>
        <c:delete val="1"/>
      </c:legendEntry>
      <c:legendEntry>
        <c:idx val="20"/>
        <c:delete val="1"/>
      </c:legendEntry>
      <c:layout>
        <c:manualLayout>
          <c:xMode val="edge"/>
          <c:yMode val="edge"/>
          <c:x val="9.4150043744531925E-2"/>
          <c:y val="0.89962067241594801"/>
          <c:w val="0.57836636045494316"/>
          <c:h val="7.6569803774528183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ptos" panose="020B00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2"/>
          <c:order val="16"/>
          <c:tx>
            <c:strRef>
              <c:f>CDF!$A$18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cat>
          <c:val>
            <c:numRef>
              <c:f>CDF!$B$18:$M$18</c:f>
              <c:numCache>
                <c:formatCode>General</c:formatCode>
                <c:ptCount val="12"/>
                <c:pt idx="0" formatCode="0.0%">
                  <c:v>0.68099999999999994</c:v>
                </c:pt>
                <c:pt idx="1">
                  <c:v>0.628</c:v>
                </c:pt>
                <c:pt idx="2" formatCode="0.0%">
                  <c:v>0.68200000000000005</c:v>
                </c:pt>
                <c:pt idx="3" formatCode="0.0%">
                  <c:v>0.61499999999999999</c:v>
                </c:pt>
                <c:pt idx="4" formatCode="0.0%">
                  <c:v>0.73</c:v>
                </c:pt>
                <c:pt idx="5" formatCode="0.0%">
                  <c:v>0.69700000000000006</c:v>
                </c:pt>
                <c:pt idx="6" formatCode="0.0%">
                  <c:v>0.55500000000000005</c:v>
                </c:pt>
                <c:pt idx="7" formatCode="0.0%">
                  <c:v>0.623</c:v>
                </c:pt>
                <c:pt idx="8" formatCode="0.0%">
                  <c:v>0.65</c:v>
                </c:pt>
                <c:pt idx="9" formatCode="0.0%">
                  <c:v>0.71</c:v>
                </c:pt>
                <c:pt idx="10" formatCode="0.0%">
                  <c:v>0.78600000000000003</c:v>
                </c:pt>
                <c:pt idx="11" formatCode="0.0%">
                  <c:v>0.82799999999999996</c:v>
                </c:pt>
              </c:numCache>
            </c:numRef>
          </c:val>
          <c:smooth val="0"/>
          <c:extLst>
            <c:ext xmlns:c16="http://schemas.microsoft.com/office/drawing/2014/chart" uri="{C3380CC4-5D6E-409C-BE32-E72D297353CC}">
              <c16:uniqueId val="{00000000-F76C-455E-8ADC-1638BE20BD2C}"/>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CDF!$A$2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CDF!$B$2:$M$2</c:f>
              <c:numCache>
                <c:formatCode>General</c:formatCode>
                <c:ptCount val="12"/>
                <c:pt idx="0" formatCode="0.0%">
                  <c:v>4.8000000000000001E-2</c:v>
                </c:pt>
                <c:pt idx="1">
                  <c:v>0.17199999999999999</c:v>
                </c:pt>
                <c:pt idx="2" formatCode="0.0%">
                  <c:v>0.27700000000000002</c:v>
                </c:pt>
                <c:pt idx="3" formatCode="0.0%">
                  <c:v>0.50600000000000001</c:v>
                </c:pt>
                <c:pt idx="4" formatCode="0.0%">
                  <c:v>0.63600000000000001</c:v>
                </c:pt>
                <c:pt idx="5" formatCode="0.0%">
                  <c:v>0.58700000000000008</c:v>
                </c:pt>
                <c:pt idx="6" formatCode="0.0%">
                  <c:v>0.48899999999999999</c:v>
                </c:pt>
                <c:pt idx="7" formatCode="0.0%">
                  <c:v>0.42799999999999999</c:v>
                </c:pt>
                <c:pt idx="8" formatCode="0.0%">
                  <c:v>0.19800000000000001</c:v>
                </c:pt>
                <c:pt idx="9" formatCode="0.0%">
                  <c:v>0.49</c:v>
                </c:pt>
                <c:pt idx="10" formatCode="0.0%">
                  <c:v>0.58799999999999997</c:v>
                </c:pt>
                <c:pt idx="11" formatCode="0.0%">
                  <c:v>0.51</c:v>
                </c:pt>
              </c:numCache>
            </c:numRef>
          </c:yVal>
          <c:smooth val="0"/>
          <c:extLst>
            <c:ext xmlns:c16="http://schemas.microsoft.com/office/drawing/2014/chart" uri="{C3380CC4-5D6E-409C-BE32-E72D297353CC}">
              <c16:uniqueId val="{00000001-F76C-455E-8ADC-1638BE20BD2C}"/>
            </c:ext>
          </c:extLst>
        </c:ser>
        <c:ser>
          <c:idx val="1"/>
          <c:order val="1"/>
          <c:tx>
            <c:strRef>
              <c:f>CDF!$A$3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CDF!$B$3:$M$3</c:f>
              <c:numCache>
                <c:formatCode>General</c:formatCode>
                <c:ptCount val="12"/>
                <c:pt idx="0" formatCode="0.0%">
                  <c:v>9.6999999999999989E-2</c:v>
                </c:pt>
                <c:pt idx="1">
                  <c:v>0.32100000000000001</c:v>
                </c:pt>
                <c:pt idx="2" formatCode="0.0%">
                  <c:v>0.40500000000000003</c:v>
                </c:pt>
                <c:pt idx="3" formatCode="0.0%">
                  <c:v>0.51900000000000002</c:v>
                </c:pt>
                <c:pt idx="4" formatCode="0.0%">
                  <c:v>0.56299999999999994</c:v>
                </c:pt>
                <c:pt idx="5" formatCode="0.0%">
                  <c:v>0.45</c:v>
                </c:pt>
                <c:pt idx="6" formatCode="0.0%">
                  <c:v>0.41399999999999998</c:v>
                </c:pt>
                <c:pt idx="7" formatCode="0.0%">
                  <c:v>0.45600000000000002</c:v>
                </c:pt>
                <c:pt idx="8" formatCode="0.0%">
                  <c:v>0.498</c:v>
                </c:pt>
                <c:pt idx="9" formatCode="0.0%">
                  <c:v>0.63600000000000001</c:v>
                </c:pt>
                <c:pt idx="10" formatCode="0.0%">
                  <c:v>0.67100000000000004</c:v>
                </c:pt>
                <c:pt idx="11" formatCode="0.0%">
                  <c:v>0.752</c:v>
                </c:pt>
              </c:numCache>
            </c:numRef>
          </c:yVal>
          <c:smooth val="0"/>
          <c:extLst>
            <c:ext xmlns:c16="http://schemas.microsoft.com/office/drawing/2014/chart" uri="{C3380CC4-5D6E-409C-BE32-E72D297353CC}">
              <c16:uniqueId val="{00000002-F76C-455E-8ADC-1638BE20BD2C}"/>
            </c:ext>
          </c:extLst>
        </c:ser>
        <c:ser>
          <c:idx val="2"/>
          <c:order val="2"/>
          <c:tx>
            <c:strRef>
              <c:f>CDF!$A$4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CDF!$B$4:$M$4</c:f>
              <c:numCache>
                <c:formatCode>General</c:formatCode>
                <c:ptCount val="12"/>
                <c:pt idx="0" formatCode="0.0%">
                  <c:v>0.28600000000000003</c:v>
                </c:pt>
                <c:pt idx="1">
                  <c:v>5.0000000000000001E-3</c:v>
                </c:pt>
                <c:pt idx="2" formatCode="0.0%">
                  <c:v>0.156</c:v>
                </c:pt>
                <c:pt idx="3" formatCode="0.0%">
                  <c:v>0.114</c:v>
                </c:pt>
                <c:pt idx="4" formatCode="0.0%">
                  <c:v>0.39299999999999996</c:v>
                </c:pt>
                <c:pt idx="5" formatCode="0.0%">
                  <c:v>0.47200000000000003</c:v>
                </c:pt>
                <c:pt idx="6" formatCode="0.0%">
                  <c:v>0.47100000000000003</c:v>
                </c:pt>
                <c:pt idx="7" formatCode="0.0%">
                  <c:v>0.32799999999999996</c:v>
                </c:pt>
                <c:pt idx="8" formatCode="0.0%">
                  <c:v>0.35499999999999998</c:v>
                </c:pt>
                <c:pt idx="9" formatCode="0.0%">
                  <c:v>0.373</c:v>
                </c:pt>
                <c:pt idx="10" formatCode="0.0%">
                  <c:v>0.57499999999999996</c:v>
                </c:pt>
                <c:pt idx="11" formatCode="0.0%">
                  <c:v>0.59599999999999997</c:v>
                </c:pt>
              </c:numCache>
            </c:numRef>
          </c:yVal>
          <c:smooth val="0"/>
          <c:extLst>
            <c:ext xmlns:c16="http://schemas.microsoft.com/office/drawing/2014/chart" uri="{C3380CC4-5D6E-409C-BE32-E72D297353CC}">
              <c16:uniqueId val="{00000003-F76C-455E-8ADC-1638BE20BD2C}"/>
            </c:ext>
          </c:extLst>
        </c:ser>
        <c:ser>
          <c:idx val="3"/>
          <c:order val="3"/>
          <c:tx>
            <c:strRef>
              <c:f>CDF!$A$5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CDF!$B$5:$M$5</c:f>
              <c:numCache>
                <c:formatCode>General</c:formatCode>
                <c:ptCount val="12"/>
                <c:pt idx="0" formatCode="0.0%">
                  <c:v>0.45</c:v>
                </c:pt>
                <c:pt idx="1">
                  <c:v>0.52900000000000003</c:v>
                </c:pt>
                <c:pt idx="2" formatCode="0.0%">
                  <c:v>0.59799999999999998</c:v>
                </c:pt>
                <c:pt idx="3" formatCode="0.0%">
                  <c:v>0.70700000000000007</c:v>
                </c:pt>
                <c:pt idx="4" formatCode="0.0%">
                  <c:v>0.64900000000000002</c:v>
                </c:pt>
                <c:pt idx="5" formatCode="0.0%">
                  <c:v>0.64400000000000002</c:v>
                </c:pt>
                <c:pt idx="6" formatCode="0.0%">
                  <c:v>0.59499999999999997</c:v>
                </c:pt>
                <c:pt idx="7" formatCode="0.0%">
                  <c:v>0.55100000000000005</c:v>
                </c:pt>
                <c:pt idx="8" formatCode="0.0%">
                  <c:v>0.64500000000000002</c:v>
                </c:pt>
                <c:pt idx="9" formatCode="0.0%">
                  <c:v>0.69499999999999995</c:v>
                </c:pt>
                <c:pt idx="10" formatCode="0.0%">
                  <c:v>0.67700000000000005</c:v>
                </c:pt>
                <c:pt idx="11" formatCode="0.0%">
                  <c:v>0.73</c:v>
                </c:pt>
              </c:numCache>
            </c:numRef>
          </c:yVal>
          <c:smooth val="0"/>
          <c:extLst>
            <c:ext xmlns:c16="http://schemas.microsoft.com/office/drawing/2014/chart" uri="{C3380CC4-5D6E-409C-BE32-E72D297353CC}">
              <c16:uniqueId val="{00000004-F76C-455E-8ADC-1638BE20BD2C}"/>
            </c:ext>
          </c:extLst>
        </c:ser>
        <c:ser>
          <c:idx val="4"/>
          <c:order val="4"/>
          <c:tx>
            <c:strRef>
              <c:f>CDF!$A$6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CDF!$B$6:$M$6</c:f>
              <c:numCache>
                <c:formatCode>General</c:formatCode>
                <c:ptCount val="12"/>
                <c:pt idx="0" formatCode="0.0%">
                  <c:v>0.17399999999999999</c:v>
                </c:pt>
                <c:pt idx="1">
                  <c:v>0.33</c:v>
                </c:pt>
                <c:pt idx="2" formatCode="0.0%">
                  <c:v>0.52100000000000002</c:v>
                </c:pt>
                <c:pt idx="3" formatCode="0.0%">
                  <c:v>0.57299999999999995</c:v>
                </c:pt>
                <c:pt idx="4" formatCode="0.0%">
                  <c:v>0.67700000000000005</c:v>
                </c:pt>
                <c:pt idx="5" formatCode="0.0%">
                  <c:v>0.65900000000000003</c:v>
                </c:pt>
                <c:pt idx="6" formatCode="0.0%">
                  <c:v>0.72900000000000009</c:v>
                </c:pt>
                <c:pt idx="7" formatCode="0.0%">
                  <c:v>0.58100000000000007</c:v>
                </c:pt>
                <c:pt idx="8" formatCode="0.0%">
                  <c:v>0.65800000000000003</c:v>
                </c:pt>
                <c:pt idx="9" formatCode="0.0%">
                  <c:v>0.746</c:v>
                </c:pt>
                <c:pt idx="10" formatCode="0.0%">
                  <c:v>0.69199999999999995</c:v>
                </c:pt>
                <c:pt idx="11" formatCode="0.0%">
                  <c:v>0.753</c:v>
                </c:pt>
              </c:numCache>
            </c:numRef>
          </c:yVal>
          <c:smooth val="0"/>
          <c:extLst>
            <c:ext xmlns:c16="http://schemas.microsoft.com/office/drawing/2014/chart" uri="{C3380CC4-5D6E-409C-BE32-E72D297353CC}">
              <c16:uniqueId val="{00000005-F76C-455E-8ADC-1638BE20BD2C}"/>
            </c:ext>
          </c:extLst>
        </c:ser>
        <c:ser>
          <c:idx val="5"/>
          <c:order val="5"/>
          <c:tx>
            <c:strRef>
              <c:f>CDF!$A$7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CDF!$B$7:$M$7</c:f>
              <c:numCache>
                <c:formatCode>General</c:formatCode>
                <c:ptCount val="12"/>
                <c:pt idx="0" formatCode="0.0%">
                  <c:v>0.48499999999999999</c:v>
                </c:pt>
                <c:pt idx="1">
                  <c:v>0.53</c:v>
                </c:pt>
                <c:pt idx="2" formatCode="0.0%">
                  <c:v>0.57299999999999995</c:v>
                </c:pt>
                <c:pt idx="3" formatCode="0.0%">
                  <c:v>0.629</c:v>
                </c:pt>
                <c:pt idx="4" formatCode="0.0%">
                  <c:v>0.69900000000000007</c:v>
                </c:pt>
                <c:pt idx="5" formatCode="0.0%">
                  <c:v>0.67099999999999993</c:v>
                </c:pt>
                <c:pt idx="6" formatCode="0.0%">
                  <c:v>0.47100000000000003</c:v>
                </c:pt>
                <c:pt idx="7" formatCode="0.0%">
                  <c:v>0.57999999999999996</c:v>
                </c:pt>
                <c:pt idx="8" formatCode="0.0%">
                  <c:v>0.61899999999999999</c:v>
                </c:pt>
                <c:pt idx="9" formatCode="0.0%">
                  <c:v>0.67600000000000005</c:v>
                </c:pt>
                <c:pt idx="10" formatCode="0.0%">
                  <c:v>0.69599999999999995</c:v>
                </c:pt>
                <c:pt idx="11" formatCode="0.0%">
                  <c:v>0.73</c:v>
                </c:pt>
              </c:numCache>
            </c:numRef>
          </c:yVal>
          <c:smooth val="0"/>
          <c:extLst>
            <c:ext xmlns:c16="http://schemas.microsoft.com/office/drawing/2014/chart" uri="{C3380CC4-5D6E-409C-BE32-E72D297353CC}">
              <c16:uniqueId val="{00000006-F76C-455E-8ADC-1638BE20BD2C}"/>
            </c:ext>
          </c:extLst>
        </c:ser>
        <c:ser>
          <c:idx val="6"/>
          <c:order val="6"/>
          <c:tx>
            <c:strRef>
              <c:f>CDF!$A$8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CDF!$B$8:$M$8</c:f>
              <c:numCache>
                <c:formatCode>General</c:formatCode>
                <c:ptCount val="12"/>
                <c:pt idx="0" formatCode="0.0%">
                  <c:v>3.3000000000000002E-2</c:v>
                </c:pt>
                <c:pt idx="1">
                  <c:v>0.38600000000000001</c:v>
                </c:pt>
                <c:pt idx="2" formatCode="0.0%">
                  <c:v>0.53800000000000003</c:v>
                </c:pt>
                <c:pt idx="3" formatCode="0.0%">
                  <c:v>0.625</c:v>
                </c:pt>
                <c:pt idx="4" formatCode="0.0%">
                  <c:v>0.65500000000000003</c:v>
                </c:pt>
                <c:pt idx="5" formatCode="0.0%">
                  <c:v>0.64700000000000002</c:v>
                </c:pt>
                <c:pt idx="6" formatCode="0.0%">
                  <c:v>0.51</c:v>
                </c:pt>
                <c:pt idx="7" formatCode="0.0%">
                  <c:v>0.28100000000000003</c:v>
                </c:pt>
                <c:pt idx="8" formatCode="0.0%">
                  <c:v>0.42600000000000005</c:v>
                </c:pt>
                <c:pt idx="9" formatCode="0.0%">
                  <c:v>0.44900000000000001</c:v>
                </c:pt>
                <c:pt idx="10" formatCode="0.0%">
                  <c:v>0.50600000000000001</c:v>
                </c:pt>
                <c:pt idx="11" formatCode="0.0%">
                  <c:v>0.55800000000000005</c:v>
                </c:pt>
              </c:numCache>
            </c:numRef>
          </c:yVal>
          <c:smooth val="0"/>
          <c:extLst>
            <c:ext xmlns:c16="http://schemas.microsoft.com/office/drawing/2014/chart" uri="{C3380CC4-5D6E-409C-BE32-E72D297353CC}">
              <c16:uniqueId val="{00000007-F76C-455E-8ADC-1638BE20BD2C}"/>
            </c:ext>
          </c:extLst>
        </c:ser>
        <c:ser>
          <c:idx val="7"/>
          <c:order val="7"/>
          <c:tx>
            <c:strRef>
              <c:f>CDF!$A$9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CDF!$B$9:$M$9</c:f>
              <c:numCache>
                <c:formatCode>General</c:formatCode>
                <c:ptCount val="12"/>
                <c:pt idx="0" formatCode="0.0%">
                  <c:v>0.20300000000000001</c:v>
                </c:pt>
                <c:pt idx="1">
                  <c:v>0.42200000000000004</c:v>
                </c:pt>
                <c:pt idx="2" formatCode="0.0%">
                  <c:v>0.253</c:v>
                </c:pt>
                <c:pt idx="3" formatCode="0.0%">
                  <c:v>0.503</c:v>
                </c:pt>
                <c:pt idx="4" formatCode="0.0%">
                  <c:v>0.54100000000000004</c:v>
                </c:pt>
                <c:pt idx="5" formatCode="0.0%">
                  <c:v>0.54700000000000004</c:v>
                </c:pt>
                <c:pt idx="6" formatCode="0.0%">
                  <c:v>0.52</c:v>
                </c:pt>
                <c:pt idx="7" formatCode="0.0%">
                  <c:v>0.59599999999999997</c:v>
                </c:pt>
                <c:pt idx="8" formatCode="0.0%">
                  <c:v>0.70599999999999996</c:v>
                </c:pt>
                <c:pt idx="9" formatCode="0.0%">
                  <c:v>0.72899999999999998</c:v>
                </c:pt>
                <c:pt idx="10" formatCode="0.0%">
                  <c:v>0.76700000000000002</c:v>
                </c:pt>
                <c:pt idx="11" formatCode="0.0%">
                  <c:v>0.79700000000000004</c:v>
                </c:pt>
              </c:numCache>
            </c:numRef>
          </c:yVal>
          <c:smooth val="0"/>
          <c:extLst>
            <c:ext xmlns:c16="http://schemas.microsoft.com/office/drawing/2014/chart" uri="{C3380CC4-5D6E-409C-BE32-E72D297353CC}">
              <c16:uniqueId val="{00000008-F76C-455E-8ADC-1638BE20BD2C}"/>
            </c:ext>
          </c:extLst>
        </c:ser>
        <c:ser>
          <c:idx val="8"/>
          <c:order val="8"/>
          <c:tx>
            <c:strRef>
              <c:f>CDF!$A$10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CDF!$B$10:$M$10</c:f>
              <c:numCache>
                <c:formatCode>General</c:formatCode>
                <c:ptCount val="12"/>
                <c:pt idx="0" formatCode="0.0%">
                  <c:v>0.28000000000000003</c:v>
                </c:pt>
                <c:pt idx="1">
                  <c:v>0.36600000000000005</c:v>
                </c:pt>
                <c:pt idx="2" formatCode="0.0%">
                  <c:v>0.48799999999999999</c:v>
                </c:pt>
                <c:pt idx="3" formatCode="0.0%">
                  <c:v>0.64</c:v>
                </c:pt>
                <c:pt idx="4" formatCode="0.0%">
                  <c:v>0.78300000000000003</c:v>
                </c:pt>
                <c:pt idx="5" formatCode="0.0%">
                  <c:v>0.57100000000000006</c:v>
                </c:pt>
                <c:pt idx="6" formatCode="0.0%">
                  <c:v>0.745</c:v>
                </c:pt>
                <c:pt idx="7" formatCode="0.0%">
                  <c:v>0.78900000000000003</c:v>
                </c:pt>
                <c:pt idx="8" formatCode="0.0%">
                  <c:v>0.78800000000000003</c:v>
                </c:pt>
                <c:pt idx="9" formatCode="0.0%">
                  <c:v>0.75700000000000001</c:v>
                </c:pt>
                <c:pt idx="10" formatCode="0.0%">
                  <c:v>0.77500000000000002</c:v>
                </c:pt>
                <c:pt idx="11" formatCode="0.0%">
                  <c:v>0.78400000000000003</c:v>
                </c:pt>
              </c:numCache>
            </c:numRef>
          </c:yVal>
          <c:smooth val="0"/>
          <c:extLst>
            <c:ext xmlns:c16="http://schemas.microsoft.com/office/drawing/2014/chart" uri="{C3380CC4-5D6E-409C-BE32-E72D297353CC}">
              <c16:uniqueId val="{00000009-F76C-455E-8ADC-1638BE20BD2C}"/>
            </c:ext>
          </c:extLst>
        </c:ser>
        <c:ser>
          <c:idx val="9"/>
          <c:order val="9"/>
          <c:tx>
            <c:strRef>
              <c:f>CDF!$A$11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CDF!$B$11:$M$11</c:f>
              <c:numCache>
                <c:formatCode>General</c:formatCode>
                <c:ptCount val="12"/>
                <c:pt idx="0" formatCode="0.0%">
                  <c:v>0.38799999999999996</c:v>
                </c:pt>
                <c:pt idx="1">
                  <c:v>0.53200000000000003</c:v>
                </c:pt>
                <c:pt idx="2" formatCode="0.0%">
                  <c:v>0.41100000000000003</c:v>
                </c:pt>
                <c:pt idx="3" formatCode="0.0%">
                  <c:v>0.51500000000000001</c:v>
                </c:pt>
                <c:pt idx="4" formatCode="0.0%">
                  <c:v>0.64</c:v>
                </c:pt>
                <c:pt idx="5" formatCode="0.0%">
                  <c:v>0.50600000000000001</c:v>
                </c:pt>
                <c:pt idx="6" formatCode="0.0%">
                  <c:v>0.35100000000000003</c:v>
                </c:pt>
                <c:pt idx="7" formatCode="0.0%">
                  <c:v>0.42700000000000005</c:v>
                </c:pt>
                <c:pt idx="8" formatCode="0.0%">
                  <c:v>0.56899999999999995</c:v>
                </c:pt>
                <c:pt idx="9" formatCode="0.0%">
                  <c:v>0.67600000000000005</c:v>
                </c:pt>
                <c:pt idx="10" formatCode="0.0%">
                  <c:v>0.58799999999999997</c:v>
                </c:pt>
                <c:pt idx="11" formatCode="0.0%">
                  <c:v>0.64900000000000002</c:v>
                </c:pt>
              </c:numCache>
            </c:numRef>
          </c:yVal>
          <c:smooth val="0"/>
          <c:extLst>
            <c:ext xmlns:c16="http://schemas.microsoft.com/office/drawing/2014/chart" uri="{C3380CC4-5D6E-409C-BE32-E72D297353CC}">
              <c16:uniqueId val="{0000000A-F76C-455E-8ADC-1638BE20BD2C}"/>
            </c:ext>
          </c:extLst>
        </c:ser>
        <c:ser>
          <c:idx val="10"/>
          <c:order val="10"/>
          <c:tx>
            <c:strRef>
              <c:f>CDF!$A$12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CDF!$B$12:$M$12</c:f>
              <c:numCache>
                <c:formatCode>General</c:formatCode>
                <c:ptCount val="12"/>
                <c:pt idx="6" formatCode="0.0%">
                  <c:v>0.55100000000000005</c:v>
                </c:pt>
                <c:pt idx="7" formatCode="0.0%">
                  <c:v>0.59700000000000009</c:v>
                </c:pt>
                <c:pt idx="8" formatCode="0.0%">
                  <c:v>0.55400000000000005</c:v>
                </c:pt>
                <c:pt idx="9" formatCode="0.0%">
                  <c:v>0.67200000000000004</c:v>
                </c:pt>
                <c:pt idx="10" formatCode="0.0%">
                  <c:v>0.71299999999999997</c:v>
                </c:pt>
                <c:pt idx="11" formatCode="0.0%">
                  <c:v>0.82699999999999996</c:v>
                </c:pt>
              </c:numCache>
            </c:numRef>
          </c:yVal>
          <c:smooth val="0"/>
          <c:extLst>
            <c:ext xmlns:c16="http://schemas.microsoft.com/office/drawing/2014/chart" uri="{C3380CC4-5D6E-409C-BE32-E72D297353CC}">
              <c16:uniqueId val="{0000000B-F76C-455E-8ADC-1638BE20BD2C}"/>
            </c:ext>
          </c:extLst>
        </c:ser>
        <c:ser>
          <c:idx val="11"/>
          <c:order val="11"/>
          <c:tx>
            <c:strRef>
              <c:f>CDF!$A$13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CDF!$B$13:$M$13</c:f>
              <c:numCache>
                <c:formatCode>General</c:formatCode>
                <c:ptCount val="12"/>
                <c:pt idx="6" formatCode="0.0%">
                  <c:v>0.498</c:v>
                </c:pt>
                <c:pt idx="7" formatCode="0.0%">
                  <c:v>0.51700000000000002</c:v>
                </c:pt>
                <c:pt idx="8" formatCode="0.0%">
                  <c:v>0.52200000000000002</c:v>
                </c:pt>
                <c:pt idx="9" formatCode="0.0%">
                  <c:v>0.55400000000000005</c:v>
                </c:pt>
                <c:pt idx="10" formatCode="0.0%">
                  <c:v>0.61799999999999999</c:v>
                </c:pt>
                <c:pt idx="11" formatCode="0.0%">
                  <c:v>0.624</c:v>
                </c:pt>
              </c:numCache>
            </c:numRef>
          </c:yVal>
          <c:smooth val="0"/>
          <c:extLst>
            <c:ext xmlns:c16="http://schemas.microsoft.com/office/drawing/2014/chart" uri="{C3380CC4-5D6E-409C-BE32-E72D297353CC}">
              <c16:uniqueId val="{0000000C-F76C-455E-8ADC-1638BE20BD2C}"/>
            </c:ext>
          </c:extLst>
        </c:ser>
        <c:ser>
          <c:idx val="13"/>
          <c:order val="12"/>
          <c:tx>
            <c:strRef>
              <c:f>CDF!$A$14</c:f>
              <c:strCache>
                <c:ptCount val="1"/>
                <c:pt idx="0">
                  <c:v>Statewide</c:v>
                </c:pt>
              </c:strCache>
            </c:strRef>
          </c:tx>
          <c:spPr>
            <a:ln w="28575" cap="rnd">
              <a:solidFill>
                <a:schemeClr val="accent1">
                  <a:lumMod val="75000"/>
                </a:schemeClr>
              </a:solidFill>
              <a:round/>
            </a:ln>
            <a:effectLst/>
          </c:spPr>
          <c:marker>
            <c:symbol val="none"/>
          </c:marker>
          <c:dPt>
            <c:idx val="7"/>
            <c:marker>
              <c:symbol val="none"/>
            </c:marker>
            <c:bubble3D val="0"/>
            <c:extLst>
              <c:ext xmlns:c16="http://schemas.microsoft.com/office/drawing/2014/chart" uri="{C3380CC4-5D6E-409C-BE32-E72D297353CC}">
                <c16:uniqueId val="{0000000D-F76C-455E-8ADC-1638BE20BD2C}"/>
              </c:ext>
            </c:extLst>
          </c:dPt>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CDF!$B$14:$M$14</c:f>
              <c:numCache>
                <c:formatCode>General</c:formatCode>
                <c:ptCount val="12"/>
                <c:pt idx="0" formatCode="0.0%">
                  <c:v>0.27899999999999997</c:v>
                </c:pt>
                <c:pt idx="1">
                  <c:v>0.374</c:v>
                </c:pt>
                <c:pt idx="2" formatCode="0.0%">
                  <c:v>0.48</c:v>
                </c:pt>
                <c:pt idx="3" formatCode="0.0%">
                  <c:v>0.58200000000000007</c:v>
                </c:pt>
                <c:pt idx="4" formatCode="0.0%">
                  <c:v>0.64</c:v>
                </c:pt>
                <c:pt idx="5" formatCode="0.0%">
                  <c:v>0.60399999999999998</c:v>
                </c:pt>
                <c:pt idx="6" formatCode="0.0%">
                  <c:v>0.52</c:v>
                </c:pt>
                <c:pt idx="7" formatCode="0.0%">
                  <c:v>0.52</c:v>
                </c:pt>
                <c:pt idx="8" formatCode="0.0%">
                  <c:v>0.58299999999999996</c:v>
                </c:pt>
                <c:pt idx="9" formatCode="0.0%">
                  <c:v>0.64900000000000002</c:v>
                </c:pt>
                <c:pt idx="10" formatCode="0.0%">
                  <c:v>0.67800000000000005</c:v>
                </c:pt>
                <c:pt idx="11" formatCode="0.0%">
                  <c:v>0.72399999999999998</c:v>
                </c:pt>
              </c:numCache>
            </c:numRef>
          </c:yVal>
          <c:smooth val="0"/>
          <c:extLst>
            <c:ext xmlns:c16="http://schemas.microsoft.com/office/drawing/2014/chart" uri="{C3380CC4-5D6E-409C-BE32-E72D297353CC}">
              <c16:uniqueId val="{0000000E-F76C-455E-8ADC-1638BE20BD2C}"/>
            </c:ext>
          </c:extLst>
        </c:ser>
        <c:ser>
          <c:idx val="14"/>
          <c:order val="13"/>
          <c:tx>
            <c:strRef>
              <c:f>CDF!$A$15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CDF!$B$15:$M$15</c:f>
              <c:numCache>
                <c:formatCode>General</c:formatCode>
                <c:ptCount val="12"/>
                <c:pt idx="7" formatCode="0.0%">
                  <c:v>0.38500000000000001</c:v>
                </c:pt>
                <c:pt idx="8" formatCode="0.0%">
                  <c:v>0.63400000000000001</c:v>
                </c:pt>
                <c:pt idx="9" formatCode="0.0%">
                  <c:v>0.69899999999999995</c:v>
                </c:pt>
                <c:pt idx="10" formatCode="0.0%">
                  <c:v>0.68300000000000005</c:v>
                </c:pt>
                <c:pt idx="11" formatCode="0.0%">
                  <c:v>0.78400000000000003</c:v>
                </c:pt>
              </c:numCache>
            </c:numRef>
          </c:yVal>
          <c:smooth val="0"/>
          <c:extLst>
            <c:ext xmlns:c16="http://schemas.microsoft.com/office/drawing/2014/chart" uri="{C3380CC4-5D6E-409C-BE32-E72D297353CC}">
              <c16:uniqueId val="{0000000F-F76C-455E-8ADC-1638BE20BD2C}"/>
            </c:ext>
          </c:extLst>
        </c:ser>
        <c:ser>
          <c:idx val="15"/>
          <c:order val="14"/>
          <c:tx>
            <c:strRef>
              <c:f>CDF!$A$16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CDF!$B$16:$M$16</c:f>
              <c:numCache>
                <c:formatCode>General</c:formatCode>
                <c:ptCount val="12"/>
                <c:pt idx="0" formatCode="0.0%">
                  <c:v>0.14099999999999999</c:v>
                </c:pt>
                <c:pt idx="1">
                  <c:v>0.23500000000000001</c:v>
                </c:pt>
                <c:pt idx="2" formatCode="0.0%">
                  <c:v>0.43700000000000006</c:v>
                </c:pt>
                <c:pt idx="3" formatCode="0.0%">
                  <c:v>0.51300000000000001</c:v>
                </c:pt>
                <c:pt idx="4" formatCode="0.0%">
                  <c:v>0.57600000000000007</c:v>
                </c:pt>
                <c:pt idx="5" formatCode="0.0%">
                  <c:v>0.58399999999999996</c:v>
                </c:pt>
                <c:pt idx="6" formatCode="0.0%">
                  <c:v>0.495</c:v>
                </c:pt>
                <c:pt idx="7" formatCode="0.0%">
                  <c:v>0.42200000000000004</c:v>
                </c:pt>
                <c:pt idx="8" formatCode="0.0%">
                  <c:v>0.60599999999999998</c:v>
                </c:pt>
                <c:pt idx="9" formatCode="0.0%">
                  <c:v>0.68200000000000005</c:v>
                </c:pt>
                <c:pt idx="10" formatCode="0.0%">
                  <c:v>0.74</c:v>
                </c:pt>
                <c:pt idx="11" formatCode="0.0%">
                  <c:v>0.81299999999999994</c:v>
                </c:pt>
              </c:numCache>
            </c:numRef>
          </c:yVal>
          <c:smooth val="0"/>
          <c:extLst>
            <c:ext xmlns:c16="http://schemas.microsoft.com/office/drawing/2014/chart" uri="{C3380CC4-5D6E-409C-BE32-E72D297353CC}">
              <c16:uniqueId val="{00000010-F76C-455E-8ADC-1638BE20BD2C}"/>
            </c:ext>
          </c:extLst>
        </c:ser>
        <c:ser>
          <c:idx val="16"/>
          <c:order val="15"/>
          <c:tx>
            <c:strRef>
              <c:f>CDF!$A$17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CDF!$B$17:$M$17</c:f>
              <c:numCache>
                <c:formatCode>General</c:formatCode>
                <c:ptCount val="12"/>
                <c:pt idx="0" formatCode="0.0%">
                  <c:v>0.58700000000000008</c:v>
                </c:pt>
                <c:pt idx="1">
                  <c:v>0.59</c:v>
                </c:pt>
                <c:pt idx="2" formatCode="0.0%">
                  <c:v>0.66300000000000003</c:v>
                </c:pt>
                <c:pt idx="3" formatCode="0.0%">
                  <c:v>0.748</c:v>
                </c:pt>
                <c:pt idx="4" formatCode="0.0%">
                  <c:v>0.746</c:v>
                </c:pt>
                <c:pt idx="5" formatCode="0.0%">
                  <c:v>0.42299999999999999</c:v>
                </c:pt>
                <c:pt idx="6" formatCode="0.0%">
                  <c:v>0.51</c:v>
                </c:pt>
                <c:pt idx="7" formatCode="0.0%">
                  <c:v>0.253</c:v>
                </c:pt>
                <c:pt idx="8" formatCode="0.0%">
                  <c:v>0.47100000000000003</c:v>
                </c:pt>
                <c:pt idx="9" formatCode="0.0%">
                  <c:v>0.58699999999999997</c:v>
                </c:pt>
                <c:pt idx="10" formatCode="0.0%">
                  <c:v>0.70299999999999996</c:v>
                </c:pt>
                <c:pt idx="11" formatCode="0.0%">
                  <c:v>0.73</c:v>
                </c:pt>
              </c:numCache>
            </c:numRef>
          </c:yVal>
          <c:smooth val="0"/>
          <c:extLst>
            <c:ext xmlns:c16="http://schemas.microsoft.com/office/drawing/2014/chart" uri="{C3380CC4-5D6E-409C-BE32-E72D297353CC}">
              <c16:uniqueId val="{00000011-F76C-455E-8ADC-1638BE20BD2C}"/>
            </c:ext>
          </c:extLst>
        </c:ser>
        <c:ser>
          <c:idx val="17"/>
          <c:order val="17"/>
          <c:tx>
            <c:strRef>
              <c:f>CDF!$A$20</c:f>
              <c:strCache>
                <c:ptCount val="1"/>
                <c:pt idx="0">
                  <c:v>CCO statewide</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CDF!$B$20:$M$20</c:f>
              <c:numCache>
                <c:formatCode>0.0%</c:formatCode>
                <c:ptCount val="12"/>
                <c:pt idx="0">
                  <c:v>0.27899999999999997</c:v>
                </c:pt>
                <c:pt idx="1">
                  <c:v>0.374</c:v>
                </c:pt>
                <c:pt idx="2">
                  <c:v>0.48</c:v>
                </c:pt>
                <c:pt idx="3">
                  <c:v>0.58200000000000007</c:v>
                </c:pt>
                <c:pt idx="4">
                  <c:v>0.64</c:v>
                </c:pt>
                <c:pt idx="5">
                  <c:v>0.60399999999999998</c:v>
                </c:pt>
                <c:pt idx="6">
                  <c:v>0.52</c:v>
                </c:pt>
                <c:pt idx="7">
                  <c:v>0.52</c:v>
                </c:pt>
                <c:pt idx="8">
                  <c:v>0.58299999999999996</c:v>
                </c:pt>
                <c:pt idx="9">
                  <c:v>0.64900000000000002</c:v>
                </c:pt>
                <c:pt idx="10">
                  <c:v>0.67800000000000005</c:v>
                </c:pt>
                <c:pt idx="11">
                  <c:v>0.72399999999999998</c:v>
                </c:pt>
              </c:numCache>
            </c:numRef>
          </c:yVal>
          <c:smooth val="0"/>
          <c:extLst>
            <c:ext xmlns:c16="http://schemas.microsoft.com/office/drawing/2014/chart" uri="{C3380CC4-5D6E-409C-BE32-E72D297353CC}">
              <c16:uniqueId val="{00000012-F76C-455E-8ADC-1638BE20BD2C}"/>
            </c:ext>
          </c:extLst>
        </c:ser>
        <c:ser>
          <c:idx val="20"/>
          <c:order val="18"/>
          <c:tx>
            <c:strRef>
              <c:f>CDF!$A$19</c:f>
              <c:strCache>
                <c:ptCount val="1"/>
                <c:pt idx="0">
                  <c:v>Individual CCOs</c:v>
                </c:pt>
              </c:strCache>
            </c:strRef>
          </c:tx>
          <c:spPr>
            <a:ln w="25400" cap="rnd">
              <a:noFill/>
              <a:round/>
            </a:ln>
            <a:effectLst/>
          </c:spPr>
          <c:marker>
            <c:symbol val="circle"/>
            <c:size val="6"/>
            <c:spPr>
              <a:noFill/>
              <a:ln w="9525">
                <a:solidFill>
                  <a:srgbClr val="606060"/>
                </a:solidFill>
              </a:ln>
              <a:effectLst/>
            </c:spPr>
          </c:marker>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CDF!$B$19:$M$19</c:f>
              <c:numCache>
                <c:formatCode>0.0%</c:formatCode>
                <c:ptCount val="12"/>
                <c:pt idx="0">
                  <c:v>0.68099999999999994</c:v>
                </c:pt>
                <c:pt idx="1">
                  <c:v>0.628</c:v>
                </c:pt>
                <c:pt idx="2">
                  <c:v>0.68200000000000005</c:v>
                </c:pt>
                <c:pt idx="3">
                  <c:v>0.61499999999999999</c:v>
                </c:pt>
                <c:pt idx="4">
                  <c:v>0.73</c:v>
                </c:pt>
                <c:pt idx="5">
                  <c:v>0.69700000000000006</c:v>
                </c:pt>
                <c:pt idx="6">
                  <c:v>0.55500000000000005</c:v>
                </c:pt>
                <c:pt idx="7">
                  <c:v>0.623</c:v>
                </c:pt>
                <c:pt idx="8">
                  <c:v>0.65</c:v>
                </c:pt>
                <c:pt idx="9">
                  <c:v>0.71</c:v>
                </c:pt>
                <c:pt idx="10">
                  <c:v>0.78600000000000003</c:v>
                </c:pt>
                <c:pt idx="11">
                  <c:v>0.82799999999999996</c:v>
                </c:pt>
              </c:numCache>
            </c:numRef>
          </c:yVal>
          <c:smooth val="0"/>
          <c:extLst>
            <c:ext xmlns:c16="http://schemas.microsoft.com/office/drawing/2014/chart" uri="{C3380CC4-5D6E-409C-BE32-E72D297353CC}">
              <c16:uniqueId val="{00000013-F76C-455E-8ADC-1638BE20BD2C}"/>
            </c:ext>
          </c:extLst>
        </c:ser>
        <c:ser>
          <c:idx val="18"/>
          <c:order val="19"/>
          <c:tx>
            <c:strRef>
              <c:f>CDF!$A$21</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dLbls>
            <c:dLbl>
              <c:idx val="2"/>
              <c:tx>
                <c:rich>
                  <a:bodyPr/>
                  <a:lstStyle/>
                  <a:p>
                    <a:r>
                      <a:rPr lang="en-US"/>
                      <a:t>Benchmark</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F76C-455E-8ADC-1638BE20BD2C}"/>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endParaRPr lang="en-US"/>
              </a:p>
            </c:txPr>
            <c:dLblPos val="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CDF!$B$1:$M$1</c:f>
              <c:strCache>
                <c:ptCount val="12"/>
                <c:pt idx="0">
                  <c:v>'14</c:v>
                </c:pt>
                <c:pt idx="1">
                  <c:v>'15</c:v>
                </c:pt>
                <c:pt idx="2">
                  <c:v>'16</c:v>
                </c:pt>
                <c:pt idx="3">
                  <c:v>'17</c:v>
                </c:pt>
                <c:pt idx="4">
                  <c:v>'18</c:v>
                </c:pt>
                <c:pt idx="5">
                  <c:v>'19</c:v>
                </c:pt>
                <c:pt idx="6">
                  <c:v>'20</c:v>
                </c:pt>
                <c:pt idx="7">
                  <c:v>'21</c:v>
                </c:pt>
                <c:pt idx="8">
                  <c:v>'22</c:v>
                </c:pt>
                <c:pt idx="9">
                  <c:v>'23</c:v>
                </c:pt>
                <c:pt idx="10">
                  <c:v>'24</c:v>
                </c:pt>
                <c:pt idx="11">
                  <c:v>'25</c:v>
                </c:pt>
              </c:strCache>
            </c:strRef>
          </c:xVal>
          <c:yVal>
            <c:numRef>
              <c:f>CDF!$B$21:$M$21</c:f>
              <c:numCache>
                <c:formatCode>0.0%</c:formatCode>
                <c:ptCount val="12"/>
                <c:pt idx="0">
                  <c:v>0.25</c:v>
                </c:pt>
                <c:pt idx="1">
                  <c:v>0.25</c:v>
                </c:pt>
                <c:pt idx="2">
                  <c:v>0.25</c:v>
                </c:pt>
                <c:pt idx="3">
                  <c:v>0.52900000000000003</c:v>
                </c:pt>
                <c:pt idx="4">
                  <c:v>0.63</c:v>
                </c:pt>
                <c:pt idx="8">
                  <c:v>0.64600000000000002</c:v>
                </c:pt>
                <c:pt idx="9">
                  <c:v>0.61</c:v>
                </c:pt>
                <c:pt idx="10">
                  <c:v>0.68200000000000005</c:v>
                </c:pt>
                <c:pt idx="11">
                  <c:v>0.73799999999999999</c:v>
                </c:pt>
              </c:numCache>
            </c:numRef>
          </c:yVal>
          <c:smooth val="0"/>
          <c:extLst>
            <c:ext xmlns:c16="http://schemas.microsoft.com/office/drawing/2014/chart" uri="{C3380CC4-5D6E-409C-BE32-E72D297353CC}">
              <c16:uniqueId val="{00000015-F76C-455E-8ADC-1638BE20BD2C}"/>
            </c:ext>
          </c:extLst>
        </c:ser>
        <c:ser>
          <c:idx val="19"/>
          <c:order val="20"/>
          <c:tx>
            <c:strRef>
              <c:f>CDF!$O$1</c:f>
              <c:strCache>
                <c:ptCount val="1"/>
                <c:pt idx="0">
                  <c:v>Spec change year:</c:v>
                </c:pt>
              </c:strCache>
            </c:strRef>
          </c:tx>
          <c:spPr>
            <a:ln w="22225" cap="rnd">
              <a:solidFill>
                <a:schemeClr val="accent2">
                  <a:lumMod val="80000"/>
                </a:schemeClr>
              </a:solidFill>
              <a:round/>
            </a:ln>
            <a:effectLst/>
          </c:spPr>
          <c:marker>
            <c:symbol val="none"/>
          </c:marker>
          <c:dPt>
            <c:idx val="1"/>
            <c:marker>
              <c:symbol val="none"/>
            </c:marker>
            <c:bubble3D val="0"/>
            <c:spPr>
              <a:ln w="22225" cap="rnd">
                <a:solidFill>
                  <a:schemeClr val="tx1">
                    <a:lumMod val="60000"/>
                    <a:lumOff val="40000"/>
                  </a:schemeClr>
                </a:solidFill>
                <a:prstDash val="dash"/>
                <a:round/>
              </a:ln>
              <a:effectLst/>
            </c:spPr>
            <c:extLst>
              <c:ext xmlns:c16="http://schemas.microsoft.com/office/drawing/2014/chart" uri="{C3380CC4-5D6E-409C-BE32-E72D297353CC}">
                <c16:uniqueId val="{00000017-F76C-455E-8ADC-1638BE20BD2C}"/>
              </c:ext>
            </c:extLst>
          </c:dPt>
          <c:xVal>
            <c:numRef>
              <c:f>CDF!$O$3:$O$4</c:f>
              <c:numCache>
                <c:formatCode>General</c:formatCode>
                <c:ptCount val="2"/>
                <c:pt idx="0">
                  <c:v>6</c:v>
                </c:pt>
                <c:pt idx="1">
                  <c:v>6</c:v>
                </c:pt>
              </c:numCache>
            </c:numRef>
          </c:xVal>
          <c:yVal>
            <c:numRef>
              <c:f>CDF!$P$3:$P$4</c:f>
              <c:numCache>
                <c:formatCode>General</c:formatCode>
                <c:ptCount val="2"/>
                <c:pt idx="0">
                  <c:v>0</c:v>
                </c:pt>
                <c:pt idx="1">
                  <c:v>1</c:v>
                </c:pt>
              </c:numCache>
            </c:numRef>
          </c:yVal>
          <c:smooth val="0"/>
          <c:extLst>
            <c:ext xmlns:c16="http://schemas.microsoft.com/office/drawing/2014/chart" uri="{C3380CC4-5D6E-409C-BE32-E72D297353CC}">
              <c16:uniqueId val="{00000018-F76C-455E-8ADC-1638BE20BD2C}"/>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5"/>
        <c:minorUnit val="0.25"/>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9"/>
        <c:delete val="1"/>
      </c:legendEntry>
      <c:legendEntry>
        <c:idx val="20"/>
        <c:delete val="1"/>
      </c:legendEntry>
      <c:layout>
        <c:manualLayout>
          <c:xMode val="edge"/>
          <c:yMode val="edge"/>
          <c:x val="8.8594488188976375E-2"/>
          <c:y val="0.89353707680479322"/>
          <c:w val="0.57836636045494316"/>
          <c:h val="8.1210397942681409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ptos" panose="020B00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2"/>
          <c:order val="16"/>
          <c:tx>
            <c:strRef>
              <c:f>OED!$A$18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OED!$B$1:$I$1</c:f>
              <c:strCache>
                <c:ptCount val="8"/>
                <c:pt idx="0">
                  <c:v>'18</c:v>
                </c:pt>
                <c:pt idx="1">
                  <c:v>'19</c:v>
                </c:pt>
                <c:pt idx="2">
                  <c:v>'20</c:v>
                </c:pt>
                <c:pt idx="3">
                  <c:v>'21</c:v>
                </c:pt>
                <c:pt idx="4">
                  <c:v>'22</c:v>
                </c:pt>
                <c:pt idx="5">
                  <c:v>'23</c:v>
                </c:pt>
                <c:pt idx="6">
                  <c:v>'24</c:v>
                </c:pt>
                <c:pt idx="7">
                  <c:v>'25</c:v>
                </c:pt>
              </c:strCache>
            </c:strRef>
          </c:cat>
          <c:val>
            <c:numRef>
              <c:f>OED!$B$18:$I$18</c:f>
              <c:numCache>
                <c:formatCode>0.0%</c:formatCode>
                <c:ptCount val="8"/>
                <c:pt idx="0">
                  <c:v>0.27300000000000002</c:v>
                </c:pt>
                <c:pt idx="1">
                  <c:v>0.29300000000000004</c:v>
                </c:pt>
                <c:pt idx="2">
                  <c:v>0.18100000000000002</c:v>
                </c:pt>
                <c:pt idx="3">
                  <c:v>0.23600000000000002</c:v>
                </c:pt>
                <c:pt idx="4">
                  <c:v>0.249</c:v>
                </c:pt>
                <c:pt idx="5">
                  <c:v>0.30499999999999999</c:v>
                </c:pt>
                <c:pt idx="6">
                  <c:v>0.32200000000000001</c:v>
                </c:pt>
                <c:pt idx="7">
                  <c:v>0.34599999999999997</c:v>
                </c:pt>
              </c:numCache>
            </c:numRef>
          </c:val>
          <c:smooth val="0"/>
          <c:extLst>
            <c:ext xmlns:c16="http://schemas.microsoft.com/office/drawing/2014/chart" uri="{C3380CC4-5D6E-409C-BE32-E72D297353CC}">
              <c16:uniqueId val="{00000000-188F-499A-A79B-90D29FC3F23E}"/>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OED!$A$2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OED!$B$2:$I$2</c:f>
              <c:numCache>
                <c:formatCode>0.0%</c:formatCode>
                <c:ptCount val="8"/>
                <c:pt idx="0">
                  <c:v>0.152</c:v>
                </c:pt>
                <c:pt idx="1">
                  <c:v>0.22700000000000001</c:v>
                </c:pt>
                <c:pt idx="2">
                  <c:v>0.161</c:v>
                </c:pt>
                <c:pt idx="3">
                  <c:v>0.184</c:v>
                </c:pt>
                <c:pt idx="4">
                  <c:v>0.22100000000000003</c:v>
                </c:pt>
                <c:pt idx="5">
                  <c:v>0.253</c:v>
                </c:pt>
                <c:pt idx="6">
                  <c:v>0.29899999999999999</c:v>
                </c:pt>
                <c:pt idx="7">
                  <c:v>0.28599999999999998</c:v>
                </c:pt>
              </c:numCache>
            </c:numRef>
          </c:yVal>
          <c:smooth val="0"/>
          <c:extLst>
            <c:ext xmlns:c16="http://schemas.microsoft.com/office/drawing/2014/chart" uri="{C3380CC4-5D6E-409C-BE32-E72D297353CC}">
              <c16:uniqueId val="{00000001-188F-499A-A79B-90D29FC3F23E}"/>
            </c:ext>
          </c:extLst>
        </c:ser>
        <c:ser>
          <c:idx val="1"/>
          <c:order val="1"/>
          <c:tx>
            <c:strRef>
              <c:f>OED!$A$3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OED!$B$3:$I$3</c:f>
              <c:numCache>
                <c:formatCode>0.0%</c:formatCode>
                <c:ptCount val="8"/>
                <c:pt idx="0">
                  <c:v>0.254</c:v>
                </c:pt>
                <c:pt idx="1">
                  <c:v>0.27700000000000002</c:v>
                </c:pt>
                <c:pt idx="2">
                  <c:v>0.18300000000000002</c:v>
                </c:pt>
                <c:pt idx="3">
                  <c:v>0.222</c:v>
                </c:pt>
                <c:pt idx="4">
                  <c:v>0.214</c:v>
                </c:pt>
                <c:pt idx="5">
                  <c:v>0.21199999999999999</c:v>
                </c:pt>
                <c:pt idx="6">
                  <c:v>0.251</c:v>
                </c:pt>
                <c:pt idx="7">
                  <c:v>0.247</c:v>
                </c:pt>
              </c:numCache>
            </c:numRef>
          </c:yVal>
          <c:smooth val="0"/>
          <c:extLst>
            <c:ext xmlns:c16="http://schemas.microsoft.com/office/drawing/2014/chart" uri="{C3380CC4-5D6E-409C-BE32-E72D297353CC}">
              <c16:uniqueId val="{00000002-188F-499A-A79B-90D29FC3F23E}"/>
            </c:ext>
          </c:extLst>
        </c:ser>
        <c:ser>
          <c:idx val="2"/>
          <c:order val="2"/>
          <c:tx>
            <c:strRef>
              <c:f>OED!$A$4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OED!$B$4:$I$4</c:f>
              <c:numCache>
                <c:formatCode>0.0%</c:formatCode>
                <c:ptCount val="8"/>
                <c:pt idx="0">
                  <c:v>0.21300000000000002</c:v>
                </c:pt>
                <c:pt idx="1">
                  <c:v>0.27300000000000002</c:v>
                </c:pt>
                <c:pt idx="2">
                  <c:v>0.16600000000000001</c:v>
                </c:pt>
                <c:pt idx="3">
                  <c:v>0.19700000000000001</c:v>
                </c:pt>
                <c:pt idx="4">
                  <c:v>0.20500000000000002</c:v>
                </c:pt>
                <c:pt idx="5">
                  <c:v>0.20100000000000001</c:v>
                </c:pt>
                <c:pt idx="6">
                  <c:v>0.27100000000000002</c:v>
                </c:pt>
                <c:pt idx="7">
                  <c:v>0.30399999999999999</c:v>
                </c:pt>
              </c:numCache>
            </c:numRef>
          </c:yVal>
          <c:smooth val="0"/>
          <c:extLst>
            <c:ext xmlns:c16="http://schemas.microsoft.com/office/drawing/2014/chart" uri="{C3380CC4-5D6E-409C-BE32-E72D297353CC}">
              <c16:uniqueId val="{00000003-188F-499A-A79B-90D29FC3F23E}"/>
            </c:ext>
          </c:extLst>
        </c:ser>
        <c:ser>
          <c:idx val="3"/>
          <c:order val="3"/>
          <c:tx>
            <c:strRef>
              <c:f>OED!$A$5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OED!$B$5:$I$5</c:f>
              <c:numCache>
                <c:formatCode>0.0%</c:formatCode>
                <c:ptCount val="8"/>
                <c:pt idx="0">
                  <c:v>0.23300000000000001</c:v>
                </c:pt>
                <c:pt idx="1">
                  <c:v>0.25900000000000001</c:v>
                </c:pt>
                <c:pt idx="2">
                  <c:v>0.16800000000000001</c:v>
                </c:pt>
                <c:pt idx="3">
                  <c:v>0.21300000000000002</c:v>
                </c:pt>
                <c:pt idx="4">
                  <c:v>0.247</c:v>
                </c:pt>
                <c:pt idx="5">
                  <c:v>0.251</c:v>
                </c:pt>
                <c:pt idx="6">
                  <c:v>0.28799999999999998</c:v>
                </c:pt>
                <c:pt idx="7">
                  <c:v>0.26100000000000001</c:v>
                </c:pt>
              </c:numCache>
            </c:numRef>
          </c:yVal>
          <c:smooth val="0"/>
          <c:extLst>
            <c:ext xmlns:c16="http://schemas.microsoft.com/office/drawing/2014/chart" uri="{C3380CC4-5D6E-409C-BE32-E72D297353CC}">
              <c16:uniqueId val="{00000004-188F-499A-A79B-90D29FC3F23E}"/>
            </c:ext>
          </c:extLst>
        </c:ser>
        <c:ser>
          <c:idx val="4"/>
          <c:order val="4"/>
          <c:tx>
            <c:strRef>
              <c:f>OED!$A$6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OED!$B$6:$I$6</c:f>
              <c:numCache>
                <c:formatCode>0.0%</c:formatCode>
                <c:ptCount val="8"/>
                <c:pt idx="0">
                  <c:v>0.23100000000000001</c:v>
                </c:pt>
                <c:pt idx="1">
                  <c:v>0.251</c:v>
                </c:pt>
                <c:pt idx="2">
                  <c:v>0.20300000000000001</c:v>
                </c:pt>
                <c:pt idx="3">
                  <c:v>0.22</c:v>
                </c:pt>
                <c:pt idx="4">
                  <c:v>0.23</c:v>
                </c:pt>
                <c:pt idx="5">
                  <c:v>0.27500000000000002</c:v>
                </c:pt>
                <c:pt idx="6">
                  <c:v>0.30599999999999999</c:v>
                </c:pt>
                <c:pt idx="7">
                  <c:v>0.29099999999999998</c:v>
                </c:pt>
              </c:numCache>
            </c:numRef>
          </c:yVal>
          <c:smooth val="0"/>
          <c:extLst>
            <c:ext xmlns:c16="http://schemas.microsoft.com/office/drawing/2014/chart" uri="{C3380CC4-5D6E-409C-BE32-E72D297353CC}">
              <c16:uniqueId val="{00000005-188F-499A-A79B-90D29FC3F23E}"/>
            </c:ext>
          </c:extLst>
        </c:ser>
        <c:ser>
          <c:idx val="5"/>
          <c:order val="5"/>
          <c:tx>
            <c:strRef>
              <c:f>OED!$A$7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OED!$B$7:$I$7</c:f>
              <c:numCache>
                <c:formatCode>0.0%</c:formatCode>
                <c:ptCount val="8"/>
                <c:pt idx="0">
                  <c:v>0.3</c:v>
                </c:pt>
                <c:pt idx="1">
                  <c:v>0.34600000000000003</c:v>
                </c:pt>
                <c:pt idx="2">
                  <c:v>0.22100000000000003</c:v>
                </c:pt>
                <c:pt idx="3">
                  <c:v>0.28800000000000003</c:v>
                </c:pt>
                <c:pt idx="4">
                  <c:v>0.27600000000000002</c:v>
                </c:pt>
                <c:pt idx="5">
                  <c:v>0.29799999999999999</c:v>
                </c:pt>
                <c:pt idx="6">
                  <c:v>0.308</c:v>
                </c:pt>
                <c:pt idx="7">
                  <c:v>0.33100000000000002</c:v>
                </c:pt>
              </c:numCache>
            </c:numRef>
          </c:yVal>
          <c:smooth val="0"/>
          <c:extLst>
            <c:ext xmlns:c16="http://schemas.microsoft.com/office/drawing/2014/chart" uri="{C3380CC4-5D6E-409C-BE32-E72D297353CC}">
              <c16:uniqueId val="{00000006-188F-499A-A79B-90D29FC3F23E}"/>
            </c:ext>
          </c:extLst>
        </c:ser>
        <c:ser>
          <c:idx val="6"/>
          <c:order val="6"/>
          <c:tx>
            <c:strRef>
              <c:f>OED!$A$8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OED!$B$8:$I$8</c:f>
              <c:numCache>
                <c:formatCode>0.0%</c:formatCode>
                <c:ptCount val="8"/>
                <c:pt idx="0">
                  <c:v>0.253</c:v>
                </c:pt>
                <c:pt idx="1">
                  <c:v>0.27300000000000002</c:v>
                </c:pt>
                <c:pt idx="2">
                  <c:v>0.17699999999999999</c:v>
                </c:pt>
                <c:pt idx="3">
                  <c:v>0.215</c:v>
                </c:pt>
                <c:pt idx="4">
                  <c:v>0.20399999999999999</c:v>
                </c:pt>
                <c:pt idx="5">
                  <c:v>0.23</c:v>
                </c:pt>
                <c:pt idx="6">
                  <c:v>0.23499999999999999</c:v>
                </c:pt>
                <c:pt idx="7">
                  <c:v>0.23599999999999999</c:v>
                </c:pt>
              </c:numCache>
            </c:numRef>
          </c:yVal>
          <c:smooth val="0"/>
          <c:extLst>
            <c:ext xmlns:c16="http://schemas.microsoft.com/office/drawing/2014/chart" uri="{C3380CC4-5D6E-409C-BE32-E72D297353CC}">
              <c16:uniqueId val="{00000007-188F-499A-A79B-90D29FC3F23E}"/>
            </c:ext>
          </c:extLst>
        </c:ser>
        <c:ser>
          <c:idx val="7"/>
          <c:order val="7"/>
          <c:tx>
            <c:strRef>
              <c:f>OED!$A$9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OED!$B$9:$I$9</c:f>
              <c:numCache>
                <c:formatCode>0.0%</c:formatCode>
                <c:ptCount val="8"/>
                <c:pt idx="0">
                  <c:v>0.27300000000000002</c:v>
                </c:pt>
                <c:pt idx="1">
                  <c:v>0.30499999999999999</c:v>
                </c:pt>
                <c:pt idx="2">
                  <c:v>0.20399999999999999</c:v>
                </c:pt>
                <c:pt idx="3">
                  <c:v>0.222</c:v>
                </c:pt>
                <c:pt idx="4">
                  <c:v>0.23500000000000001</c:v>
                </c:pt>
                <c:pt idx="5">
                  <c:v>0.252</c:v>
                </c:pt>
                <c:pt idx="6">
                  <c:v>0.28199999999999997</c:v>
                </c:pt>
                <c:pt idx="7">
                  <c:v>0.27600000000000002</c:v>
                </c:pt>
              </c:numCache>
            </c:numRef>
          </c:yVal>
          <c:smooth val="0"/>
          <c:extLst>
            <c:ext xmlns:c16="http://schemas.microsoft.com/office/drawing/2014/chart" uri="{C3380CC4-5D6E-409C-BE32-E72D297353CC}">
              <c16:uniqueId val="{00000008-188F-499A-A79B-90D29FC3F23E}"/>
            </c:ext>
          </c:extLst>
        </c:ser>
        <c:ser>
          <c:idx val="8"/>
          <c:order val="8"/>
          <c:tx>
            <c:strRef>
              <c:f>OED!$A$10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OED!$B$10:$I$10</c:f>
              <c:numCache>
                <c:formatCode>0.0%</c:formatCode>
                <c:ptCount val="8"/>
                <c:pt idx="0">
                  <c:v>0.22800000000000001</c:v>
                </c:pt>
                <c:pt idx="1">
                  <c:v>0.318</c:v>
                </c:pt>
                <c:pt idx="2">
                  <c:v>0.17899999999999999</c:v>
                </c:pt>
                <c:pt idx="3">
                  <c:v>0.21199999999999999</c:v>
                </c:pt>
                <c:pt idx="4">
                  <c:v>0.252</c:v>
                </c:pt>
                <c:pt idx="5">
                  <c:v>0.23400000000000001</c:v>
                </c:pt>
                <c:pt idx="6">
                  <c:v>0.28799999999999998</c:v>
                </c:pt>
                <c:pt idx="7">
                  <c:v>0.25700000000000001</c:v>
                </c:pt>
              </c:numCache>
            </c:numRef>
          </c:yVal>
          <c:smooth val="0"/>
          <c:extLst>
            <c:ext xmlns:c16="http://schemas.microsoft.com/office/drawing/2014/chart" uri="{C3380CC4-5D6E-409C-BE32-E72D297353CC}">
              <c16:uniqueId val="{00000009-188F-499A-A79B-90D29FC3F23E}"/>
            </c:ext>
          </c:extLst>
        </c:ser>
        <c:ser>
          <c:idx val="9"/>
          <c:order val="9"/>
          <c:tx>
            <c:strRef>
              <c:f>OED!$A$11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OED!$B$11:$I$11</c:f>
              <c:numCache>
                <c:formatCode>0.0%</c:formatCode>
                <c:ptCount val="8"/>
                <c:pt idx="0">
                  <c:v>0.29799999999999999</c:v>
                </c:pt>
                <c:pt idx="1">
                  <c:v>0.31900000000000001</c:v>
                </c:pt>
                <c:pt idx="2">
                  <c:v>0.26900000000000002</c:v>
                </c:pt>
                <c:pt idx="3">
                  <c:v>0.33200000000000002</c:v>
                </c:pt>
                <c:pt idx="4">
                  <c:v>0.30399999999999999</c:v>
                </c:pt>
                <c:pt idx="5">
                  <c:v>0.32</c:v>
                </c:pt>
                <c:pt idx="6">
                  <c:v>0.308</c:v>
                </c:pt>
                <c:pt idx="7">
                  <c:v>0.36</c:v>
                </c:pt>
              </c:numCache>
            </c:numRef>
          </c:yVal>
          <c:smooth val="0"/>
          <c:extLst>
            <c:ext xmlns:c16="http://schemas.microsoft.com/office/drawing/2014/chart" uri="{C3380CC4-5D6E-409C-BE32-E72D297353CC}">
              <c16:uniqueId val="{0000000A-188F-499A-A79B-90D29FC3F23E}"/>
            </c:ext>
          </c:extLst>
        </c:ser>
        <c:ser>
          <c:idx val="10"/>
          <c:order val="10"/>
          <c:tx>
            <c:strRef>
              <c:f>OED!$A$12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OED!$B$12:$I$12</c:f>
              <c:numCache>
                <c:formatCode>General</c:formatCode>
                <c:ptCount val="8"/>
                <c:pt idx="2" formatCode="0.0%">
                  <c:v>0.18600000000000003</c:v>
                </c:pt>
                <c:pt idx="3" formatCode="0.0%">
                  <c:v>0.23199999999999998</c:v>
                </c:pt>
                <c:pt idx="4" formatCode="0.0%">
                  <c:v>0.23399999999999999</c:v>
                </c:pt>
                <c:pt idx="5" formatCode="0.0%">
                  <c:v>0.27500000000000002</c:v>
                </c:pt>
                <c:pt idx="6" formatCode="0.0%">
                  <c:v>0.309</c:v>
                </c:pt>
                <c:pt idx="7" formatCode="0.0%">
                  <c:v>0.309</c:v>
                </c:pt>
              </c:numCache>
            </c:numRef>
          </c:yVal>
          <c:smooth val="0"/>
          <c:extLst>
            <c:ext xmlns:c16="http://schemas.microsoft.com/office/drawing/2014/chart" uri="{C3380CC4-5D6E-409C-BE32-E72D297353CC}">
              <c16:uniqueId val="{0000000B-188F-499A-A79B-90D29FC3F23E}"/>
            </c:ext>
          </c:extLst>
        </c:ser>
        <c:ser>
          <c:idx val="11"/>
          <c:order val="11"/>
          <c:tx>
            <c:strRef>
              <c:f>OED!$A$13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OED!$B$13:$I$13</c:f>
              <c:numCache>
                <c:formatCode>General</c:formatCode>
                <c:ptCount val="8"/>
                <c:pt idx="2" formatCode="0.0%">
                  <c:v>0.22600000000000001</c:v>
                </c:pt>
                <c:pt idx="3" formatCode="0.0%">
                  <c:v>0.23899999999999999</c:v>
                </c:pt>
                <c:pt idx="4" formatCode="0.0%">
                  <c:v>0.23100000000000001</c:v>
                </c:pt>
                <c:pt idx="5" formatCode="0.0%">
                  <c:v>0.23899999999999999</c:v>
                </c:pt>
                <c:pt idx="6" formatCode="0.0%">
                  <c:v>0.26900000000000002</c:v>
                </c:pt>
                <c:pt idx="7" formatCode="0.0%">
                  <c:v>0.28499999999999998</c:v>
                </c:pt>
              </c:numCache>
            </c:numRef>
          </c:yVal>
          <c:smooth val="0"/>
          <c:extLst>
            <c:ext xmlns:c16="http://schemas.microsoft.com/office/drawing/2014/chart" uri="{C3380CC4-5D6E-409C-BE32-E72D297353CC}">
              <c16:uniqueId val="{0000000C-188F-499A-A79B-90D29FC3F23E}"/>
            </c:ext>
          </c:extLst>
        </c:ser>
        <c:ser>
          <c:idx val="13"/>
          <c:order val="12"/>
          <c:tx>
            <c:strRef>
              <c:f>OED!$A$14</c:f>
              <c:strCache>
                <c:ptCount val="1"/>
                <c:pt idx="0">
                  <c:v>Statewide</c:v>
                </c:pt>
              </c:strCache>
            </c:strRef>
          </c:tx>
          <c:spPr>
            <a:ln w="28575" cap="rnd">
              <a:solidFill>
                <a:schemeClr val="accent1">
                  <a:lumMod val="75000"/>
                </a:schemeClr>
              </a:solidFill>
              <a:round/>
            </a:ln>
            <a:effectLst/>
          </c:spPr>
          <c:marker>
            <c:symbol val="none"/>
          </c:marker>
          <c:dPt>
            <c:idx val="3"/>
            <c:marker>
              <c:symbol val="none"/>
            </c:marker>
            <c:bubble3D val="0"/>
            <c:extLst>
              <c:ext xmlns:c16="http://schemas.microsoft.com/office/drawing/2014/chart" uri="{C3380CC4-5D6E-409C-BE32-E72D297353CC}">
                <c16:uniqueId val="{0000000D-188F-499A-A79B-90D29FC3F23E}"/>
              </c:ext>
            </c:extLst>
          </c:dPt>
          <c:xVal>
            <c:strRef>
              <c:f>OED!$B$1:$I$1</c:f>
              <c:strCache>
                <c:ptCount val="8"/>
                <c:pt idx="0">
                  <c:v>'18</c:v>
                </c:pt>
                <c:pt idx="1">
                  <c:v>'19</c:v>
                </c:pt>
                <c:pt idx="2">
                  <c:v>'20</c:v>
                </c:pt>
                <c:pt idx="3">
                  <c:v>'21</c:v>
                </c:pt>
                <c:pt idx="4">
                  <c:v>'22</c:v>
                </c:pt>
                <c:pt idx="5">
                  <c:v>'23</c:v>
                </c:pt>
                <c:pt idx="6">
                  <c:v>'24</c:v>
                </c:pt>
                <c:pt idx="7">
                  <c:v>'25</c:v>
                </c:pt>
              </c:strCache>
            </c:strRef>
          </c:xVal>
          <c:yVal>
            <c:numRef>
              <c:f>OED!$B$14:$I$14</c:f>
              <c:numCache>
                <c:formatCode>0.0%</c:formatCode>
                <c:ptCount val="8"/>
                <c:pt idx="0">
                  <c:v>0.26400000000000001</c:v>
                </c:pt>
                <c:pt idx="1">
                  <c:v>0.307</c:v>
                </c:pt>
                <c:pt idx="2">
                  <c:v>0.20300000000000001</c:v>
                </c:pt>
                <c:pt idx="3">
                  <c:v>0.247</c:v>
                </c:pt>
                <c:pt idx="4">
                  <c:v>0.24600000000000002</c:v>
                </c:pt>
                <c:pt idx="5">
                  <c:v>0.26800000000000002</c:v>
                </c:pt>
                <c:pt idx="6">
                  <c:v>0.29199999999999998</c:v>
                </c:pt>
                <c:pt idx="7">
                  <c:v>0.29799999999999999</c:v>
                </c:pt>
              </c:numCache>
            </c:numRef>
          </c:yVal>
          <c:smooth val="0"/>
          <c:extLst>
            <c:ext xmlns:c16="http://schemas.microsoft.com/office/drawing/2014/chart" uri="{C3380CC4-5D6E-409C-BE32-E72D297353CC}">
              <c16:uniqueId val="{0000000E-188F-499A-A79B-90D29FC3F23E}"/>
            </c:ext>
          </c:extLst>
        </c:ser>
        <c:ser>
          <c:idx val="14"/>
          <c:order val="13"/>
          <c:tx>
            <c:strRef>
              <c:f>OED!$A$15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OED!$B$15:$I$15</c:f>
              <c:numCache>
                <c:formatCode>General</c:formatCode>
                <c:ptCount val="8"/>
                <c:pt idx="3" formatCode="0.0%">
                  <c:v>0.22700000000000001</c:v>
                </c:pt>
                <c:pt idx="4" formatCode="0.0%">
                  <c:v>0.20600000000000002</c:v>
                </c:pt>
                <c:pt idx="5" formatCode="0.0%">
                  <c:v>0.193</c:v>
                </c:pt>
                <c:pt idx="6" formatCode="0.0%">
                  <c:v>0.21</c:v>
                </c:pt>
                <c:pt idx="7" formatCode="0.0%">
                  <c:v>0.21</c:v>
                </c:pt>
              </c:numCache>
            </c:numRef>
          </c:yVal>
          <c:smooth val="0"/>
          <c:extLst>
            <c:ext xmlns:c16="http://schemas.microsoft.com/office/drawing/2014/chart" uri="{C3380CC4-5D6E-409C-BE32-E72D297353CC}">
              <c16:uniqueId val="{0000000F-188F-499A-A79B-90D29FC3F23E}"/>
            </c:ext>
          </c:extLst>
        </c:ser>
        <c:ser>
          <c:idx val="15"/>
          <c:order val="14"/>
          <c:tx>
            <c:strRef>
              <c:f>OED!$A$16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OED!$B$16:$I$16</c:f>
              <c:numCache>
                <c:formatCode>0.0%</c:formatCode>
                <c:ptCount val="8"/>
                <c:pt idx="0">
                  <c:v>0.247</c:v>
                </c:pt>
                <c:pt idx="1">
                  <c:v>0.29699999999999999</c:v>
                </c:pt>
                <c:pt idx="2">
                  <c:v>0.159</c:v>
                </c:pt>
                <c:pt idx="3">
                  <c:v>0.20100000000000001</c:v>
                </c:pt>
                <c:pt idx="4">
                  <c:v>0.20199999999999999</c:v>
                </c:pt>
                <c:pt idx="5">
                  <c:v>0.25900000000000001</c:v>
                </c:pt>
                <c:pt idx="6">
                  <c:v>0.27900000000000003</c:v>
                </c:pt>
                <c:pt idx="7">
                  <c:v>0.28000000000000003</c:v>
                </c:pt>
              </c:numCache>
            </c:numRef>
          </c:yVal>
          <c:smooth val="0"/>
          <c:extLst>
            <c:ext xmlns:c16="http://schemas.microsoft.com/office/drawing/2014/chart" uri="{C3380CC4-5D6E-409C-BE32-E72D297353CC}">
              <c16:uniqueId val="{00000010-188F-499A-A79B-90D29FC3F23E}"/>
            </c:ext>
          </c:extLst>
        </c:ser>
        <c:ser>
          <c:idx val="16"/>
          <c:order val="15"/>
          <c:tx>
            <c:strRef>
              <c:f>OED!$A$17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OED!$B$17:$I$17</c:f>
              <c:numCache>
                <c:formatCode>0.0%</c:formatCode>
                <c:ptCount val="8"/>
                <c:pt idx="0">
                  <c:v>0.189</c:v>
                </c:pt>
                <c:pt idx="1">
                  <c:v>0.27899999999999997</c:v>
                </c:pt>
                <c:pt idx="2">
                  <c:v>0.19</c:v>
                </c:pt>
                <c:pt idx="3">
                  <c:v>0.20800000000000002</c:v>
                </c:pt>
                <c:pt idx="4">
                  <c:v>0.252</c:v>
                </c:pt>
                <c:pt idx="5">
                  <c:v>0.313</c:v>
                </c:pt>
                <c:pt idx="6">
                  <c:v>0.36599999999999999</c:v>
                </c:pt>
                <c:pt idx="7">
                  <c:v>0.34499999999999997</c:v>
                </c:pt>
              </c:numCache>
            </c:numRef>
          </c:yVal>
          <c:smooth val="0"/>
          <c:extLst>
            <c:ext xmlns:c16="http://schemas.microsoft.com/office/drawing/2014/chart" uri="{C3380CC4-5D6E-409C-BE32-E72D297353CC}">
              <c16:uniqueId val="{00000011-188F-499A-A79B-90D29FC3F23E}"/>
            </c:ext>
          </c:extLst>
        </c:ser>
        <c:ser>
          <c:idx val="17"/>
          <c:order val="17"/>
          <c:tx>
            <c:strRef>
              <c:f>OED!$A$20</c:f>
              <c:strCache>
                <c:ptCount val="1"/>
                <c:pt idx="0">
                  <c:v>CCO statewide</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OED!$B$20:$I$20</c:f>
              <c:numCache>
                <c:formatCode>0.0%</c:formatCode>
                <c:ptCount val="8"/>
                <c:pt idx="0">
                  <c:v>0.26400000000000001</c:v>
                </c:pt>
                <c:pt idx="1">
                  <c:v>0.307</c:v>
                </c:pt>
                <c:pt idx="2">
                  <c:v>0.20300000000000001</c:v>
                </c:pt>
                <c:pt idx="3">
                  <c:v>0.247</c:v>
                </c:pt>
                <c:pt idx="4">
                  <c:v>0.24600000000000002</c:v>
                </c:pt>
                <c:pt idx="5">
                  <c:v>0.26800000000000002</c:v>
                </c:pt>
                <c:pt idx="6">
                  <c:v>0.29199999999999998</c:v>
                </c:pt>
                <c:pt idx="7">
                  <c:v>0.29799999999999999</c:v>
                </c:pt>
              </c:numCache>
            </c:numRef>
          </c:yVal>
          <c:smooth val="0"/>
          <c:extLst>
            <c:ext xmlns:c16="http://schemas.microsoft.com/office/drawing/2014/chart" uri="{C3380CC4-5D6E-409C-BE32-E72D297353CC}">
              <c16:uniqueId val="{00000012-188F-499A-A79B-90D29FC3F23E}"/>
            </c:ext>
          </c:extLst>
        </c:ser>
        <c:ser>
          <c:idx val="19"/>
          <c:order val="18"/>
          <c:tx>
            <c:strRef>
              <c:f>OED!$A$19</c:f>
              <c:strCache>
                <c:ptCount val="1"/>
                <c:pt idx="0">
                  <c:v>Individual CCOs</c:v>
                </c:pt>
              </c:strCache>
            </c:strRef>
          </c:tx>
          <c:spPr>
            <a:ln w="25400" cap="rnd">
              <a:noFill/>
              <a:round/>
            </a:ln>
            <a:effectLst/>
          </c:spPr>
          <c:marker>
            <c:symbol val="circle"/>
            <c:size val="6"/>
            <c:spPr>
              <a:noFill/>
              <a:ln w="9525">
                <a:solidFill>
                  <a:srgbClr val="606060"/>
                </a:solidFill>
              </a:ln>
              <a:effectLst/>
            </c:spPr>
          </c:marker>
          <c:xVal>
            <c:strRef>
              <c:f>OED!$B$1:$I$1</c:f>
              <c:strCache>
                <c:ptCount val="8"/>
                <c:pt idx="0">
                  <c:v>'18</c:v>
                </c:pt>
                <c:pt idx="1">
                  <c:v>'19</c:v>
                </c:pt>
                <c:pt idx="2">
                  <c:v>'20</c:v>
                </c:pt>
                <c:pt idx="3">
                  <c:v>'21</c:v>
                </c:pt>
                <c:pt idx="4">
                  <c:v>'22</c:v>
                </c:pt>
                <c:pt idx="5">
                  <c:v>'23</c:v>
                </c:pt>
                <c:pt idx="6">
                  <c:v>'24</c:v>
                </c:pt>
                <c:pt idx="7">
                  <c:v>'25</c:v>
                </c:pt>
              </c:strCache>
            </c:strRef>
          </c:xVal>
          <c:yVal>
            <c:numRef>
              <c:f>OED!$B$19:$I$19</c:f>
              <c:numCache>
                <c:formatCode>0.0%</c:formatCode>
                <c:ptCount val="8"/>
                <c:pt idx="0">
                  <c:v>0.27300000000000002</c:v>
                </c:pt>
                <c:pt idx="1">
                  <c:v>0.29300000000000004</c:v>
                </c:pt>
                <c:pt idx="2">
                  <c:v>0.18100000000000002</c:v>
                </c:pt>
                <c:pt idx="3">
                  <c:v>0.23600000000000002</c:v>
                </c:pt>
                <c:pt idx="4">
                  <c:v>0.249</c:v>
                </c:pt>
                <c:pt idx="5">
                  <c:v>0.30499999999999999</c:v>
                </c:pt>
                <c:pt idx="6">
                  <c:v>0.32200000000000001</c:v>
                </c:pt>
                <c:pt idx="7">
                  <c:v>0.34599999999999997</c:v>
                </c:pt>
              </c:numCache>
            </c:numRef>
          </c:yVal>
          <c:smooth val="0"/>
          <c:extLst>
            <c:ext xmlns:c16="http://schemas.microsoft.com/office/drawing/2014/chart" uri="{C3380CC4-5D6E-409C-BE32-E72D297353CC}">
              <c16:uniqueId val="{00000013-188F-499A-A79B-90D29FC3F23E}"/>
            </c:ext>
          </c:extLst>
        </c:ser>
        <c:ser>
          <c:idx val="18"/>
          <c:order val="19"/>
          <c:tx>
            <c:strRef>
              <c:f>OED!$A$21</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dLbls>
            <c:dLbl>
              <c:idx val="1"/>
              <c:layout>
                <c:manualLayout>
                  <c:x val="-0.1702917760279965"/>
                  <c:y val="-0.12295858850976969"/>
                </c:manualLayout>
              </c:layout>
              <c:tx>
                <c:rich>
                  <a:bodyPr/>
                  <a:lstStyle/>
                  <a:p>
                    <a:r>
                      <a:rPr lang="en-US"/>
                      <a:t>Benchmark</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188F-499A-A79B-90D29FC3F23E}"/>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OED!$B$1:$I$1</c:f>
              <c:strCache>
                <c:ptCount val="8"/>
                <c:pt idx="0">
                  <c:v>'18</c:v>
                </c:pt>
                <c:pt idx="1">
                  <c:v>'19</c:v>
                </c:pt>
                <c:pt idx="2">
                  <c:v>'20</c:v>
                </c:pt>
                <c:pt idx="3">
                  <c:v>'21</c:v>
                </c:pt>
                <c:pt idx="4">
                  <c:v>'22</c:v>
                </c:pt>
                <c:pt idx="5">
                  <c:v>'23</c:v>
                </c:pt>
                <c:pt idx="6">
                  <c:v>'24</c:v>
                </c:pt>
                <c:pt idx="7">
                  <c:v>'25</c:v>
                </c:pt>
              </c:strCache>
            </c:strRef>
          </c:xVal>
          <c:yVal>
            <c:numRef>
              <c:f>OED!$B$21:$I$21</c:f>
              <c:numCache>
                <c:formatCode>0.0%</c:formatCode>
                <c:ptCount val="8"/>
                <c:pt idx="1">
                  <c:v>0.27100000000000002</c:v>
                </c:pt>
                <c:pt idx="2">
                  <c:v>0.26800000000000002</c:v>
                </c:pt>
                <c:pt idx="3">
                  <c:v>0.17299999999999999</c:v>
                </c:pt>
                <c:pt idx="4">
                  <c:v>0.20399999999999999</c:v>
                </c:pt>
                <c:pt idx="5">
                  <c:v>0.26400000000000001</c:v>
                </c:pt>
                <c:pt idx="6">
                  <c:v>0.31900000000000001</c:v>
                </c:pt>
                <c:pt idx="7">
                  <c:v>0.35</c:v>
                </c:pt>
              </c:numCache>
            </c:numRef>
          </c:yVal>
          <c:smooth val="0"/>
          <c:extLst>
            <c:ext xmlns:c16="http://schemas.microsoft.com/office/drawing/2014/chart" uri="{C3380CC4-5D6E-409C-BE32-E72D297353CC}">
              <c16:uniqueId val="{00000015-188F-499A-A79B-90D29FC3F23E}"/>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5"/>
        <c:minorUnit val="0.25"/>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9"/>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ptos" panose="020B00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2"/>
          <c:order val="16"/>
          <c:tx>
            <c:strRef>
              <c:f>WCV_0306!$A$18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WCV_0306!$B$1:$I$1</c:f>
              <c:strCache>
                <c:ptCount val="8"/>
                <c:pt idx="0">
                  <c:v>'18</c:v>
                </c:pt>
                <c:pt idx="1">
                  <c:v>'19</c:v>
                </c:pt>
                <c:pt idx="2">
                  <c:v>'20</c:v>
                </c:pt>
                <c:pt idx="3">
                  <c:v>'21</c:v>
                </c:pt>
                <c:pt idx="4">
                  <c:v>'22</c:v>
                </c:pt>
                <c:pt idx="5">
                  <c:v>'23</c:v>
                </c:pt>
                <c:pt idx="6">
                  <c:v>'24</c:v>
                </c:pt>
                <c:pt idx="7">
                  <c:v>'25</c:v>
                </c:pt>
              </c:strCache>
            </c:strRef>
          </c:cat>
          <c:val>
            <c:numRef>
              <c:f>WCV_0306!$B$18:$I$18</c:f>
              <c:numCache>
                <c:formatCode>0.0%</c:formatCode>
                <c:ptCount val="8"/>
                <c:pt idx="0">
                  <c:v>0.65800000000000003</c:v>
                </c:pt>
                <c:pt idx="1">
                  <c:v>0.68700000000000006</c:v>
                </c:pt>
                <c:pt idx="2">
                  <c:v>0.622</c:v>
                </c:pt>
                <c:pt idx="3">
                  <c:v>0.65300000000000002</c:v>
                </c:pt>
                <c:pt idx="4">
                  <c:v>0.68200000000000005</c:v>
                </c:pt>
                <c:pt idx="5">
                  <c:v>0.73299999999999998</c:v>
                </c:pt>
                <c:pt idx="6">
                  <c:v>0.71499999999999997</c:v>
                </c:pt>
                <c:pt idx="7">
                  <c:v>0.73899999999999999</c:v>
                </c:pt>
              </c:numCache>
            </c:numRef>
          </c:val>
          <c:smooth val="0"/>
          <c:extLst>
            <c:ext xmlns:c16="http://schemas.microsoft.com/office/drawing/2014/chart" uri="{C3380CC4-5D6E-409C-BE32-E72D297353CC}">
              <c16:uniqueId val="{00000000-112D-4DD7-8DA5-E824F418B2F7}"/>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WCV_0306!$A$2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WCV_0306!$B$2:$I$2</c:f>
              <c:numCache>
                <c:formatCode>0.0%</c:formatCode>
                <c:ptCount val="8"/>
                <c:pt idx="0">
                  <c:v>0.71700000000000008</c:v>
                </c:pt>
                <c:pt idx="1">
                  <c:v>0.71200000000000008</c:v>
                </c:pt>
                <c:pt idx="2">
                  <c:v>0.628</c:v>
                </c:pt>
                <c:pt idx="3">
                  <c:v>0.64200000000000002</c:v>
                </c:pt>
                <c:pt idx="4">
                  <c:v>0.64800000000000002</c:v>
                </c:pt>
                <c:pt idx="5">
                  <c:v>0.67400000000000004</c:v>
                </c:pt>
                <c:pt idx="6">
                  <c:v>0.68500000000000005</c:v>
                </c:pt>
                <c:pt idx="7">
                  <c:v>0.70299999999999996</c:v>
                </c:pt>
              </c:numCache>
            </c:numRef>
          </c:yVal>
          <c:smooth val="0"/>
          <c:extLst>
            <c:ext xmlns:c16="http://schemas.microsoft.com/office/drawing/2014/chart" uri="{C3380CC4-5D6E-409C-BE32-E72D297353CC}">
              <c16:uniqueId val="{00000001-112D-4DD7-8DA5-E824F418B2F7}"/>
            </c:ext>
          </c:extLst>
        </c:ser>
        <c:ser>
          <c:idx val="1"/>
          <c:order val="1"/>
          <c:tx>
            <c:strRef>
              <c:f>WCV_0306!$A$3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WCV_0306!$B$3:$I$3</c:f>
              <c:numCache>
                <c:formatCode>0.0%</c:formatCode>
                <c:ptCount val="8"/>
                <c:pt idx="0">
                  <c:v>0.67200000000000004</c:v>
                </c:pt>
                <c:pt idx="1">
                  <c:v>0.66099999999999992</c:v>
                </c:pt>
                <c:pt idx="2">
                  <c:v>0.56200000000000006</c:v>
                </c:pt>
                <c:pt idx="3">
                  <c:v>0.55299999999999994</c:v>
                </c:pt>
                <c:pt idx="4">
                  <c:v>0.55299999999999994</c:v>
                </c:pt>
                <c:pt idx="5">
                  <c:v>0.621</c:v>
                </c:pt>
                <c:pt idx="6">
                  <c:v>0.66299999999999992</c:v>
                </c:pt>
                <c:pt idx="7">
                  <c:v>0.68600000000000005</c:v>
                </c:pt>
              </c:numCache>
            </c:numRef>
          </c:yVal>
          <c:smooth val="0"/>
          <c:extLst>
            <c:ext xmlns:c16="http://schemas.microsoft.com/office/drawing/2014/chart" uri="{C3380CC4-5D6E-409C-BE32-E72D297353CC}">
              <c16:uniqueId val="{00000002-112D-4DD7-8DA5-E824F418B2F7}"/>
            </c:ext>
          </c:extLst>
        </c:ser>
        <c:ser>
          <c:idx val="2"/>
          <c:order val="2"/>
          <c:tx>
            <c:strRef>
              <c:f>WCV_0306!$A$4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WCV_0306!$B$4:$I$4</c:f>
              <c:numCache>
                <c:formatCode>0.0%</c:formatCode>
                <c:ptCount val="8"/>
                <c:pt idx="0">
                  <c:v>0.59799999999999998</c:v>
                </c:pt>
                <c:pt idx="1">
                  <c:v>0.59599999999999997</c:v>
                </c:pt>
                <c:pt idx="2">
                  <c:v>0.71299999999999997</c:v>
                </c:pt>
                <c:pt idx="3">
                  <c:v>0.59799999999999998</c:v>
                </c:pt>
                <c:pt idx="4">
                  <c:v>0.56600000000000006</c:v>
                </c:pt>
                <c:pt idx="5">
                  <c:v>0.66200000000000003</c:v>
                </c:pt>
                <c:pt idx="6">
                  <c:v>0.70799999999999996</c:v>
                </c:pt>
                <c:pt idx="7">
                  <c:v>0.753</c:v>
                </c:pt>
              </c:numCache>
            </c:numRef>
          </c:yVal>
          <c:smooth val="0"/>
          <c:extLst>
            <c:ext xmlns:c16="http://schemas.microsoft.com/office/drawing/2014/chart" uri="{C3380CC4-5D6E-409C-BE32-E72D297353CC}">
              <c16:uniqueId val="{00000003-112D-4DD7-8DA5-E824F418B2F7}"/>
            </c:ext>
          </c:extLst>
        </c:ser>
        <c:ser>
          <c:idx val="3"/>
          <c:order val="3"/>
          <c:tx>
            <c:strRef>
              <c:f>WCV_0306!$A$5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WCV_0306!$B$5:$I$5</c:f>
              <c:numCache>
                <c:formatCode>0.0%</c:formatCode>
                <c:ptCount val="8"/>
                <c:pt idx="0">
                  <c:v>0.64700000000000002</c:v>
                </c:pt>
                <c:pt idx="1">
                  <c:v>0.65</c:v>
                </c:pt>
                <c:pt idx="2">
                  <c:v>0.54600000000000004</c:v>
                </c:pt>
                <c:pt idx="3">
                  <c:v>0.55000000000000004</c:v>
                </c:pt>
                <c:pt idx="4">
                  <c:v>0.59299999999999997</c:v>
                </c:pt>
                <c:pt idx="5">
                  <c:v>0.59699999999999998</c:v>
                </c:pt>
                <c:pt idx="6">
                  <c:v>0.60599999999999998</c:v>
                </c:pt>
                <c:pt idx="7">
                  <c:v>0.66800000000000004</c:v>
                </c:pt>
              </c:numCache>
            </c:numRef>
          </c:yVal>
          <c:smooth val="0"/>
          <c:extLst>
            <c:ext xmlns:c16="http://schemas.microsoft.com/office/drawing/2014/chart" uri="{C3380CC4-5D6E-409C-BE32-E72D297353CC}">
              <c16:uniqueId val="{00000004-112D-4DD7-8DA5-E824F418B2F7}"/>
            </c:ext>
          </c:extLst>
        </c:ser>
        <c:ser>
          <c:idx val="4"/>
          <c:order val="4"/>
          <c:tx>
            <c:strRef>
              <c:f>WCV_0306!$A$6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WCV_0306!$B$6:$I$6</c:f>
              <c:numCache>
                <c:formatCode>0.0%</c:formatCode>
                <c:ptCount val="8"/>
                <c:pt idx="0">
                  <c:v>0.57500000000000007</c:v>
                </c:pt>
                <c:pt idx="1">
                  <c:v>0.58299999999999996</c:v>
                </c:pt>
                <c:pt idx="2">
                  <c:v>0.56100000000000005</c:v>
                </c:pt>
                <c:pt idx="3">
                  <c:v>0.64200000000000002</c:v>
                </c:pt>
                <c:pt idx="4">
                  <c:v>0.64599999999999991</c:v>
                </c:pt>
                <c:pt idx="5">
                  <c:v>0.67400000000000004</c:v>
                </c:pt>
                <c:pt idx="6">
                  <c:v>0.68200000000000005</c:v>
                </c:pt>
                <c:pt idx="7">
                  <c:v>0.70499999999999996</c:v>
                </c:pt>
              </c:numCache>
            </c:numRef>
          </c:yVal>
          <c:smooth val="0"/>
          <c:extLst>
            <c:ext xmlns:c16="http://schemas.microsoft.com/office/drawing/2014/chart" uri="{C3380CC4-5D6E-409C-BE32-E72D297353CC}">
              <c16:uniqueId val="{00000005-112D-4DD7-8DA5-E824F418B2F7}"/>
            </c:ext>
          </c:extLst>
        </c:ser>
        <c:ser>
          <c:idx val="5"/>
          <c:order val="5"/>
          <c:tx>
            <c:strRef>
              <c:f>WCV_0306!$A$7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WCV_0306!$B$7:$I$7</c:f>
              <c:numCache>
                <c:formatCode>0.0%</c:formatCode>
                <c:ptCount val="8"/>
                <c:pt idx="0">
                  <c:v>0.71900000000000008</c:v>
                </c:pt>
                <c:pt idx="1">
                  <c:v>0.73599999999999999</c:v>
                </c:pt>
                <c:pt idx="2">
                  <c:v>0.59399999999999997</c:v>
                </c:pt>
                <c:pt idx="3">
                  <c:v>0.65599999999999992</c:v>
                </c:pt>
                <c:pt idx="4">
                  <c:v>0.64400000000000002</c:v>
                </c:pt>
                <c:pt idx="5">
                  <c:v>0.66100000000000003</c:v>
                </c:pt>
                <c:pt idx="6">
                  <c:v>0.69899999999999995</c:v>
                </c:pt>
                <c:pt idx="7">
                  <c:v>0.73</c:v>
                </c:pt>
              </c:numCache>
            </c:numRef>
          </c:yVal>
          <c:smooth val="0"/>
          <c:extLst>
            <c:ext xmlns:c16="http://schemas.microsoft.com/office/drawing/2014/chart" uri="{C3380CC4-5D6E-409C-BE32-E72D297353CC}">
              <c16:uniqueId val="{00000006-112D-4DD7-8DA5-E824F418B2F7}"/>
            </c:ext>
          </c:extLst>
        </c:ser>
        <c:ser>
          <c:idx val="6"/>
          <c:order val="6"/>
          <c:tx>
            <c:strRef>
              <c:f>WCV_0306!$A$8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WCV_0306!$B$8:$I$8</c:f>
              <c:numCache>
                <c:formatCode>0.0%</c:formatCode>
                <c:ptCount val="8"/>
                <c:pt idx="0">
                  <c:v>0.62</c:v>
                </c:pt>
                <c:pt idx="1">
                  <c:v>0.623</c:v>
                </c:pt>
                <c:pt idx="2">
                  <c:v>0.54600000000000004</c:v>
                </c:pt>
                <c:pt idx="3">
                  <c:v>0.65200000000000002</c:v>
                </c:pt>
                <c:pt idx="4">
                  <c:v>0.64500000000000002</c:v>
                </c:pt>
                <c:pt idx="5">
                  <c:v>0.65500000000000003</c:v>
                </c:pt>
                <c:pt idx="6">
                  <c:v>0.70799999999999996</c:v>
                </c:pt>
                <c:pt idx="7">
                  <c:v>0.754</c:v>
                </c:pt>
              </c:numCache>
            </c:numRef>
          </c:yVal>
          <c:smooth val="0"/>
          <c:extLst>
            <c:ext xmlns:c16="http://schemas.microsoft.com/office/drawing/2014/chart" uri="{C3380CC4-5D6E-409C-BE32-E72D297353CC}">
              <c16:uniqueId val="{00000007-112D-4DD7-8DA5-E824F418B2F7}"/>
            </c:ext>
          </c:extLst>
        </c:ser>
        <c:ser>
          <c:idx val="7"/>
          <c:order val="7"/>
          <c:tx>
            <c:strRef>
              <c:f>WCV_0306!$A$9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WCV_0306!$B$9:$I$9</c:f>
              <c:numCache>
                <c:formatCode>0.0%</c:formatCode>
                <c:ptCount val="8"/>
                <c:pt idx="0">
                  <c:v>0.61199999999999999</c:v>
                </c:pt>
                <c:pt idx="1">
                  <c:v>0.64300000000000002</c:v>
                </c:pt>
                <c:pt idx="2">
                  <c:v>0.54600000000000004</c:v>
                </c:pt>
                <c:pt idx="3">
                  <c:v>0.63700000000000001</c:v>
                </c:pt>
                <c:pt idx="4">
                  <c:v>0.57999999999999996</c:v>
                </c:pt>
                <c:pt idx="5">
                  <c:v>0.66600000000000004</c:v>
                </c:pt>
                <c:pt idx="6">
                  <c:v>0.66299999999999992</c:v>
                </c:pt>
                <c:pt idx="7">
                  <c:v>0.68500000000000005</c:v>
                </c:pt>
              </c:numCache>
            </c:numRef>
          </c:yVal>
          <c:smooth val="0"/>
          <c:extLst>
            <c:ext xmlns:c16="http://schemas.microsoft.com/office/drawing/2014/chart" uri="{C3380CC4-5D6E-409C-BE32-E72D297353CC}">
              <c16:uniqueId val="{00000008-112D-4DD7-8DA5-E824F418B2F7}"/>
            </c:ext>
          </c:extLst>
        </c:ser>
        <c:ser>
          <c:idx val="8"/>
          <c:order val="8"/>
          <c:tx>
            <c:strRef>
              <c:f>WCV_0306!$A$10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WCV_0306!$B$10:$I$10</c:f>
              <c:numCache>
                <c:formatCode>0.0%</c:formatCode>
                <c:ptCount val="8"/>
                <c:pt idx="0">
                  <c:v>0.64400000000000002</c:v>
                </c:pt>
                <c:pt idx="1">
                  <c:v>0.71099999999999997</c:v>
                </c:pt>
                <c:pt idx="2">
                  <c:v>0.64200000000000002</c:v>
                </c:pt>
                <c:pt idx="3">
                  <c:v>0.68400000000000005</c:v>
                </c:pt>
                <c:pt idx="4">
                  <c:v>0.69299999999999995</c:v>
                </c:pt>
                <c:pt idx="5">
                  <c:v>0.70499999999999996</c:v>
                </c:pt>
                <c:pt idx="6">
                  <c:v>0.752</c:v>
                </c:pt>
                <c:pt idx="7">
                  <c:v>0.76300000000000001</c:v>
                </c:pt>
              </c:numCache>
            </c:numRef>
          </c:yVal>
          <c:smooth val="0"/>
          <c:extLst>
            <c:ext xmlns:c16="http://schemas.microsoft.com/office/drawing/2014/chart" uri="{C3380CC4-5D6E-409C-BE32-E72D297353CC}">
              <c16:uniqueId val="{00000009-112D-4DD7-8DA5-E824F418B2F7}"/>
            </c:ext>
          </c:extLst>
        </c:ser>
        <c:ser>
          <c:idx val="9"/>
          <c:order val="9"/>
          <c:tx>
            <c:strRef>
              <c:f>WCV_0306!$A$11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WCV_0306!$B$11:$I$11</c:f>
              <c:numCache>
                <c:formatCode>0.0%</c:formatCode>
                <c:ptCount val="8"/>
                <c:pt idx="0">
                  <c:v>0.68599999999999994</c:v>
                </c:pt>
                <c:pt idx="1">
                  <c:v>0.71700000000000008</c:v>
                </c:pt>
                <c:pt idx="2">
                  <c:v>0.64800000000000002</c:v>
                </c:pt>
                <c:pt idx="3">
                  <c:v>0.71400000000000008</c:v>
                </c:pt>
                <c:pt idx="4">
                  <c:v>0.76</c:v>
                </c:pt>
                <c:pt idx="5">
                  <c:v>0.74399999999999999</c:v>
                </c:pt>
                <c:pt idx="6">
                  <c:v>0.77500000000000002</c:v>
                </c:pt>
                <c:pt idx="7">
                  <c:v>0.75800000000000001</c:v>
                </c:pt>
              </c:numCache>
            </c:numRef>
          </c:yVal>
          <c:smooth val="0"/>
          <c:extLst>
            <c:ext xmlns:c16="http://schemas.microsoft.com/office/drawing/2014/chart" uri="{C3380CC4-5D6E-409C-BE32-E72D297353CC}">
              <c16:uniqueId val="{0000000A-112D-4DD7-8DA5-E824F418B2F7}"/>
            </c:ext>
          </c:extLst>
        </c:ser>
        <c:ser>
          <c:idx val="10"/>
          <c:order val="10"/>
          <c:tx>
            <c:strRef>
              <c:f>WCV_0306!$A$12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WCV_0306!$B$12:$I$12</c:f>
              <c:numCache>
                <c:formatCode>General</c:formatCode>
                <c:ptCount val="8"/>
                <c:pt idx="2" formatCode="0.0%">
                  <c:v>0.58100000000000007</c:v>
                </c:pt>
                <c:pt idx="3" formatCode="0.0%">
                  <c:v>0.59499999999999997</c:v>
                </c:pt>
                <c:pt idx="4" formatCode="0.0%">
                  <c:v>0.57799999999999996</c:v>
                </c:pt>
                <c:pt idx="5" formatCode="0.0%">
                  <c:v>0.61299999999999999</c:v>
                </c:pt>
                <c:pt idx="6" formatCode="0.0%">
                  <c:v>0.59899999999999998</c:v>
                </c:pt>
                <c:pt idx="7" formatCode="0.0%">
                  <c:v>0.623</c:v>
                </c:pt>
              </c:numCache>
            </c:numRef>
          </c:yVal>
          <c:smooth val="0"/>
          <c:extLst>
            <c:ext xmlns:c16="http://schemas.microsoft.com/office/drawing/2014/chart" uri="{C3380CC4-5D6E-409C-BE32-E72D297353CC}">
              <c16:uniqueId val="{0000000B-112D-4DD7-8DA5-E824F418B2F7}"/>
            </c:ext>
          </c:extLst>
        </c:ser>
        <c:ser>
          <c:idx val="11"/>
          <c:order val="11"/>
          <c:tx>
            <c:strRef>
              <c:f>WCV_0306!$A$13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WCV_0306!$B$13:$I$13</c:f>
              <c:numCache>
                <c:formatCode>General</c:formatCode>
                <c:ptCount val="8"/>
                <c:pt idx="2" formatCode="0.0%">
                  <c:v>0.61699999999999999</c:v>
                </c:pt>
                <c:pt idx="3" formatCode="0.0%">
                  <c:v>0.66200000000000003</c:v>
                </c:pt>
                <c:pt idx="4" formatCode="0.0%">
                  <c:v>0.629</c:v>
                </c:pt>
                <c:pt idx="5" formatCode="0.0%">
                  <c:v>0.64200000000000002</c:v>
                </c:pt>
                <c:pt idx="6" formatCode="0.0%">
                  <c:v>0.72899999999999987</c:v>
                </c:pt>
                <c:pt idx="7" formatCode="0.0%">
                  <c:v>0.72699999999999998</c:v>
                </c:pt>
              </c:numCache>
            </c:numRef>
          </c:yVal>
          <c:smooth val="0"/>
          <c:extLst>
            <c:ext xmlns:c16="http://schemas.microsoft.com/office/drawing/2014/chart" uri="{C3380CC4-5D6E-409C-BE32-E72D297353CC}">
              <c16:uniqueId val="{0000000C-112D-4DD7-8DA5-E824F418B2F7}"/>
            </c:ext>
          </c:extLst>
        </c:ser>
        <c:ser>
          <c:idx val="13"/>
          <c:order val="12"/>
          <c:tx>
            <c:strRef>
              <c:f>WCV_0306!$A$14</c:f>
              <c:strCache>
                <c:ptCount val="1"/>
                <c:pt idx="0">
                  <c:v>Statewide</c:v>
                </c:pt>
              </c:strCache>
            </c:strRef>
          </c:tx>
          <c:spPr>
            <a:ln w="28575" cap="rnd">
              <a:solidFill>
                <a:schemeClr val="accent1">
                  <a:lumMod val="75000"/>
                </a:schemeClr>
              </a:solidFill>
              <a:round/>
            </a:ln>
            <a:effectLst/>
          </c:spPr>
          <c:marker>
            <c:symbol val="none"/>
          </c:marker>
          <c:dPt>
            <c:idx val="3"/>
            <c:marker>
              <c:symbol val="none"/>
            </c:marker>
            <c:bubble3D val="0"/>
            <c:extLst>
              <c:ext xmlns:c16="http://schemas.microsoft.com/office/drawing/2014/chart" uri="{C3380CC4-5D6E-409C-BE32-E72D297353CC}">
                <c16:uniqueId val="{0000000D-112D-4DD7-8DA5-E824F418B2F7}"/>
              </c:ext>
            </c:extLst>
          </c:dPt>
          <c:xVal>
            <c:strRef>
              <c:f>WCV_0306!$B$1:$I$1</c:f>
              <c:strCache>
                <c:ptCount val="8"/>
                <c:pt idx="0">
                  <c:v>'18</c:v>
                </c:pt>
                <c:pt idx="1">
                  <c:v>'19</c:v>
                </c:pt>
                <c:pt idx="2">
                  <c:v>'20</c:v>
                </c:pt>
                <c:pt idx="3">
                  <c:v>'21</c:v>
                </c:pt>
                <c:pt idx="4">
                  <c:v>'22</c:v>
                </c:pt>
                <c:pt idx="5">
                  <c:v>'23</c:v>
                </c:pt>
                <c:pt idx="6">
                  <c:v>'24</c:v>
                </c:pt>
                <c:pt idx="7">
                  <c:v>'25</c:v>
                </c:pt>
              </c:strCache>
            </c:strRef>
          </c:xVal>
          <c:yVal>
            <c:numRef>
              <c:f>WCV_0306!$B$14:$I$14</c:f>
              <c:numCache>
                <c:formatCode>0.0%</c:formatCode>
                <c:ptCount val="8"/>
                <c:pt idx="0">
                  <c:v>0.66500000000000004</c:v>
                </c:pt>
                <c:pt idx="1">
                  <c:v>0.68599999999999994</c:v>
                </c:pt>
                <c:pt idx="2">
                  <c:v>0.59200000000000008</c:v>
                </c:pt>
                <c:pt idx="3">
                  <c:v>0.6409999999999999</c:v>
                </c:pt>
                <c:pt idx="4">
                  <c:v>0.63100000000000001</c:v>
                </c:pt>
                <c:pt idx="5">
                  <c:v>0.65400000000000003</c:v>
                </c:pt>
                <c:pt idx="6">
                  <c:v>0.69</c:v>
                </c:pt>
                <c:pt idx="7">
                  <c:v>0.71299999999999997</c:v>
                </c:pt>
              </c:numCache>
            </c:numRef>
          </c:yVal>
          <c:smooth val="0"/>
          <c:extLst>
            <c:ext xmlns:c16="http://schemas.microsoft.com/office/drawing/2014/chart" uri="{C3380CC4-5D6E-409C-BE32-E72D297353CC}">
              <c16:uniqueId val="{0000000E-112D-4DD7-8DA5-E824F418B2F7}"/>
            </c:ext>
          </c:extLst>
        </c:ser>
        <c:ser>
          <c:idx val="14"/>
          <c:order val="13"/>
          <c:tx>
            <c:strRef>
              <c:f>WCV_0306!$A$15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WCV_0306!$B$15:$I$15</c:f>
              <c:numCache>
                <c:formatCode>General</c:formatCode>
                <c:ptCount val="8"/>
                <c:pt idx="3" formatCode="0.0%">
                  <c:v>0.45600000000000002</c:v>
                </c:pt>
                <c:pt idx="4" formatCode="0.0%">
                  <c:v>0.46299999999999997</c:v>
                </c:pt>
                <c:pt idx="5" formatCode="0.0%">
                  <c:v>0.41499999999999998</c:v>
                </c:pt>
                <c:pt idx="6" formatCode="0.0%">
                  <c:v>0.49200000000000005</c:v>
                </c:pt>
                <c:pt idx="7" formatCode="0.0%">
                  <c:v>0.55400000000000005</c:v>
                </c:pt>
              </c:numCache>
            </c:numRef>
          </c:yVal>
          <c:smooth val="0"/>
          <c:extLst>
            <c:ext xmlns:c16="http://schemas.microsoft.com/office/drawing/2014/chart" uri="{C3380CC4-5D6E-409C-BE32-E72D297353CC}">
              <c16:uniqueId val="{0000000F-112D-4DD7-8DA5-E824F418B2F7}"/>
            </c:ext>
          </c:extLst>
        </c:ser>
        <c:ser>
          <c:idx val="15"/>
          <c:order val="14"/>
          <c:tx>
            <c:strRef>
              <c:f>WCV_0306!$A$16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WCV_0306!$B$16:$I$16</c:f>
              <c:numCache>
                <c:formatCode>0.0%</c:formatCode>
                <c:ptCount val="8"/>
                <c:pt idx="0">
                  <c:v>0.65900000000000003</c:v>
                </c:pt>
                <c:pt idx="1">
                  <c:v>0.67599999999999993</c:v>
                </c:pt>
                <c:pt idx="2">
                  <c:v>0.43200000000000005</c:v>
                </c:pt>
                <c:pt idx="3">
                  <c:v>0.51500000000000001</c:v>
                </c:pt>
                <c:pt idx="4">
                  <c:v>0.51900000000000002</c:v>
                </c:pt>
                <c:pt idx="5">
                  <c:v>0.51400000000000001</c:v>
                </c:pt>
                <c:pt idx="6">
                  <c:v>0.60299999999999998</c:v>
                </c:pt>
                <c:pt idx="7">
                  <c:v>0.59</c:v>
                </c:pt>
              </c:numCache>
            </c:numRef>
          </c:yVal>
          <c:smooth val="0"/>
          <c:extLst>
            <c:ext xmlns:c16="http://schemas.microsoft.com/office/drawing/2014/chart" uri="{C3380CC4-5D6E-409C-BE32-E72D297353CC}">
              <c16:uniqueId val="{00000010-112D-4DD7-8DA5-E824F418B2F7}"/>
            </c:ext>
          </c:extLst>
        </c:ser>
        <c:ser>
          <c:idx val="16"/>
          <c:order val="15"/>
          <c:tx>
            <c:strRef>
              <c:f>WCV_0306!$A$17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WCV_0306!$B$17:$I$17</c:f>
              <c:numCache>
                <c:formatCode>0.0%</c:formatCode>
                <c:ptCount val="8"/>
                <c:pt idx="0">
                  <c:v>0.61</c:v>
                </c:pt>
                <c:pt idx="1">
                  <c:v>0.67599999999999993</c:v>
                </c:pt>
                <c:pt idx="2">
                  <c:v>0.6409999999999999</c:v>
                </c:pt>
                <c:pt idx="3">
                  <c:v>0.65099999999999991</c:v>
                </c:pt>
                <c:pt idx="4">
                  <c:v>0.71</c:v>
                </c:pt>
                <c:pt idx="5">
                  <c:v>0.70699999999999996</c:v>
                </c:pt>
                <c:pt idx="6">
                  <c:v>0.754</c:v>
                </c:pt>
                <c:pt idx="7">
                  <c:v>0.76700000000000002</c:v>
                </c:pt>
              </c:numCache>
            </c:numRef>
          </c:yVal>
          <c:smooth val="0"/>
          <c:extLst>
            <c:ext xmlns:c16="http://schemas.microsoft.com/office/drawing/2014/chart" uri="{C3380CC4-5D6E-409C-BE32-E72D297353CC}">
              <c16:uniqueId val="{00000011-112D-4DD7-8DA5-E824F418B2F7}"/>
            </c:ext>
          </c:extLst>
        </c:ser>
        <c:ser>
          <c:idx val="17"/>
          <c:order val="17"/>
          <c:tx>
            <c:strRef>
              <c:f>WCV_0306!$A$19</c:f>
              <c:strCache>
                <c:ptCount val="1"/>
                <c:pt idx="0">
                  <c:v>Statewide (dots)</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WCV_0306!$B$19:$I$19</c:f>
              <c:numCache>
                <c:formatCode>0.0%</c:formatCode>
                <c:ptCount val="8"/>
                <c:pt idx="0">
                  <c:v>0.66500000000000004</c:v>
                </c:pt>
                <c:pt idx="1">
                  <c:v>0.68599999999999994</c:v>
                </c:pt>
                <c:pt idx="2">
                  <c:v>0.59200000000000008</c:v>
                </c:pt>
                <c:pt idx="3">
                  <c:v>0.6409999999999999</c:v>
                </c:pt>
                <c:pt idx="4">
                  <c:v>0.63100000000000001</c:v>
                </c:pt>
                <c:pt idx="5">
                  <c:v>0.65400000000000003</c:v>
                </c:pt>
                <c:pt idx="6">
                  <c:v>0.69</c:v>
                </c:pt>
                <c:pt idx="7">
                  <c:v>0.71299999999999997</c:v>
                </c:pt>
              </c:numCache>
            </c:numRef>
          </c:yVal>
          <c:smooth val="0"/>
          <c:extLst>
            <c:ext xmlns:c16="http://schemas.microsoft.com/office/drawing/2014/chart" uri="{C3380CC4-5D6E-409C-BE32-E72D297353CC}">
              <c16:uniqueId val="{00000012-112D-4DD7-8DA5-E824F418B2F7}"/>
            </c:ext>
          </c:extLst>
        </c:ser>
        <c:ser>
          <c:idx val="18"/>
          <c:order val="18"/>
          <c:tx>
            <c:strRef>
              <c:f>WCV_0306!$A$20</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WCV_0306!$B$20:$I$20</c:f>
              <c:numCache>
                <c:formatCode>General</c:formatCode>
                <c:ptCount val="8"/>
                <c:pt idx="2" formatCode="0.0%">
                  <c:v>0.78500000000000003</c:v>
                </c:pt>
                <c:pt idx="3" formatCode="0.0%">
                  <c:v>0.54600000000000004</c:v>
                </c:pt>
                <c:pt idx="4" formatCode="0.0%">
                  <c:v>0.64100000000000001</c:v>
                </c:pt>
                <c:pt idx="5" formatCode="0.0%">
                  <c:v>0.68600000000000005</c:v>
                </c:pt>
                <c:pt idx="6" formatCode="0.0%">
                  <c:v>0.70200000000000007</c:v>
                </c:pt>
                <c:pt idx="7" formatCode="0.0%">
                  <c:v>0.72</c:v>
                </c:pt>
              </c:numCache>
            </c:numRef>
          </c:yVal>
          <c:smooth val="0"/>
          <c:extLst>
            <c:ext xmlns:c16="http://schemas.microsoft.com/office/drawing/2014/chart" uri="{C3380CC4-5D6E-409C-BE32-E72D297353CC}">
              <c16:uniqueId val="{00000013-112D-4DD7-8DA5-E824F418B2F7}"/>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5"/>
        <c:minorUnit val="0.2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2"/>
          <c:order val="16"/>
          <c:tx>
            <c:strRef>
              <c:f>PrevDentOral_0105!$A$18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PrevDentOral_0105!$B$1:$I$1</c:f>
              <c:strCache>
                <c:ptCount val="8"/>
                <c:pt idx="0">
                  <c:v>'18</c:v>
                </c:pt>
                <c:pt idx="1">
                  <c:v>'19</c:v>
                </c:pt>
                <c:pt idx="2">
                  <c:v>'20</c:v>
                </c:pt>
                <c:pt idx="3">
                  <c:v>'21</c:v>
                </c:pt>
                <c:pt idx="4">
                  <c:v>'22</c:v>
                </c:pt>
                <c:pt idx="5">
                  <c:v>'23</c:v>
                </c:pt>
                <c:pt idx="6">
                  <c:v>'24</c:v>
                </c:pt>
                <c:pt idx="7">
                  <c:v>'25</c:v>
                </c:pt>
              </c:strCache>
            </c:strRef>
          </c:cat>
          <c:val>
            <c:numRef>
              <c:f>PrevDentOral_0105!$B$18:$I$18</c:f>
              <c:numCache>
                <c:formatCode>0.0%</c:formatCode>
                <c:ptCount val="8"/>
                <c:pt idx="0">
                  <c:v>0.47700000000000004</c:v>
                </c:pt>
                <c:pt idx="1">
                  <c:v>0.52500000000000002</c:v>
                </c:pt>
                <c:pt idx="2">
                  <c:v>0.44200000000000006</c:v>
                </c:pt>
                <c:pt idx="3">
                  <c:v>0.48899999999999999</c:v>
                </c:pt>
                <c:pt idx="4">
                  <c:v>0.48299999999999998</c:v>
                </c:pt>
                <c:pt idx="5">
                  <c:v>0.56699999999999995</c:v>
                </c:pt>
                <c:pt idx="6">
                  <c:v>0.56299999999999994</c:v>
                </c:pt>
                <c:pt idx="7">
                  <c:v>0.626</c:v>
                </c:pt>
              </c:numCache>
            </c:numRef>
          </c:val>
          <c:smooth val="0"/>
          <c:extLst>
            <c:ext xmlns:c16="http://schemas.microsoft.com/office/drawing/2014/chart" uri="{C3380CC4-5D6E-409C-BE32-E72D297353CC}">
              <c16:uniqueId val="{00000000-4941-48B8-97CB-A3BD5DF8226B}"/>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PrevDentOral_0105!$A$2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PrevDentOral_0105!$B$2:$I$2</c:f>
              <c:numCache>
                <c:formatCode>0.0%</c:formatCode>
                <c:ptCount val="8"/>
                <c:pt idx="0">
                  <c:v>0.45</c:v>
                </c:pt>
                <c:pt idx="1">
                  <c:v>0.42100000000000004</c:v>
                </c:pt>
                <c:pt idx="2">
                  <c:v>0.33200000000000002</c:v>
                </c:pt>
                <c:pt idx="3">
                  <c:v>0.44900000000000001</c:v>
                </c:pt>
                <c:pt idx="4">
                  <c:v>0.52400000000000002</c:v>
                </c:pt>
                <c:pt idx="5">
                  <c:v>0.59599999999999997</c:v>
                </c:pt>
                <c:pt idx="6">
                  <c:v>0.69199999999999984</c:v>
                </c:pt>
                <c:pt idx="7">
                  <c:v>0.68400000000000005</c:v>
                </c:pt>
              </c:numCache>
            </c:numRef>
          </c:yVal>
          <c:smooth val="0"/>
          <c:extLst>
            <c:ext xmlns:c16="http://schemas.microsoft.com/office/drawing/2014/chart" uri="{C3380CC4-5D6E-409C-BE32-E72D297353CC}">
              <c16:uniqueId val="{00000001-4941-48B8-97CB-A3BD5DF8226B}"/>
            </c:ext>
          </c:extLst>
        </c:ser>
        <c:ser>
          <c:idx val="1"/>
          <c:order val="1"/>
          <c:tx>
            <c:strRef>
              <c:f>PrevDentOral_0105!$A$3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PrevDentOral_0105!$B$3:$I$3</c:f>
              <c:numCache>
                <c:formatCode>0.0%</c:formatCode>
                <c:ptCount val="8"/>
                <c:pt idx="0">
                  <c:v>0.44400000000000001</c:v>
                </c:pt>
                <c:pt idx="1">
                  <c:v>0.45900000000000002</c:v>
                </c:pt>
                <c:pt idx="2">
                  <c:v>0.435</c:v>
                </c:pt>
                <c:pt idx="3">
                  <c:v>0.505</c:v>
                </c:pt>
                <c:pt idx="4">
                  <c:v>0.57500000000000007</c:v>
                </c:pt>
                <c:pt idx="5">
                  <c:v>0.61599999999999999</c:v>
                </c:pt>
                <c:pt idx="6">
                  <c:v>0.66</c:v>
                </c:pt>
                <c:pt idx="7">
                  <c:v>0.59599999999999997</c:v>
                </c:pt>
              </c:numCache>
            </c:numRef>
          </c:yVal>
          <c:smooth val="0"/>
          <c:extLst>
            <c:ext xmlns:c16="http://schemas.microsoft.com/office/drawing/2014/chart" uri="{C3380CC4-5D6E-409C-BE32-E72D297353CC}">
              <c16:uniqueId val="{00000002-4941-48B8-97CB-A3BD5DF8226B}"/>
            </c:ext>
          </c:extLst>
        </c:ser>
        <c:ser>
          <c:idx val="2"/>
          <c:order val="2"/>
          <c:tx>
            <c:strRef>
              <c:f>PrevDentOral_0105!$A$4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PrevDentOral_0105!$B$4:$I$4</c:f>
              <c:numCache>
                <c:formatCode>0.0%</c:formatCode>
                <c:ptCount val="8"/>
                <c:pt idx="0">
                  <c:v>0.36</c:v>
                </c:pt>
                <c:pt idx="1">
                  <c:v>0.42200000000000004</c:v>
                </c:pt>
                <c:pt idx="2">
                  <c:v>0.44400000000000001</c:v>
                </c:pt>
                <c:pt idx="3">
                  <c:v>0.55900000000000005</c:v>
                </c:pt>
                <c:pt idx="4">
                  <c:v>0.54100000000000004</c:v>
                </c:pt>
                <c:pt idx="5">
                  <c:v>0.58799999999999997</c:v>
                </c:pt>
                <c:pt idx="6">
                  <c:v>0.57599999999999996</c:v>
                </c:pt>
                <c:pt idx="7">
                  <c:v>0.57099999999999995</c:v>
                </c:pt>
              </c:numCache>
            </c:numRef>
          </c:yVal>
          <c:smooth val="0"/>
          <c:extLst>
            <c:ext xmlns:c16="http://schemas.microsoft.com/office/drawing/2014/chart" uri="{C3380CC4-5D6E-409C-BE32-E72D297353CC}">
              <c16:uniqueId val="{00000003-4941-48B8-97CB-A3BD5DF8226B}"/>
            </c:ext>
          </c:extLst>
        </c:ser>
        <c:ser>
          <c:idx val="3"/>
          <c:order val="3"/>
          <c:tx>
            <c:strRef>
              <c:f>PrevDentOral_0105!$A$5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PrevDentOral_0105!$B$5:$I$5</c:f>
              <c:numCache>
                <c:formatCode>0.0%</c:formatCode>
                <c:ptCount val="8"/>
                <c:pt idx="0">
                  <c:v>0.33200000000000002</c:v>
                </c:pt>
                <c:pt idx="1">
                  <c:v>0.35600000000000004</c:v>
                </c:pt>
                <c:pt idx="2">
                  <c:v>0.32700000000000001</c:v>
                </c:pt>
                <c:pt idx="3">
                  <c:v>0.42100000000000004</c:v>
                </c:pt>
                <c:pt idx="4">
                  <c:v>0.42399999999999999</c:v>
                </c:pt>
                <c:pt idx="5">
                  <c:v>0.47199999999999998</c:v>
                </c:pt>
                <c:pt idx="6">
                  <c:v>0.54500000000000004</c:v>
                </c:pt>
                <c:pt idx="7">
                  <c:v>0.51900000000000002</c:v>
                </c:pt>
              </c:numCache>
            </c:numRef>
          </c:yVal>
          <c:smooth val="0"/>
          <c:extLst>
            <c:ext xmlns:c16="http://schemas.microsoft.com/office/drawing/2014/chart" uri="{C3380CC4-5D6E-409C-BE32-E72D297353CC}">
              <c16:uniqueId val="{00000004-4941-48B8-97CB-A3BD5DF8226B}"/>
            </c:ext>
          </c:extLst>
        </c:ser>
        <c:ser>
          <c:idx val="4"/>
          <c:order val="4"/>
          <c:tx>
            <c:strRef>
              <c:f>PrevDentOral_0105!$A$6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PrevDentOral_0105!$B$6:$I$6</c:f>
              <c:numCache>
                <c:formatCode>0.0%</c:formatCode>
                <c:ptCount val="8"/>
                <c:pt idx="0">
                  <c:v>0.44700000000000006</c:v>
                </c:pt>
                <c:pt idx="1">
                  <c:v>0.42499999999999999</c:v>
                </c:pt>
                <c:pt idx="2">
                  <c:v>0.35299999999999998</c:v>
                </c:pt>
                <c:pt idx="3">
                  <c:v>0.45900000000000002</c:v>
                </c:pt>
                <c:pt idx="4">
                  <c:v>0.48200000000000004</c:v>
                </c:pt>
                <c:pt idx="5">
                  <c:v>0.60699999999999998</c:v>
                </c:pt>
                <c:pt idx="6">
                  <c:v>0.65700000000000003</c:v>
                </c:pt>
                <c:pt idx="7">
                  <c:v>0.63500000000000001</c:v>
                </c:pt>
              </c:numCache>
            </c:numRef>
          </c:yVal>
          <c:smooth val="0"/>
          <c:extLst>
            <c:ext xmlns:c16="http://schemas.microsoft.com/office/drawing/2014/chart" uri="{C3380CC4-5D6E-409C-BE32-E72D297353CC}">
              <c16:uniqueId val="{00000005-4941-48B8-97CB-A3BD5DF8226B}"/>
            </c:ext>
          </c:extLst>
        </c:ser>
        <c:ser>
          <c:idx val="5"/>
          <c:order val="5"/>
          <c:tx>
            <c:strRef>
              <c:f>PrevDentOral_0105!$A$7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PrevDentOral_0105!$B$7:$I$7</c:f>
              <c:numCache>
                <c:formatCode>0.0%</c:formatCode>
                <c:ptCount val="8"/>
                <c:pt idx="0">
                  <c:v>0.44</c:v>
                </c:pt>
                <c:pt idx="1">
                  <c:v>0.44</c:v>
                </c:pt>
                <c:pt idx="2">
                  <c:v>0.36100000000000004</c:v>
                </c:pt>
                <c:pt idx="3">
                  <c:v>0.45200000000000001</c:v>
                </c:pt>
                <c:pt idx="4">
                  <c:v>0.49</c:v>
                </c:pt>
                <c:pt idx="5">
                  <c:v>0.55100000000000005</c:v>
                </c:pt>
                <c:pt idx="6">
                  <c:v>0.60399999999999998</c:v>
                </c:pt>
                <c:pt idx="7">
                  <c:v>0.626</c:v>
                </c:pt>
              </c:numCache>
            </c:numRef>
          </c:yVal>
          <c:smooth val="0"/>
          <c:extLst>
            <c:ext xmlns:c16="http://schemas.microsoft.com/office/drawing/2014/chart" uri="{C3380CC4-5D6E-409C-BE32-E72D297353CC}">
              <c16:uniqueId val="{00000006-4941-48B8-97CB-A3BD5DF8226B}"/>
            </c:ext>
          </c:extLst>
        </c:ser>
        <c:ser>
          <c:idx val="6"/>
          <c:order val="6"/>
          <c:tx>
            <c:strRef>
              <c:f>PrevDentOral_0105!$A$8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PrevDentOral_0105!$B$8:$I$8</c:f>
              <c:numCache>
                <c:formatCode>0.0%</c:formatCode>
                <c:ptCount val="8"/>
                <c:pt idx="0">
                  <c:v>0.36700000000000005</c:v>
                </c:pt>
                <c:pt idx="1">
                  <c:v>0.41399999999999998</c:v>
                </c:pt>
                <c:pt idx="2">
                  <c:v>0.378</c:v>
                </c:pt>
                <c:pt idx="3">
                  <c:v>0.52500000000000002</c:v>
                </c:pt>
                <c:pt idx="4">
                  <c:v>0.53200000000000003</c:v>
                </c:pt>
                <c:pt idx="5">
                  <c:v>0.56799999999999995</c:v>
                </c:pt>
                <c:pt idx="6">
                  <c:v>0.622</c:v>
                </c:pt>
                <c:pt idx="7">
                  <c:v>0.65500000000000003</c:v>
                </c:pt>
              </c:numCache>
            </c:numRef>
          </c:yVal>
          <c:smooth val="0"/>
          <c:extLst>
            <c:ext xmlns:c16="http://schemas.microsoft.com/office/drawing/2014/chart" uri="{C3380CC4-5D6E-409C-BE32-E72D297353CC}">
              <c16:uniqueId val="{00000007-4941-48B8-97CB-A3BD5DF8226B}"/>
            </c:ext>
          </c:extLst>
        </c:ser>
        <c:ser>
          <c:idx val="7"/>
          <c:order val="7"/>
          <c:tx>
            <c:strRef>
              <c:f>PrevDentOral_0105!$A$9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PrevDentOral_0105!$B$9:$I$9</c:f>
              <c:numCache>
                <c:formatCode>0.0%</c:formatCode>
                <c:ptCount val="8"/>
                <c:pt idx="0">
                  <c:v>0.46</c:v>
                </c:pt>
                <c:pt idx="1">
                  <c:v>0.504</c:v>
                </c:pt>
                <c:pt idx="2">
                  <c:v>0.43100000000000005</c:v>
                </c:pt>
                <c:pt idx="3">
                  <c:v>0.47500000000000003</c:v>
                </c:pt>
                <c:pt idx="4">
                  <c:v>0.53600000000000003</c:v>
                </c:pt>
                <c:pt idx="5">
                  <c:v>0.60499999999999998</c:v>
                </c:pt>
                <c:pt idx="6">
                  <c:v>0.66600000000000004</c:v>
                </c:pt>
                <c:pt idx="7">
                  <c:v>0.66600000000000004</c:v>
                </c:pt>
              </c:numCache>
            </c:numRef>
          </c:yVal>
          <c:smooth val="0"/>
          <c:extLst>
            <c:ext xmlns:c16="http://schemas.microsoft.com/office/drawing/2014/chart" uri="{C3380CC4-5D6E-409C-BE32-E72D297353CC}">
              <c16:uniqueId val="{00000008-4941-48B8-97CB-A3BD5DF8226B}"/>
            </c:ext>
          </c:extLst>
        </c:ser>
        <c:ser>
          <c:idx val="8"/>
          <c:order val="8"/>
          <c:tx>
            <c:strRef>
              <c:f>PrevDentOral_0105!$A$10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PrevDentOral_0105!$B$10:$I$10</c:f>
              <c:numCache>
                <c:formatCode>0.0%</c:formatCode>
                <c:ptCount val="8"/>
                <c:pt idx="0">
                  <c:v>0.45200000000000001</c:v>
                </c:pt>
                <c:pt idx="1">
                  <c:v>0.46200000000000002</c:v>
                </c:pt>
                <c:pt idx="2">
                  <c:v>0.33799999999999997</c:v>
                </c:pt>
                <c:pt idx="3">
                  <c:v>0.435</c:v>
                </c:pt>
                <c:pt idx="4">
                  <c:v>0.48</c:v>
                </c:pt>
                <c:pt idx="5">
                  <c:v>0.58499999999999996</c:v>
                </c:pt>
                <c:pt idx="6">
                  <c:v>0.59399999999999997</c:v>
                </c:pt>
                <c:pt idx="7">
                  <c:v>0.58499999999999996</c:v>
                </c:pt>
              </c:numCache>
            </c:numRef>
          </c:yVal>
          <c:smooth val="0"/>
          <c:extLst>
            <c:ext xmlns:c16="http://schemas.microsoft.com/office/drawing/2014/chart" uri="{C3380CC4-5D6E-409C-BE32-E72D297353CC}">
              <c16:uniqueId val="{00000009-4941-48B8-97CB-A3BD5DF8226B}"/>
            </c:ext>
          </c:extLst>
        </c:ser>
        <c:ser>
          <c:idx val="9"/>
          <c:order val="9"/>
          <c:tx>
            <c:strRef>
              <c:f>PrevDentOral_0105!$A$11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PrevDentOral_0105!$B$11:$I$11</c:f>
              <c:numCache>
                <c:formatCode>0.0%</c:formatCode>
                <c:ptCount val="8"/>
                <c:pt idx="0">
                  <c:v>0.53300000000000003</c:v>
                </c:pt>
                <c:pt idx="1">
                  <c:v>0.51500000000000001</c:v>
                </c:pt>
                <c:pt idx="2">
                  <c:v>0.33700000000000002</c:v>
                </c:pt>
                <c:pt idx="3">
                  <c:v>0.40899999999999997</c:v>
                </c:pt>
                <c:pt idx="4">
                  <c:v>0.40899999999999997</c:v>
                </c:pt>
                <c:pt idx="5">
                  <c:v>0.5</c:v>
                </c:pt>
                <c:pt idx="6">
                  <c:v>0.51</c:v>
                </c:pt>
                <c:pt idx="7">
                  <c:v>0.58499999999999996</c:v>
                </c:pt>
              </c:numCache>
            </c:numRef>
          </c:yVal>
          <c:smooth val="0"/>
          <c:extLst>
            <c:ext xmlns:c16="http://schemas.microsoft.com/office/drawing/2014/chart" uri="{C3380CC4-5D6E-409C-BE32-E72D297353CC}">
              <c16:uniqueId val="{0000000A-4941-48B8-97CB-A3BD5DF8226B}"/>
            </c:ext>
          </c:extLst>
        </c:ser>
        <c:ser>
          <c:idx val="10"/>
          <c:order val="10"/>
          <c:tx>
            <c:strRef>
              <c:f>PrevDentOral_0105!$A$12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PrevDentOral_0105!$B$12:$I$12</c:f>
              <c:numCache>
                <c:formatCode>General</c:formatCode>
                <c:ptCount val="8"/>
                <c:pt idx="2" formatCode="0.0%">
                  <c:v>0.39900000000000002</c:v>
                </c:pt>
                <c:pt idx="3" formatCode="0.0%">
                  <c:v>0.53300000000000003</c:v>
                </c:pt>
                <c:pt idx="4" formatCode="0.0%">
                  <c:v>0.51</c:v>
                </c:pt>
                <c:pt idx="5" formatCode="0.0%">
                  <c:v>0.56000000000000005</c:v>
                </c:pt>
                <c:pt idx="6" formatCode="0.0%">
                  <c:v>0.627</c:v>
                </c:pt>
                <c:pt idx="7" formatCode="0.0%">
                  <c:v>0.69099999999999995</c:v>
                </c:pt>
              </c:numCache>
            </c:numRef>
          </c:yVal>
          <c:smooth val="0"/>
          <c:extLst>
            <c:ext xmlns:c16="http://schemas.microsoft.com/office/drawing/2014/chart" uri="{C3380CC4-5D6E-409C-BE32-E72D297353CC}">
              <c16:uniqueId val="{0000000B-4941-48B8-97CB-A3BD5DF8226B}"/>
            </c:ext>
          </c:extLst>
        </c:ser>
        <c:ser>
          <c:idx val="11"/>
          <c:order val="11"/>
          <c:tx>
            <c:strRef>
              <c:f>PrevDentOral_0105!$A$13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PrevDentOral_0105!$B$13:$I$13</c:f>
              <c:numCache>
                <c:formatCode>General</c:formatCode>
                <c:ptCount val="8"/>
                <c:pt idx="2" formatCode="0.0%">
                  <c:v>0.40299999999999997</c:v>
                </c:pt>
                <c:pt idx="3" formatCode="0.0%">
                  <c:v>0.501</c:v>
                </c:pt>
                <c:pt idx="4" formatCode="0.0%">
                  <c:v>0.52800000000000002</c:v>
                </c:pt>
                <c:pt idx="5" formatCode="0.0%">
                  <c:v>0.56200000000000006</c:v>
                </c:pt>
                <c:pt idx="6" formatCode="0.0%">
                  <c:v>0.63400000000000001</c:v>
                </c:pt>
                <c:pt idx="7" formatCode="0.0%">
                  <c:v>0.65500000000000003</c:v>
                </c:pt>
              </c:numCache>
            </c:numRef>
          </c:yVal>
          <c:smooth val="0"/>
          <c:extLst>
            <c:ext xmlns:c16="http://schemas.microsoft.com/office/drawing/2014/chart" uri="{C3380CC4-5D6E-409C-BE32-E72D297353CC}">
              <c16:uniqueId val="{0000000C-4941-48B8-97CB-A3BD5DF8226B}"/>
            </c:ext>
          </c:extLst>
        </c:ser>
        <c:ser>
          <c:idx val="13"/>
          <c:order val="12"/>
          <c:tx>
            <c:strRef>
              <c:f>PrevDentOral_0105!$A$14</c:f>
              <c:strCache>
                <c:ptCount val="1"/>
                <c:pt idx="0">
                  <c:v>Statewide</c:v>
                </c:pt>
              </c:strCache>
            </c:strRef>
          </c:tx>
          <c:spPr>
            <a:ln w="28575" cap="rnd">
              <a:solidFill>
                <a:schemeClr val="accent1">
                  <a:lumMod val="75000"/>
                </a:schemeClr>
              </a:solidFill>
              <a:round/>
            </a:ln>
            <a:effectLst/>
          </c:spPr>
          <c:marker>
            <c:symbol val="none"/>
          </c:marker>
          <c:dPt>
            <c:idx val="2"/>
            <c:marker>
              <c:symbol val="none"/>
            </c:marker>
            <c:bubble3D val="0"/>
            <c:extLst>
              <c:ext xmlns:c16="http://schemas.microsoft.com/office/drawing/2014/chart" uri="{C3380CC4-5D6E-409C-BE32-E72D297353CC}">
                <c16:uniqueId val="{0000000D-4941-48B8-97CB-A3BD5DF8226B}"/>
              </c:ext>
            </c:extLst>
          </c:dPt>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PrevDentOral_0105!$B$14:$I$14</c:f>
              <c:numCache>
                <c:formatCode>0.0%</c:formatCode>
                <c:ptCount val="8"/>
                <c:pt idx="0">
                  <c:v>0.49200000000000005</c:v>
                </c:pt>
                <c:pt idx="1">
                  <c:v>0.51200000000000001</c:v>
                </c:pt>
                <c:pt idx="2">
                  <c:v>0.375</c:v>
                </c:pt>
                <c:pt idx="3">
                  <c:v>0.47200000000000003</c:v>
                </c:pt>
                <c:pt idx="4">
                  <c:v>0.499</c:v>
                </c:pt>
                <c:pt idx="5">
                  <c:v>0.56000000000000005</c:v>
                </c:pt>
                <c:pt idx="6">
                  <c:v>0.61099999999999999</c:v>
                </c:pt>
                <c:pt idx="7">
                  <c:v>0.627</c:v>
                </c:pt>
              </c:numCache>
            </c:numRef>
          </c:yVal>
          <c:smooth val="0"/>
          <c:extLst>
            <c:ext xmlns:c16="http://schemas.microsoft.com/office/drawing/2014/chart" uri="{C3380CC4-5D6E-409C-BE32-E72D297353CC}">
              <c16:uniqueId val="{0000000E-4941-48B8-97CB-A3BD5DF8226B}"/>
            </c:ext>
          </c:extLst>
        </c:ser>
        <c:ser>
          <c:idx val="14"/>
          <c:order val="13"/>
          <c:tx>
            <c:strRef>
              <c:f>PrevDentOral_0105!$A$15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PrevDentOral_0105!$B$15:$I$15</c:f>
              <c:numCache>
                <c:formatCode>General</c:formatCode>
                <c:ptCount val="8"/>
                <c:pt idx="3" formatCode="0.0%">
                  <c:v>0.26100000000000001</c:v>
                </c:pt>
                <c:pt idx="4" formatCode="0.0%">
                  <c:v>0.33600000000000002</c:v>
                </c:pt>
                <c:pt idx="5" formatCode="0.0%">
                  <c:v>0.36799999999999999</c:v>
                </c:pt>
                <c:pt idx="6" formatCode="0.0%">
                  <c:v>0.433</c:v>
                </c:pt>
                <c:pt idx="7" formatCode="0.0%">
                  <c:v>0.50900000000000001</c:v>
                </c:pt>
              </c:numCache>
            </c:numRef>
          </c:yVal>
          <c:smooth val="0"/>
          <c:extLst>
            <c:ext xmlns:c16="http://schemas.microsoft.com/office/drawing/2014/chart" uri="{C3380CC4-5D6E-409C-BE32-E72D297353CC}">
              <c16:uniqueId val="{0000000F-4941-48B8-97CB-A3BD5DF8226B}"/>
            </c:ext>
          </c:extLst>
        </c:ser>
        <c:ser>
          <c:idx val="15"/>
          <c:order val="14"/>
          <c:tx>
            <c:strRef>
              <c:f>PrevDentOral_0105!$A$16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PrevDentOral_0105!$B$16:$I$16</c:f>
              <c:numCache>
                <c:formatCode>0.0%</c:formatCode>
                <c:ptCount val="8"/>
                <c:pt idx="0">
                  <c:v>0.43200000000000005</c:v>
                </c:pt>
                <c:pt idx="1">
                  <c:v>0.47000000000000003</c:v>
                </c:pt>
                <c:pt idx="2">
                  <c:v>0.35600000000000004</c:v>
                </c:pt>
                <c:pt idx="3">
                  <c:v>0.498</c:v>
                </c:pt>
                <c:pt idx="4">
                  <c:v>0.47000000000000003</c:v>
                </c:pt>
                <c:pt idx="5">
                  <c:v>0.55800000000000005</c:v>
                </c:pt>
                <c:pt idx="6">
                  <c:v>0.60899999999999999</c:v>
                </c:pt>
                <c:pt idx="7">
                  <c:v>0.63600000000000001</c:v>
                </c:pt>
              </c:numCache>
            </c:numRef>
          </c:yVal>
          <c:smooth val="0"/>
          <c:extLst>
            <c:ext xmlns:c16="http://schemas.microsoft.com/office/drawing/2014/chart" uri="{C3380CC4-5D6E-409C-BE32-E72D297353CC}">
              <c16:uniqueId val="{00000010-4941-48B8-97CB-A3BD5DF8226B}"/>
            </c:ext>
          </c:extLst>
        </c:ser>
        <c:ser>
          <c:idx val="16"/>
          <c:order val="15"/>
          <c:tx>
            <c:strRef>
              <c:f>PrevDentOral_0105!$A$17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PrevDentOral_0105!$B$17:$I$17</c:f>
              <c:numCache>
                <c:formatCode>0.0%</c:formatCode>
                <c:ptCount val="8"/>
                <c:pt idx="0">
                  <c:v>0.37200000000000005</c:v>
                </c:pt>
                <c:pt idx="1">
                  <c:v>0.45700000000000002</c:v>
                </c:pt>
                <c:pt idx="2">
                  <c:v>0.25600000000000001</c:v>
                </c:pt>
                <c:pt idx="3">
                  <c:v>0.40399999999999997</c:v>
                </c:pt>
                <c:pt idx="4">
                  <c:v>0.443</c:v>
                </c:pt>
                <c:pt idx="5">
                  <c:v>0.51</c:v>
                </c:pt>
                <c:pt idx="6">
                  <c:v>0.59599999999999997</c:v>
                </c:pt>
                <c:pt idx="7">
                  <c:v>0.59399999999999997</c:v>
                </c:pt>
              </c:numCache>
            </c:numRef>
          </c:yVal>
          <c:smooth val="0"/>
          <c:extLst>
            <c:ext xmlns:c16="http://schemas.microsoft.com/office/drawing/2014/chart" uri="{C3380CC4-5D6E-409C-BE32-E72D297353CC}">
              <c16:uniqueId val="{00000011-4941-48B8-97CB-A3BD5DF8226B}"/>
            </c:ext>
          </c:extLst>
        </c:ser>
        <c:ser>
          <c:idx val="17"/>
          <c:order val="17"/>
          <c:tx>
            <c:strRef>
              <c:f>PrevDentOral_0105!$A$19</c:f>
              <c:strCache>
                <c:ptCount val="1"/>
                <c:pt idx="0">
                  <c:v>Statewide (dots)</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PrevDentOral_0105!$B$19:$I$19</c:f>
              <c:numCache>
                <c:formatCode>0.0%</c:formatCode>
                <c:ptCount val="8"/>
                <c:pt idx="0">
                  <c:v>0.49200000000000005</c:v>
                </c:pt>
                <c:pt idx="1">
                  <c:v>0.51200000000000001</c:v>
                </c:pt>
                <c:pt idx="2">
                  <c:v>0.375</c:v>
                </c:pt>
                <c:pt idx="3">
                  <c:v>0.47200000000000003</c:v>
                </c:pt>
                <c:pt idx="4">
                  <c:v>0.499</c:v>
                </c:pt>
                <c:pt idx="5">
                  <c:v>0.56000000000000005</c:v>
                </c:pt>
                <c:pt idx="6">
                  <c:v>0.61099999999999999</c:v>
                </c:pt>
                <c:pt idx="7">
                  <c:v>0.627</c:v>
                </c:pt>
              </c:numCache>
            </c:numRef>
          </c:yVal>
          <c:smooth val="0"/>
          <c:extLst>
            <c:ext xmlns:c16="http://schemas.microsoft.com/office/drawing/2014/chart" uri="{C3380CC4-5D6E-409C-BE32-E72D297353CC}">
              <c16:uniqueId val="{00000012-4941-48B8-97CB-A3BD5DF8226B}"/>
            </c:ext>
          </c:extLst>
        </c:ser>
        <c:ser>
          <c:idx val="18"/>
          <c:order val="18"/>
          <c:tx>
            <c:strRef>
              <c:f>PrevDentOral_0105!$A$20</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PrevDentOral_0105!$B$20:$I$20</c:f>
              <c:numCache>
                <c:formatCode>General</c:formatCode>
                <c:ptCount val="8"/>
                <c:pt idx="2" formatCode="0.0%">
                  <c:v>0.54600000000000004</c:v>
                </c:pt>
                <c:pt idx="3" formatCode="0.0%">
                  <c:v>0.33700000000000002</c:v>
                </c:pt>
                <c:pt idx="4" formatCode="0.0%">
                  <c:v>0.43099999999999999</c:v>
                </c:pt>
                <c:pt idx="5" formatCode="0.0%">
                  <c:v>0.47199999999999998</c:v>
                </c:pt>
                <c:pt idx="6" formatCode="0.0%">
                  <c:v>0.52900000000000003</c:v>
                </c:pt>
                <c:pt idx="7" formatCode="0.0%">
                  <c:v>0.60599999999999998</c:v>
                </c:pt>
              </c:numCache>
            </c:numRef>
          </c:yVal>
          <c:smooth val="0"/>
          <c:extLst>
            <c:ext xmlns:c16="http://schemas.microsoft.com/office/drawing/2014/chart" uri="{C3380CC4-5D6E-409C-BE32-E72D297353CC}">
              <c16:uniqueId val="{00000013-4941-48B8-97CB-A3BD5DF8226B}"/>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5"/>
        <c:minorUnit val="0.2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2"/>
          <c:order val="16"/>
          <c:tx>
            <c:strRef>
              <c:f>DHS!$A$18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cat>
          <c:val>
            <c:numRef>
              <c:f>DHS!$B$18:$O$18</c:f>
              <c:numCache>
                <c:formatCode>0.0%</c:formatCode>
                <c:ptCount val="14"/>
                <c:pt idx="0">
                  <c:v>0.52300000000000002</c:v>
                </c:pt>
                <c:pt idx="1">
                  <c:v>0.55100000000000005</c:v>
                </c:pt>
                <c:pt idx="2">
                  <c:v>0.33299999999999996</c:v>
                </c:pt>
                <c:pt idx="3">
                  <c:v>0.41700000000000004</c:v>
                </c:pt>
                <c:pt idx="4">
                  <c:v>0.55600000000000005</c:v>
                </c:pt>
                <c:pt idx="5">
                  <c:v>0.57100000000000006</c:v>
                </c:pt>
                <c:pt idx="6">
                  <c:v>0.69400000000000006</c:v>
                </c:pt>
                <c:pt idx="7">
                  <c:v>0.84400000000000008</c:v>
                </c:pt>
                <c:pt idx="8">
                  <c:v>0.88200000000000001</c:v>
                </c:pt>
                <c:pt idx="9">
                  <c:v>0.95000000000000007</c:v>
                </c:pt>
                <c:pt idx="10">
                  <c:v>0.91400000000000003</c:v>
                </c:pt>
                <c:pt idx="11">
                  <c:v>0.91700000000000004</c:v>
                </c:pt>
                <c:pt idx="12">
                  <c:v>0.96199999999999997</c:v>
                </c:pt>
                <c:pt idx="13">
                  <c:v>0.95499999999999996</c:v>
                </c:pt>
              </c:numCache>
            </c:numRef>
          </c:val>
          <c:smooth val="0"/>
          <c:extLst>
            <c:ext xmlns:c16="http://schemas.microsoft.com/office/drawing/2014/chart" uri="{C3380CC4-5D6E-409C-BE32-E72D297353CC}">
              <c16:uniqueId val="{00000000-8BB2-4299-AB45-ABD36C897AEE}"/>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19"/>
          <c:order val="0"/>
          <c:tx>
            <c:strRef>
              <c:f>DHS!$A$2</c:f>
              <c:strCache>
                <c:ptCount val="1"/>
                <c:pt idx="0">
                  <c:v>Advanced Health</c:v>
                </c:pt>
              </c:strCache>
            </c:strRef>
          </c:tx>
          <c:spPr>
            <a:ln w="28575"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DHS!$B$2:$O$2</c:f>
              <c:numCache>
                <c:formatCode>0.0%</c:formatCode>
                <c:ptCount val="14"/>
                <c:pt idx="0">
                  <c:v>0.65099999999999991</c:v>
                </c:pt>
                <c:pt idx="1">
                  <c:v>0.65700000000000003</c:v>
                </c:pt>
                <c:pt idx="2">
                  <c:v>0.49299999999999999</c:v>
                </c:pt>
                <c:pt idx="3">
                  <c:v>0.49600000000000005</c:v>
                </c:pt>
                <c:pt idx="4">
                  <c:v>0.72299999999999998</c:v>
                </c:pt>
                <c:pt idx="5">
                  <c:v>0.91900000000000004</c:v>
                </c:pt>
                <c:pt idx="6">
                  <c:v>0.93500000000000005</c:v>
                </c:pt>
                <c:pt idx="7">
                  <c:v>0.97700000000000009</c:v>
                </c:pt>
                <c:pt idx="8">
                  <c:v>0.78800000000000003</c:v>
                </c:pt>
                <c:pt idx="9">
                  <c:v>0.90300000000000002</c:v>
                </c:pt>
                <c:pt idx="10">
                  <c:v>0.95200000000000007</c:v>
                </c:pt>
                <c:pt idx="11">
                  <c:v>0.95699999999999996</c:v>
                </c:pt>
                <c:pt idx="12">
                  <c:v>0.93899999999999995</c:v>
                </c:pt>
                <c:pt idx="13">
                  <c:v>0.94599999999999995</c:v>
                </c:pt>
              </c:numCache>
            </c:numRef>
          </c:yVal>
          <c:smooth val="0"/>
          <c:extLst>
            <c:ext xmlns:c16="http://schemas.microsoft.com/office/drawing/2014/chart" uri="{C3380CC4-5D6E-409C-BE32-E72D297353CC}">
              <c16:uniqueId val="{00000001-8BB2-4299-AB45-ABD36C897AEE}"/>
            </c:ext>
          </c:extLst>
        </c:ser>
        <c:ser>
          <c:idx val="1"/>
          <c:order val="1"/>
          <c:tx>
            <c:strRef>
              <c:f>DHS!$A$3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DHS!$B$3:$O$3</c:f>
              <c:numCache>
                <c:formatCode>0.0%</c:formatCode>
                <c:ptCount val="14"/>
                <c:pt idx="0">
                  <c:v>0.50700000000000001</c:v>
                </c:pt>
                <c:pt idx="1">
                  <c:v>0.5</c:v>
                </c:pt>
                <c:pt idx="2">
                  <c:v>0.214</c:v>
                </c:pt>
                <c:pt idx="3">
                  <c:v>0.40299999999999997</c:v>
                </c:pt>
                <c:pt idx="4">
                  <c:v>0.53300000000000003</c:v>
                </c:pt>
                <c:pt idx="5">
                  <c:v>0.67500000000000004</c:v>
                </c:pt>
                <c:pt idx="6">
                  <c:v>0.71299999999999997</c:v>
                </c:pt>
                <c:pt idx="7">
                  <c:v>0.77900000000000003</c:v>
                </c:pt>
                <c:pt idx="8">
                  <c:v>0.88600000000000001</c:v>
                </c:pt>
                <c:pt idx="9">
                  <c:v>0.82400000000000007</c:v>
                </c:pt>
                <c:pt idx="10">
                  <c:v>0.76800000000000002</c:v>
                </c:pt>
                <c:pt idx="11">
                  <c:v>0.79300000000000004</c:v>
                </c:pt>
                <c:pt idx="12">
                  <c:v>0.91800000000000004</c:v>
                </c:pt>
                <c:pt idx="13">
                  <c:v>0.81899999999999995</c:v>
                </c:pt>
              </c:numCache>
            </c:numRef>
          </c:yVal>
          <c:smooth val="0"/>
          <c:extLst>
            <c:ext xmlns:c16="http://schemas.microsoft.com/office/drawing/2014/chart" uri="{C3380CC4-5D6E-409C-BE32-E72D297353CC}">
              <c16:uniqueId val="{00000002-8BB2-4299-AB45-ABD36C897AEE}"/>
            </c:ext>
          </c:extLst>
        </c:ser>
        <c:ser>
          <c:idx val="2"/>
          <c:order val="2"/>
          <c:tx>
            <c:strRef>
              <c:f>DHS!$A$4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DHS!$B$4:$O$4</c:f>
              <c:numCache>
                <c:formatCode>0.0%</c:formatCode>
                <c:ptCount val="14"/>
                <c:pt idx="0">
                  <c:v>0.67700000000000005</c:v>
                </c:pt>
                <c:pt idx="1">
                  <c:v>0.69500000000000006</c:v>
                </c:pt>
                <c:pt idx="2">
                  <c:v>0.17399999999999999</c:v>
                </c:pt>
                <c:pt idx="3">
                  <c:v>0.47600000000000003</c:v>
                </c:pt>
                <c:pt idx="4">
                  <c:v>0.72099999999999997</c:v>
                </c:pt>
                <c:pt idx="5">
                  <c:v>0.752</c:v>
                </c:pt>
                <c:pt idx="6">
                  <c:v>0.91500000000000004</c:v>
                </c:pt>
                <c:pt idx="7">
                  <c:v>0.86499999999999999</c:v>
                </c:pt>
                <c:pt idx="8">
                  <c:v>0.79200000000000004</c:v>
                </c:pt>
                <c:pt idx="9">
                  <c:v>0.97299999999999998</c:v>
                </c:pt>
                <c:pt idx="10">
                  <c:v>0.97799999999999998</c:v>
                </c:pt>
                <c:pt idx="11">
                  <c:v>0.91200000000000003</c:v>
                </c:pt>
                <c:pt idx="12">
                  <c:v>0.98299999999999998</c:v>
                </c:pt>
                <c:pt idx="13">
                  <c:v>0.95599999999999996</c:v>
                </c:pt>
              </c:numCache>
            </c:numRef>
          </c:yVal>
          <c:smooth val="0"/>
          <c:extLst>
            <c:ext xmlns:c16="http://schemas.microsoft.com/office/drawing/2014/chart" uri="{C3380CC4-5D6E-409C-BE32-E72D297353CC}">
              <c16:uniqueId val="{00000003-8BB2-4299-AB45-ABD36C897AEE}"/>
            </c:ext>
          </c:extLst>
        </c:ser>
        <c:ser>
          <c:idx val="3"/>
          <c:order val="3"/>
          <c:tx>
            <c:strRef>
              <c:f>DHS!$A$5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DHS!$B$5:$O$5</c:f>
              <c:numCache>
                <c:formatCode>0.0%</c:formatCode>
                <c:ptCount val="14"/>
                <c:pt idx="0">
                  <c:v>0.44900000000000001</c:v>
                </c:pt>
                <c:pt idx="1">
                  <c:v>0.45799999999999996</c:v>
                </c:pt>
                <c:pt idx="2">
                  <c:v>0.36600000000000005</c:v>
                </c:pt>
                <c:pt idx="3">
                  <c:v>0.55200000000000005</c:v>
                </c:pt>
                <c:pt idx="4">
                  <c:v>0.78400000000000003</c:v>
                </c:pt>
                <c:pt idx="5">
                  <c:v>0.68599999999999994</c:v>
                </c:pt>
                <c:pt idx="6">
                  <c:v>0.82500000000000007</c:v>
                </c:pt>
                <c:pt idx="7">
                  <c:v>0.91500000000000004</c:v>
                </c:pt>
                <c:pt idx="8">
                  <c:v>0.88600000000000001</c:v>
                </c:pt>
                <c:pt idx="9">
                  <c:v>0.88700000000000001</c:v>
                </c:pt>
                <c:pt idx="10">
                  <c:v>0.83799999999999997</c:v>
                </c:pt>
                <c:pt idx="11">
                  <c:v>0.68899999999999995</c:v>
                </c:pt>
                <c:pt idx="12">
                  <c:v>0.74399999999999999</c:v>
                </c:pt>
                <c:pt idx="13">
                  <c:v>0.65200000000000002</c:v>
                </c:pt>
              </c:numCache>
            </c:numRef>
          </c:yVal>
          <c:smooth val="0"/>
          <c:extLst>
            <c:ext xmlns:c16="http://schemas.microsoft.com/office/drawing/2014/chart" uri="{C3380CC4-5D6E-409C-BE32-E72D297353CC}">
              <c16:uniqueId val="{00000004-8BB2-4299-AB45-ABD36C897AEE}"/>
            </c:ext>
          </c:extLst>
        </c:ser>
        <c:ser>
          <c:idx val="4"/>
          <c:order val="4"/>
          <c:tx>
            <c:strRef>
              <c:f>DHS!$A$6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DHS!$B$6:$O$6</c:f>
              <c:numCache>
                <c:formatCode>0.0%</c:formatCode>
                <c:ptCount val="14"/>
                <c:pt idx="0">
                  <c:v>0.54500000000000004</c:v>
                </c:pt>
                <c:pt idx="1">
                  <c:v>0.55299999999999994</c:v>
                </c:pt>
                <c:pt idx="2">
                  <c:v>0.32400000000000001</c:v>
                </c:pt>
                <c:pt idx="3">
                  <c:v>0.61499999999999999</c:v>
                </c:pt>
                <c:pt idx="4">
                  <c:v>0.73</c:v>
                </c:pt>
                <c:pt idx="5">
                  <c:v>0.83200000000000007</c:v>
                </c:pt>
                <c:pt idx="6">
                  <c:v>0.81700000000000006</c:v>
                </c:pt>
                <c:pt idx="7">
                  <c:v>0.86699999999999999</c:v>
                </c:pt>
                <c:pt idx="8">
                  <c:v>0.88200000000000001</c:v>
                </c:pt>
                <c:pt idx="9">
                  <c:v>0.91300000000000003</c:v>
                </c:pt>
                <c:pt idx="10">
                  <c:v>0.90400000000000003</c:v>
                </c:pt>
                <c:pt idx="11">
                  <c:v>0.92200000000000004</c:v>
                </c:pt>
                <c:pt idx="12">
                  <c:v>0.96699999999999997</c:v>
                </c:pt>
                <c:pt idx="13">
                  <c:v>0.96299999999999997</c:v>
                </c:pt>
              </c:numCache>
            </c:numRef>
          </c:yVal>
          <c:smooth val="0"/>
          <c:extLst>
            <c:ext xmlns:c16="http://schemas.microsoft.com/office/drawing/2014/chart" uri="{C3380CC4-5D6E-409C-BE32-E72D297353CC}">
              <c16:uniqueId val="{00000005-8BB2-4299-AB45-ABD36C897AEE}"/>
            </c:ext>
          </c:extLst>
        </c:ser>
        <c:ser>
          <c:idx val="5"/>
          <c:order val="5"/>
          <c:tx>
            <c:strRef>
              <c:f>DHS!$A$7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DHS!$B$7:$O$7</c:f>
              <c:numCache>
                <c:formatCode>0.0%</c:formatCode>
                <c:ptCount val="14"/>
                <c:pt idx="0">
                  <c:v>0.51400000000000001</c:v>
                </c:pt>
                <c:pt idx="1">
                  <c:v>0.51700000000000002</c:v>
                </c:pt>
                <c:pt idx="2">
                  <c:v>0.29899999999999999</c:v>
                </c:pt>
                <c:pt idx="3">
                  <c:v>0.66099999999999992</c:v>
                </c:pt>
                <c:pt idx="4">
                  <c:v>0.76200000000000001</c:v>
                </c:pt>
                <c:pt idx="5">
                  <c:v>0.88500000000000001</c:v>
                </c:pt>
                <c:pt idx="6">
                  <c:v>0.86499999999999999</c:v>
                </c:pt>
                <c:pt idx="7">
                  <c:v>0.90700000000000003</c:v>
                </c:pt>
                <c:pt idx="8">
                  <c:v>0.81500000000000006</c:v>
                </c:pt>
                <c:pt idx="9">
                  <c:v>0.83099999999999996</c:v>
                </c:pt>
                <c:pt idx="10">
                  <c:v>0.88700000000000001</c:v>
                </c:pt>
                <c:pt idx="11">
                  <c:v>0.88900000000000001</c:v>
                </c:pt>
                <c:pt idx="12">
                  <c:v>0.93799999999999994</c:v>
                </c:pt>
                <c:pt idx="13">
                  <c:v>0.93300000000000005</c:v>
                </c:pt>
              </c:numCache>
            </c:numRef>
          </c:yVal>
          <c:smooth val="0"/>
          <c:extLst>
            <c:ext xmlns:c16="http://schemas.microsoft.com/office/drawing/2014/chart" uri="{C3380CC4-5D6E-409C-BE32-E72D297353CC}">
              <c16:uniqueId val="{00000006-8BB2-4299-AB45-ABD36C897AEE}"/>
            </c:ext>
          </c:extLst>
        </c:ser>
        <c:ser>
          <c:idx val="6"/>
          <c:order val="6"/>
          <c:tx>
            <c:strRef>
              <c:f>DHS!$A$8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DHS!$B$8:$O$8</c:f>
              <c:numCache>
                <c:formatCode>0.0%</c:formatCode>
                <c:ptCount val="14"/>
                <c:pt idx="0">
                  <c:v>0.60299999999999998</c:v>
                </c:pt>
                <c:pt idx="1">
                  <c:v>0.58200000000000007</c:v>
                </c:pt>
                <c:pt idx="2">
                  <c:v>0.25700000000000001</c:v>
                </c:pt>
                <c:pt idx="3">
                  <c:v>0.54400000000000004</c:v>
                </c:pt>
                <c:pt idx="4">
                  <c:v>0.66400000000000003</c:v>
                </c:pt>
                <c:pt idx="5">
                  <c:v>0.79500000000000004</c:v>
                </c:pt>
                <c:pt idx="6">
                  <c:v>0.8</c:v>
                </c:pt>
                <c:pt idx="7">
                  <c:v>0.72</c:v>
                </c:pt>
                <c:pt idx="8">
                  <c:v>0.84</c:v>
                </c:pt>
                <c:pt idx="9">
                  <c:v>0.96299999999999997</c:v>
                </c:pt>
                <c:pt idx="10">
                  <c:v>0.93900000000000006</c:v>
                </c:pt>
                <c:pt idx="11">
                  <c:v>0.91100000000000003</c:v>
                </c:pt>
                <c:pt idx="12">
                  <c:v>0.85699999999999998</c:v>
                </c:pt>
                <c:pt idx="13">
                  <c:v>0.89500000000000002</c:v>
                </c:pt>
              </c:numCache>
            </c:numRef>
          </c:yVal>
          <c:smooth val="0"/>
          <c:extLst>
            <c:ext xmlns:c16="http://schemas.microsoft.com/office/drawing/2014/chart" uri="{C3380CC4-5D6E-409C-BE32-E72D297353CC}">
              <c16:uniqueId val="{00000007-8BB2-4299-AB45-ABD36C897AEE}"/>
            </c:ext>
          </c:extLst>
        </c:ser>
        <c:ser>
          <c:idx val="7"/>
          <c:order val="7"/>
          <c:tx>
            <c:strRef>
              <c:f>DHS!$A$9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DHS!$B$9:$O$9</c:f>
              <c:numCache>
                <c:formatCode>0.0%</c:formatCode>
                <c:ptCount val="14"/>
                <c:pt idx="0">
                  <c:v>0.39200000000000002</c:v>
                </c:pt>
                <c:pt idx="1">
                  <c:v>0.39600000000000002</c:v>
                </c:pt>
                <c:pt idx="2">
                  <c:v>0.247</c:v>
                </c:pt>
                <c:pt idx="3">
                  <c:v>0.67299999999999993</c:v>
                </c:pt>
                <c:pt idx="4">
                  <c:v>0.63700000000000001</c:v>
                </c:pt>
                <c:pt idx="5">
                  <c:v>0.72900000000000009</c:v>
                </c:pt>
                <c:pt idx="6">
                  <c:v>0.78900000000000003</c:v>
                </c:pt>
                <c:pt idx="7">
                  <c:v>0.81900000000000006</c:v>
                </c:pt>
                <c:pt idx="8">
                  <c:v>0.755</c:v>
                </c:pt>
                <c:pt idx="9">
                  <c:v>0.91800000000000004</c:v>
                </c:pt>
                <c:pt idx="10">
                  <c:v>0.91900000000000004</c:v>
                </c:pt>
                <c:pt idx="11">
                  <c:v>0.92500000000000004</c:v>
                </c:pt>
                <c:pt idx="12">
                  <c:v>0.93799999999999994</c:v>
                </c:pt>
                <c:pt idx="13">
                  <c:v>0.94699999999999995</c:v>
                </c:pt>
              </c:numCache>
            </c:numRef>
          </c:yVal>
          <c:smooth val="0"/>
          <c:extLst>
            <c:ext xmlns:c16="http://schemas.microsoft.com/office/drawing/2014/chart" uri="{C3380CC4-5D6E-409C-BE32-E72D297353CC}">
              <c16:uniqueId val="{00000008-8BB2-4299-AB45-ABD36C897AEE}"/>
            </c:ext>
          </c:extLst>
        </c:ser>
        <c:ser>
          <c:idx val="8"/>
          <c:order val="8"/>
          <c:tx>
            <c:strRef>
              <c:f>DHS!$A$10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DHS!$B$10:$O$10</c:f>
              <c:numCache>
                <c:formatCode>0.0%</c:formatCode>
                <c:ptCount val="14"/>
                <c:pt idx="0">
                  <c:v>0.47899999999999998</c:v>
                </c:pt>
                <c:pt idx="1">
                  <c:v>0.45700000000000002</c:v>
                </c:pt>
                <c:pt idx="2">
                  <c:v>0.17600000000000002</c:v>
                </c:pt>
                <c:pt idx="3">
                  <c:v>0.59</c:v>
                </c:pt>
                <c:pt idx="4">
                  <c:v>0.86900000000000011</c:v>
                </c:pt>
                <c:pt idx="5">
                  <c:v>0.93200000000000005</c:v>
                </c:pt>
                <c:pt idx="6">
                  <c:v>0.93299999999999994</c:v>
                </c:pt>
                <c:pt idx="7">
                  <c:v>0.98799999999999999</c:v>
                </c:pt>
                <c:pt idx="8">
                  <c:v>0.83499999999999996</c:v>
                </c:pt>
                <c:pt idx="9">
                  <c:v>0.86599999999999999</c:v>
                </c:pt>
                <c:pt idx="10">
                  <c:v>0.80200000000000005</c:v>
                </c:pt>
                <c:pt idx="11">
                  <c:v>0.84899999999999998</c:v>
                </c:pt>
                <c:pt idx="12">
                  <c:v>0.68</c:v>
                </c:pt>
                <c:pt idx="13">
                  <c:v>0.89400000000000002</c:v>
                </c:pt>
              </c:numCache>
            </c:numRef>
          </c:yVal>
          <c:smooth val="0"/>
          <c:extLst>
            <c:ext xmlns:c16="http://schemas.microsoft.com/office/drawing/2014/chart" uri="{C3380CC4-5D6E-409C-BE32-E72D297353CC}">
              <c16:uniqueId val="{00000009-8BB2-4299-AB45-ABD36C897AEE}"/>
            </c:ext>
          </c:extLst>
        </c:ser>
        <c:ser>
          <c:idx val="9"/>
          <c:order val="9"/>
          <c:tx>
            <c:strRef>
              <c:f>DHS!$A$11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DHS!$B$11:$O$11</c:f>
              <c:numCache>
                <c:formatCode>0.0%</c:formatCode>
                <c:ptCount val="14"/>
                <c:pt idx="0">
                  <c:v>0.47899999999999998</c:v>
                </c:pt>
                <c:pt idx="1">
                  <c:v>0.57500000000000007</c:v>
                </c:pt>
                <c:pt idx="2">
                  <c:v>0.318</c:v>
                </c:pt>
                <c:pt idx="3">
                  <c:v>0.76700000000000002</c:v>
                </c:pt>
                <c:pt idx="4">
                  <c:v>0.5</c:v>
                </c:pt>
                <c:pt idx="5">
                  <c:v>0.87</c:v>
                </c:pt>
                <c:pt idx="6">
                  <c:v>0.96799999999999997</c:v>
                </c:pt>
                <c:pt idx="7">
                  <c:v>0.96700000000000008</c:v>
                </c:pt>
                <c:pt idx="8">
                  <c:v>1</c:v>
                </c:pt>
                <c:pt idx="9">
                  <c:v>1</c:v>
                </c:pt>
                <c:pt idx="10">
                  <c:v>0.92900000000000005</c:v>
                </c:pt>
                <c:pt idx="11">
                  <c:v>0.94699999999999995</c:v>
                </c:pt>
                <c:pt idx="12">
                  <c:v>0.94399999999999995</c:v>
                </c:pt>
                <c:pt idx="13">
                  <c:v>1</c:v>
                </c:pt>
              </c:numCache>
            </c:numRef>
          </c:yVal>
          <c:smooth val="0"/>
          <c:extLst>
            <c:ext xmlns:c16="http://schemas.microsoft.com/office/drawing/2014/chart" uri="{C3380CC4-5D6E-409C-BE32-E72D297353CC}">
              <c16:uniqueId val="{0000000A-8BB2-4299-AB45-ABD36C897AEE}"/>
            </c:ext>
          </c:extLst>
        </c:ser>
        <c:ser>
          <c:idx val="10"/>
          <c:order val="10"/>
          <c:tx>
            <c:strRef>
              <c:f>DHS!$A$12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DHS!$B$12:$O$12</c:f>
              <c:numCache>
                <c:formatCode>General</c:formatCode>
                <c:ptCount val="14"/>
                <c:pt idx="8" formatCode="0.0%">
                  <c:v>0.68599999999999994</c:v>
                </c:pt>
                <c:pt idx="9" formatCode="0.0%">
                  <c:v>0.89200000000000002</c:v>
                </c:pt>
                <c:pt idx="10" formatCode="0.0%">
                  <c:v>0.82099999999999995</c:v>
                </c:pt>
                <c:pt idx="11" formatCode="0.0%">
                  <c:v>0.78600000000000003</c:v>
                </c:pt>
                <c:pt idx="12" formatCode="0.0%">
                  <c:v>0.72799999999999998</c:v>
                </c:pt>
                <c:pt idx="13" formatCode="0.0%">
                  <c:v>0.84099999999999997</c:v>
                </c:pt>
              </c:numCache>
            </c:numRef>
          </c:yVal>
          <c:smooth val="0"/>
          <c:extLst>
            <c:ext xmlns:c16="http://schemas.microsoft.com/office/drawing/2014/chart" uri="{C3380CC4-5D6E-409C-BE32-E72D297353CC}">
              <c16:uniqueId val="{0000000B-8BB2-4299-AB45-ABD36C897AEE}"/>
            </c:ext>
          </c:extLst>
        </c:ser>
        <c:ser>
          <c:idx val="11"/>
          <c:order val="11"/>
          <c:tx>
            <c:strRef>
              <c:f>DHS!$A$13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DHS!$B$13:$O$13</c:f>
              <c:numCache>
                <c:formatCode>General</c:formatCode>
                <c:ptCount val="14"/>
                <c:pt idx="8" formatCode="0.0%">
                  <c:v>0.67599999999999993</c:v>
                </c:pt>
                <c:pt idx="9" formatCode="0.0%">
                  <c:v>0.81599999999999995</c:v>
                </c:pt>
                <c:pt idx="10" formatCode="0.0%">
                  <c:v>0.91400000000000003</c:v>
                </c:pt>
                <c:pt idx="11" formatCode="0.0%">
                  <c:v>0.94299999999999995</c:v>
                </c:pt>
                <c:pt idx="12" formatCode="0.0%">
                  <c:v>0.96799999999999997</c:v>
                </c:pt>
                <c:pt idx="13" formatCode="0.0%">
                  <c:v>0.94199999999999995</c:v>
                </c:pt>
              </c:numCache>
            </c:numRef>
          </c:yVal>
          <c:smooth val="0"/>
          <c:extLst>
            <c:ext xmlns:c16="http://schemas.microsoft.com/office/drawing/2014/chart" uri="{C3380CC4-5D6E-409C-BE32-E72D297353CC}">
              <c16:uniqueId val="{0000000C-8BB2-4299-AB45-ABD36C897AEE}"/>
            </c:ext>
          </c:extLst>
        </c:ser>
        <c:ser>
          <c:idx val="13"/>
          <c:order val="12"/>
          <c:tx>
            <c:strRef>
              <c:f>DHS!$A$14</c:f>
              <c:strCache>
                <c:ptCount val="1"/>
                <c:pt idx="0">
                  <c:v>Statewide</c:v>
                </c:pt>
              </c:strCache>
            </c:strRef>
          </c:tx>
          <c:spPr>
            <a:ln w="28575" cap="rnd">
              <a:solidFill>
                <a:schemeClr val="accent1">
                  <a:lumMod val="75000"/>
                </a:schemeClr>
              </a:solidFill>
              <a:round/>
            </a:ln>
            <a:effectLst/>
          </c:spPr>
          <c:marker>
            <c:symbol val="none"/>
          </c:marker>
          <c:dPt>
            <c:idx val="9"/>
            <c:marker>
              <c:symbol val="none"/>
            </c:marker>
            <c:bubble3D val="0"/>
            <c:extLst>
              <c:ext xmlns:c16="http://schemas.microsoft.com/office/drawing/2014/chart" uri="{C3380CC4-5D6E-409C-BE32-E72D297353CC}">
                <c16:uniqueId val="{0000000D-8BB2-4299-AB45-ABD36C897AEE}"/>
              </c:ext>
            </c:extLst>
          </c:dPt>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DHS!$B$14:$O$14</c:f>
              <c:numCache>
                <c:formatCode>0.0%</c:formatCode>
                <c:ptCount val="14"/>
                <c:pt idx="0">
                  <c:v>0.53600000000000003</c:v>
                </c:pt>
                <c:pt idx="1">
                  <c:v>0.63500000000000001</c:v>
                </c:pt>
                <c:pt idx="2">
                  <c:v>0.27899999999999997</c:v>
                </c:pt>
                <c:pt idx="3">
                  <c:v>0.58399999999999996</c:v>
                </c:pt>
                <c:pt idx="4">
                  <c:v>0.74400000000000011</c:v>
                </c:pt>
                <c:pt idx="5">
                  <c:v>0.82799999999999996</c:v>
                </c:pt>
                <c:pt idx="6">
                  <c:v>0.86699999999999999</c:v>
                </c:pt>
                <c:pt idx="7">
                  <c:v>0.878</c:v>
                </c:pt>
                <c:pt idx="8">
                  <c:v>0.79900000000000004</c:v>
                </c:pt>
                <c:pt idx="9">
                  <c:v>0.88100000000000001</c:v>
                </c:pt>
                <c:pt idx="10">
                  <c:v>0.88300000000000001</c:v>
                </c:pt>
                <c:pt idx="11">
                  <c:v>0.878</c:v>
                </c:pt>
                <c:pt idx="12">
                  <c:v>0.88900000000000001</c:v>
                </c:pt>
                <c:pt idx="13">
                  <c:v>0.90800000000000003</c:v>
                </c:pt>
              </c:numCache>
            </c:numRef>
          </c:yVal>
          <c:smooth val="0"/>
          <c:extLst>
            <c:ext xmlns:c16="http://schemas.microsoft.com/office/drawing/2014/chart" uri="{C3380CC4-5D6E-409C-BE32-E72D297353CC}">
              <c16:uniqueId val="{0000000E-8BB2-4299-AB45-ABD36C897AEE}"/>
            </c:ext>
          </c:extLst>
        </c:ser>
        <c:ser>
          <c:idx val="14"/>
          <c:order val="13"/>
          <c:tx>
            <c:strRef>
              <c:f>DHS!$A$15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DHS!$B$15:$O$15</c:f>
              <c:numCache>
                <c:formatCode>General</c:formatCode>
                <c:ptCount val="14"/>
                <c:pt idx="9" formatCode="0.0%">
                  <c:v>0.8</c:v>
                </c:pt>
                <c:pt idx="10" formatCode="0.0%">
                  <c:v>0.9</c:v>
                </c:pt>
                <c:pt idx="11" formatCode="0.0%">
                  <c:v>0.75</c:v>
                </c:pt>
                <c:pt idx="12" formatCode="0.0%">
                  <c:v>0.83299999999999996</c:v>
                </c:pt>
                <c:pt idx="13" formatCode="0.0%">
                  <c:v>1</c:v>
                </c:pt>
              </c:numCache>
            </c:numRef>
          </c:yVal>
          <c:smooth val="0"/>
          <c:extLst>
            <c:ext xmlns:c16="http://schemas.microsoft.com/office/drawing/2014/chart" uri="{C3380CC4-5D6E-409C-BE32-E72D297353CC}">
              <c16:uniqueId val="{0000000F-8BB2-4299-AB45-ABD36C897AEE}"/>
            </c:ext>
          </c:extLst>
        </c:ser>
        <c:ser>
          <c:idx val="15"/>
          <c:order val="14"/>
          <c:tx>
            <c:strRef>
              <c:f>DHS!$A$16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DHS!$B$16:$O$16</c:f>
              <c:numCache>
                <c:formatCode>0.0%</c:formatCode>
                <c:ptCount val="14"/>
                <c:pt idx="0">
                  <c:v>0.47100000000000003</c:v>
                </c:pt>
                <c:pt idx="1">
                  <c:v>0.49100000000000005</c:v>
                </c:pt>
                <c:pt idx="2">
                  <c:v>0.28300000000000003</c:v>
                </c:pt>
                <c:pt idx="3">
                  <c:v>0.60099999999999998</c:v>
                </c:pt>
                <c:pt idx="4">
                  <c:v>0.83299999999999996</c:v>
                </c:pt>
                <c:pt idx="5">
                  <c:v>0.88</c:v>
                </c:pt>
                <c:pt idx="6">
                  <c:v>0.90300000000000002</c:v>
                </c:pt>
                <c:pt idx="7">
                  <c:v>0.84200000000000008</c:v>
                </c:pt>
                <c:pt idx="8">
                  <c:v>0.71099999999999997</c:v>
                </c:pt>
                <c:pt idx="9">
                  <c:v>0.91400000000000003</c:v>
                </c:pt>
                <c:pt idx="10">
                  <c:v>0.92900000000000005</c:v>
                </c:pt>
                <c:pt idx="11">
                  <c:v>0.77800000000000002</c:v>
                </c:pt>
                <c:pt idx="12">
                  <c:v>0.71799999999999997</c:v>
                </c:pt>
                <c:pt idx="13">
                  <c:v>0.94599999999999995</c:v>
                </c:pt>
              </c:numCache>
            </c:numRef>
          </c:yVal>
          <c:smooth val="0"/>
          <c:extLst>
            <c:ext xmlns:c16="http://schemas.microsoft.com/office/drawing/2014/chart" uri="{C3380CC4-5D6E-409C-BE32-E72D297353CC}">
              <c16:uniqueId val="{00000010-8BB2-4299-AB45-ABD36C897AEE}"/>
            </c:ext>
          </c:extLst>
        </c:ser>
        <c:ser>
          <c:idx val="16"/>
          <c:order val="15"/>
          <c:tx>
            <c:strRef>
              <c:f>DHS!$A$17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DHS!$B$17:$O$17</c:f>
              <c:numCache>
                <c:formatCode>0.0%</c:formatCode>
                <c:ptCount val="14"/>
                <c:pt idx="0">
                  <c:v>0.47200000000000003</c:v>
                </c:pt>
                <c:pt idx="1">
                  <c:v>0.48100000000000004</c:v>
                </c:pt>
                <c:pt idx="2">
                  <c:v>0.11800000000000001</c:v>
                </c:pt>
                <c:pt idx="3">
                  <c:v>0.5</c:v>
                </c:pt>
                <c:pt idx="4">
                  <c:v>0.84599999999999997</c:v>
                </c:pt>
                <c:pt idx="5">
                  <c:v>0.90200000000000002</c:v>
                </c:pt>
                <c:pt idx="6">
                  <c:v>0.90800000000000003</c:v>
                </c:pt>
                <c:pt idx="7">
                  <c:v>0.91200000000000003</c:v>
                </c:pt>
                <c:pt idx="8">
                  <c:v>0.77</c:v>
                </c:pt>
                <c:pt idx="9">
                  <c:v>0.89</c:v>
                </c:pt>
                <c:pt idx="10">
                  <c:v>0.94900000000000007</c:v>
                </c:pt>
                <c:pt idx="11">
                  <c:v>0.92700000000000005</c:v>
                </c:pt>
                <c:pt idx="12">
                  <c:v>0.96899999999999997</c:v>
                </c:pt>
                <c:pt idx="13">
                  <c:v>0.93400000000000005</c:v>
                </c:pt>
              </c:numCache>
            </c:numRef>
          </c:yVal>
          <c:smooth val="0"/>
          <c:extLst>
            <c:ext xmlns:c16="http://schemas.microsoft.com/office/drawing/2014/chart" uri="{C3380CC4-5D6E-409C-BE32-E72D297353CC}">
              <c16:uniqueId val="{00000011-8BB2-4299-AB45-ABD36C897AEE}"/>
            </c:ext>
          </c:extLst>
        </c:ser>
        <c:ser>
          <c:idx val="17"/>
          <c:order val="17"/>
          <c:tx>
            <c:strRef>
              <c:f>DHS!$A$20</c:f>
              <c:strCache>
                <c:ptCount val="1"/>
                <c:pt idx="0">
                  <c:v>CCO statewide</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DHS!$B$20:$O$20</c:f>
              <c:numCache>
                <c:formatCode>0.0%</c:formatCode>
                <c:ptCount val="14"/>
                <c:pt idx="0">
                  <c:v>0.53600000000000003</c:v>
                </c:pt>
                <c:pt idx="1">
                  <c:v>0.63500000000000001</c:v>
                </c:pt>
                <c:pt idx="2">
                  <c:v>0.27899999999999997</c:v>
                </c:pt>
                <c:pt idx="3">
                  <c:v>0.58399999999999996</c:v>
                </c:pt>
                <c:pt idx="4">
                  <c:v>0.74400000000000011</c:v>
                </c:pt>
                <c:pt idx="5">
                  <c:v>0.82799999999999996</c:v>
                </c:pt>
                <c:pt idx="6">
                  <c:v>0.86699999999999999</c:v>
                </c:pt>
                <c:pt idx="7">
                  <c:v>0.878</c:v>
                </c:pt>
                <c:pt idx="8">
                  <c:v>0.79900000000000004</c:v>
                </c:pt>
                <c:pt idx="9">
                  <c:v>0.88100000000000001</c:v>
                </c:pt>
                <c:pt idx="10">
                  <c:v>0.88300000000000001</c:v>
                </c:pt>
                <c:pt idx="11">
                  <c:v>0.878</c:v>
                </c:pt>
                <c:pt idx="12">
                  <c:v>0.88900000000000001</c:v>
                </c:pt>
                <c:pt idx="13">
                  <c:v>0.90800000000000003</c:v>
                </c:pt>
              </c:numCache>
            </c:numRef>
          </c:yVal>
          <c:smooth val="0"/>
          <c:extLst>
            <c:ext xmlns:c16="http://schemas.microsoft.com/office/drawing/2014/chart" uri="{C3380CC4-5D6E-409C-BE32-E72D297353CC}">
              <c16:uniqueId val="{00000012-8BB2-4299-AB45-ABD36C897AEE}"/>
            </c:ext>
          </c:extLst>
        </c:ser>
        <c:ser>
          <c:idx val="20"/>
          <c:order val="18"/>
          <c:tx>
            <c:strRef>
              <c:f>DHS!$A$19</c:f>
              <c:strCache>
                <c:ptCount val="1"/>
                <c:pt idx="0">
                  <c:v>Individual CCOs</c:v>
                </c:pt>
              </c:strCache>
            </c:strRef>
          </c:tx>
          <c:spPr>
            <a:ln w="25400" cap="rnd">
              <a:noFill/>
              <a:round/>
            </a:ln>
            <a:effectLst/>
          </c:spPr>
          <c:marker>
            <c:symbol val="circle"/>
            <c:size val="6"/>
            <c:spPr>
              <a:noFill/>
              <a:ln w="9525">
                <a:solidFill>
                  <a:srgbClr val="606060"/>
                </a:solidFill>
              </a:ln>
              <a:effectLst/>
            </c:spPr>
          </c:marker>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DHS!$B$19:$O$19</c:f>
              <c:numCache>
                <c:formatCode>0.0%</c:formatCode>
                <c:ptCount val="14"/>
                <c:pt idx="0">
                  <c:v>0.52300000000000002</c:v>
                </c:pt>
                <c:pt idx="1">
                  <c:v>0.55100000000000005</c:v>
                </c:pt>
                <c:pt idx="2">
                  <c:v>0.33299999999999996</c:v>
                </c:pt>
                <c:pt idx="3">
                  <c:v>0.41700000000000004</c:v>
                </c:pt>
                <c:pt idx="4">
                  <c:v>0.55600000000000005</c:v>
                </c:pt>
                <c:pt idx="5">
                  <c:v>0.57100000000000006</c:v>
                </c:pt>
                <c:pt idx="6">
                  <c:v>0.69400000000000006</c:v>
                </c:pt>
                <c:pt idx="7">
                  <c:v>0.84400000000000008</c:v>
                </c:pt>
                <c:pt idx="8">
                  <c:v>0.88200000000000001</c:v>
                </c:pt>
                <c:pt idx="9">
                  <c:v>0.95000000000000007</c:v>
                </c:pt>
                <c:pt idx="10">
                  <c:v>0.91400000000000003</c:v>
                </c:pt>
                <c:pt idx="11">
                  <c:v>0.91700000000000004</c:v>
                </c:pt>
                <c:pt idx="12">
                  <c:v>0.96199999999999997</c:v>
                </c:pt>
                <c:pt idx="13">
                  <c:v>0.95499999999999996</c:v>
                </c:pt>
              </c:numCache>
            </c:numRef>
          </c:yVal>
          <c:smooth val="0"/>
          <c:extLst>
            <c:ext xmlns:c16="http://schemas.microsoft.com/office/drawing/2014/chart" uri="{C3380CC4-5D6E-409C-BE32-E72D297353CC}">
              <c16:uniqueId val="{00000013-8BB2-4299-AB45-ABD36C897AEE}"/>
            </c:ext>
          </c:extLst>
        </c:ser>
        <c:ser>
          <c:idx val="18"/>
          <c:order val="19"/>
          <c:tx>
            <c:strRef>
              <c:f>DHS!$A$21</c:f>
              <c:strCache>
                <c:ptCount val="1"/>
                <c:pt idx="0">
                  <c:v>Benchmark</c:v>
                </c:pt>
              </c:strCache>
            </c:strRef>
          </c:tx>
          <c:spPr>
            <a:ln w="25400" cap="rnd">
              <a:noFill/>
              <a:round/>
            </a:ln>
            <a:effectLst/>
          </c:spPr>
          <c:marker>
            <c:symbol val="dash"/>
            <c:size val="14"/>
            <c:spPr>
              <a:solidFill>
                <a:schemeClr val="accent2">
                  <a:lumMod val="75000"/>
                </a:schemeClr>
              </a:solidFill>
              <a:ln w="3175">
                <a:solidFill>
                  <a:schemeClr val="bg1"/>
                </a:solidFill>
              </a:ln>
              <a:effectLst/>
            </c:spPr>
          </c:marker>
          <c:dLbls>
            <c:dLbl>
              <c:idx val="2"/>
              <c:tx>
                <c:rich>
                  <a:bodyPr/>
                  <a:lstStyle/>
                  <a:p>
                    <a:r>
                      <a:rPr lang="en-US"/>
                      <a:t>Benchmark</a:t>
                    </a:r>
                  </a:p>
                </c:rich>
              </c:tx>
              <c:dLblPos val="l"/>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8BB2-4299-AB45-ABD36C897AEE}"/>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endParaRPr lang="en-US"/>
              </a:p>
            </c:txPr>
            <c:dLblPos val="l"/>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DHS!$B$1:$O$1</c:f>
              <c:strCache>
                <c:ptCount val="14"/>
                <c:pt idx="0">
                  <c:v>'11</c:v>
                </c:pt>
                <c:pt idx="1">
                  <c:v>'13</c:v>
                </c:pt>
                <c:pt idx="2">
                  <c:v>'14</c:v>
                </c:pt>
                <c:pt idx="3">
                  <c:v>'15</c:v>
                </c:pt>
                <c:pt idx="4">
                  <c:v>'16</c:v>
                </c:pt>
                <c:pt idx="5">
                  <c:v>'17</c:v>
                </c:pt>
                <c:pt idx="6">
                  <c:v>'18</c:v>
                </c:pt>
                <c:pt idx="7">
                  <c:v>'19</c:v>
                </c:pt>
                <c:pt idx="8">
                  <c:v>'20</c:v>
                </c:pt>
                <c:pt idx="9">
                  <c:v>'21</c:v>
                </c:pt>
                <c:pt idx="10">
                  <c:v>'22</c:v>
                </c:pt>
                <c:pt idx="11">
                  <c:v>'23</c:v>
                </c:pt>
                <c:pt idx="12">
                  <c:v>'24</c:v>
                </c:pt>
                <c:pt idx="13">
                  <c:v>'25</c:v>
                </c:pt>
              </c:strCache>
            </c:strRef>
          </c:xVal>
          <c:yVal>
            <c:numRef>
              <c:f>DHS!$B$21:$O$21</c:f>
              <c:numCache>
                <c:formatCode>General</c:formatCode>
                <c:ptCount val="14"/>
                <c:pt idx="2" formatCode="0.0%">
                  <c:v>0.9</c:v>
                </c:pt>
                <c:pt idx="3" formatCode="0.0%">
                  <c:v>0.9</c:v>
                </c:pt>
                <c:pt idx="4" formatCode="0.0%">
                  <c:v>0.9</c:v>
                </c:pt>
                <c:pt idx="5" formatCode="0.0%">
                  <c:v>0.9</c:v>
                </c:pt>
                <c:pt idx="6" formatCode="0.0%">
                  <c:v>0.9</c:v>
                </c:pt>
                <c:pt idx="7" formatCode="0.0%">
                  <c:v>0.9</c:v>
                </c:pt>
                <c:pt idx="8" formatCode="0.0%">
                  <c:v>0.9</c:v>
                </c:pt>
                <c:pt idx="9" formatCode="0.0%">
                  <c:v>0.9</c:v>
                </c:pt>
                <c:pt idx="10" formatCode="0.0%">
                  <c:v>0.9</c:v>
                </c:pt>
                <c:pt idx="11" formatCode="0.0%">
                  <c:v>0.9</c:v>
                </c:pt>
                <c:pt idx="12" formatCode="0.0%">
                  <c:v>0.93200000000000005</c:v>
                </c:pt>
                <c:pt idx="13" formatCode="0.0%">
                  <c:v>0.93200000000000005</c:v>
                </c:pt>
              </c:numCache>
            </c:numRef>
          </c:yVal>
          <c:smooth val="0"/>
          <c:extLst>
            <c:ext xmlns:c16="http://schemas.microsoft.com/office/drawing/2014/chart" uri="{C3380CC4-5D6E-409C-BE32-E72D297353CC}">
              <c16:uniqueId val="{00000015-8BB2-4299-AB45-ABD36C897AEE}"/>
            </c:ext>
          </c:extLst>
        </c:ser>
        <c:ser>
          <c:idx val="0"/>
          <c:order val="20"/>
          <c:tx>
            <c:strRef>
              <c:f>DHS!$Q$1</c:f>
              <c:strCache>
                <c:ptCount val="1"/>
                <c:pt idx="0">
                  <c:v>Spec change year:</c:v>
                </c:pt>
              </c:strCache>
            </c:strRef>
          </c:tx>
          <c:spPr>
            <a:ln w="22225" cap="rnd">
              <a:solidFill>
                <a:schemeClr val="tx1">
                  <a:lumMod val="60000"/>
                  <a:lumOff val="40000"/>
                </a:schemeClr>
              </a:solidFill>
              <a:prstDash val="dash"/>
              <a:round/>
            </a:ln>
            <a:effectLst/>
          </c:spPr>
          <c:marker>
            <c:symbol val="none"/>
          </c:marker>
          <c:xVal>
            <c:numRef>
              <c:f>DHS!$Q$3:$Q$4</c:f>
              <c:numCache>
                <c:formatCode>General</c:formatCode>
                <c:ptCount val="2"/>
                <c:pt idx="0">
                  <c:v>3</c:v>
                </c:pt>
                <c:pt idx="1">
                  <c:v>3</c:v>
                </c:pt>
              </c:numCache>
            </c:numRef>
          </c:xVal>
          <c:yVal>
            <c:numRef>
              <c:f>DHS!$R$3:$R$4</c:f>
              <c:numCache>
                <c:formatCode>General</c:formatCode>
                <c:ptCount val="2"/>
                <c:pt idx="0">
                  <c:v>0</c:v>
                </c:pt>
                <c:pt idx="1">
                  <c:v>1</c:v>
                </c:pt>
              </c:numCache>
            </c:numRef>
          </c:yVal>
          <c:smooth val="0"/>
          <c:extLst>
            <c:ext xmlns:c16="http://schemas.microsoft.com/office/drawing/2014/chart" uri="{C3380CC4-5D6E-409C-BE32-E72D297353CC}">
              <c16:uniqueId val="{00000016-8BB2-4299-AB45-ABD36C897AEE}"/>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5"/>
        <c:minorUnit val="0.25"/>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9"/>
        <c:delete val="1"/>
      </c:legendEntry>
      <c:legendEntry>
        <c:idx val="20"/>
        <c:delete val="1"/>
      </c:legendEntry>
      <c:layout>
        <c:manualLayout>
          <c:xMode val="edge"/>
          <c:yMode val="edge"/>
          <c:x val="7.470559930008748E-2"/>
          <c:y val="0.89353707680479322"/>
          <c:w val="0.57836636045494316"/>
          <c:h val="8.1210397942681409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ptos" panose="020B00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2"/>
          <c:order val="16"/>
          <c:tx>
            <c:strRef>
              <c:f>SEM!$A$18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SEM!$B$1:$C$1</c:f>
              <c:strCache>
                <c:ptCount val="2"/>
                <c:pt idx="0">
                  <c:v>'24</c:v>
                </c:pt>
                <c:pt idx="1">
                  <c:v>'25</c:v>
                </c:pt>
              </c:strCache>
            </c:strRef>
          </c:cat>
          <c:val>
            <c:numRef>
              <c:f>SEM!$B$18:$C$18</c:f>
              <c:numCache>
                <c:formatCode>0.0%</c:formatCode>
                <c:ptCount val="2"/>
                <c:pt idx="0">
                  <c:v>4.1000000000000002E-2</c:v>
                </c:pt>
                <c:pt idx="1">
                  <c:v>5.6000000000000001E-2</c:v>
                </c:pt>
              </c:numCache>
            </c:numRef>
          </c:val>
          <c:smooth val="0"/>
          <c:extLst>
            <c:ext xmlns:c16="http://schemas.microsoft.com/office/drawing/2014/chart" uri="{C3380CC4-5D6E-409C-BE32-E72D297353CC}">
              <c16:uniqueId val="{00000000-EE96-4F61-ACB5-BDB20FFE78AE}"/>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SEM!$A$2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SEM!$B$2:$C$2</c:f>
              <c:numCache>
                <c:formatCode>0.0%</c:formatCode>
                <c:ptCount val="2"/>
                <c:pt idx="0">
                  <c:v>4.1000000000000002E-2</c:v>
                </c:pt>
                <c:pt idx="1">
                  <c:v>7.1999999999999995E-2</c:v>
                </c:pt>
              </c:numCache>
            </c:numRef>
          </c:yVal>
          <c:smooth val="0"/>
          <c:extLst>
            <c:ext xmlns:c16="http://schemas.microsoft.com/office/drawing/2014/chart" uri="{C3380CC4-5D6E-409C-BE32-E72D297353CC}">
              <c16:uniqueId val="{00000001-EE96-4F61-ACB5-BDB20FFE78AE}"/>
            </c:ext>
          </c:extLst>
        </c:ser>
        <c:ser>
          <c:idx val="1"/>
          <c:order val="1"/>
          <c:tx>
            <c:strRef>
              <c:f>SEM!$A$3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SEM!$B$3:$C$3</c:f>
              <c:numCache>
                <c:formatCode>0.0%</c:formatCode>
                <c:ptCount val="2"/>
                <c:pt idx="0">
                  <c:v>3.2000000000000001E-2</c:v>
                </c:pt>
                <c:pt idx="1">
                  <c:v>4.3999999999999997E-2</c:v>
                </c:pt>
              </c:numCache>
            </c:numRef>
          </c:yVal>
          <c:smooth val="0"/>
          <c:extLst>
            <c:ext xmlns:c16="http://schemas.microsoft.com/office/drawing/2014/chart" uri="{C3380CC4-5D6E-409C-BE32-E72D297353CC}">
              <c16:uniqueId val="{00000002-EE96-4F61-ACB5-BDB20FFE78AE}"/>
            </c:ext>
          </c:extLst>
        </c:ser>
        <c:ser>
          <c:idx val="2"/>
          <c:order val="2"/>
          <c:tx>
            <c:strRef>
              <c:f>SEM!$A$4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SEM!$B$4:$C$4</c:f>
              <c:numCache>
                <c:formatCode>0.0%</c:formatCode>
                <c:ptCount val="2"/>
                <c:pt idx="0">
                  <c:v>4.2000000000000003E-2</c:v>
                </c:pt>
                <c:pt idx="1">
                  <c:v>4.7E-2</c:v>
                </c:pt>
              </c:numCache>
            </c:numRef>
          </c:yVal>
          <c:smooth val="0"/>
          <c:extLst>
            <c:ext xmlns:c16="http://schemas.microsoft.com/office/drawing/2014/chart" uri="{C3380CC4-5D6E-409C-BE32-E72D297353CC}">
              <c16:uniqueId val="{00000003-EE96-4F61-ACB5-BDB20FFE78AE}"/>
            </c:ext>
          </c:extLst>
        </c:ser>
        <c:ser>
          <c:idx val="3"/>
          <c:order val="3"/>
          <c:tx>
            <c:strRef>
              <c:f>SEM!$A$5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SEM!$B$5:$C$5</c:f>
              <c:numCache>
                <c:formatCode>0.0%</c:formatCode>
                <c:ptCount val="2"/>
                <c:pt idx="0">
                  <c:v>3.5999999999999997E-2</c:v>
                </c:pt>
                <c:pt idx="1">
                  <c:v>3.7999999999999999E-2</c:v>
                </c:pt>
              </c:numCache>
            </c:numRef>
          </c:yVal>
          <c:smooth val="0"/>
          <c:extLst>
            <c:ext xmlns:c16="http://schemas.microsoft.com/office/drawing/2014/chart" uri="{C3380CC4-5D6E-409C-BE32-E72D297353CC}">
              <c16:uniqueId val="{00000004-EE96-4F61-ACB5-BDB20FFE78AE}"/>
            </c:ext>
          </c:extLst>
        </c:ser>
        <c:ser>
          <c:idx val="4"/>
          <c:order val="4"/>
          <c:tx>
            <c:strRef>
              <c:f>SEM!$A$6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SEM!$B$6:$C$6</c:f>
              <c:numCache>
                <c:formatCode>0.0%</c:formatCode>
                <c:ptCount val="2"/>
                <c:pt idx="0">
                  <c:v>3.1E-2</c:v>
                </c:pt>
                <c:pt idx="1">
                  <c:v>3.6999999999999998E-2</c:v>
                </c:pt>
              </c:numCache>
            </c:numRef>
          </c:yVal>
          <c:smooth val="0"/>
          <c:extLst>
            <c:ext xmlns:c16="http://schemas.microsoft.com/office/drawing/2014/chart" uri="{C3380CC4-5D6E-409C-BE32-E72D297353CC}">
              <c16:uniqueId val="{00000005-EE96-4F61-ACB5-BDB20FFE78AE}"/>
            </c:ext>
          </c:extLst>
        </c:ser>
        <c:ser>
          <c:idx val="5"/>
          <c:order val="5"/>
          <c:tx>
            <c:strRef>
              <c:f>SEM!$A$7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SEM!$B$7:$C$7</c:f>
              <c:numCache>
                <c:formatCode>0.0%</c:formatCode>
                <c:ptCount val="2"/>
                <c:pt idx="0">
                  <c:v>5.3999999999999999E-2</c:v>
                </c:pt>
                <c:pt idx="1">
                  <c:v>7.1999999999999995E-2</c:v>
                </c:pt>
              </c:numCache>
            </c:numRef>
          </c:yVal>
          <c:smooth val="0"/>
          <c:extLst>
            <c:ext xmlns:c16="http://schemas.microsoft.com/office/drawing/2014/chart" uri="{C3380CC4-5D6E-409C-BE32-E72D297353CC}">
              <c16:uniqueId val="{00000006-EE96-4F61-ACB5-BDB20FFE78AE}"/>
            </c:ext>
          </c:extLst>
        </c:ser>
        <c:ser>
          <c:idx val="6"/>
          <c:order val="6"/>
          <c:tx>
            <c:strRef>
              <c:f>SEM!$A$8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SEM!$B$8:$C$8</c:f>
              <c:numCache>
                <c:formatCode>0.0%</c:formatCode>
                <c:ptCount val="2"/>
                <c:pt idx="0">
                  <c:v>4.4999999999999998E-2</c:v>
                </c:pt>
                <c:pt idx="1">
                  <c:v>3.9E-2</c:v>
                </c:pt>
              </c:numCache>
            </c:numRef>
          </c:yVal>
          <c:smooth val="0"/>
          <c:extLst>
            <c:ext xmlns:c16="http://schemas.microsoft.com/office/drawing/2014/chart" uri="{C3380CC4-5D6E-409C-BE32-E72D297353CC}">
              <c16:uniqueId val="{00000007-EE96-4F61-ACB5-BDB20FFE78AE}"/>
            </c:ext>
          </c:extLst>
        </c:ser>
        <c:ser>
          <c:idx val="7"/>
          <c:order val="7"/>
          <c:tx>
            <c:strRef>
              <c:f>SEM!$A$9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SEM!$B$9:$C$9</c:f>
              <c:numCache>
                <c:formatCode>0.0%</c:formatCode>
                <c:ptCount val="2"/>
                <c:pt idx="0">
                  <c:v>6.6000000000000003E-2</c:v>
                </c:pt>
                <c:pt idx="1">
                  <c:v>8.5000000000000006E-2</c:v>
                </c:pt>
              </c:numCache>
            </c:numRef>
          </c:yVal>
          <c:smooth val="0"/>
          <c:extLst>
            <c:ext xmlns:c16="http://schemas.microsoft.com/office/drawing/2014/chart" uri="{C3380CC4-5D6E-409C-BE32-E72D297353CC}">
              <c16:uniqueId val="{00000008-EE96-4F61-ACB5-BDB20FFE78AE}"/>
            </c:ext>
          </c:extLst>
        </c:ser>
        <c:ser>
          <c:idx val="8"/>
          <c:order val="8"/>
          <c:tx>
            <c:strRef>
              <c:f>SEM!$A$10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SEM!$B$10:$C$10</c:f>
              <c:numCache>
                <c:formatCode>0.0%</c:formatCode>
                <c:ptCount val="2"/>
                <c:pt idx="0">
                  <c:v>8.1000000000000003E-2</c:v>
                </c:pt>
                <c:pt idx="1">
                  <c:v>9.0999999999999998E-2</c:v>
                </c:pt>
              </c:numCache>
            </c:numRef>
          </c:yVal>
          <c:smooth val="0"/>
          <c:extLst>
            <c:ext xmlns:c16="http://schemas.microsoft.com/office/drawing/2014/chart" uri="{C3380CC4-5D6E-409C-BE32-E72D297353CC}">
              <c16:uniqueId val="{00000009-EE96-4F61-ACB5-BDB20FFE78AE}"/>
            </c:ext>
          </c:extLst>
        </c:ser>
        <c:ser>
          <c:idx val="9"/>
          <c:order val="9"/>
          <c:tx>
            <c:strRef>
              <c:f>SEM!$A$11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SEM!$B$11:$C$11</c:f>
              <c:numCache>
                <c:formatCode>0.0%</c:formatCode>
                <c:ptCount val="2"/>
                <c:pt idx="0">
                  <c:v>3.4000000000000002E-2</c:v>
                </c:pt>
                <c:pt idx="1">
                  <c:v>6.8000000000000005E-2</c:v>
                </c:pt>
              </c:numCache>
            </c:numRef>
          </c:yVal>
          <c:smooth val="0"/>
          <c:extLst>
            <c:ext xmlns:c16="http://schemas.microsoft.com/office/drawing/2014/chart" uri="{C3380CC4-5D6E-409C-BE32-E72D297353CC}">
              <c16:uniqueId val="{0000000A-EE96-4F61-ACB5-BDB20FFE78AE}"/>
            </c:ext>
          </c:extLst>
        </c:ser>
        <c:ser>
          <c:idx val="10"/>
          <c:order val="10"/>
          <c:tx>
            <c:strRef>
              <c:f>SEM!$A$12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SEM!$B$12:$C$12</c:f>
              <c:numCache>
                <c:formatCode>0.0%</c:formatCode>
                <c:ptCount val="2"/>
                <c:pt idx="0">
                  <c:v>6.7000000000000004E-2</c:v>
                </c:pt>
                <c:pt idx="1">
                  <c:v>8.6999999999999994E-2</c:v>
                </c:pt>
              </c:numCache>
            </c:numRef>
          </c:yVal>
          <c:smooth val="0"/>
          <c:extLst>
            <c:ext xmlns:c16="http://schemas.microsoft.com/office/drawing/2014/chart" uri="{C3380CC4-5D6E-409C-BE32-E72D297353CC}">
              <c16:uniqueId val="{0000000B-EE96-4F61-ACB5-BDB20FFE78AE}"/>
            </c:ext>
          </c:extLst>
        </c:ser>
        <c:ser>
          <c:idx val="11"/>
          <c:order val="11"/>
          <c:tx>
            <c:strRef>
              <c:f>SEM!$A$13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SEM!$B$13:$C$13</c:f>
              <c:numCache>
                <c:formatCode>0.0%</c:formatCode>
                <c:ptCount val="2"/>
                <c:pt idx="0">
                  <c:v>3.9E-2</c:v>
                </c:pt>
                <c:pt idx="1">
                  <c:v>4.8000000000000001E-2</c:v>
                </c:pt>
              </c:numCache>
            </c:numRef>
          </c:yVal>
          <c:smooth val="0"/>
          <c:extLst>
            <c:ext xmlns:c16="http://schemas.microsoft.com/office/drawing/2014/chart" uri="{C3380CC4-5D6E-409C-BE32-E72D297353CC}">
              <c16:uniqueId val="{0000000C-EE96-4F61-ACB5-BDB20FFE78AE}"/>
            </c:ext>
          </c:extLst>
        </c:ser>
        <c:ser>
          <c:idx val="13"/>
          <c:order val="12"/>
          <c:tx>
            <c:strRef>
              <c:f>SEM!$A$14</c:f>
              <c:strCache>
                <c:ptCount val="1"/>
                <c:pt idx="0">
                  <c:v>Statewide</c:v>
                </c:pt>
              </c:strCache>
            </c:strRef>
          </c:tx>
          <c:spPr>
            <a:ln w="28575" cap="rnd">
              <a:solidFill>
                <a:schemeClr val="accent1">
                  <a:lumMod val="75000"/>
                </a:schemeClr>
              </a:solidFill>
              <a:round/>
            </a:ln>
            <a:effectLst/>
          </c:spPr>
          <c:marker>
            <c:symbol val="none"/>
          </c:marker>
          <c:xVal>
            <c:strRef>
              <c:f>SEM!$B$1:$C$1</c:f>
              <c:strCache>
                <c:ptCount val="2"/>
                <c:pt idx="0">
                  <c:v>'24</c:v>
                </c:pt>
                <c:pt idx="1">
                  <c:v>'25</c:v>
                </c:pt>
              </c:strCache>
            </c:strRef>
          </c:xVal>
          <c:yVal>
            <c:numRef>
              <c:f>SEM!$B$14:$C$14</c:f>
              <c:numCache>
                <c:formatCode>0.0%</c:formatCode>
                <c:ptCount val="2"/>
                <c:pt idx="0">
                  <c:v>0.05</c:v>
                </c:pt>
                <c:pt idx="1">
                  <c:v>6.3E-2</c:v>
                </c:pt>
              </c:numCache>
            </c:numRef>
          </c:yVal>
          <c:smooth val="0"/>
          <c:extLst>
            <c:ext xmlns:c16="http://schemas.microsoft.com/office/drawing/2014/chart" uri="{C3380CC4-5D6E-409C-BE32-E72D297353CC}">
              <c16:uniqueId val="{0000000D-EE96-4F61-ACB5-BDB20FFE78AE}"/>
            </c:ext>
          </c:extLst>
        </c:ser>
        <c:ser>
          <c:idx val="14"/>
          <c:order val="13"/>
          <c:tx>
            <c:strRef>
              <c:f>SEM!$A$15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SEM!$B$15:$C$15</c:f>
              <c:numCache>
                <c:formatCode>0.0%</c:formatCode>
                <c:ptCount val="2"/>
                <c:pt idx="0">
                  <c:v>6.8000000000000005E-2</c:v>
                </c:pt>
                <c:pt idx="1">
                  <c:v>7.1999999999999995E-2</c:v>
                </c:pt>
              </c:numCache>
            </c:numRef>
          </c:yVal>
          <c:smooth val="0"/>
          <c:extLst>
            <c:ext xmlns:c16="http://schemas.microsoft.com/office/drawing/2014/chart" uri="{C3380CC4-5D6E-409C-BE32-E72D297353CC}">
              <c16:uniqueId val="{0000000E-EE96-4F61-ACB5-BDB20FFE78AE}"/>
            </c:ext>
          </c:extLst>
        </c:ser>
        <c:ser>
          <c:idx val="15"/>
          <c:order val="14"/>
          <c:tx>
            <c:strRef>
              <c:f>SEM!$A$16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SEM!$B$16:$C$16</c:f>
              <c:numCache>
                <c:formatCode>0.0%</c:formatCode>
                <c:ptCount val="2"/>
                <c:pt idx="0">
                  <c:v>3.1E-2</c:v>
                </c:pt>
                <c:pt idx="1">
                  <c:v>5.8999999999999997E-2</c:v>
                </c:pt>
              </c:numCache>
            </c:numRef>
          </c:yVal>
          <c:smooth val="0"/>
          <c:extLst>
            <c:ext xmlns:c16="http://schemas.microsoft.com/office/drawing/2014/chart" uri="{C3380CC4-5D6E-409C-BE32-E72D297353CC}">
              <c16:uniqueId val="{0000000F-EE96-4F61-ACB5-BDB20FFE78AE}"/>
            </c:ext>
          </c:extLst>
        </c:ser>
        <c:ser>
          <c:idx val="16"/>
          <c:order val="15"/>
          <c:tx>
            <c:strRef>
              <c:f>SEM!$A$17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SEM!$B$17:$C$17</c:f>
              <c:numCache>
                <c:formatCode>0.0%</c:formatCode>
                <c:ptCount val="2"/>
                <c:pt idx="0">
                  <c:v>3.6999999999999998E-2</c:v>
                </c:pt>
                <c:pt idx="1">
                  <c:v>6.2E-2</c:v>
                </c:pt>
              </c:numCache>
            </c:numRef>
          </c:yVal>
          <c:smooth val="0"/>
          <c:extLst>
            <c:ext xmlns:c16="http://schemas.microsoft.com/office/drawing/2014/chart" uri="{C3380CC4-5D6E-409C-BE32-E72D297353CC}">
              <c16:uniqueId val="{00000010-EE96-4F61-ACB5-BDB20FFE78AE}"/>
            </c:ext>
          </c:extLst>
        </c:ser>
        <c:ser>
          <c:idx val="17"/>
          <c:order val="17"/>
          <c:tx>
            <c:strRef>
              <c:f>SEM!$A$19</c:f>
              <c:strCache>
                <c:ptCount val="1"/>
                <c:pt idx="0">
                  <c:v>Statewide (dots)</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SEM!$B$1:$C$1</c:f>
              <c:strCache>
                <c:ptCount val="2"/>
                <c:pt idx="0">
                  <c:v>'24</c:v>
                </c:pt>
                <c:pt idx="1">
                  <c:v>'25</c:v>
                </c:pt>
              </c:strCache>
            </c:strRef>
          </c:xVal>
          <c:yVal>
            <c:numRef>
              <c:f>SEM!$B$19:$C$19</c:f>
              <c:numCache>
                <c:formatCode>0.0%</c:formatCode>
                <c:ptCount val="2"/>
                <c:pt idx="0">
                  <c:v>0.05</c:v>
                </c:pt>
                <c:pt idx="1">
                  <c:v>6.3E-2</c:v>
                </c:pt>
              </c:numCache>
            </c:numRef>
          </c:yVal>
          <c:smooth val="0"/>
          <c:extLst>
            <c:ext xmlns:c16="http://schemas.microsoft.com/office/drawing/2014/chart" uri="{C3380CC4-5D6E-409C-BE32-E72D297353CC}">
              <c16:uniqueId val="{00000011-EE96-4F61-ACB5-BDB20FFE78AE}"/>
            </c:ext>
          </c:extLst>
        </c:ser>
        <c:ser>
          <c:idx val="18"/>
          <c:order val="18"/>
          <c:tx>
            <c:strRef>
              <c:f>SEM!$A$20</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xVal>
            <c:strRef>
              <c:f>SEM!$B$1:$C$1</c:f>
              <c:strCache>
                <c:ptCount val="2"/>
                <c:pt idx="0">
                  <c:v>'24</c:v>
                </c:pt>
                <c:pt idx="1">
                  <c:v>'25</c:v>
                </c:pt>
              </c:strCache>
            </c:strRef>
          </c:xVal>
          <c:yVal>
            <c:numRef>
              <c:f>SEM!$B$20:$C$20</c:f>
              <c:numCache>
                <c:formatCode>0.0%</c:formatCode>
                <c:ptCount val="2"/>
                <c:pt idx="1">
                  <c:v>0.11</c:v>
                </c:pt>
              </c:numCache>
            </c:numRef>
          </c:yVal>
          <c:smooth val="0"/>
          <c:extLst>
            <c:ext xmlns:c16="http://schemas.microsoft.com/office/drawing/2014/chart" uri="{C3380CC4-5D6E-409C-BE32-E72D297353CC}">
              <c16:uniqueId val="{00000012-EE96-4F61-ACB5-BDB20FFE78AE}"/>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0.5"/>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25"/>
        <c:minorUnit val="0.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percentStacked"/>
        <c:varyColors val="0"/>
        <c:ser>
          <c:idx val="0"/>
          <c:order val="0"/>
          <c:tx>
            <c:strRef>
              <c:f>'Prop met paid area'!$B$1</c:f>
              <c:strCache>
                <c:ptCount val="1"/>
                <c:pt idx="0">
                  <c:v>Met &lt;75%</c:v>
                </c:pt>
              </c:strCache>
            </c:strRef>
          </c:tx>
          <c:spPr>
            <a:solidFill>
              <a:srgbClr val="6799BF"/>
            </a:solidFill>
            <a:ln>
              <a:solidFill>
                <a:schemeClr val="bg1"/>
              </a:solidFill>
            </a:ln>
            <a:effectLst/>
          </c:spPr>
          <c:dLbls>
            <c:dLbl>
              <c:idx val="0"/>
              <c:layout>
                <c:manualLayout>
                  <c:x val="0.14722222222222214"/>
                  <c:y val="5.4223564520188318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4B5A-4BBE-994C-B88B2FBF0F0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Narrow" panose="020B0606020202030204" pitchFamily="34" charset="0"/>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'Prop met paid area'!$A$2:$A$13</c:f>
              <c:strCache>
                <c:ptCount val="12"/>
                <c:pt idx="0">
                  <c:v>'13</c:v>
                </c:pt>
                <c:pt idx="1">
                  <c:v>'14</c:v>
                </c:pt>
                <c:pt idx="2">
                  <c:v>'15</c:v>
                </c:pt>
                <c:pt idx="3">
                  <c:v>'16</c:v>
                </c:pt>
                <c:pt idx="4">
                  <c:v>'17</c:v>
                </c:pt>
                <c:pt idx="5">
                  <c:v>'18</c:v>
                </c:pt>
                <c:pt idx="6">
                  <c:v>'19</c:v>
                </c:pt>
                <c:pt idx="7">
                  <c:v>'21</c:v>
                </c:pt>
                <c:pt idx="8">
                  <c:v>'22</c:v>
                </c:pt>
                <c:pt idx="9">
                  <c:v>'23</c:v>
                </c:pt>
                <c:pt idx="10">
                  <c:v>'24</c:v>
                </c:pt>
                <c:pt idx="11">
                  <c:v>'25</c:v>
                </c:pt>
              </c:strCache>
            </c:strRef>
          </c:cat>
          <c:val>
            <c:numRef>
              <c:f>'Prop met paid area'!$B$2:$B$13</c:f>
              <c:numCache>
                <c:formatCode>0%</c:formatCode>
                <c:ptCount val="12"/>
                <c:pt idx="0">
                  <c:v>0.26666666700000002</c:v>
                </c:pt>
                <c:pt idx="1">
                  <c:v>0.1875</c:v>
                </c:pt>
                <c:pt idx="2">
                  <c:v>6.25E-2</c:v>
                </c:pt>
                <c:pt idx="3">
                  <c:v>0.5625</c:v>
                </c:pt>
                <c:pt idx="4">
                  <c:v>0.125</c:v>
                </c:pt>
                <c:pt idx="5">
                  <c:v>0.2</c:v>
                </c:pt>
                <c:pt idx="6">
                  <c:v>0.66666666699999999</c:v>
                </c:pt>
                <c:pt idx="7">
                  <c:v>0.25</c:v>
                </c:pt>
                <c:pt idx="8">
                  <c:v>0.25</c:v>
                </c:pt>
                <c:pt idx="9">
                  <c:v>0.6875</c:v>
                </c:pt>
                <c:pt idx="10">
                  <c:v>0.5</c:v>
                </c:pt>
                <c:pt idx="11">
                  <c:v>0.625</c:v>
                </c:pt>
              </c:numCache>
            </c:numRef>
          </c:val>
          <c:extLst>
            <c:ext xmlns:c16="http://schemas.microsoft.com/office/drawing/2014/chart" uri="{C3380CC4-5D6E-409C-BE32-E72D297353CC}">
              <c16:uniqueId val="{00000001-4B5A-4BBE-994C-B88B2FBF0F0B}"/>
            </c:ext>
          </c:extLst>
        </c:ser>
        <c:ser>
          <c:idx val="1"/>
          <c:order val="1"/>
          <c:tx>
            <c:strRef>
              <c:f>'Prop met paid area'!$C$1</c:f>
              <c:strCache>
                <c:ptCount val="1"/>
                <c:pt idx="0">
                  <c:v>Met 75-89%</c:v>
                </c:pt>
              </c:strCache>
            </c:strRef>
          </c:tx>
          <c:spPr>
            <a:solidFill>
              <a:srgbClr val="005595"/>
            </a:solidFill>
            <a:ln>
              <a:solidFill>
                <a:schemeClr val="bg1"/>
              </a:solidFill>
            </a:ln>
            <a:effectLst/>
          </c:spPr>
          <c:dLbls>
            <c:dLbl>
              <c:idx val="0"/>
              <c:layout>
                <c:manualLayout>
                  <c:x val="-5.8119658119658121E-2"/>
                  <c:y val="-7.0261309248108694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4B5A-4BBE-994C-B88B2FBF0F0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Narrow" panose="020B0606020202030204" pitchFamily="34" charset="0"/>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'Prop met paid area'!$A$2:$A$13</c:f>
              <c:strCache>
                <c:ptCount val="12"/>
                <c:pt idx="0">
                  <c:v>'13</c:v>
                </c:pt>
                <c:pt idx="1">
                  <c:v>'14</c:v>
                </c:pt>
                <c:pt idx="2">
                  <c:v>'15</c:v>
                </c:pt>
                <c:pt idx="3">
                  <c:v>'16</c:v>
                </c:pt>
                <c:pt idx="4">
                  <c:v>'17</c:v>
                </c:pt>
                <c:pt idx="5">
                  <c:v>'18</c:v>
                </c:pt>
                <c:pt idx="6">
                  <c:v>'19</c:v>
                </c:pt>
                <c:pt idx="7">
                  <c:v>'21</c:v>
                </c:pt>
                <c:pt idx="8">
                  <c:v>'22</c:v>
                </c:pt>
                <c:pt idx="9">
                  <c:v>'23</c:v>
                </c:pt>
                <c:pt idx="10">
                  <c:v>'24</c:v>
                </c:pt>
                <c:pt idx="11">
                  <c:v>'25</c:v>
                </c:pt>
              </c:strCache>
            </c:strRef>
          </c:cat>
          <c:val>
            <c:numRef>
              <c:f>'Prop met paid area'!$C$2:$C$13</c:f>
              <c:numCache>
                <c:formatCode>0%</c:formatCode>
                <c:ptCount val="12"/>
                <c:pt idx="0">
                  <c:v>0.73333333300000003</c:v>
                </c:pt>
                <c:pt idx="1">
                  <c:v>0.6875</c:v>
                </c:pt>
                <c:pt idx="2">
                  <c:v>0.8125</c:v>
                </c:pt>
                <c:pt idx="3">
                  <c:v>0.4375</c:v>
                </c:pt>
                <c:pt idx="4">
                  <c:v>0.8125</c:v>
                </c:pt>
                <c:pt idx="5">
                  <c:v>0.8</c:v>
                </c:pt>
                <c:pt idx="6">
                  <c:v>0.33333333300000001</c:v>
                </c:pt>
                <c:pt idx="7">
                  <c:v>0.25</c:v>
                </c:pt>
                <c:pt idx="8">
                  <c:v>0.6875</c:v>
                </c:pt>
                <c:pt idx="9">
                  <c:v>0.25</c:v>
                </c:pt>
                <c:pt idx="10">
                  <c:v>0.4375</c:v>
                </c:pt>
                <c:pt idx="11">
                  <c:v>0.3125</c:v>
                </c:pt>
              </c:numCache>
            </c:numRef>
          </c:val>
          <c:extLst>
            <c:ext xmlns:c16="http://schemas.microsoft.com/office/drawing/2014/chart" uri="{C3380CC4-5D6E-409C-BE32-E72D297353CC}">
              <c16:uniqueId val="{00000003-4B5A-4BBE-994C-B88B2FBF0F0B}"/>
            </c:ext>
          </c:extLst>
        </c:ser>
        <c:ser>
          <c:idx val="2"/>
          <c:order val="2"/>
          <c:tx>
            <c:strRef>
              <c:f>'Prop met paid area'!$D$1</c:f>
              <c:strCache>
                <c:ptCount val="1"/>
                <c:pt idx="0">
                  <c:v>Met 90-100%</c:v>
                </c:pt>
              </c:strCache>
            </c:strRef>
          </c:tx>
          <c:spPr>
            <a:solidFill>
              <a:srgbClr val="002B4A"/>
            </a:solidFill>
            <a:ln>
              <a:solidFill>
                <a:schemeClr val="bg1"/>
              </a:solidFill>
            </a:ln>
            <a:effectLst/>
          </c:spPr>
          <c:dLbls>
            <c:dLbl>
              <c:idx val="0"/>
              <c:layout>
                <c:manualLayout>
                  <c:x val="0.12649572649572641"/>
                  <c:y val="4.6296336245640529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4-4B5A-4BBE-994C-B88B2FBF0F0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Narrow" panose="020B0606020202030204" pitchFamily="34" charset="0"/>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'Prop met paid area'!$A$2:$A$13</c:f>
              <c:strCache>
                <c:ptCount val="12"/>
                <c:pt idx="0">
                  <c:v>'13</c:v>
                </c:pt>
                <c:pt idx="1">
                  <c:v>'14</c:v>
                </c:pt>
                <c:pt idx="2">
                  <c:v>'15</c:v>
                </c:pt>
                <c:pt idx="3">
                  <c:v>'16</c:v>
                </c:pt>
                <c:pt idx="4">
                  <c:v>'17</c:v>
                </c:pt>
                <c:pt idx="5">
                  <c:v>'18</c:v>
                </c:pt>
                <c:pt idx="6">
                  <c:v>'19</c:v>
                </c:pt>
                <c:pt idx="7">
                  <c:v>'21</c:v>
                </c:pt>
                <c:pt idx="8">
                  <c:v>'22</c:v>
                </c:pt>
                <c:pt idx="9">
                  <c:v>'23</c:v>
                </c:pt>
                <c:pt idx="10">
                  <c:v>'24</c:v>
                </c:pt>
                <c:pt idx="11">
                  <c:v>'25</c:v>
                </c:pt>
              </c:strCache>
            </c:strRef>
          </c:cat>
          <c:val>
            <c:numRef>
              <c:f>'Prop met paid area'!$D$2:$D$13</c:f>
              <c:numCache>
                <c:formatCode>0%</c:formatCode>
                <c:ptCount val="12"/>
                <c:pt idx="0">
                  <c:v>0</c:v>
                </c:pt>
                <c:pt idx="1">
                  <c:v>0.125</c:v>
                </c:pt>
                <c:pt idx="2">
                  <c:v>0.125</c:v>
                </c:pt>
                <c:pt idx="3">
                  <c:v>0</c:v>
                </c:pt>
                <c:pt idx="4">
                  <c:v>6.25E-2</c:v>
                </c:pt>
                <c:pt idx="5">
                  <c:v>0</c:v>
                </c:pt>
                <c:pt idx="6">
                  <c:v>0</c:v>
                </c:pt>
                <c:pt idx="7">
                  <c:v>0.5</c:v>
                </c:pt>
                <c:pt idx="8">
                  <c:v>6.25E-2</c:v>
                </c:pt>
                <c:pt idx="9">
                  <c:v>6.25E-2</c:v>
                </c:pt>
                <c:pt idx="10">
                  <c:v>6.25E-2</c:v>
                </c:pt>
                <c:pt idx="11">
                  <c:v>6.25E-2</c:v>
                </c:pt>
              </c:numCache>
            </c:numRef>
          </c:val>
          <c:extLst>
            <c:ext xmlns:c16="http://schemas.microsoft.com/office/drawing/2014/chart" uri="{C3380CC4-5D6E-409C-BE32-E72D297353CC}">
              <c16:uniqueId val="{00000005-4B5A-4BBE-994C-B88B2FBF0F0B}"/>
            </c:ext>
          </c:extLst>
        </c:ser>
        <c:dLbls>
          <c:showLegendKey val="0"/>
          <c:showVal val="1"/>
          <c:showCatName val="0"/>
          <c:showSerName val="0"/>
          <c:showPercent val="0"/>
          <c:showBubbleSize val="0"/>
        </c:dLbls>
        <c:axId val="398285112"/>
        <c:axId val="398278880"/>
      </c:areaChart>
      <c:catAx>
        <c:axId val="398285112"/>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endParaRPr lang="en-US"/>
          </a:p>
        </c:txPr>
        <c:crossAx val="398278880"/>
        <c:crosses val="autoZero"/>
        <c:auto val="1"/>
        <c:lblAlgn val="ctr"/>
        <c:lblOffset val="100"/>
        <c:noMultiLvlLbl val="0"/>
      </c:catAx>
      <c:valAx>
        <c:axId val="398278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solidFill>
          </a:ln>
          <a:effectLst/>
        </c:spPr>
        <c:txPr>
          <a:bodyPr rot="-60000000" spcFirstLastPara="1" vertOverflow="ellipsis" vert="horz" wrap="square" anchor="ctr" anchorCtr="1"/>
          <a:lstStyle/>
          <a:p>
            <a:pPr>
              <a:defRPr sz="10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endParaRPr lang="en-US"/>
          </a:p>
        </c:txPr>
        <c:crossAx val="398285112"/>
        <c:crosses val="autoZero"/>
        <c:crossBetween val="midCat"/>
        <c:majorUnit val="0.2"/>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534211869349663"/>
          <c:y val="2.3504273504273504E-2"/>
          <c:w val="0.45252825167687372"/>
          <c:h val="0.95299145299145294"/>
        </c:manualLayout>
      </c:layout>
      <c:barChart>
        <c:barDir val="bar"/>
        <c:grouping val="stacked"/>
        <c:varyColors val="0"/>
        <c:ser>
          <c:idx val="1"/>
          <c:order val="1"/>
          <c:tx>
            <c:v>% eligible bonus earned in Phase 1</c:v>
          </c:tx>
          <c:spPr>
            <a:solidFill>
              <a:schemeClr val="accent1">
                <a:lumMod val="75000"/>
              </a:schemeClr>
            </a:solidFill>
            <a:ln>
              <a:solidFill>
                <a:schemeClr val="accent1">
                  <a:lumMod val="75000"/>
                </a:schemeClr>
              </a:solidFill>
            </a:ln>
            <a:effectLst/>
          </c:spPr>
          <c:invertIfNegative val="0"/>
          <c:cat>
            <c:strRef>
              <c:f>'Prop met paid bar'!$A$4:$A$19</c:f>
              <c:strCache>
                <c:ptCount val="16"/>
                <c:pt idx="0">
                  <c:v>Advanced Health</c:v>
                </c:pt>
                <c:pt idx="1">
                  <c:v>AllCare Health Plan</c:v>
                </c:pt>
                <c:pt idx="2">
                  <c:v>Cascade Health Alliance</c:v>
                </c:pt>
                <c:pt idx="3">
                  <c:v>Columbia Pacific</c:v>
                </c:pt>
                <c:pt idx="4">
                  <c:v>Eastern Oregon</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Trillium North</c:v>
                </c:pt>
                <c:pt idx="13">
                  <c:v>Trillium South</c:v>
                </c:pt>
                <c:pt idx="14">
                  <c:v>Umpqua Health Alliance</c:v>
                </c:pt>
                <c:pt idx="15">
                  <c:v>Yamhill Community Care</c:v>
                </c:pt>
              </c:strCache>
            </c:strRef>
          </c:cat>
          <c:val>
            <c:numRef>
              <c:f>'Prop met paid bar'!$E$4:$E$19</c:f>
              <c:numCache>
                <c:formatCode>0%</c:formatCode>
                <c:ptCount val="16"/>
                <c:pt idx="0">
                  <c:v>0.6</c:v>
                </c:pt>
                <c:pt idx="1">
                  <c:v>0.7</c:v>
                </c:pt>
                <c:pt idx="2">
                  <c:v>1</c:v>
                </c:pt>
                <c:pt idx="3">
                  <c:v>0.6</c:v>
                </c:pt>
                <c:pt idx="4">
                  <c:v>0.8</c:v>
                </c:pt>
                <c:pt idx="5">
                  <c:v>0.9</c:v>
                </c:pt>
                <c:pt idx="6">
                  <c:v>0.9</c:v>
                </c:pt>
                <c:pt idx="7">
                  <c:v>0.7</c:v>
                </c:pt>
                <c:pt idx="8">
                  <c:v>0.7</c:v>
                </c:pt>
                <c:pt idx="9">
                  <c:v>1</c:v>
                </c:pt>
                <c:pt idx="10">
                  <c:v>1</c:v>
                </c:pt>
                <c:pt idx="11">
                  <c:v>0.7</c:v>
                </c:pt>
                <c:pt idx="12">
                  <c:v>1</c:v>
                </c:pt>
                <c:pt idx="13">
                  <c:v>0.6</c:v>
                </c:pt>
                <c:pt idx="14">
                  <c:v>1</c:v>
                </c:pt>
                <c:pt idx="15">
                  <c:v>1</c:v>
                </c:pt>
              </c:numCache>
            </c:numRef>
          </c:val>
          <c:extLst>
            <c:ext xmlns:c16="http://schemas.microsoft.com/office/drawing/2014/chart" uri="{C3380CC4-5D6E-409C-BE32-E72D297353CC}">
              <c16:uniqueId val="{00000000-9BDD-433D-860F-97BE2972B9BB}"/>
            </c:ext>
          </c:extLst>
        </c:ser>
        <c:ser>
          <c:idx val="2"/>
          <c:order val="2"/>
          <c:tx>
            <c:v>% eligible bonus earned in Phase 2</c:v>
          </c:tx>
          <c:spPr>
            <a:pattFill prst="pct70">
              <a:fgClr>
                <a:schemeClr val="accent1">
                  <a:lumMod val="75000"/>
                </a:schemeClr>
              </a:fgClr>
              <a:bgClr>
                <a:schemeClr val="bg1"/>
              </a:bgClr>
            </a:pattFill>
            <a:ln w="9525">
              <a:solidFill>
                <a:schemeClr val="accent1">
                  <a:lumMod val="75000"/>
                </a:schemeClr>
              </a:solidFill>
            </a:ln>
            <a:effectLst/>
          </c:spPr>
          <c:invertIfNegative val="0"/>
          <c:cat>
            <c:strRef>
              <c:f>'Prop met paid bar'!$A$4:$A$19</c:f>
              <c:strCache>
                <c:ptCount val="16"/>
                <c:pt idx="0">
                  <c:v>Advanced Health</c:v>
                </c:pt>
                <c:pt idx="1">
                  <c:v>AllCare Health Plan</c:v>
                </c:pt>
                <c:pt idx="2">
                  <c:v>Cascade Health Alliance</c:v>
                </c:pt>
                <c:pt idx="3">
                  <c:v>Columbia Pacific</c:v>
                </c:pt>
                <c:pt idx="4">
                  <c:v>Eastern Oregon</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Trillium North</c:v>
                </c:pt>
                <c:pt idx="13">
                  <c:v>Trillium South</c:v>
                </c:pt>
                <c:pt idx="14">
                  <c:v>Umpqua Health Alliance</c:v>
                </c:pt>
                <c:pt idx="15">
                  <c:v>Yamhill Community Care</c:v>
                </c:pt>
              </c:strCache>
              <c:extLst xmlns:c15="http://schemas.microsoft.com/office/drawing/2012/chart"/>
            </c:strRef>
          </c:cat>
          <c:val>
            <c:numRef>
              <c:f>'Prop met paid bar'!$G$4:$G$19</c:f>
              <c:numCache>
                <c:formatCode>0%</c:formatCode>
                <c:ptCount val="16"/>
                <c:pt idx="0">
                  <c:v>9.0729469619239667E-2</c:v>
                </c:pt>
                <c:pt idx="1">
                  <c:v>0.19063471613922278</c:v>
                </c:pt>
                <c:pt idx="2">
                  <c:v>0.18839315134643786</c:v>
                </c:pt>
                <c:pt idx="3">
                  <c:v>9.0548497461353628E-2</c:v>
                </c:pt>
                <c:pt idx="4">
                  <c:v>0.20288868531585735</c:v>
                </c:pt>
                <c:pt idx="5">
                  <c:v>0.15154700439648383</c:v>
                </c:pt>
                <c:pt idx="6">
                  <c:v>0.20923602177372758</c:v>
                </c:pt>
                <c:pt idx="7">
                  <c:v>0.10976065426921455</c:v>
                </c:pt>
                <c:pt idx="8">
                  <c:v>0.15560046392501847</c:v>
                </c:pt>
                <c:pt idx="9">
                  <c:v>0.21373681571010295</c:v>
                </c:pt>
                <c:pt idx="10">
                  <c:v>0.22966157180275593</c:v>
                </c:pt>
                <c:pt idx="11">
                  <c:v>0.14998485829627217</c:v>
                </c:pt>
                <c:pt idx="12">
                  <c:v>0.2855258637874678</c:v>
                </c:pt>
                <c:pt idx="13">
                  <c:v>5.8914484531895295E-2</c:v>
                </c:pt>
                <c:pt idx="14">
                  <c:v>0.17827588403178196</c:v>
                </c:pt>
                <c:pt idx="15">
                  <c:v>0.14771443269828022</c:v>
                </c:pt>
              </c:numCache>
              <c:extLst xmlns:c15="http://schemas.microsoft.com/office/drawing/2012/chart"/>
            </c:numRef>
          </c:val>
          <c:extLst xmlns:c15="http://schemas.microsoft.com/office/drawing/2012/chart">
            <c:ext xmlns:c16="http://schemas.microsoft.com/office/drawing/2014/chart" uri="{C3380CC4-5D6E-409C-BE32-E72D297353CC}">
              <c16:uniqueId val="{00000001-9BDD-433D-860F-97BE2972B9BB}"/>
            </c:ext>
          </c:extLst>
        </c:ser>
        <c:dLbls>
          <c:showLegendKey val="0"/>
          <c:showVal val="0"/>
          <c:showCatName val="0"/>
          <c:showSerName val="0"/>
          <c:showPercent val="0"/>
          <c:showBubbleSize val="0"/>
        </c:dLbls>
        <c:gapWidth val="50"/>
        <c:overlap val="100"/>
        <c:axId val="710797680"/>
        <c:axId val="710790136"/>
        <c:extLst/>
      </c:barChart>
      <c:barChart>
        <c:barDir val="bar"/>
        <c:grouping val="clustered"/>
        <c:varyColors val="0"/>
        <c:ser>
          <c:idx val="0"/>
          <c:order val="0"/>
          <c:tx>
            <c:v>% of measures met</c:v>
          </c:tx>
          <c:spPr>
            <a:solidFill>
              <a:srgbClr val="F2F2F2"/>
            </a:solidFill>
            <a:ln>
              <a:solidFill>
                <a:srgbClr val="064276"/>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2"/>
                    </a:solidFill>
                    <a:latin typeface="Aptos" panose="020B0004020202020204" pitchFamily="34"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'Prop met paid bar'!$A$4:$A$19</c:f>
              <c:strCache>
                <c:ptCount val="16"/>
                <c:pt idx="0">
                  <c:v>Advanced Health</c:v>
                </c:pt>
                <c:pt idx="1">
                  <c:v>AllCare Health Plan</c:v>
                </c:pt>
                <c:pt idx="2">
                  <c:v>Cascade Health Alliance</c:v>
                </c:pt>
                <c:pt idx="3">
                  <c:v>Columbia Pacific</c:v>
                </c:pt>
                <c:pt idx="4">
                  <c:v>Eastern Oregon</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Trillium North</c:v>
                </c:pt>
                <c:pt idx="13">
                  <c:v>Trillium South</c:v>
                </c:pt>
                <c:pt idx="14">
                  <c:v>Umpqua Health Alliance</c:v>
                </c:pt>
                <c:pt idx="15">
                  <c:v>Yamhill Community Care</c:v>
                </c:pt>
              </c:strCache>
            </c:strRef>
          </c:cat>
          <c:val>
            <c:numRef>
              <c:f>'Prop met paid bar'!$D$4:$D$19</c:f>
              <c:numCache>
                <c:formatCode>0%</c:formatCode>
                <c:ptCount val="16"/>
                <c:pt idx="0">
                  <c:v>0.46</c:v>
                </c:pt>
                <c:pt idx="1">
                  <c:v>0.53</c:v>
                </c:pt>
                <c:pt idx="2">
                  <c:v>0.84</c:v>
                </c:pt>
                <c:pt idx="3">
                  <c:v>0.46</c:v>
                </c:pt>
                <c:pt idx="4">
                  <c:v>0.61</c:v>
                </c:pt>
                <c:pt idx="5">
                  <c:v>0.69</c:v>
                </c:pt>
                <c:pt idx="6">
                  <c:v>0.69</c:v>
                </c:pt>
                <c:pt idx="7">
                  <c:v>0.53</c:v>
                </c:pt>
                <c:pt idx="8">
                  <c:v>0.53</c:v>
                </c:pt>
                <c:pt idx="9">
                  <c:v>0.92</c:v>
                </c:pt>
                <c:pt idx="10">
                  <c:v>0.76</c:v>
                </c:pt>
                <c:pt idx="11">
                  <c:v>0.53</c:v>
                </c:pt>
                <c:pt idx="12">
                  <c:v>0.84</c:v>
                </c:pt>
                <c:pt idx="13">
                  <c:v>0.46</c:v>
                </c:pt>
                <c:pt idx="14">
                  <c:v>0.84</c:v>
                </c:pt>
                <c:pt idx="15">
                  <c:v>0.76</c:v>
                </c:pt>
              </c:numCache>
            </c:numRef>
          </c:val>
          <c:extLst>
            <c:ext xmlns:c16="http://schemas.microsoft.com/office/drawing/2014/chart" uri="{C3380CC4-5D6E-409C-BE32-E72D297353CC}">
              <c16:uniqueId val="{00000002-9BDD-433D-860F-97BE2972B9BB}"/>
            </c:ext>
          </c:extLst>
        </c:ser>
        <c:dLbls>
          <c:showLegendKey val="0"/>
          <c:showVal val="1"/>
          <c:showCatName val="0"/>
          <c:showSerName val="0"/>
          <c:showPercent val="0"/>
          <c:showBubbleSize val="0"/>
        </c:dLbls>
        <c:gapWidth val="125"/>
        <c:overlap val="-40"/>
        <c:axId val="710799320"/>
        <c:axId val="710795712"/>
      </c:barChart>
      <c:catAx>
        <c:axId val="710797680"/>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100" b="0" i="0" u="none" strike="noStrike" kern="1200" baseline="0">
                <a:solidFill>
                  <a:schemeClr val="tx1">
                    <a:lumMod val="50000"/>
                  </a:schemeClr>
                </a:solidFill>
                <a:latin typeface="Aptos" panose="020B0004020202020204" pitchFamily="34" charset="0"/>
                <a:ea typeface="+mn-ea"/>
                <a:cs typeface="Arial" panose="020B0604020202020204" pitchFamily="34" charset="0"/>
              </a:defRPr>
            </a:pPr>
            <a:endParaRPr lang="en-US"/>
          </a:p>
        </c:txPr>
        <c:crossAx val="710790136"/>
        <c:crosses val="autoZero"/>
        <c:auto val="1"/>
        <c:lblAlgn val="ctr"/>
        <c:lblOffset val="100"/>
        <c:noMultiLvlLbl val="0"/>
      </c:catAx>
      <c:valAx>
        <c:axId val="710790136"/>
        <c:scaling>
          <c:orientation val="minMax"/>
        </c:scaling>
        <c:delete val="1"/>
        <c:axPos val="t"/>
        <c:numFmt formatCode="0%" sourceLinked="1"/>
        <c:majorTickMark val="out"/>
        <c:minorTickMark val="none"/>
        <c:tickLblPos val="nextTo"/>
        <c:crossAx val="710797680"/>
        <c:crosses val="autoZero"/>
        <c:crossBetween val="between"/>
      </c:valAx>
      <c:valAx>
        <c:axId val="710795712"/>
        <c:scaling>
          <c:orientation val="minMax"/>
        </c:scaling>
        <c:delete val="1"/>
        <c:axPos val="b"/>
        <c:numFmt formatCode="0%" sourceLinked="1"/>
        <c:majorTickMark val="out"/>
        <c:minorTickMark val="none"/>
        <c:tickLblPos val="nextTo"/>
        <c:crossAx val="710799320"/>
        <c:crosses val="max"/>
        <c:crossBetween val="between"/>
      </c:valAx>
      <c:catAx>
        <c:axId val="710799320"/>
        <c:scaling>
          <c:orientation val="maxMin"/>
        </c:scaling>
        <c:delete val="1"/>
        <c:axPos val="r"/>
        <c:numFmt formatCode="General" sourceLinked="1"/>
        <c:majorTickMark val="out"/>
        <c:minorTickMark val="none"/>
        <c:tickLblPos val="nextTo"/>
        <c:crossAx val="710795712"/>
        <c:crosses val="max"/>
        <c:auto val="1"/>
        <c:lblAlgn val="ctr"/>
        <c:lblOffset val="100"/>
        <c:noMultiLvlLbl val="0"/>
      </c:catAx>
      <c:spPr>
        <a:noFill/>
        <a:ln>
          <a:noFill/>
        </a:ln>
        <a:effectLst/>
      </c:spPr>
    </c:plotArea>
    <c:legend>
      <c:legendPos val="tr"/>
      <c:layout>
        <c:manualLayout>
          <c:xMode val="edge"/>
          <c:yMode val="edge"/>
          <c:x val="0.76962329228077264"/>
          <c:y val="5.9829059829059832E-2"/>
          <c:w val="0.23037674978127734"/>
          <c:h val="0.21345817349754356"/>
        </c:manualLayout>
      </c:layout>
      <c:overlay val="1"/>
      <c:spPr>
        <a:noFill/>
        <a:ln>
          <a:noFill/>
        </a:ln>
        <a:effectLst/>
      </c:spPr>
      <c:txPr>
        <a:bodyPr rot="0" spcFirstLastPara="1" vertOverflow="ellipsis" vert="horz" wrap="square" anchor="ctr" anchorCtr="1"/>
        <a:lstStyle/>
        <a:p>
          <a:pPr>
            <a:defRPr sz="1100" b="0" i="0" u="none" strike="noStrike" kern="1200" baseline="0">
              <a:solidFill>
                <a:schemeClr val="tx1">
                  <a:lumMod val="50000"/>
                </a:schemeClr>
              </a:solidFill>
              <a:latin typeface="Aptos" panose="020B00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236819160246527"/>
          <c:y val="2.5462962962962962E-2"/>
          <c:w val="0.42830665974238519"/>
          <c:h val="0.94907407407407407"/>
        </c:manualLayout>
      </c:layout>
      <c:barChart>
        <c:barDir val="bar"/>
        <c:grouping val="clustered"/>
        <c:varyColors val="0"/>
        <c:ser>
          <c:idx val="0"/>
          <c:order val="0"/>
          <c:spPr>
            <a:solidFill>
              <a:schemeClr val="accent1">
                <a:lumMod val="75000"/>
              </a:schemeClr>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1050" b="0" i="0" u="none" strike="noStrike" kern="1200" baseline="0">
                    <a:solidFill>
                      <a:schemeClr val="bg2">
                        <a:lumMod val="10000"/>
                      </a:schemeClr>
                    </a:solidFill>
                    <a:latin typeface="Aptos Display" panose="020B00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 paid enrolled'!$A$3:$A$18</c:f>
              <c:strCache>
                <c:ptCount val="16"/>
                <c:pt idx="0">
                  <c:v>Advanced Health</c:v>
                </c:pt>
                <c:pt idx="1">
                  <c:v>AllCare CCO</c:v>
                </c:pt>
                <c:pt idx="2">
                  <c:v>Cascade Health Alliance</c:v>
                </c:pt>
                <c:pt idx="3">
                  <c:v>Columbia Pacific</c:v>
                </c:pt>
                <c:pt idx="4">
                  <c:v>Eastern Oregon CCO</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Trillium North</c:v>
                </c:pt>
                <c:pt idx="13">
                  <c:v>Trillium South</c:v>
                </c:pt>
                <c:pt idx="14">
                  <c:v>Umpqua Health Alliance</c:v>
                </c:pt>
                <c:pt idx="15">
                  <c:v>Yamhill Community Care</c:v>
                </c:pt>
              </c:strCache>
            </c:strRef>
          </c:cat>
          <c:val>
            <c:numRef>
              <c:f>'Total paid enrolled'!$C$3:$C$18</c:f>
              <c:numCache>
                <c:formatCode>"$"#,##0</c:formatCode>
                <c:ptCount val="16"/>
                <c:pt idx="0">
                  <c:v>3752865.31</c:v>
                </c:pt>
                <c:pt idx="1">
                  <c:v>10014043.310000001</c:v>
                </c:pt>
                <c:pt idx="2">
                  <c:v>5661667.7000000002</c:v>
                </c:pt>
                <c:pt idx="3">
                  <c:v>5430834.6200000001</c:v>
                </c:pt>
                <c:pt idx="4">
                  <c:v>14954911.59</c:v>
                </c:pt>
                <c:pt idx="5">
                  <c:v>80322692.329999998</c:v>
                </c:pt>
                <c:pt idx="6">
                  <c:v>17955309.079999998</c:v>
                </c:pt>
                <c:pt idx="7">
                  <c:v>9191606.5</c:v>
                </c:pt>
                <c:pt idx="8">
                  <c:v>13768071.029999999</c:v>
                </c:pt>
                <c:pt idx="9">
                  <c:v>3943297.84</c:v>
                </c:pt>
                <c:pt idx="10">
                  <c:v>19990239.73</c:v>
                </c:pt>
                <c:pt idx="11">
                  <c:v>22172880.170000002</c:v>
                </c:pt>
                <c:pt idx="12">
                  <c:v>11016721.66</c:v>
                </c:pt>
                <c:pt idx="13">
                  <c:v>3978723.7</c:v>
                </c:pt>
                <c:pt idx="14">
                  <c:v>8745016.5</c:v>
                </c:pt>
                <c:pt idx="15">
                  <c:v>7423206.4000000004</c:v>
                </c:pt>
              </c:numCache>
            </c:numRef>
          </c:val>
          <c:extLst>
            <c:ext xmlns:c16="http://schemas.microsoft.com/office/drawing/2014/chart" uri="{C3380CC4-5D6E-409C-BE32-E72D297353CC}">
              <c16:uniqueId val="{00000000-A6CF-48A6-AB60-AFC38E95E68C}"/>
            </c:ext>
          </c:extLst>
        </c:ser>
        <c:dLbls>
          <c:showLegendKey val="0"/>
          <c:showVal val="0"/>
          <c:showCatName val="0"/>
          <c:showSerName val="0"/>
          <c:showPercent val="0"/>
          <c:showBubbleSize val="0"/>
        </c:dLbls>
        <c:gapWidth val="75"/>
        <c:axId val="209344344"/>
        <c:axId val="209344016"/>
      </c:barChart>
      <c:catAx>
        <c:axId val="209344344"/>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100" b="0" i="0" u="none" strike="noStrike" kern="1200" baseline="0">
                <a:solidFill>
                  <a:schemeClr val="tx1">
                    <a:lumMod val="50000"/>
                  </a:schemeClr>
                </a:solidFill>
                <a:latin typeface="Aptos Display" panose="020B0004020202020204" pitchFamily="34" charset="0"/>
                <a:ea typeface="+mn-ea"/>
                <a:cs typeface="Arial" panose="020B0604020202020204" pitchFamily="34" charset="0"/>
              </a:defRPr>
            </a:pPr>
            <a:endParaRPr lang="en-US"/>
          </a:p>
        </c:txPr>
        <c:crossAx val="209344016"/>
        <c:crosses val="autoZero"/>
        <c:auto val="1"/>
        <c:lblAlgn val="ctr"/>
        <c:lblOffset val="100"/>
        <c:noMultiLvlLbl val="0"/>
      </c:catAx>
      <c:valAx>
        <c:axId val="209344016"/>
        <c:scaling>
          <c:orientation val="minMax"/>
        </c:scaling>
        <c:delete val="1"/>
        <c:axPos val="t"/>
        <c:numFmt formatCode="&quot;$&quot;#,##0" sourceLinked="1"/>
        <c:majorTickMark val="out"/>
        <c:minorTickMark val="none"/>
        <c:tickLblPos val="nextTo"/>
        <c:crossAx val="2093443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60814383460052757"/>
          <c:y val="2.5462962962962962E-2"/>
          <c:w val="0.34926812281142994"/>
          <c:h val="0.94907407407407407"/>
        </c:manualLayout>
      </c:layout>
      <c:barChart>
        <c:barDir val="bar"/>
        <c:grouping val="clustered"/>
        <c:varyColors val="0"/>
        <c:ser>
          <c:idx val="0"/>
          <c:order val="0"/>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50000"/>
                      </a:schemeClr>
                    </a:solidFill>
                    <a:latin typeface="Aptos Display" panose="020B00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 paid enrolled'!$A$3:$A$18</c:f>
              <c:strCache>
                <c:ptCount val="16"/>
                <c:pt idx="0">
                  <c:v>Advanced Health</c:v>
                </c:pt>
                <c:pt idx="1">
                  <c:v>AllCare CCO</c:v>
                </c:pt>
                <c:pt idx="2">
                  <c:v>Cascade Health Alliance</c:v>
                </c:pt>
                <c:pt idx="3">
                  <c:v>Columbia Pacific</c:v>
                </c:pt>
                <c:pt idx="4">
                  <c:v>Eastern Oregon CCO</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Trillium North</c:v>
                </c:pt>
                <c:pt idx="13">
                  <c:v>Trillium South</c:v>
                </c:pt>
                <c:pt idx="14">
                  <c:v>Umpqua Health Alliance</c:v>
                </c:pt>
                <c:pt idx="15">
                  <c:v>Yamhill Community Care</c:v>
                </c:pt>
              </c:strCache>
            </c:strRef>
          </c:cat>
          <c:val>
            <c:numRef>
              <c:f>'Total paid enrolled'!$J$3:$J$18</c:f>
              <c:numCache>
                <c:formatCode>#,##0</c:formatCode>
                <c:ptCount val="16"/>
                <c:pt idx="0">
                  <c:v>27153.096652585755</c:v>
                </c:pt>
                <c:pt idx="1">
                  <c:v>63084.463466461872</c:v>
                </c:pt>
                <c:pt idx="2">
                  <c:v>26415.566084229391</c:v>
                </c:pt>
                <c:pt idx="3">
                  <c:v>36036.344303635429</c:v>
                </c:pt>
                <c:pt idx="4">
                  <c:v>72315.507098054281</c:v>
                </c:pt>
                <c:pt idx="5">
                  <c:v>419106.74717741919</c:v>
                </c:pt>
                <c:pt idx="6">
                  <c:v>80955.78054915517</c:v>
                </c:pt>
                <c:pt idx="7">
                  <c:v>63047.595193292364</c:v>
                </c:pt>
                <c:pt idx="8">
                  <c:v>73692.544092421915</c:v>
                </c:pt>
                <c:pt idx="9">
                  <c:v>16598.042831541221</c:v>
                </c:pt>
                <c:pt idx="10">
                  <c:v>89240.752470558145</c:v>
                </c:pt>
                <c:pt idx="11">
                  <c:v>141653.09494367641</c:v>
                </c:pt>
                <c:pt idx="12">
                  <c:v>58487.021018945255</c:v>
                </c:pt>
                <c:pt idx="13">
                  <c:v>34554.552540962621</c:v>
                </c:pt>
                <c:pt idx="14">
                  <c:v>38941.871486175107</c:v>
                </c:pt>
                <c:pt idx="15">
                  <c:v>34589.82408474142</c:v>
                </c:pt>
              </c:numCache>
            </c:numRef>
          </c:val>
          <c:extLst>
            <c:ext xmlns:c16="http://schemas.microsoft.com/office/drawing/2014/chart" uri="{C3380CC4-5D6E-409C-BE32-E72D297353CC}">
              <c16:uniqueId val="{00000000-BD31-4CD7-A854-236963B0195B}"/>
            </c:ext>
          </c:extLst>
        </c:ser>
        <c:dLbls>
          <c:dLblPos val="outEnd"/>
          <c:showLegendKey val="0"/>
          <c:showVal val="1"/>
          <c:showCatName val="0"/>
          <c:showSerName val="0"/>
          <c:showPercent val="0"/>
          <c:showBubbleSize val="0"/>
        </c:dLbls>
        <c:gapWidth val="75"/>
        <c:axId val="209344344"/>
        <c:axId val="209344016"/>
      </c:barChart>
      <c:catAx>
        <c:axId val="209344344"/>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100" b="0" i="0" u="none" strike="noStrike" kern="1200" baseline="0">
                <a:solidFill>
                  <a:schemeClr val="tx1">
                    <a:lumMod val="50000"/>
                  </a:schemeClr>
                </a:solidFill>
                <a:latin typeface="Aptos Display" panose="020B0004020202020204" pitchFamily="34" charset="0"/>
                <a:ea typeface="+mn-ea"/>
                <a:cs typeface="Arial" panose="020B0604020202020204" pitchFamily="34" charset="0"/>
              </a:defRPr>
            </a:pPr>
            <a:endParaRPr lang="en-US"/>
          </a:p>
        </c:txPr>
        <c:crossAx val="209344016"/>
        <c:crosses val="autoZero"/>
        <c:auto val="1"/>
        <c:lblAlgn val="ctr"/>
        <c:lblOffset val="100"/>
        <c:noMultiLvlLbl val="0"/>
      </c:catAx>
      <c:valAx>
        <c:axId val="209344016"/>
        <c:scaling>
          <c:orientation val="minMax"/>
        </c:scaling>
        <c:delete val="1"/>
        <c:axPos val="t"/>
        <c:numFmt formatCode="#,##0" sourceLinked="1"/>
        <c:majorTickMark val="out"/>
        <c:minorTickMark val="none"/>
        <c:tickLblPos val="nextTo"/>
        <c:crossAx val="2093443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1702505398857316E-4"/>
          <c:y val="0.16879371093272294"/>
          <c:w val="0.99527044863981262"/>
          <c:h val="0.62290419947506559"/>
        </c:manualLayout>
      </c:layout>
      <c:scatterChart>
        <c:scatterStyle val="lineMarker"/>
        <c:varyColors val="0"/>
        <c:ser>
          <c:idx val="1"/>
          <c:order val="0"/>
          <c:tx>
            <c:strRef>
              <c:f>Sheet2!$B$2</c:f>
              <c:strCache>
                <c:ptCount val="1"/>
                <c:pt idx="0">
                  <c:v>2022</c:v>
                </c:pt>
              </c:strCache>
            </c:strRef>
          </c:tx>
          <c:spPr>
            <a:ln w="25400" cap="rnd">
              <a:noFill/>
              <a:round/>
            </a:ln>
            <a:effectLst/>
          </c:spPr>
          <c:marker>
            <c:symbol val="circle"/>
            <c:size val="25"/>
            <c:spPr>
              <a:no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accent1"/>
                    </a:solidFill>
                    <a:latin typeface="+mn-lt"/>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Sheet2!$B$3</c:f>
              <c:numCache>
                <c:formatCode>0%</c:formatCode>
                <c:ptCount val="1"/>
                <c:pt idx="0">
                  <c:v>0.6</c:v>
                </c:pt>
              </c:numCache>
            </c:numRef>
          </c:xVal>
          <c:yVal>
            <c:numRef>
              <c:f>Sheet2!$D$3:$D$4</c:f>
              <c:numCache>
                <c:formatCode>General</c:formatCode>
                <c:ptCount val="2"/>
                <c:pt idx="0">
                  <c:v>1</c:v>
                </c:pt>
                <c:pt idx="1">
                  <c:v>2</c:v>
                </c:pt>
              </c:numCache>
            </c:numRef>
          </c:yVal>
          <c:smooth val="0"/>
          <c:extLst>
            <c:ext xmlns:c16="http://schemas.microsoft.com/office/drawing/2014/chart" uri="{C3380CC4-5D6E-409C-BE32-E72D297353CC}">
              <c16:uniqueId val="{00000000-C9F7-4290-8361-DD2EF717CCD9}"/>
            </c:ext>
          </c:extLst>
        </c:ser>
        <c:ser>
          <c:idx val="0"/>
          <c:order val="1"/>
          <c:tx>
            <c:strRef>
              <c:f>Sheet2!$C$2</c:f>
              <c:strCache>
                <c:ptCount val="1"/>
                <c:pt idx="0">
                  <c:v>2023</c:v>
                </c:pt>
              </c:strCache>
            </c:strRef>
          </c:tx>
          <c:spPr>
            <a:ln w="25400" cap="rnd">
              <a:noFill/>
              <a:round/>
            </a:ln>
            <a:effectLst/>
          </c:spPr>
          <c:marker>
            <c:symbol val="circle"/>
            <c:size val="20"/>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Sheet2!$C$3</c:f>
              <c:numCache>
                <c:formatCode>0%</c:formatCode>
                <c:ptCount val="1"/>
              </c:numCache>
            </c:numRef>
          </c:xVal>
          <c:yVal>
            <c:numRef>
              <c:f>Sheet2!$D$3</c:f>
              <c:numCache>
                <c:formatCode>General</c:formatCode>
                <c:ptCount val="1"/>
                <c:pt idx="0">
                  <c:v>1</c:v>
                </c:pt>
              </c:numCache>
            </c:numRef>
          </c:yVal>
          <c:smooth val="0"/>
          <c:extLst>
            <c:ext xmlns:c16="http://schemas.microsoft.com/office/drawing/2014/chart" uri="{C3380CC4-5D6E-409C-BE32-E72D297353CC}">
              <c16:uniqueId val="{00000001-C9F7-4290-8361-DD2EF717CCD9}"/>
            </c:ext>
          </c:extLst>
        </c:ser>
        <c:ser>
          <c:idx val="2"/>
          <c:order val="2"/>
          <c:tx>
            <c:strRef>
              <c:f>Sheet2!$E$2</c:f>
              <c:strCache>
                <c:ptCount val="1"/>
                <c:pt idx="0">
                  <c:v>Benchmark:</c:v>
                </c:pt>
              </c:strCache>
            </c:strRef>
          </c:tx>
          <c:spPr>
            <a:ln w="25400" cap="rnd">
              <a:solidFill>
                <a:schemeClr val="tx1"/>
              </a:solidFill>
              <a:round/>
            </a:ln>
            <a:effectLst/>
          </c:spPr>
          <c:marker>
            <c:symbol val="none"/>
          </c:marker>
          <c:dPt>
            <c:idx val="0"/>
            <c:bubble3D val="0"/>
            <c:extLst>
              <c:ext xmlns:c16="http://schemas.microsoft.com/office/drawing/2014/chart" uri="{C3380CC4-5D6E-409C-BE32-E72D297353CC}">
                <c16:uniqueId val="{00000002-C9F7-4290-8361-DD2EF717CCD9}"/>
              </c:ext>
            </c:extLst>
          </c:dPt>
          <c:dLbls>
            <c:dLbl>
              <c:idx val="0"/>
              <c:delete val="1"/>
              <c:extLst>
                <c:ext xmlns:c15="http://schemas.microsoft.com/office/drawing/2012/chart" uri="{CE6537A1-D6FC-4f65-9D91-7224C49458BB}"/>
                <c:ext xmlns:c16="http://schemas.microsoft.com/office/drawing/2014/chart" uri="{C3380CC4-5D6E-409C-BE32-E72D297353CC}">
                  <c16:uniqueId val="{00000002-C9F7-4290-8361-DD2EF717CCD9}"/>
                </c:ext>
              </c:extLst>
            </c:dLbl>
            <c:dLbl>
              <c:idx val="1"/>
              <c:layout>
                <c:manualLayout>
                  <c:x val="-2.3355205599301107E-3"/>
                  <c:y val="-0.16129032258064516"/>
                </c:manualLayout>
              </c:layout>
              <c:tx>
                <c:rich>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fld id="{E380F80B-2DB3-489B-8335-EA0CCC04EBA1}" type="SERIESNAME">
                      <a:rPr lang="en-US">
                        <a:solidFill>
                          <a:sysClr val="windowText" lastClr="000000"/>
                        </a:solidFill>
                      </a:rPr>
                      <a:pPr>
                        <a:defRPr sz="1000" b="0" i="0" u="none" strike="noStrike" kern="1200" baseline="0">
                          <a:solidFill>
                            <a:schemeClr val="tx1"/>
                          </a:solidFill>
                          <a:latin typeface="+mn-lt"/>
                          <a:ea typeface="+mn-ea"/>
                          <a:cs typeface="+mn-cs"/>
                        </a:defRPr>
                      </a:pPr>
                      <a:t>[SERIES NAME]</a:t>
                    </a:fld>
                    <a:r>
                      <a:rPr lang="en-US" baseline="0"/>
                      <a:t> </a:t>
                    </a:r>
                    <a:fld id="{CFF6C07E-8022-48F3-8B1E-D930CB35F17A}" type="XVALUE">
                      <a:rPr lang="en-US" baseline="0">
                        <a:solidFill>
                          <a:sysClr val="windowText" lastClr="000000"/>
                        </a:solidFill>
                      </a:rPr>
                      <a:pPr>
                        <a:defRPr sz="1000" b="0" i="0" u="none" strike="noStrike" kern="1200" baseline="0">
                          <a:solidFill>
                            <a:schemeClr val="tx1"/>
                          </a:solidFill>
                          <a:latin typeface="+mn-lt"/>
                          <a:ea typeface="+mn-ea"/>
                          <a:cs typeface="+mn-cs"/>
                        </a:defRPr>
                      </a:pPr>
                      <a:t>[X VALUE]</a:t>
                    </a:fld>
                    <a:endParaRPr lang="en-US" baseline="0"/>
                  </a:p>
                </c:rich>
              </c:tx>
              <c:spPr>
                <a:noFill/>
                <a:ln>
                  <a:noFill/>
                </a:ln>
                <a:effectLst/>
              </c:spPr>
              <c:dLblPos val="r"/>
              <c:showLegendKey val="0"/>
              <c:showVal val="0"/>
              <c:showCatName val="1"/>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9F7-4290-8361-DD2EF717CCD9}"/>
                </c:ext>
              </c:extLst>
            </c:dLbl>
            <c:dLbl>
              <c:idx val="2"/>
              <c:delete val="1"/>
              <c:extLst>
                <c:ext xmlns:c15="http://schemas.microsoft.com/office/drawing/2012/chart" uri="{CE6537A1-D6FC-4f65-9D91-7224C49458BB}"/>
                <c:ext xmlns:c16="http://schemas.microsoft.com/office/drawing/2014/chart" uri="{C3380CC4-5D6E-409C-BE32-E72D297353CC}">
                  <c16:uniqueId val="{00000004-C9F7-4290-8361-DD2EF717CCD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l"/>
            <c:showLegendKey val="0"/>
            <c:showVal val="0"/>
            <c:showCatName val="1"/>
            <c:showSerName val="1"/>
            <c:showPercent val="0"/>
            <c:showBubbleSize val="0"/>
            <c:separator> </c:separator>
            <c:showLeaderLines val="0"/>
            <c:extLst>
              <c:ext xmlns:c15="http://schemas.microsoft.com/office/drawing/2012/chart" uri="{CE6537A1-D6FC-4f65-9D91-7224C49458BB}">
                <c15:showLeaderLines val="0"/>
              </c:ext>
            </c:extLst>
          </c:dLbls>
          <c:xVal>
            <c:numRef>
              <c:f>Sheet2!$E$3:$E$5</c:f>
              <c:numCache>
                <c:formatCode>0%</c:formatCode>
                <c:ptCount val="3"/>
                <c:pt idx="0">
                  <c:v>1</c:v>
                </c:pt>
                <c:pt idx="1">
                  <c:v>1</c:v>
                </c:pt>
                <c:pt idx="2">
                  <c:v>1</c:v>
                </c:pt>
              </c:numCache>
            </c:numRef>
          </c:xVal>
          <c:yVal>
            <c:numRef>
              <c:f>Sheet2!$D$2:$D$5</c:f>
              <c:numCache>
                <c:formatCode>General</c:formatCode>
                <c:ptCount val="4"/>
                <c:pt idx="0">
                  <c:v>0</c:v>
                </c:pt>
                <c:pt idx="1">
                  <c:v>1</c:v>
                </c:pt>
                <c:pt idx="2">
                  <c:v>2</c:v>
                </c:pt>
              </c:numCache>
            </c:numRef>
          </c:yVal>
          <c:smooth val="0"/>
          <c:extLst>
            <c:ext xmlns:c16="http://schemas.microsoft.com/office/drawing/2014/chart" uri="{C3380CC4-5D6E-409C-BE32-E72D297353CC}">
              <c16:uniqueId val="{00000005-C9F7-4290-8361-DD2EF717CCD9}"/>
            </c:ext>
          </c:extLst>
        </c:ser>
        <c:dLbls>
          <c:showLegendKey val="0"/>
          <c:showVal val="0"/>
          <c:showCatName val="0"/>
          <c:showSerName val="0"/>
          <c:showPercent val="0"/>
          <c:showBubbleSize val="0"/>
        </c:dLbls>
        <c:axId val="571361808"/>
        <c:axId val="571359512"/>
      </c:scatterChart>
      <c:valAx>
        <c:axId val="571361808"/>
        <c:scaling>
          <c:orientation val="minMax"/>
          <c:max val="1.1000000000000001"/>
          <c:min val="0.5"/>
        </c:scaling>
        <c:delete val="1"/>
        <c:axPos val="b"/>
        <c:numFmt formatCode="0%" sourceLinked="1"/>
        <c:majorTickMark val="out"/>
        <c:minorTickMark val="none"/>
        <c:tickLblPos val="nextTo"/>
        <c:crossAx val="571359512"/>
        <c:crosses val="autoZero"/>
        <c:crossBetween val="midCat"/>
        <c:majorUnit val="0.2"/>
      </c:valAx>
      <c:valAx>
        <c:axId val="571359512"/>
        <c:scaling>
          <c:orientation val="minMax"/>
          <c:max val="2"/>
          <c:min val="0"/>
        </c:scaling>
        <c:delete val="1"/>
        <c:axPos val="l"/>
        <c:majorGridlines>
          <c:spPr>
            <a:ln w="9525" cap="flat" cmpd="sng" algn="ctr">
              <a:noFill/>
              <a:round/>
            </a:ln>
            <a:effectLst/>
          </c:spPr>
        </c:majorGridlines>
        <c:numFmt formatCode="General" sourceLinked="1"/>
        <c:majorTickMark val="out"/>
        <c:minorTickMark val="none"/>
        <c:tickLblPos val="nextTo"/>
        <c:crossAx val="571361808"/>
        <c:crosses val="autoZero"/>
        <c:crossBetween val="midCat"/>
        <c:min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1702505398857316E-4"/>
          <c:y val="0.16879371093272294"/>
          <c:w val="0.99527044863981262"/>
          <c:h val="0.62290419947506559"/>
        </c:manualLayout>
      </c:layout>
      <c:scatterChart>
        <c:scatterStyle val="lineMarker"/>
        <c:varyColors val="0"/>
        <c:ser>
          <c:idx val="1"/>
          <c:order val="0"/>
          <c:tx>
            <c:strRef>
              <c:f>'[Improvement target example.xlsx]Sheet2 (2)'!$B$2</c:f>
              <c:strCache>
                <c:ptCount val="1"/>
                <c:pt idx="0">
                  <c:v>2022</c:v>
                </c:pt>
              </c:strCache>
            </c:strRef>
          </c:tx>
          <c:spPr>
            <a:ln w="19050">
              <a:noFill/>
            </a:ln>
            <a:effectLst/>
          </c:spPr>
          <c:marker>
            <c:symbol val="circle"/>
            <c:size val="25"/>
            <c:spPr>
              <a:no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'[Improvement target example.xlsx]Sheet2 (2)'!$B$3</c:f>
              <c:numCache>
                <c:formatCode>0%</c:formatCode>
                <c:ptCount val="1"/>
                <c:pt idx="0">
                  <c:v>0.6</c:v>
                </c:pt>
              </c:numCache>
            </c:numRef>
          </c:xVal>
          <c:yVal>
            <c:numRef>
              <c:f>'[Improvement target example.xlsx]Sheet2 (2)'!$D$3:$D$4</c:f>
              <c:numCache>
                <c:formatCode>General</c:formatCode>
                <c:ptCount val="2"/>
                <c:pt idx="0">
                  <c:v>1</c:v>
                </c:pt>
                <c:pt idx="1">
                  <c:v>2</c:v>
                </c:pt>
              </c:numCache>
            </c:numRef>
          </c:yVal>
          <c:smooth val="0"/>
          <c:extLst>
            <c:ext xmlns:c16="http://schemas.microsoft.com/office/drawing/2014/chart" uri="{C3380CC4-5D6E-409C-BE32-E72D297353CC}">
              <c16:uniqueId val="{00000000-FDD0-4B94-80B0-7F81255385C8}"/>
            </c:ext>
          </c:extLst>
        </c:ser>
        <c:ser>
          <c:idx val="0"/>
          <c:order val="1"/>
          <c:tx>
            <c:strRef>
              <c:f>'[Improvement target example.xlsx]Sheet2 (2)'!$C$2</c:f>
              <c:strCache>
                <c:ptCount val="1"/>
                <c:pt idx="0">
                  <c:v>2023</c:v>
                </c:pt>
              </c:strCache>
            </c:strRef>
          </c:tx>
          <c:spPr>
            <a:ln w="19050">
              <a:noFill/>
            </a:ln>
            <a:effectLst/>
          </c:spPr>
          <c:marker>
            <c:symbol val="circle"/>
            <c:size val="2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'[Improvement target example.xlsx]Sheet2 (2)'!$C$3</c:f>
              <c:numCache>
                <c:formatCode>0%</c:formatCode>
                <c:ptCount val="1"/>
                <c:pt idx="0">
                  <c:v>0.65</c:v>
                </c:pt>
              </c:numCache>
            </c:numRef>
          </c:xVal>
          <c:yVal>
            <c:numRef>
              <c:f>'[Improvement target example.xlsx]Sheet2 (2)'!$D$3</c:f>
              <c:numCache>
                <c:formatCode>General</c:formatCode>
                <c:ptCount val="1"/>
                <c:pt idx="0">
                  <c:v>1</c:v>
                </c:pt>
              </c:numCache>
            </c:numRef>
          </c:yVal>
          <c:smooth val="0"/>
          <c:extLst>
            <c:ext xmlns:c16="http://schemas.microsoft.com/office/drawing/2014/chart" uri="{C3380CC4-5D6E-409C-BE32-E72D297353CC}">
              <c16:uniqueId val="{00000001-FDD0-4B94-80B0-7F81255385C8}"/>
            </c:ext>
          </c:extLst>
        </c:ser>
        <c:ser>
          <c:idx val="3"/>
          <c:order val="2"/>
          <c:tx>
            <c:v>Improvement target</c:v>
          </c:tx>
          <c:spPr>
            <a:ln w="25400" cmpd="sng">
              <a:solidFill>
                <a:schemeClr val="accent1"/>
              </a:solidFill>
              <a:prstDash val="sysDash"/>
            </a:ln>
          </c:spPr>
          <c:marker>
            <c:symbol val="none"/>
          </c:marker>
          <c:dLbls>
            <c:dLbl>
              <c:idx val="2"/>
              <c:layout>
                <c:manualLayout>
                  <c:x val="-6.0217362046878558E-3"/>
                  <c:y val="1.4641397464613109E-2"/>
                </c:manualLayout>
              </c:layout>
              <c:tx>
                <c:rich>
                  <a:bodyPr wrap="square" lIns="38100" tIns="19050" rIns="38100" bIns="19050" anchor="ctr">
                    <a:noAutofit/>
                  </a:bodyPr>
                  <a:lstStyle/>
                  <a:p>
                    <a:pPr>
                      <a:defRPr>
                        <a:solidFill>
                          <a:sysClr val="windowText" lastClr="000000"/>
                        </a:solidFill>
                      </a:defRPr>
                    </a:pPr>
                    <a:r>
                      <a:rPr lang="en-US">
                        <a:solidFill>
                          <a:sysClr val="windowText" lastClr="000000"/>
                        </a:solidFill>
                      </a:rPr>
                      <a:t>Improvement</a:t>
                    </a:r>
                    <a:r>
                      <a:rPr lang="en-US" baseline="0">
                        <a:solidFill>
                          <a:sysClr val="windowText" lastClr="000000"/>
                        </a:solidFill>
                      </a:rPr>
                      <a:t> target: 64%</a:t>
                    </a:r>
                    <a:endParaRPr lang="en-US">
                      <a:solidFill>
                        <a:sysClr val="windowText" lastClr="000000"/>
                      </a:solidFill>
                    </a:endParaRP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23071304090752512"/>
                      <c:h val="0.54945118335344634"/>
                    </c:manualLayout>
                  </c15:layout>
                  <c15:showDataLabelsRange val="0"/>
                </c:ext>
                <c:ext xmlns:c16="http://schemas.microsoft.com/office/drawing/2014/chart" uri="{C3380CC4-5D6E-409C-BE32-E72D297353CC}">
                  <c16:uniqueId val="{00000002-FDD0-4B94-80B0-7F81255385C8}"/>
                </c:ext>
              </c:extLst>
            </c:dLbl>
            <c:spPr>
              <a:noFill/>
              <a:ln>
                <a:noFill/>
              </a:ln>
              <a:effectLst/>
            </c:spPr>
            <c:txPr>
              <a:bodyPr wrap="square" lIns="38100" tIns="19050" rIns="38100" bIns="19050" anchor="ctr">
                <a:spAutoFit/>
              </a:bodyPr>
              <a:lstStyle/>
              <a:p>
                <a:pPr>
                  <a:defRPr>
                    <a:solidFill>
                      <a:sysClr val="windowText" lastClr="000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'[Improvement target example.xlsx]Sheet2 (2)'!$F$3:$F$5</c:f>
              <c:numCache>
                <c:formatCode>0%</c:formatCode>
                <c:ptCount val="3"/>
                <c:pt idx="0">
                  <c:v>0.64</c:v>
                </c:pt>
                <c:pt idx="1">
                  <c:v>0.64</c:v>
                </c:pt>
                <c:pt idx="2">
                  <c:v>0.64</c:v>
                </c:pt>
              </c:numCache>
            </c:numRef>
          </c:xVal>
          <c:yVal>
            <c:numRef>
              <c:f>'[Improvement target example.xlsx]Sheet2 (2)'!$D$2:$D$5</c:f>
              <c:numCache>
                <c:formatCode>General</c:formatCode>
                <c:ptCount val="4"/>
                <c:pt idx="0">
                  <c:v>0</c:v>
                </c:pt>
                <c:pt idx="1">
                  <c:v>1</c:v>
                </c:pt>
                <c:pt idx="2">
                  <c:v>2</c:v>
                </c:pt>
              </c:numCache>
            </c:numRef>
          </c:yVal>
          <c:smooth val="0"/>
          <c:extLst>
            <c:ext xmlns:c16="http://schemas.microsoft.com/office/drawing/2014/chart" uri="{C3380CC4-5D6E-409C-BE32-E72D297353CC}">
              <c16:uniqueId val="{00000003-FDD0-4B94-80B0-7F81255385C8}"/>
            </c:ext>
          </c:extLst>
        </c:ser>
        <c:ser>
          <c:idx val="2"/>
          <c:order val="3"/>
          <c:tx>
            <c:strRef>
              <c:f>'[Improvement target example.xlsx]Sheet2 (2)'!$E$2</c:f>
              <c:strCache>
                <c:ptCount val="1"/>
                <c:pt idx="0">
                  <c:v>Benchmark:</c:v>
                </c:pt>
              </c:strCache>
            </c:strRef>
          </c:tx>
          <c:spPr>
            <a:ln w="25400">
              <a:solidFill>
                <a:schemeClr val="tx1"/>
              </a:solidFill>
            </a:ln>
            <a:effectLst/>
          </c:spPr>
          <c:marker>
            <c:symbol val="none"/>
          </c:marker>
          <c:dPt>
            <c:idx val="0"/>
            <c:bubble3D val="0"/>
            <c:extLst>
              <c:ext xmlns:c16="http://schemas.microsoft.com/office/drawing/2014/chart" uri="{C3380CC4-5D6E-409C-BE32-E72D297353CC}">
                <c16:uniqueId val="{00000004-FDD0-4B94-80B0-7F81255385C8}"/>
              </c:ext>
            </c:extLst>
          </c:dPt>
          <c:dLbls>
            <c:dLbl>
              <c:idx val="0"/>
              <c:delete val="1"/>
              <c:extLst>
                <c:ext xmlns:c15="http://schemas.microsoft.com/office/drawing/2012/chart" uri="{CE6537A1-D6FC-4f65-9D91-7224C49458BB}"/>
                <c:ext xmlns:c16="http://schemas.microsoft.com/office/drawing/2014/chart" uri="{C3380CC4-5D6E-409C-BE32-E72D297353CC}">
                  <c16:uniqueId val="{00000004-FDD0-4B94-80B0-7F81255385C8}"/>
                </c:ext>
              </c:extLst>
            </c:dLbl>
            <c:dLbl>
              <c:idx val="1"/>
              <c:layout>
                <c:manualLayout>
                  <c:x val="-3.3099736702040902E-2"/>
                  <c:y val="-7.9596619782427658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endParaRPr lang="en-US"/>
                </a:p>
              </c:txPr>
              <c:dLblPos val="r"/>
              <c:showLegendKey val="0"/>
              <c:showVal val="0"/>
              <c:showCatName val="1"/>
              <c:showSerName val="1"/>
              <c:showPercent val="0"/>
              <c:showBubbleSize val="0"/>
              <c:extLst>
                <c:ext xmlns:c15="http://schemas.microsoft.com/office/drawing/2012/chart" uri="{CE6537A1-D6FC-4f65-9D91-7224C49458BB}">
                  <c15:layout>
                    <c:manualLayout>
                      <c:w val="0.1744225721784777"/>
                      <c:h val="0.54408221244059418"/>
                    </c:manualLayout>
                  </c15:layout>
                </c:ext>
                <c:ext xmlns:c16="http://schemas.microsoft.com/office/drawing/2014/chart" uri="{C3380CC4-5D6E-409C-BE32-E72D297353CC}">
                  <c16:uniqueId val="{00000005-FDD0-4B94-80B0-7F81255385C8}"/>
                </c:ext>
              </c:extLst>
            </c:dLbl>
            <c:dLbl>
              <c:idx val="2"/>
              <c:delete val="1"/>
              <c:extLst>
                <c:ext xmlns:c15="http://schemas.microsoft.com/office/drawing/2012/chart" uri="{CE6537A1-D6FC-4f65-9D91-7224C49458BB}"/>
                <c:ext xmlns:c16="http://schemas.microsoft.com/office/drawing/2014/chart" uri="{C3380CC4-5D6E-409C-BE32-E72D297353CC}">
                  <c16:uniqueId val="{00000006-FDD0-4B94-80B0-7F81255385C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l"/>
            <c:showLegendKey val="0"/>
            <c:showVal val="0"/>
            <c:showCatName val="1"/>
            <c:showSerName val="1"/>
            <c:showPercent val="0"/>
            <c:showBubbleSize val="0"/>
            <c:separator> </c:separator>
            <c:showLeaderLines val="0"/>
            <c:extLst>
              <c:ext xmlns:c15="http://schemas.microsoft.com/office/drawing/2012/chart" uri="{CE6537A1-D6FC-4f65-9D91-7224C49458BB}">
                <c15:showLeaderLines val="0"/>
              </c:ext>
            </c:extLst>
          </c:dLbls>
          <c:xVal>
            <c:numRef>
              <c:f>'[Improvement target example.xlsx]Sheet2 (2)'!$E$3:$E$5</c:f>
              <c:numCache>
                <c:formatCode>0%</c:formatCode>
                <c:ptCount val="3"/>
                <c:pt idx="0">
                  <c:v>1</c:v>
                </c:pt>
                <c:pt idx="1">
                  <c:v>1</c:v>
                </c:pt>
                <c:pt idx="2">
                  <c:v>1</c:v>
                </c:pt>
              </c:numCache>
            </c:numRef>
          </c:xVal>
          <c:yVal>
            <c:numRef>
              <c:f>'[Improvement target example.xlsx]Sheet2 (2)'!$D$2:$D$5</c:f>
              <c:numCache>
                <c:formatCode>General</c:formatCode>
                <c:ptCount val="4"/>
                <c:pt idx="0">
                  <c:v>0</c:v>
                </c:pt>
                <c:pt idx="1">
                  <c:v>1</c:v>
                </c:pt>
                <c:pt idx="2">
                  <c:v>2</c:v>
                </c:pt>
              </c:numCache>
            </c:numRef>
          </c:yVal>
          <c:smooth val="0"/>
          <c:extLst>
            <c:ext xmlns:c16="http://schemas.microsoft.com/office/drawing/2014/chart" uri="{C3380CC4-5D6E-409C-BE32-E72D297353CC}">
              <c16:uniqueId val="{00000007-FDD0-4B94-80B0-7F81255385C8}"/>
            </c:ext>
          </c:extLst>
        </c:ser>
        <c:dLbls>
          <c:showLegendKey val="0"/>
          <c:showVal val="0"/>
          <c:showCatName val="0"/>
          <c:showSerName val="0"/>
          <c:showPercent val="0"/>
          <c:showBubbleSize val="0"/>
        </c:dLbls>
        <c:axId val="571361808"/>
        <c:axId val="571359512"/>
      </c:scatterChart>
      <c:valAx>
        <c:axId val="571361808"/>
        <c:scaling>
          <c:orientation val="minMax"/>
          <c:max val="1.2"/>
          <c:min val="0.4"/>
        </c:scaling>
        <c:delete val="1"/>
        <c:axPos val="b"/>
        <c:numFmt formatCode="0%" sourceLinked="1"/>
        <c:majorTickMark val="out"/>
        <c:minorTickMark val="none"/>
        <c:tickLblPos val="nextTo"/>
        <c:crossAx val="571359512"/>
        <c:crosses val="autoZero"/>
        <c:crossBetween val="midCat"/>
        <c:majorUnit val="0.2"/>
      </c:valAx>
      <c:valAx>
        <c:axId val="571359512"/>
        <c:scaling>
          <c:orientation val="minMax"/>
          <c:max val="2"/>
          <c:min val="0"/>
        </c:scaling>
        <c:delete val="1"/>
        <c:axPos val="l"/>
        <c:majorGridlines>
          <c:spPr>
            <a:ln w="9525" cap="flat" cmpd="sng" algn="ctr">
              <a:noFill/>
              <a:round/>
            </a:ln>
            <a:effectLst/>
          </c:spPr>
        </c:majorGridlines>
        <c:numFmt formatCode="General" sourceLinked="1"/>
        <c:majorTickMark val="out"/>
        <c:minorTickMark val="none"/>
        <c:tickLblPos val="nextTo"/>
        <c:crossAx val="571361808"/>
        <c:crosses val="autoZero"/>
        <c:crossBetween val="midCat"/>
        <c:min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2"/>
          <c:order val="16"/>
          <c:tx>
            <c:strRef>
              <c:f>MLA_C2_Quality!$A$18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MLA_C2_Quality!$B$1:$E$1</c:f>
              <c:strCache>
                <c:ptCount val="4"/>
                <c:pt idx="0">
                  <c:v>'22</c:v>
                </c:pt>
                <c:pt idx="1">
                  <c:v>'23</c:v>
                </c:pt>
                <c:pt idx="2">
                  <c:v>'24</c:v>
                </c:pt>
                <c:pt idx="3">
                  <c:v>'25</c:v>
                </c:pt>
              </c:strCache>
            </c:strRef>
          </c:cat>
          <c:val>
            <c:numRef>
              <c:f>MLA_C2_Quality!$B$18:$E$18</c:f>
              <c:numCache>
                <c:formatCode>0.0%</c:formatCode>
                <c:ptCount val="4"/>
                <c:pt idx="0">
                  <c:v>0.122</c:v>
                </c:pt>
                <c:pt idx="1">
                  <c:v>9.9000000000000005E-2</c:v>
                </c:pt>
                <c:pt idx="2">
                  <c:v>0.23699999999999999</c:v>
                </c:pt>
                <c:pt idx="3">
                  <c:v>0.21099999999999999</c:v>
                </c:pt>
              </c:numCache>
            </c:numRef>
          </c:val>
          <c:smooth val="0"/>
          <c:extLst>
            <c:ext xmlns:c16="http://schemas.microsoft.com/office/drawing/2014/chart" uri="{C3380CC4-5D6E-409C-BE32-E72D297353CC}">
              <c16:uniqueId val="{00000000-4A33-4677-929A-7449B58890CB}"/>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MLA_C2_Quality!$A$2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MLA_C2_Quality!$B$2:$E$2</c:f>
              <c:numCache>
                <c:formatCode>0.0%</c:formatCode>
                <c:ptCount val="4"/>
                <c:pt idx="0">
                  <c:v>0</c:v>
                </c:pt>
                <c:pt idx="1">
                  <c:v>6.0999999999999999E-2</c:v>
                </c:pt>
                <c:pt idx="2">
                  <c:v>4.2999999999999997E-2</c:v>
                </c:pt>
                <c:pt idx="3">
                  <c:v>2.7E-2</c:v>
                </c:pt>
              </c:numCache>
            </c:numRef>
          </c:yVal>
          <c:smooth val="0"/>
          <c:extLst>
            <c:ext xmlns:c16="http://schemas.microsoft.com/office/drawing/2014/chart" uri="{C3380CC4-5D6E-409C-BE32-E72D297353CC}">
              <c16:uniqueId val="{00000001-4A33-4677-929A-7449B58890CB}"/>
            </c:ext>
          </c:extLst>
        </c:ser>
        <c:ser>
          <c:idx val="1"/>
          <c:order val="1"/>
          <c:tx>
            <c:strRef>
              <c:f>MLA_C2_Quality!$A$3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MLA_C2_Quality!$B$3:$E$3</c:f>
              <c:numCache>
                <c:formatCode>0.0%</c:formatCode>
                <c:ptCount val="4"/>
                <c:pt idx="0">
                  <c:v>2.6000000000000002E-2</c:v>
                </c:pt>
                <c:pt idx="1">
                  <c:v>0</c:v>
                </c:pt>
                <c:pt idx="2">
                  <c:v>9.2999999999999999E-2</c:v>
                </c:pt>
                <c:pt idx="3">
                  <c:v>0.157</c:v>
                </c:pt>
              </c:numCache>
            </c:numRef>
          </c:yVal>
          <c:smooth val="0"/>
          <c:extLst>
            <c:ext xmlns:c16="http://schemas.microsoft.com/office/drawing/2014/chart" uri="{C3380CC4-5D6E-409C-BE32-E72D297353CC}">
              <c16:uniqueId val="{00000002-4A33-4677-929A-7449B58890CB}"/>
            </c:ext>
          </c:extLst>
        </c:ser>
        <c:ser>
          <c:idx val="2"/>
          <c:order val="2"/>
          <c:tx>
            <c:strRef>
              <c:f>MLA_C2_Quality!$A$4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MLA_C2_Quality!$B$4:$E$4</c:f>
              <c:numCache>
                <c:formatCode>0.0%</c:formatCode>
                <c:ptCount val="4"/>
                <c:pt idx="0">
                  <c:v>0</c:v>
                </c:pt>
                <c:pt idx="1">
                  <c:v>0.01</c:v>
                </c:pt>
                <c:pt idx="2">
                  <c:v>4.2000000000000003E-2</c:v>
                </c:pt>
                <c:pt idx="3">
                  <c:v>0.111</c:v>
                </c:pt>
              </c:numCache>
            </c:numRef>
          </c:yVal>
          <c:smooth val="0"/>
          <c:extLst>
            <c:ext xmlns:c16="http://schemas.microsoft.com/office/drawing/2014/chart" uri="{C3380CC4-5D6E-409C-BE32-E72D297353CC}">
              <c16:uniqueId val="{00000003-4A33-4677-929A-7449B58890CB}"/>
            </c:ext>
          </c:extLst>
        </c:ser>
        <c:ser>
          <c:idx val="3"/>
          <c:order val="3"/>
          <c:tx>
            <c:strRef>
              <c:f>MLA_C2_Quality!$A$5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MLA_C2_Quality!$B$5:$E$5</c:f>
              <c:numCache>
                <c:formatCode>0.0%</c:formatCode>
                <c:ptCount val="4"/>
                <c:pt idx="0">
                  <c:v>6.3E-2</c:v>
                </c:pt>
                <c:pt idx="1">
                  <c:v>1.4999999999999999E-2</c:v>
                </c:pt>
                <c:pt idx="2">
                  <c:v>4.9000000000000002E-2</c:v>
                </c:pt>
                <c:pt idx="3">
                  <c:v>6.5000000000000002E-2</c:v>
                </c:pt>
              </c:numCache>
            </c:numRef>
          </c:yVal>
          <c:smooth val="0"/>
          <c:extLst>
            <c:ext xmlns:c16="http://schemas.microsoft.com/office/drawing/2014/chart" uri="{C3380CC4-5D6E-409C-BE32-E72D297353CC}">
              <c16:uniqueId val="{00000004-4A33-4677-929A-7449B58890CB}"/>
            </c:ext>
          </c:extLst>
        </c:ser>
        <c:ser>
          <c:idx val="4"/>
          <c:order val="4"/>
          <c:tx>
            <c:strRef>
              <c:f>MLA_C2_Quality!$A$6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MLA_C2_Quality!$B$6:$E$6</c:f>
              <c:numCache>
                <c:formatCode>0.0%</c:formatCode>
                <c:ptCount val="4"/>
                <c:pt idx="0">
                  <c:v>6.9999999999999993E-3</c:v>
                </c:pt>
                <c:pt idx="1">
                  <c:v>0.107</c:v>
                </c:pt>
                <c:pt idx="2">
                  <c:v>0.11</c:v>
                </c:pt>
                <c:pt idx="3">
                  <c:v>0.08</c:v>
                </c:pt>
              </c:numCache>
            </c:numRef>
          </c:yVal>
          <c:smooth val="0"/>
          <c:extLst>
            <c:ext xmlns:c16="http://schemas.microsoft.com/office/drawing/2014/chart" uri="{C3380CC4-5D6E-409C-BE32-E72D297353CC}">
              <c16:uniqueId val="{00000005-4A33-4677-929A-7449B58890CB}"/>
            </c:ext>
          </c:extLst>
        </c:ser>
        <c:ser>
          <c:idx val="5"/>
          <c:order val="5"/>
          <c:tx>
            <c:strRef>
              <c:f>MLA_C2_Quality!$A$7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MLA_C2_Quality!$B$7:$E$7</c:f>
              <c:numCache>
                <c:formatCode>0.0%</c:formatCode>
                <c:ptCount val="4"/>
                <c:pt idx="0">
                  <c:v>3.7999999999999999E-2</c:v>
                </c:pt>
                <c:pt idx="1">
                  <c:v>7.0000000000000007E-2</c:v>
                </c:pt>
                <c:pt idx="2">
                  <c:v>0.158</c:v>
                </c:pt>
                <c:pt idx="3">
                  <c:v>0.19400000000000001</c:v>
                </c:pt>
              </c:numCache>
            </c:numRef>
          </c:yVal>
          <c:smooth val="0"/>
          <c:extLst>
            <c:ext xmlns:c16="http://schemas.microsoft.com/office/drawing/2014/chart" uri="{C3380CC4-5D6E-409C-BE32-E72D297353CC}">
              <c16:uniqueId val="{00000006-4A33-4677-929A-7449B58890CB}"/>
            </c:ext>
          </c:extLst>
        </c:ser>
        <c:ser>
          <c:idx val="6"/>
          <c:order val="6"/>
          <c:tx>
            <c:strRef>
              <c:f>MLA_C2_Quality!$A$8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MLA_C2_Quality!$B$8:$E$8</c:f>
              <c:numCache>
                <c:formatCode>0.0%</c:formatCode>
                <c:ptCount val="4"/>
                <c:pt idx="1">
                  <c:v>0.02</c:v>
                </c:pt>
                <c:pt idx="2">
                  <c:v>1.0999999999999999E-2</c:v>
                </c:pt>
                <c:pt idx="3">
                  <c:v>3.7999999999999999E-2</c:v>
                </c:pt>
              </c:numCache>
            </c:numRef>
          </c:yVal>
          <c:smooth val="0"/>
          <c:extLst>
            <c:ext xmlns:c16="http://schemas.microsoft.com/office/drawing/2014/chart" uri="{C3380CC4-5D6E-409C-BE32-E72D297353CC}">
              <c16:uniqueId val="{00000007-4A33-4677-929A-7449B58890CB}"/>
            </c:ext>
          </c:extLst>
        </c:ser>
        <c:ser>
          <c:idx val="7"/>
          <c:order val="7"/>
          <c:tx>
            <c:strRef>
              <c:f>MLA_C2_Quality!$A$9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MLA_C2_Quality!$B$9:$E$9</c:f>
              <c:numCache>
                <c:formatCode>0.0%</c:formatCode>
                <c:ptCount val="4"/>
                <c:pt idx="0">
                  <c:v>5.2999999999999999E-2</c:v>
                </c:pt>
                <c:pt idx="1">
                  <c:v>4.1000000000000002E-2</c:v>
                </c:pt>
                <c:pt idx="2">
                  <c:v>0.111</c:v>
                </c:pt>
                <c:pt idx="3">
                  <c:v>0.106</c:v>
                </c:pt>
              </c:numCache>
            </c:numRef>
          </c:yVal>
          <c:smooth val="0"/>
          <c:extLst>
            <c:ext xmlns:c16="http://schemas.microsoft.com/office/drawing/2014/chart" uri="{C3380CC4-5D6E-409C-BE32-E72D297353CC}">
              <c16:uniqueId val="{00000008-4A33-4677-929A-7449B58890CB}"/>
            </c:ext>
          </c:extLst>
        </c:ser>
        <c:ser>
          <c:idx val="8"/>
          <c:order val="8"/>
          <c:tx>
            <c:strRef>
              <c:f>MLA_C2_Quality!$A$10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MLA_C2_Quality!$B$10:$E$10</c:f>
              <c:numCache>
                <c:formatCode>0.0%</c:formatCode>
                <c:ptCount val="4"/>
                <c:pt idx="0">
                  <c:v>6.7000000000000004E-2</c:v>
                </c:pt>
                <c:pt idx="1">
                  <c:v>0.108</c:v>
                </c:pt>
                <c:pt idx="2">
                  <c:v>0.14599999999999999</c:v>
                </c:pt>
                <c:pt idx="3">
                  <c:v>0.126</c:v>
                </c:pt>
              </c:numCache>
            </c:numRef>
          </c:yVal>
          <c:smooth val="0"/>
          <c:extLst>
            <c:ext xmlns:c16="http://schemas.microsoft.com/office/drawing/2014/chart" uri="{C3380CC4-5D6E-409C-BE32-E72D297353CC}">
              <c16:uniqueId val="{00000009-4A33-4677-929A-7449B58890CB}"/>
            </c:ext>
          </c:extLst>
        </c:ser>
        <c:ser>
          <c:idx val="9"/>
          <c:order val="9"/>
          <c:tx>
            <c:strRef>
              <c:f>MLA_C2_Quality!$A$11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MLA_C2_Quality!$B$11:$E$11</c:f>
              <c:numCache>
                <c:formatCode>0.0%</c:formatCode>
                <c:ptCount val="4"/>
                <c:pt idx="0">
                  <c:v>1.3000000000000001E-2</c:v>
                </c:pt>
                <c:pt idx="1">
                  <c:v>0.21299999999999999</c:v>
                </c:pt>
                <c:pt idx="2">
                  <c:v>1.4999999999999999E-2</c:v>
                </c:pt>
                <c:pt idx="3">
                  <c:v>0.188</c:v>
                </c:pt>
              </c:numCache>
            </c:numRef>
          </c:yVal>
          <c:smooth val="0"/>
          <c:extLst>
            <c:ext xmlns:c16="http://schemas.microsoft.com/office/drawing/2014/chart" uri="{C3380CC4-5D6E-409C-BE32-E72D297353CC}">
              <c16:uniqueId val="{0000000A-4A33-4677-929A-7449B58890CB}"/>
            </c:ext>
          </c:extLst>
        </c:ser>
        <c:ser>
          <c:idx val="10"/>
          <c:order val="10"/>
          <c:tx>
            <c:strRef>
              <c:f>MLA_C2_Quality!$A$12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MLA_C2_Quality!$B$12:$E$12</c:f>
              <c:numCache>
                <c:formatCode>0.0%</c:formatCode>
                <c:ptCount val="4"/>
                <c:pt idx="0">
                  <c:v>4.7E-2</c:v>
                </c:pt>
                <c:pt idx="1">
                  <c:v>0.20699999999999999</c:v>
                </c:pt>
                <c:pt idx="2">
                  <c:v>0.11700000000000001</c:v>
                </c:pt>
                <c:pt idx="3">
                  <c:v>0.122</c:v>
                </c:pt>
              </c:numCache>
            </c:numRef>
          </c:yVal>
          <c:smooth val="0"/>
          <c:extLst>
            <c:ext xmlns:c16="http://schemas.microsoft.com/office/drawing/2014/chart" uri="{C3380CC4-5D6E-409C-BE32-E72D297353CC}">
              <c16:uniqueId val="{0000000B-4A33-4677-929A-7449B58890CB}"/>
            </c:ext>
          </c:extLst>
        </c:ser>
        <c:ser>
          <c:idx val="11"/>
          <c:order val="11"/>
          <c:tx>
            <c:strRef>
              <c:f>MLA_C2_Quality!$A$13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MLA_C2_Quality!$B$13:$E$13</c:f>
              <c:numCache>
                <c:formatCode>0.0%</c:formatCode>
                <c:ptCount val="4"/>
                <c:pt idx="0">
                  <c:v>8.5999999999999993E-2</c:v>
                </c:pt>
                <c:pt idx="1">
                  <c:v>0.156</c:v>
                </c:pt>
                <c:pt idx="2">
                  <c:v>0.151</c:v>
                </c:pt>
                <c:pt idx="3">
                  <c:v>0.14899999999999999</c:v>
                </c:pt>
              </c:numCache>
            </c:numRef>
          </c:yVal>
          <c:smooth val="0"/>
          <c:extLst>
            <c:ext xmlns:c16="http://schemas.microsoft.com/office/drawing/2014/chart" uri="{C3380CC4-5D6E-409C-BE32-E72D297353CC}">
              <c16:uniqueId val="{0000000C-4A33-4677-929A-7449B58890CB}"/>
            </c:ext>
          </c:extLst>
        </c:ser>
        <c:ser>
          <c:idx val="13"/>
          <c:order val="12"/>
          <c:tx>
            <c:strRef>
              <c:f>MLA_C2_Quality!$A$14</c:f>
              <c:strCache>
                <c:ptCount val="1"/>
                <c:pt idx="0">
                  <c:v>Statewide</c:v>
                </c:pt>
              </c:strCache>
            </c:strRef>
          </c:tx>
          <c:spPr>
            <a:ln w="28575" cap="rnd">
              <a:solidFill>
                <a:schemeClr val="accent1">
                  <a:lumMod val="75000"/>
                </a:schemeClr>
              </a:solidFill>
              <a:round/>
            </a:ln>
            <a:effectLst/>
          </c:spPr>
          <c:marker>
            <c:symbol val="none"/>
          </c:marker>
          <c:xVal>
            <c:strRef>
              <c:f>MLA_C2_Quality!$B$1:$E$1</c:f>
              <c:strCache>
                <c:ptCount val="4"/>
                <c:pt idx="0">
                  <c:v>'22</c:v>
                </c:pt>
                <c:pt idx="1">
                  <c:v>'23</c:v>
                </c:pt>
                <c:pt idx="2">
                  <c:v>'24</c:v>
                </c:pt>
                <c:pt idx="3">
                  <c:v>'25</c:v>
                </c:pt>
              </c:strCache>
            </c:strRef>
          </c:xVal>
          <c:yVal>
            <c:numRef>
              <c:f>MLA_C2_Quality!$B$14:$E$14</c:f>
              <c:numCache>
                <c:formatCode>0.0%</c:formatCode>
                <c:ptCount val="4"/>
                <c:pt idx="0">
                  <c:v>5.5999999999999994E-2</c:v>
                </c:pt>
                <c:pt idx="1">
                  <c:v>0.107</c:v>
                </c:pt>
                <c:pt idx="2">
                  <c:v>0.14399999999999999</c:v>
                </c:pt>
                <c:pt idx="3">
                  <c:v>0.16900000000000001</c:v>
                </c:pt>
              </c:numCache>
            </c:numRef>
          </c:yVal>
          <c:smooth val="0"/>
          <c:extLst>
            <c:ext xmlns:c16="http://schemas.microsoft.com/office/drawing/2014/chart" uri="{C3380CC4-5D6E-409C-BE32-E72D297353CC}">
              <c16:uniqueId val="{0000000D-4A33-4677-929A-7449B58890CB}"/>
            </c:ext>
          </c:extLst>
        </c:ser>
        <c:ser>
          <c:idx val="14"/>
          <c:order val="13"/>
          <c:tx>
            <c:strRef>
              <c:f>MLA_C2_Quality!$A$15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MLA_C2_Quality!$B$15:$E$15</c:f>
              <c:numCache>
                <c:formatCode>0.0%</c:formatCode>
                <c:ptCount val="4"/>
                <c:pt idx="0">
                  <c:v>0.105</c:v>
                </c:pt>
                <c:pt idx="1">
                  <c:v>0.13400000000000001</c:v>
                </c:pt>
                <c:pt idx="2">
                  <c:v>0.17499999999999999</c:v>
                </c:pt>
                <c:pt idx="3">
                  <c:v>0.23200000000000001</c:v>
                </c:pt>
              </c:numCache>
            </c:numRef>
          </c:yVal>
          <c:smooth val="0"/>
          <c:extLst>
            <c:ext xmlns:c16="http://schemas.microsoft.com/office/drawing/2014/chart" uri="{C3380CC4-5D6E-409C-BE32-E72D297353CC}">
              <c16:uniqueId val="{0000000E-4A33-4677-929A-7449B58890CB}"/>
            </c:ext>
          </c:extLst>
        </c:ser>
        <c:ser>
          <c:idx val="15"/>
          <c:order val="14"/>
          <c:tx>
            <c:strRef>
              <c:f>MLA_C2_Quality!$A$16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MLA_C2_Quality!$B$16:$E$16</c:f>
              <c:numCache>
                <c:formatCode>0.0%</c:formatCode>
                <c:ptCount val="4"/>
                <c:pt idx="0">
                  <c:v>6.3E-2</c:v>
                </c:pt>
                <c:pt idx="1">
                  <c:v>6.6000000000000003E-2</c:v>
                </c:pt>
                <c:pt idx="2">
                  <c:v>0.14799999999999999</c:v>
                </c:pt>
                <c:pt idx="3">
                  <c:v>0.13900000000000001</c:v>
                </c:pt>
              </c:numCache>
            </c:numRef>
          </c:yVal>
          <c:smooth val="0"/>
          <c:extLst>
            <c:ext xmlns:c16="http://schemas.microsoft.com/office/drawing/2014/chart" uri="{C3380CC4-5D6E-409C-BE32-E72D297353CC}">
              <c16:uniqueId val="{0000000F-4A33-4677-929A-7449B58890CB}"/>
            </c:ext>
          </c:extLst>
        </c:ser>
        <c:ser>
          <c:idx val="16"/>
          <c:order val="15"/>
          <c:tx>
            <c:strRef>
              <c:f>MLA_C2_Quality!$A$17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MLA_C2_Quality!$B$17:$E$17</c:f>
              <c:numCache>
                <c:formatCode>0.0%</c:formatCode>
                <c:ptCount val="4"/>
                <c:pt idx="0">
                  <c:v>4.0000000000000001E-3</c:v>
                </c:pt>
                <c:pt idx="1">
                  <c:v>4.1000000000000002E-2</c:v>
                </c:pt>
                <c:pt idx="2">
                  <c:v>7.9000000000000001E-2</c:v>
                </c:pt>
                <c:pt idx="3">
                  <c:v>0.13700000000000001</c:v>
                </c:pt>
              </c:numCache>
            </c:numRef>
          </c:yVal>
          <c:smooth val="0"/>
          <c:extLst>
            <c:ext xmlns:c16="http://schemas.microsoft.com/office/drawing/2014/chart" uri="{C3380CC4-5D6E-409C-BE32-E72D297353CC}">
              <c16:uniqueId val="{00000010-4A33-4677-929A-7449B58890CB}"/>
            </c:ext>
          </c:extLst>
        </c:ser>
        <c:ser>
          <c:idx val="17"/>
          <c:order val="17"/>
          <c:tx>
            <c:strRef>
              <c:f>MLA_C2_Quality!$A$20</c:f>
              <c:strCache>
                <c:ptCount val="1"/>
                <c:pt idx="0">
                  <c:v>CCO statewide</c:v>
                </c:pt>
              </c:strCache>
            </c:strRef>
          </c:tx>
          <c:spPr>
            <a:ln w="25400" cap="rnd">
              <a:noFill/>
              <a:round/>
            </a:ln>
            <a:effectLst/>
          </c:spPr>
          <c:marker>
            <c:symbol val="circle"/>
            <c:size val="7"/>
            <c:spPr>
              <a:solidFill>
                <a:schemeClr val="accent1">
                  <a:lumMod val="75000"/>
                </a:schemeClr>
              </a:solidFill>
              <a:ln w="9525">
                <a:noFill/>
              </a:ln>
              <a:effectLst/>
            </c:spPr>
          </c:marker>
          <c:xVal>
            <c:strRef>
              <c:f>MLA_C2_Quality!$B$1:$E$1</c:f>
              <c:strCache>
                <c:ptCount val="4"/>
                <c:pt idx="0">
                  <c:v>'22</c:v>
                </c:pt>
                <c:pt idx="1">
                  <c:v>'23</c:v>
                </c:pt>
                <c:pt idx="2">
                  <c:v>'24</c:v>
                </c:pt>
                <c:pt idx="3">
                  <c:v>'25</c:v>
                </c:pt>
              </c:strCache>
            </c:strRef>
          </c:xVal>
          <c:yVal>
            <c:numRef>
              <c:f>MLA_C2_Quality!$B$20:$E$20</c:f>
              <c:numCache>
                <c:formatCode>0.0%</c:formatCode>
                <c:ptCount val="4"/>
                <c:pt idx="0">
                  <c:v>5.5999999999999994E-2</c:v>
                </c:pt>
                <c:pt idx="1">
                  <c:v>0.107</c:v>
                </c:pt>
                <c:pt idx="2">
                  <c:v>0.14399999999999999</c:v>
                </c:pt>
                <c:pt idx="3">
                  <c:v>0.16900000000000001</c:v>
                </c:pt>
              </c:numCache>
            </c:numRef>
          </c:yVal>
          <c:smooth val="0"/>
          <c:extLst>
            <c:ext xmlns:c16="http://schemas.microsoft.com/office/drawing/2014/chart" uri="{C3380CC4-5D6E-409C-BE32-E72D297353CC}">
              <c16:uniqueId val="{00000011-4A33-4677-929A-7449B58890CB}"/>
            </c:ext>
          </c:extLst>
        </c:ser>
        <c:ser>
          <c:idx val="19"/>
          <c:order val="18"/>
          <c:tx>
            <c:v>Individual CCOs</c:v>
          </c:tx>
          <c:spPr>
            <a:ln w="25400" cap="rnd">
              <a:noFill/>
              <a:round/>
            </a:ln>
            <a:effectLst/>
          </c:spPr>
          <c:marker>
            <c:symbol val="circle"/>
            <c:size val="6"/>
            <c:spPr>
              <a:noFill/>
              <a:ln w="9525">
                <a:solidFill>
                  <a:srgbClr val="606060"/>
                </a:solidFill>
              </a:ln>
              <a:effectLst/>
            </c:spPr>
          </c:marker>
          <c:xVal>
            <c:strRef>
              <c:f>MLA_C2_Quality!$B$1:$E$1</c:f>
              <c:strCache>
                <c:ptCount val="4"/>
                <c:pt idx="0">
                  <c:v>'22</c:v>
                </c:pt>
                <c:pt idx="1">
                  <c:v>'23</c:v>
                </c:pt>
                <c:pt idx="2">
                  <c:v>'24</c:v>
                </c:pt>
                <c:pt idx="3">
                  <c:v>'25</c:v>
                </c:pt>
              </c:strCache>
            </c:strRef>
          </c:xVal>
          <c:yVal>
            <c:numRef>
              <c:f>MLA_C2_Quality!$B$19:$E$19</c:f>
              <c:numCache>
                <c:formatCode>0.0%</c:formatCode>
                <c:ptCount val="4"/>
                <c:pt idx="0">
                  <c:v>0.122</c:v>
                </c:pt>
                <c:pt idx="1">
                  <c:v>9.9000000000000005E-2</c:v>
                </c:pt>
                <c:pt idx="2">
                  <c:v>0.23699999999999999</c:v>
                </c:pt>
                <c:pt idx="3">
                  <c:v>0.21099999999999999</c:v>
                </c:pt>
              </c:numCache>
            </c:numRef>
          </c:yVal>
          <c:smooth val="0"/>
          <c:extLst>
            <c:ext xmlns:c16="http://schemas.microsoft.com/office/drawing/2014/chart" uri="{C3380CC4-5D6E-409C-BE32-E72D297353CC}">
              <c16:uniqueId val="{00000012-4A33-4677-929A-7449B58890CB}"/>
            </c:ext>
          </c:extLst>
        </c:ser>
        <c:ser>
          <c:idx val="18"/>
          <c:order val="19"/>
          <c:tx>
            <c:strRef>
              <c:f>MLA_C2_Quality!$A$21</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dLbls>
            <c:dLbl>
              <c:idx val="1"/>
              <c:tx>
                <c:rich>
                  <a:bodyPr/>
                  <a:lstStyle/>
                  <a:p>
                    <a:r>
                      <a:rPr lang="en-US"/>
                      <a:t>Benchmark</a:t>
                    </a:r>
                  </a:p>
                </c:rich>
              </c:tx>
              <c:dLblPos val="l"/>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4A33-4677-929A-7449B58890C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endParaRPr lang="en-US"/>
              </a:p>
            </c:txPr>
            <c:dLblPos val="l"/>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MLA_C2_Quality!$B$1:$E$1</c:f>
              <c:strCache>
                <c:ptCount val="4"/>
                <c:pt idx="0">
                  <c:v>'22</c:v>
                </c:pt>
                <c:pt idx="1">
                  <c:v>'23</c:v>
                </c:pt>
                <c:pt idx="2">
                  <c:v>'24</c:v>
                </c:pt>
                <c:pt idx="3">
                  <c:v>'25</c:v>
                </c:pt>
              </c:strCache>
            </c:strRef>
          </c:xVal>
          <c:yVal>
            <c:numRef>
              <c:f>MLA_C2_Quality!$B$21:$E$21</c:f>
              <c:numCache>
                <c:formatCode>0.0%</c:formatCode>
                <c:ptCount val="4"/>
                <c:pt idx="1">
                  <c:v>0.75</c:v>
                </c:pt>
                <c:pt idx="2">
                  <c:v>0.75</c:v>
                </c:pt>
                <c:pt idx="3">
                  <c:v>0.5</c:v>
                </c:pt>
              </c:numCache>
            </c:numRef>
          </c:yVal>
          <c:smooth val="0"/>
          <c:extLst>
            <c:ext xmlns:c16="http://schemas.microsoft.com/office/drawing/2014/chart" uri="{C3380CC4-5D6E-409C-BE32-E72D297353CC}">
              <c16:uniqueId val="{00000014-4A33-4677-929A-7449B58890CB}"/>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5"/>
        <c:minorUnit val="0.25"/>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9"/>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ptos" panose="020B00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b="0">
                <a:solidFill>
                  <a:schemeClr val="accent1">
                    <a:lumMod val="75000"/>
                  </a:schemeClr>
                </a:solidFill>
                <a:latin typeface="+mn-lt"/>
              </a:rPr>
              <a:t>Ages</a:t>
            </a:r>
            <a:r>
              <a:rPr lang="en-US" sz="1200" b="0" baseline="0">
                <a:solidFill>
                  <a:schemeClr val="accent1">
                    <a:lumMod val="75000"/>
                  </a:schemeClr>
                </a:solidFill>
                <a:latin typeface="+mn-lt"/>
              </a:rPr>
              <a:t> 1-5</a:t>
            </a:r>
            <a:endParaRPr lang="en-US" sz="1200" b="0">
              <a:solidFill>
                <a:schemeClr val="accent1">
                  <a:lumMod val="75000"/>
                </a:schemeClr>
              </a:solidFill>
              <a:latin typeface="+mn-l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PrevDentOral_0105!$A$18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PrevDentOral_0105!$B$1:$I$1</c:f>
              <c:strCache>
                <c:ptCount val="8"/>
                <c:pt idx="0">
                  <c:v>'18</c:v>
                </c:pt>
                <c:pt idx="1">
                  <c:v>'19</c:v>
                </c:pt>
                <c:pt idx="2">
                  <c:v>'20</c:v>
                </c:pt>
                <c:pt idx="3">
                  <c:v>'21</c:v>
                </c:pt>
                <c:pt idx="4">
                  <c:v>'22</c:v>
                </c:pt>
                <c:pt idx="5">
                  <c:v>'23</c:v>
                </c:pt>
                <c:pt idx="6">
                  <c:v>'24</c:v>
                </c:pt>
                <c:pt idx="7">
                  <c:v>'25</c:v>
                </c:pt>
              </c:strCache>
            </c:strRef>
          </c:cat>
          <c:val>
            <c:numRef>
              <c:f>PrevDentOral_0105!$B$18:$I$18</c:f>
              <c:numCache>
                <c:formatCode>0.0%</c:formatCode>
                <c:ptCount val="8"/>
                <c:pt idx="0">
                  <c:v>0.47700000000000004</c:v>
                </c:pt>
                <c:pt idx="1">
                  <c:v>0.52500000000000002</c:v>
                </c:pt>
                <c:pt idx="2">
                  <c:v>0.44200000000000006</c:v>
                </c:pt>
                <c:pt idx="3">
                  <c:v>0.48899999999999999</c:v>
                </c:pt>
                <c:pt idx="4">
                  <c:v>0.48299999999999998</c:v>
                </c:pt>
                <c:pt idx="5">
                  <c:v>0.56699999999999995</c:v>
                </c:pt>
                <c:pt idx="6">
                  <c:v>0.56299999999999994</c:v>
                </c:pt>
                <c:pt idx="7">
                  <c:v>0.626</c:v>
                </c:pt>
              </c:numCache>
            </c:numRef>
          </c:val>
          <c:smooth val="0"/>
          <c:extLst>
            <c:ext xmlns:c16="http://schemas.microsoft.com/office/drawing/2014/chart" uri="{C3380CC4-5D6E-409C-BE32-E72D297353CC}">
              <c16:uniqueId val="{00000000-8B64-4A6C-838F-5C5B2B50C34B}"/>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PrevDentOral_0105!$A$2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PrevDentOral_0105!$B$2:$I$2</c:f>
              <c:numCache>
                <c:formatCode>0.0%</c:formatCode>
                <c:ptCount val="8"/>
                <c:pt idx="0">
                  <c:v>0.45</c:v>
                </c:pt>
                <c:pt idx="1">
                  <c:v>0.42100000000000004</c:v>
                </c:pt>
                <c:pt idx="2">
                  <c:v>0.33200000000000002</c:v>
                </c:pt>
                <c:pt idx="3">
                  <c:v>0.44900000000000001</c:v>
                </c:pt>
                <c:pt idx="4">
                  <c:v>0.52400000000000002</c:v>
                </c:pt>
                <c:pt idx="5">
                  <c:v>0.59599999999999997</c:v>
                </c:pt>
                <c:pt idx="6">
                  <c:v>0.69199999999999984</c:v>
                </c:pt>
                <c:pt idx="7">
                  <c:v>0.68400000000000005</c:v>
                </c:pt>
              </c:numCache>
            </c:numRef>
          </c:yVal>
          <c:smooth val="0"/>
          <c:extLst>
            <c:ext xmlns:c16="http://schemas.microsoft.com/office/drawing/2014/chart" uri="{C3380CC4-5D6E-409C-BE32-E72D297353CC}">
              <c16:uniqueId val="{00000001-8B64-4A6C-838F-5C5B2B50C34B}"/>
            </c:ext>
          </c:extLst>
        </c:ser>
        <c:ser>
          <c:idx val="1"/>
          <c:order val="1"/>
          <c:tx>
            <c:strRef>
              <c:f>PrevDentOral_0105!$A$3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PrevDentOral_0105!$B$3:$I$3</c:f>
              <c:numCache>
                <c:formatCode>0.0%</c:formatCode>
                <c:ptCount val="8"/>
                <c:pt idx="0">
                  <c:v>0.44400000000000001</c:v>
                </c:pt>
                <c:pt idx="1">
                  <c:v>0.45900000000000002</c:v>
                </c:pt>
                <c:pt idx="2">
                  <c:v>0.435</c:v>
                </c:pt>
                <c:pt idx="3">
                  <c:v>0.505</c:v>
                </c:pt>
                <c:pt idx="4">
                  <c:v>0.57500000000000007</c:v>
                </c:pt>
                <c:pt idx="5">
                  <c:v>0.61599999999999999</c:v>
                </c:pt>
                <c:pt idx="6">
                  <c:v>0.66</c:v>
                </c:pt>
                <c:pt idx="7">
                  <c:v>0.59599999999999997</c:v>
                </c:pt>
              </c:numCache>
            </c:numRef>
          </c:yVal>
          <c:smooth val="0"/>
          <c:extLst>
            <c:ext xmlns:c16="http://schemas.microsoft.com/office/drawing/2014/chart" uri="{C3380CC4-5D6E-409C-BE32-E72D297353CC}">
              <c16:uniqueId val="{00000002-8B64-4A6C-838F-5C5B2B50C34B}"/>
            </c:ext>
          </c:extLst>
        </c:ser>
        <c:ser>
          <c:idx val="2"/>
          <c:order val="2"/>
          <c:tx>
            <c:strRef>
              <c:f>PrevDentOral_0105!$A$4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PrevDentOral_0105!$B$4:$I$4</c:f>
              <c:numCache>
                <c:formatCode>0.0%</c:formatCode>
                <c:ptCount val="8"/>
                <c:pt idx="0">
                  <c:v>0.36</c:v>
                </c:pt>
                <c:pt idx="1">
                  <c:v>0.42200000000000004</c:v>
                </c:pt>
                <c:pt idx="2">
                  <c:v>0.44400000000000001</c:v>
                </c:pt>
                <c:pt idx="3">
                  <c:v>0.55900000000000005</c:v>
                </c:pt>
                <c:pt idx="4">
                  <c:v>0.54100000000000004</c:v>
                </c:pt>
                <c:pt idx="5">
                  <c:v>0.58799999999999997</c:v>
                </c:pt>
                <c:pt idx="6">
                  <c:v>0.57599999999999996</c:v>
                </c:pt>
                <c:pt idx="7">
                  <c:v>0.57099999999999995</c:v>
                </c:pt>
              </c:numCache>
            </c:numRef>
          </c:yVal>
          <c:smooth val="0"/>
          <c:extLst>
            <c:ext xmlns:c16="http://schemas.microsoft.com/office/drawing/2014/chart" uri="{C3380CC4-5D6E-409C-BE32-E72D297353CC}">
              <c16:uniqueId val="{00000003-8B64-4A6C-838F-5C5B2B50C34B}"/>
            </c:ext>
          </c:extLst>
        </c:ser>
        <c:ser>
          <c:idx val="3"/>
          <c:order val="3"/>
          <c:tx>
            <c:strRef>
              <c:f>PrevDentOral_0105!$A$5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PrevDentOral_0105!$B$5:$I$5</c:f>
              <c:numCache>
                <c:formatCode>0.0%</c:formatCode>
                <c:ptCount val="8"/>
                <c:pt idx="0">
                  <c:v>0.33200000000000002</c:v>
                </c:pt>
                <c:pt idx="1">
                  <c:v>0.35600000000000004</c:v>
                </c:pt>
                <c:pt idx="2">
                  <c:v>0.32700000000000001</c:v>
                </c:pt>
                <c:pt idx="3">
                  <c:v>0.42100000000000004</c:v>
                </c:pt>
                <c:pt idx="4">
                  <c:v>0.42399999999999999</c:v>
                </c:pt>
                <c:pt idx="5">
                  <c:v>0.47199999999999998</c:v>
                </c:pt>
                <c:pt idx="6">
                  <c:v>0.54500000000000004</c:v>
                </c:pt>
                <c:pt idx="7">
                  <c:v>0.51900000000000002</c:v>
                </c:pt>
              </c:numCache>
            </c:numRef>
          </c:yVal>
          <c:smooth val="0"/>
          <c:extLst>
            <c:ext xmlns:c16="http://schemas.microsoft.com/office/drawing/2014/chart" uri="{C3380CC4-5D6E-409C-BE32-E72D297353CC}">
              <c16:uniqueId val="{00000004-8B64-4A6C-838F-5C5B2B50C34B}"/>
            </c:ext>
          </c:extLst>
        </c:ser>
        <c:ser>
          <c:idx val="4"/>
          <c:order val="4"/>
          <c:tx>
            <c:strRef>
              <c:f>PrevDentOral_0105!$A$6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PrevDentOral_0105!$B$6:$I$6</c:f>
              <c:numCache>
                <c:formatCode>0.0%</c:formatCode>
                <c:ptCount val="8"/>
                <c:pt idx="0">
                  <c:v>0.44700000000000006</c:v>
                </c:pt>
                <c:pt idx="1">
                  <c:v>0.42499999999999999</c:v>
                </c:pt>
                <c:pt idx="2">
                  <c:v>0.35299999999999998</c:v>
                </c:pt>
                <c:pt idx="3">
                  <c:v>0.45900000000000002</c:v>
                </c:pt>
                <c:pt idx="4">
                  <c:v>0.48200000000000004</c:v>
                </c:pt>
                <c:pt idx="5">
                  <c:v>0.60699999999999998</c:v>
                </c:pt>
                <c:pt idx="6">
                  <c:v>0.65700000000000003</c:v>
                </c:pt>
                <c:pt idx="7">
                  <c:v>0.63500000000000001</c:v>
                </c:pt>
              </c:numCache>
            </c:numRef>
          </c:yVal>
          <c:smooth val="0"/>
          <c:extLst>
            <c:ext xmlns:c16="http://schemas.microsoft.com/office/drawing/2014/chart" uri="{C3380CC4-5D6E-409C-BE32-E72D297353CC}">
              <c16:uniqueId val="{00000005-8B64-4A6C-838F-5C5B2B50C34B}"/>
            </c:ext>
          </c:extLst>
        </c:ser>
        <c:ser>
          <c:idx val="5"/>
          <c:order val="5"/>
          <c:tx>
            <c:strRef>
              <c:f>PrevDentOral_0105!$A$7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PrevDentOral_0105!$B$7:$I$7</c:f>
              <c:numCache>
                <c:formatCode>0.0%</c:formatCode>
                <c:ptCount val="8"/>
                <c:pt idx="0">
                  <c:v>0.44</c:v>
                </c:pt>
                <c:pt idx="1">
                  <c:v>0.44</c:v>
                </c:pt>
                <c:pt idx="2">
                  <c:v>0.36100000000000004</c:v>
                </c:pt>
                <c:pt idx="3">
                  <c:v>0.45200000000000001</c:v>
                </c:pt>
                <c:pt idx="4">
                  <c:v>0.49</c:v>
                </c:pt>
                <c:pt idx="5">
                  <c:v>0.55100000000000005</c:v>
                </c:pt>
                <c:pt idx="6">
                  <c:v>0.60399999999999998</c:v>
                </c:pt>
                <c:pt idx="7">
                  <c:v>0.626</c:v>
                </c:pt>
              </c:numCache>
            </c:numRef>
          </c:yVal>
          <c:smooth val="0"/>
          <c:extLst>
            <c:ext xmlns:c16="http://schemas.microsoft.com/office/drawing/2014/chart" uri="{C3380CC4-5D6E-409C-BE32-E72D297353CC}">
              <c16:uniqueId val="{00000006-8B64-4A6C-838F-5C5B2B50C34B}"/>
            </c:ext>
          </c:extLst>
        </c:ser>
        <c:ser>
          <c:idx val="6"/>
          <c:order val="6"/>
          <c:tx>
            <c:strRef>
              <c:f>PrevDentOral_0105!$A$8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PrevDentOral_0105!$B$8:$I$8</c:f>
              <c:numCache>
                <c:formatCode>0.0%</c:formatCode>
                <c:ptCount val="8"/>
                <c:pt idx="0">
                  <c:v>0.36700000000000005</c:v>
                </c:pt>
                <c:pt idx="1">
                  <c:v>0.41399999999999998</c:v>
                </c:pt>
                <c:pt idx="2">
                  <c:v>0.378</c:v>
                </c:pt>
                <c:pt idx="3">
                  <c:v>0.52500000000000002</c:v>
                </c:pt>
                <c:pt idx="4">
                  <c:v>0.53200000000000003</c:v>
                </c:pt>
                <c:pt idx="5">
                  <c:v>0.56799999999999995</c:v>
                </c:pt>
                <c:pt idx="6">
                  <c:v>0.622</c:v>
                </c:pt>
                <c:pt idx="7">
                  <c:v>0.65500000000000003</c:v>
                </c:pt>
              </c:numCache>
            </c:numRef>
          </c:yVal>
          <c:smooth val="0"/>
          <c:extLst>
            <c:ext xmlns:c16="http://schemas.microsoft.com/office/drawing/2014/chart" uri="{C3380CC4-5D6E-409C-BE32-E72D297353CC}">
              <c16:uniqueId val="{00000007-8B64-4A6C-838F-5C5B2B50C34B}"/>
            </c:ext>
          </c:extLst>
        </c:ser>
        <c:ser>
          <c:idx val="7"/>
          <c:order val="7"/>
          <c:tx>
            <c:strRef>
              <c:f>PrevDentOral_0105!$A$9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PrevDentOral_0105!$B$9:$I$9</c:f>
              <c:numCache>
                <c:formatCode>0.0%</c:formatCode>
                <c:ptCount val="8"/>
                <c:pt idx="0">
                  <c:v>0.46</c:v>
                </c:pt>
                <c:pt idx="1">
                  <c:v>0.504</c:v>
                </c:pt>
                <c:pt idx="2">
                  <c:v>0.43100000000000005</c:v>
                </c:pt>
                <c:pt idx="3">
                  <c:v>0.47500000000000003</c:v>
                </c:pt>
                <c:pt idx="4">
                  <c:v>0.53600000000000003</c:v>
                </c:pt>
                <c:pt idx="5">
                  <c:v>0.60499999999999998</c:v>
                </c:pt>
                <c:pt idx="6">
                  <c:v>0.66600000000000004</c:v>
                </c:pt>
                <c:pt idx="7">
                  <c:v>0.66600000000000004</c:v>
                </c:pt>
              </c:numCache>
            </c:numRef>
          </c:yVal>
          <c:smooth val="0"/>
          <c:extLst>
            <c:ext xmlns:c16="http://schemas.microsoft.com/office/drawing/2014/chart" uri="{C3380CC4-5D6E-409C-BE32-E72D297353CC}">
              <c16:uniqueId val="{00000008-8B64-4A6C-838F-5C5B2B50C34B}"/>
            </c:ext>
          </c:extLst>
        </c:ser>
        <c:ser>
          <c:idx val="8"/>
          <c:order val="8"/>
          <c:tx>
            <c:strRef>
              <c:f>PrevDentOral_0105!$A$10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PrevDentOral_0105!$B$10:$I$10</c:f>
              <c:numCache>
                <c:formatCode>0.0%</c:formatCode>
                <c:ptCount val="8"/>
                <c:pt idx="0">
                  <c:v>0.45200000000000001</c:v>
                </c:pt>
                <c:pt idx="1">
                  <c:v>0.46200000000000002</c:v>
                </c:pt>
                <c:pt idx="2">
                  <c:v>0.33799999999999997</c:v>
                </c:pt>
                <c:pt idx="3">
                  <c:v>0.435</c:v>
                </c:pt>
                <c:pt idx="4">
                  <c:v>0.48</c:v>
                </c:pt>
                <c:pt idx="5">
                  <c:v>0.58499999999999996</c:v>
                </c:pt>
                <c:pt idx="6">
                  <c:v>0.59399999999999997</c:v>
                </c:pt>
                <c:pt idx="7">
                  <c:v>0.58499999999999996</c:v>
                </c:pt>
              </c:numCache>
            </c:numRef>
          </c:yVal>
          <c:smooth val="0"/>
          <c:extLst>
            <c:ext xmlns:c16="http://schemas.microsoft.com/office/drawing/2014/chart" uri="{C3380CC4-5D6E-409C-BE32-E72D297353CC}">
              <c16:uniqueId val="{00000009-8B64-4A6C-838F-5C5B2B50C34B}"/>
            </c:ext>
          </c:extLst>
        </c:ser>
        <c:ser>
          <c:idx val="9"/>
          <c:order val="9"/>
          <c:tx>
            <c:strRef>
              <c:f>PrevDentOral_0105!$A$11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PrevDentOral_0105!$B$11:$I$11</c:f>
              <c:numCache>
                <c:formatCode>0.0%</c:formatCode>
                <c:ptCount val="8"/>
                <c:pt idx="0">
                  <c:v>0.53300000000000003</c:v>
                </c:pt>
                <c:pt idx="1">
                  <c:v>0.51500000000000001</c:v>
                </c:pt>
                <c:pt idx="2">
                  <c:v>0.33700000000000002</c:v>
                </c:pt>
                <c:pt idx="3">
                  <c:v>0.40899999999999997</c:v>
                </c:pt>
                <c:pt idx="4">
                  <c:v>0.40899999999999997</c:v>
                </c:pt>
                <c:pt idx="5">
                  <c:v>0.5</c:v>
                </c:pt>
                <c:pt idx="6">
                  <c:v>0.51</c:v>
                </c:pt>
                <c:pt idx="7">
                  <c:v>0.58499999999999996</c:v>
                </c:pt>
              </c:numCache>
            </c:numRef>
          </c:yVal>
          <c:smooth val="0"/>
          <c:extLst>
            <c:ext xmlns:c16="http://schemas.microsoft.com/office/drawing/2014/chart" uri="{C3380CC4-5D6E-409C-BE32-E72D297353CC}">
              <c16:uniqueId val="{0000000A-8B64-4A6C-838F-5C5B2B50C34B}"/>
            </c:ext>
          </c:extLst>
        </c:ser>
        <c:ser>
          <c:idx val="10"/>
          <c:order val="10"/>
          <c:tx>
            <c:strRef>
              <c:f>PrevDentOral_0105!$A$12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PrevDentOral_0105!$B$12:$I$12</c:f>
              <c:numCache>
                <c:formatCode>General</c:formatCode>
                <c:ptCount val="8"/>
                <c:pt idx="2" formatCode="0.0%">
                  <c:v>0.39900000000000002</c:v>
                </c:pt>
                <c:pt idx="3" formatCode="0.0%">
                  <c:v>0.53300000000000003</c:v>
                </c:pt>
                <c:pt idx="4" formatCode="0.0%">
                  <c:v>0.51</c:v>
                </c:pt>
                <c:pt idx="5" formatCode="0.0%">
                  <c:v>0.56000000000000005</c:v>
                </c:pt>
                <c:pt idx="6" formatCode="0.0%">
                  <c:v>0.627</c:v>
                </c:pt>
                <c:pt idx="7" formatCode="0.0%">
                  <c:v>0.69099999999999995</c:v>
                </c:pt>
              </c:numCache>
            </c:numRef>
          </c:yVal>
          <c:smooth val="0"/>
          <c:extLst>
            <c:ext xmlns:c16="http://schemas.microsoft.com/office/drawing/2014/chart" uri="{C3380CC4-5D6E-409C-BE32-E72D297353CC}">
              <c16:uniqueId val="{0000000B-8B64-4A6C-838F-5C5B2B50C34B}"/>
            </c:ext>
          </c:extLst>
        </c:ser>
        <c:ser>
          <c:idx val="11"/>
          <c:order val="11"/>
          <c:tx>
            <c:strRef>
              <c:f>PrevDentOral_0105!$A$13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PrevDentOral_0105!$B$13:$I$13</c:f>
              <c:numCache>
                <c:formatCode>General</c:formatCode>
                <c:ptCount val="8"/>
                <c:pt idx="2" formatCode="0.0%">
                  <c:v>0.40299999999999997</c:v>
                </c:pt>
                <c:pt idx="3" formatCode="0.0%">
                  <c:v>0.501</c:v>
                </c:pt>
                <c:pt idx="4" formatCode="0.0%">
                  <c:v>0.52800000000000002</c:v>
                </c:pt>
                <c:pt idx="5" formatCode="0.0%">
                  <c:v>0.56200000000000006</c:v>
                </c:pt>
                <c:pt idx="6" formatCode="0.0%">
                  <c:v>0.63400000000000001</c:v>
                </c:pt>
                <c:pt idx="7" formatCode="0.0%">
                  <c:v>0.65500000000000003</c:v>
                </c:pt>
              </c:numCache>
            </c:numRef>
          </c:yVal>
          <c:smooth val="0"/>
          <c:extLst>
            <c:ext xmlns:c16="http://schemas.microsoft.com/office/drawing/2014/chart" uri="{C3380CC4-5D6E-409C-BE32-E72D297353CC}">
              <c16:uniqueId val="{0000000C-8B64-4A6C-838F-5C5B2B50C34B}"/>
            </c:ext>
          </c:extLst>
        </c:ser>
        <c:ser>
          <c:idx val="13"/>
          <c:order val="12"/>
          <c:tx>
            <c:strRef>
              <c:f>PrevDentOral_0105!$A$14</c:f>
              <c:strCache>
                <c:ptCount val="1"/>
                <c:pt idx="0">
                  <c:v>Statewide</c:v>
                </c:pt>
              </c:strCache>
            </c:strRef>
          </c:tx>
          <c:spPr>
            <a:ln w="28575" cap="rnd">
              <a:solidFill>
                <a:schemeClr val="accent1">
                  <a:lumMod val="75000"/>
                </a:schemeClr>
              </a:solidFill>
              <a:round/>
            </a:ln>
            <a:effectLst/>
          </c:spPr>
          <c:marker>
            <c:symbol val="none"/>
          </c:marker>
          <c:dPt>
            <c:idx val="2"/>
            <c:marker>
              <c:symbol val="none"/>
            </c:marker>
            <c:bubble3D val="0"/>
            <c:extLst>
              <c:ext xmlns:c16="http://schemas.microsoft.com/office/drawing/2014/chart" uri="{C3380CC4-5D6E-409C-BE32-E72D297353CC}">
                <c16:uniqueId val="{0000000D-8B64-4A6C-838F-5C5B2B50C34B}"/>
              </c:ext>
            </c:extLst>
          </c:dPt>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PrevDentOral_0105!$B$14:$I$14</c:f>
              <c:numCache>
                <c:formatCode>0.0%</c:formatCode>
                <c:ptCount val="8"/>
                <c:pt idx="0">
                  <c:v>0.49200000000000005</c:v>
                </c:pt>
                <c:pt idx="1">
                  <c:v>0.51200000000000001</c:v>
                </c:pt>
                <c:pt idx="2">
                  <c:v>0.375</c:v>
                </c:pt>
                <c:pt idx="3">
                  <c:v>0.47200000000000003</c:v>
                </c:pt>
                <c:pt idx="4">
                  <c:v>0.499</c:v>
                </c:pt>
                <c:pt idx="5">
                  <c:v>0.56000000000000005</c:v>
                </c:pt>
                <c:pt idx="6">
                  <c:v>0.61099999999999999</c:v>
                </c:pt>
                <c:pt idx="7">
                  <c:v>0.627</c:v>
                </c:pt>
              </c:numCache>
            </c:numRef>
          </c:yVal>
          <c:smooth val="0"/>
          <c:extLst>
            <c:ext xmlns:c16="http://schemas.microsoft.com/office/drawing/2014/chart" uri="{C3380CC4-5D6E-409C-BE32-E72D297353CC}">
              <c16:uniqueId val="{0000000E-8B64-4A6C-838F-5C5B2B50C34B}"/>
            </c:ext>
          </c:extLst>
        </c:ser>
        <c:ser>
          <c:idx val="14"/>
          <c:order val="13"/>
          <c:tx>
            <c:strRef>
              <c:f>PrevDentOral_0105!$A$15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PrevDentOral_0105!$B$15:$I$15</c:f>
              <c:numCache>
                <c:formatCode>General</c:formatCode>
                <c:ptCount val="8"/>
                <c:pt idx="3" formatCode="0.0%">
                  <c:v>0.26100000000000001</c:v>
                </c:pt>
                <c:pt idx="4" formatCode="0.0%">
                  <c:v>0.33600000000000002</c:v>
                </c:pt>
                <c:pt idx="5" formatCode="0.0%">
                  <c:v>0.36799999999999999</c:v>
                </c:pt>
                <c:pt idx="6" formatCode="0.0%">
                  <c:v>0.433</c:v>
                </c:pt>
                <c:pt idx="7" formatCode="0.0%">
                  <c:v>0.50900000000000001</c:v>
                </c:pt>
              </c:numCache>
            </c:numRef>
          </c:yVal>
          <c:smooth val="0"/>
          <c:extLst>
            <c:ext xmlns:c16="http://schemas.microsoft.com/office/drawing/2014/chart" uri="{C3380CC4-5D6E-409C-BE32-E72D297353CC}">
              <c16:uniqueId val="{0000000F-8B64-4A6C-838F-5C5B2B50C34B}"/>
            </c:ext>
          </c:extLst>
        </c:ser>
        <c:ser>
          <c:idx val="15"/>
          <c:order val="14"/>
          <c:tx>
            <c:strRef>
              <c:f>PrevDentOral_0105!$A$16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PrevDentOral_0105!$B$16:$I$16</c:f>
              <c:numCache>
                <c:formatCode>0.0%</c:formatCode>
                <c:ptCount val="8"/>
                <c:pt idx="0">
                  <c:v>0.43200000000000005</c:v>
                </c:pt>
                <c:pt idx="1">
                  <c:v>0.47000000000000003</c:v>
                </c:pt>
                <c:pt idx="2">
                  <c:v>0.35600000000000004</c:v>
                </c:pt>
                <c:pt idx="3">
                  <c:v>0.498</c:v>
                </c:pt>
                <c:pt idx="4">
                  <c:v>0.47000000000000003</c:v>
                </c:pt>
                <c:pt idx="5">
                  <c:v>0.55800000000000005</c:v>
                </c:pt>
                <c:pt idx="6">
                  <c:v>0.60899999999999999</c:v>
                </c:pt>
                <c:pt idx="7">
                  <c:v>0.63600000000000001</c:v>
                </c:pt>
              </c:numCache>
            </c:numRef>
          </c:yVal>
          <c:smooth val="0"/>
          <c:extLst>
            <c:ext xmlns:c16="http://schemas.microsoft.com/office/drawing/2014/chart" uri="{C3380CC4-5D6E-409C-BE32-E72D297353CC}">
              <c16:uniqueId val="{00000010-8B64-4A6C-838F-5C5B2B50C34B}"/>
            </c:ext>
          </c:extLst>
        </c:ser>
        <c:ser>
          <c:idx val="16"/>
          <c:order val="15"/>
          <c:tx>
            <c:strRef>
              <c:f>PrevDentOral_0105!$A$17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PrevDentOral_0105!$B$17:$I$17</c:f>
              <c:numCache>
                <c:formatCode>0.0%</c:formatCode>
                <c:ptCount val="8"/>
                <c:pt idx="0">
                  <c:v>0.37200000000000005</c:v>
                </c:pt>
                <c:pt idx="1">
                  <c:v>0.45700000000000002</c:v>
                </c:pt>
                <c:pt idx="2">
                  <c:v>0.25600000000000001</c:v>
                </c:pt>
                <c:pt idx="3">
                  <c:v>0.40399999999999997</c:v>
                </c:pt>
                <c:pt idx="4">
                  <c:v>0.443</c:v>
                </c:pt>
                <c:pt idx="5">
                  <c:v>0.51</c:v>
                </c:pt>
                <c:pt idx="6">
                  <c:v>0.59599999999999997</c:v>
                </c:pt>
                <c:pt idx="7">
                  <c:v>0.59399999999999997</c:v>
                </c:pt>
              </c:numCache>
            </c:numRef>
          </c:yVal>
          <c:smooth val="0"/>
          <c:extLst>
            <c:ext xmlns:c16="http://schemas.microsoft.com/office/drawing/2014/chart" uri="{C3380CC4-5D6E-409C-BE32-E72D297353CC}">
              <c16:uniqueId val="{00000011-8B64-4A6C-838F-5C5B2B50C34B}"/>
            </c:ext>
          </c:extLst>
        </c:ser>
        <c:ser>
          <c:idx val="17"/>
          <c:order val="17"/>
          <c:tx>
            <c:strRef>
              <c:f>PrevDentOral_0105!$A$20</c:f>
              <c:strCache>
                <c:ptCount val="1"/>
                <c:pt idx="0">
                  <c:v>CCO statewide</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PrevDentOral_0105!$B$20:$I$20</c:f>
              <c:numCache>
                <c:formatCode>0.0%</c:formatCode>
                <c:ptCount val="8"/>
                <c:pt idx="0">
                  <c:v>0.49200000000000005</c:v>
                </c:pt>
                <c:pt idx="1">
                  <c:v>0.51200000000000001</c:v>
                </c:pt>
                <c:pt idx="2">
                  <c:v>0.375</c:v>
                </c:pt>
                <c:pt idx="3">
                  <c:v>0.47200000000000003</c:v>
                </c:pt>
                <c:pt idx="4">
                  <c:v>0.499</c:v>
                </c:pt>
                <c:pt idx="5">
                  <c:v>0.56000000000000005</c:v>
                </c:pt>
                <c:pt idx="6">
                  <c:v>0.61099999999999999</c:v>
                </c:pt>
                <c:pt idx="7">
                  <c:v>0.627</c:v>
                </c:pt>
              </c:numCache>
            </c:numRef>
          </c:yVal>
          <c:smooth val="0"/>
          <c:extLst>
            <c:ext xmlns:c16="http://schemas.microsoft.com/office/drawing/2014/chart" uri="{C3380CC4-5D6E-409C-BE32-E72D297353CC}">
              <c16:uniqueId val="{00000012-8B64-4A6C-838F-5C5B2B50C34B}"/>
            </c:ext>
          </c:extLst>
        </c:ser>
        <c:ser>
          <c:idx val="19"/>
          <c:order val="18"/>
          <c:tx>
            <c:strRef>
              <c:f>PrevDentOral_0105!$A$19</c:f>
              <c:strCache>
                <c:ptCount val="1"/>
                <c:pt idx="0">
                  <c:v>Individual CCOs</c:v>
                </c:pt>
              </c:strCache>
            </c:strRef>
          </c:tx>
          <c:spPr>
            <a:ln w="25400" cap="rnd">
              <a:noFill/>
              <a:round/>
            </a:ln>
            <a:effectLst/>
          </c:spPr>
          <c:marker>
            <c:symbol val="circle"/>
            <c:size val="6"/>
            <c:spPr>
              <a:noFill/>
              <a:ln w="9525">
                <a:solidFill>
                  <a:srgbClr val="606060"/>
                </a:solidFill>
              </a:ln>
              <a:effectLst/>
            </c:spPr>
          </c:marker>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PrevDentOral_0105!$B$19:$I$19</c:f>
              <c:numCache>
                <c:formatCode>0.0%</c:formatCode>
                <c:ptCount val="8"/>
                <c:pt idx="0">
                  <c:v>0.47700000000000004</c:v>
                </c:pt>
                <c:pt idx="1">
                  <c:v>0.52500000000000002</c:v>
                </c:pt>
                <c:pt idx="2">
                  <c:v>0.44200000000000006</c:v>
                </c:pt>
                <c:pt idx="3">
                  <c:v>0.48899999999999999</c:v>
                </c:pt>
                <c:pt idx="4">
                  <c:v>0.48299999999999998</c:v>
                </c:pt>
                <c:pt idx="5">
                  <c:v>0.56699999999999995</c:v>
                </c:pt>
                <c:pt idx="6">
                  <c:v>0.56299999999999994</c:v>
                </c:pt>
                <c:pt idx="7">
                  <c:v>0.626</c:v>
                </c:pt>
              </c:numCache>
            </c:numRef>
          </c:yVal>
          <c:smooth val="0"/>
          <c:extLst>
            <c:ext xmlns:c16="http://schemas.microsoft.com/office/drawing/2014/chart" uri="{C3380CC4-5D6E-409C-BE32-E72D297353CC}">
              <c16:uniqueId val="{00000013-8B64-4A6C-838F-5C5B2B50C34B}"/>
            </c:ext>
          </c:extLst>
        </c:ser>
        <c:ser>
          <c:idx val="18"/>
          <c:order val="19"/>
          <c:tx>
            <c:strRef>
              <c:f>PrevDentOral_0105!$A$21</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dLbls>
            <c:dLbl>
              <c:idx val="2"/>
              <c:layout>
                <c:manualLayout>
                  <c:x val="-0.21698622047244095"/>
                  <c:y val="-4.5093738282714659E-2"/>
                </c:manualLayout>
              </c:layout>
              <c:tx>
                <c:rich>
                  <a:bodyPr/>
                  <a:lstStyle/>
                  <a:p>
                    <a:r>
                      <a:rPr lang="en-US" sz="1050">
                        <a:solidFill>
                          <a:schemeClr val="accent2">
                            <a:lumMod val="50000"/>
                          </a:schemeClr>
                        </a:solidFill>
                        <a:latin typeface="Aptos" panose="020B0004020202020204" pitchFamily="34" charset="0"/>
                      </a:rPr>
                      <a:t>Benchmark</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8B64-4A6C-838F-5C5B2B50C34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ptos" panose="020B0004020202020204" pitchFamily="34" charset="0"/>
                    <a:ea typeface="+mn-ea"/>
                    <a:cs typeface="Arial" panose="020B0604020202020204" pitchFamily="34" charset="0"/>
                  </a:defRPr>
                </a:pPr>
                <a:endParaRPr lang="en-US"/>
              </a:p>
            </c:txPr>
            <c:dLblPos val="l"/>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PrevDentOral_0105!$B$1:$I$1</c:f>
              <c:strCache>
                <c:ptCount val="8"/>
                <c:pt idx="0">
                  <c:v>'18</c:v>
                </c:pt>
                <c:pt idx="1">
                  <c:v>'19</c:v>
                </c:pt>
                <c:pt idx="2">
                  <c:v>'20</c:v>
                </c:pt>
                <c:pt idx="3">
                  <c:v>'21</c:v>
                </c:pt>
                <c:pt idx="4">
                  <c:v>'22</c:v>
                </c:pt>
                <c:pt idx="5">
                  <c:v>'23</c:v>
                </c:pt>
                <c:pt idx="6">
                  <c:v>'24</c:v>
                </c:pt>
                <c:pt idx="7">
                  <c:v>'25</c:v>
                </c:pt>
              </c:strCache>
            </c:strRef>
          </c:xVal>
          <c:yVal>
            <c:numRef>
              <c:f>PrevDentOral_0105!$B$21:$I$21</c:f>
              <c:numCache>
                <c:formatCode>General</c:formatCode>
                <c:ptCount val="8"/>
                <c:pt idx="2" formatCode="0.0%">
                  <c:v>0.54600000000000004</c:v>
                </c:pt>
                <c:pt idx="3" formatCode="0.0%">
                  <c:v>0.33700000000000002</c:v>
                </c:pt>
                <c:pt idx="4" formatCode="0.0%">
                  <c:v>0.43099999999999999</c:v>
                </c:pt>
                <c:pt idx="5" formatCode="0.0%">
                  <c:v>0.47199999999999998</c:v>
                </c:pt>
                <c:pt idx="6" formatCode="0.0%">
                  <c:v>0.52900000000000003</c:v>
                </c:pt>
                <c:pt idx="7" formatCode="0.0%">
                  <c:v>0.60599999999999998</c:v>
                </c:pt>
              </c:numCache>
            </c:numRef>
          </c:yVal>
          <c:smooth val="0"/>
          <c:extLst>
            <c:ext xmlns:c16="http://schemas.microsoft.com/office/drawing/2014/chart" uri="{C3380CC4-5D6E-409C-BE32-E72D297353CC}">
              <c16:uniqueId val="{00000015-8B64-4A6C-838F-5C5B2B50C34B}"/>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5"/>
        <c:minorUnit val="0.25"/>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9"/>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ptos" panose="020B00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solidFill>
                  <a:schemeClr val="accent1">
                    <a:lumMod val="75000"/>
                  </a:schemeClr>
                </a:solidFill>
                <a:latin typeface="+mn-lt"/>
              </a:rPr>
              <a:t>Ages</a:t>
            </a:r>
            <a:r>
              <a:rPr lang="en-US" sz="1200" baseline="0">
                <a:solidFill>
                  <a:schemeClr val="accent1">
                    <a:lumMod val="75000"/>
                  </a:schemeClr>
                </a:solidFill>
                <a:latin typeface="+mn-lt"/>
              </a:rPr>
              <a:t> 6-14</a:t>
            </a:r>
            <a:endParaRPr lang="en-US" sz="1200">
              <a:solidFill>
                <a:schemeClr val="accent1">
                  <a:lumMod val="75000"/>
                </a:schemeClr>
              </a:solidFill>
              <a:latin typeface="+mn-l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PrevDentOral_0614!$A$18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PrevDentOral_0614!$B$1:$I$1</c:f>
              <c:strCache>
                <c:ptCount val="8"/>
                <c:pt idx="0">
                  <c:v>'18</c:v>
                </c:pt>
                <c:pt idx="1">
                  <c:v>'19</c:v>
                </c:pt>
                <c:pt idx="2">
                  <c:v>'20</c:v>
                </c:pt>
                <c:pt idx="3">
                  <c:v>'21</c:v>
                </c:pt>
                <c:pt idx="4">
                  <c:v>'22</c:v>
                </c:pt>
                <c:pt idx="5">
                  <c:v>'23</c:v>
                </c:pt>
                <c:pt idx="6">
                  <c:v>'24</c:v>
                </c:pt>
                <c:pt idx="7">
                  <c:v>'25</c:v>
                </c:pt>
              </c:strCache>
            </c:strRef>
          </c:cat>
          <c:val>
            <c:numRef>
              <c:f>PrevDentOral_0614!$B$18:$I$18</c:f>
              <c:numCache>
                <c:formatCode>0.0%</c:formatCode>
                <c:ptCount val="8"/>
                <c:pt idx="0">
                  <c:v>0.64</c:v>
                </c:pt>
                <c:pt idx="1">
                  <c:v>0.65200000000000002</c:v>
                </c:pt>
                <c:pt idx="2">
                  <c:v>0.49200000000000005</c:v>
                </c:pt>
                <c:pt idx="3">
                  <c:v>0.56399999999999995</c:v>
                </c:pt>
                <c:pt idx="4">
                  <c:v>0.59700000000000009</c:v>
                </c:pt>
                <c:pt idx="5">
                  <c:v>0.59899999999999998</c:v>
                </c:pt>
                <c:pt idx="6">
                  <c:v>0.62</c:v>
                </c:pt>
                <c:pt idx="7">
                  <c:v>0.65100000000000002</c:v>
                </c:pt>
              </c:numCache>
            </c:numRef>
          </c:val>
          <c:smooth val="0"/>
          <c:extLst>
            <c:ext xmlns:c16="http://schemas.microsoft.com/office/drawing/2014/chart" uri="{C3380CC4-5D6E-409C-BE32-E72D297353CC}">
              <c16:uniqueId val="{00000000-A239-4F6E-87A9-9B5CF28843D1}"/>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PrevDentOral_0614!$A$2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PrevDentOral_0614!$B$2:$I$2</c:f>
              <c:numCache>
                <c:formatCode>0.0%</c:formatCode>
                <c:ptCount val="8"/>
                <c:pt idx="0">
                  <c:v>0.59700000000000009</c:v>
                </c:pt>
                <c:pt idx="1">
                  <c:v>0.58799999999999997</c:v>
                </c:pt>
                <c:pt idx="2">
                  <c:v>0.40100000000000002</c:v>
                </c:pt>
                <c:pt idx="3">
                  <c:v>0.47799999999999998</c:v>
                </c:pt>
                <c:pt idx="4">
                  <c:v>0.60399999999999998</c:v>
                </c:pt>
                <c:pt idx="5">
                  <c:v>0.66</c:v>
                </c:pt>
                <c:pt idx="6">
                  <c:v>0.71299999999999997</c:v>
                </c:pt>
                <c:pt idx="7">
                  <c:v>0.68799999999999994</c:v>
                </c:pt>
              </c:numCache>
            </c:numRef>
          </c:yVal>
          <c:smooth val="0"/>
          <c:extLst>
            <c:ext xmlns:c16="http://schemas.microsoft.com/office/drawing/2014/chart" uri="{C3380CC4-5D6E-409C-BE32-E72D297353CC}">
              <c16:uniqueId val="{00000001-A239-4F6E-87A9-9B5CF28843D1}"/>
            </c:ext>
          </c:extLst>
        </c:ser>
        <c:ser>
          <c:idx val="1"/>
          <c:order val="1"/>
          <c:tx>
            <c:strRef>
              <c:f>PrevDentOral_0614!$A$3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PrevDentOral_0614!$B$3:$I$3</c:f>
              <c:numCache>
                <c:formatCode>0.0%</c:formatCode>
                <c:ptCount val="8"/>
                <c:pt idx="0">
                  <c:v>0.59</c:v>
                </c:pt>
                <c:pt idx="1">
                  <c:v>0.624</c:v>
                </c:pt>
                <c:pt idx="2">
                  <c:v>0.47200000000000003</c:v>
                </c:pt>
                <c:pt idx="3">
                  <c:v>0.52200000000000002</c:v>
                </c:pt>
                <c:pt idx="4">
                  <c:v>0.6</c:v>
                </c:pt>
                <c:pt idx="5">
                  <c:v>0.59899999999999998</c:v>
                </c:pt>
                <c:pt idx="6">
                  <c:v>0.64700000000000002</c:v>
                </c:pt>
                <c:pt idx="7">
                  <c:v>0.59799999999999998</c:v>
                </c:pt>
              </c:numCache>
            </c:numRef>
          </c:yVal>
          <c:smooth val="0"/>
          <c:extLst>
            <c:ext xmlns:c16="http://schemas.microsoft.com/office/drawing/2014/chart" uri="{C3380CC4-5D6E-409C-BE32-E72D297353CC}">
              <c16:uniqueId val="{00000002-A239-4F6E-87A9-9B5CF28843D1}"/>
            </c:ext>
          </c:extLst>
        </c:ser>
        <c:ser>
          <c:idx val="2"/>
          <c:order val="2"/>
          <c:tx>
            <c:strRef>
              <c:f>PrevDentOral_0614!$A$4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PrevDentOral_0614!$B$4:$I$4</c:f>
              <c:numCache>
                <c:formatCode>0.0%</c:formatCode>
                <c:ptCount val="8"/>
                <c:pt idx="0">
                  <c:v>0.59399999999999997</c:v>
                </c:pt>
                <c:pt idx="1">
                  <c:v>0.58100000000000007</c:v>
                </c:pt>
                <c:pt idx="2">
                  <c:v>0.48499999999999999</c:v>
                </c:pt>
                <c:pt idx="3">
                  <c:v>0.47899999999999998</c:v>
                </c:pt>
                <c:pt idx="4">
                  <c:v>0.61</c:v>
                </c:pt>
                <c:pt idx="5">
                  <c:v>0.64500000000000002</c:v>
                </c:pt>
                <c:pt idx="6">
                  <c:v>0.61</c:v>
                </c:pt>
                <c:pt idx="7">
                  <c:v>0.65500000000000003</c:v>
                </c:pt>
              </c:numCache>
            </c:numRef>
          </c:yVal>
          <c:smooth val="0"/>
          <c:extLst>
            <c:ext xmlns:c16="http://schemas.microsoft.com/office/drawing/2014/chart" uri="{C3380CC4-5D6E-409C-BE32-E72D297353CC}">
              <c16:uniqueId val="{00000003-A239-4F6E-87A9-9B5CF28843D1}"/>
            </c:ext>
          </c:extLst>
        </c:ser>
        <c:ser>
          <c:idx val="3"/>
          <c:order val="3"/>
          <c:tx>
            <c:strRef>
              <c:f>PrevDentOral_0614!$A$5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PrevDentOral_0614!$B$5:$I$5</c:f>
              <c:numCache>
                <c:formatCode>0.0%</c:formatCode>
                <c:ptCount val="8"/>
                <c:pt idx="0">
                  <c:v>0.54600000000000004</c:v>
                </c:pt>
                <c:pt idx="1">
                  <c:v>0.55700000000000005</c:v>
                </c:pt>
                <c:pt idx="2">
                  <c:v>0.35100000000000003</c:v>
                </c:pt>
                <c:pt idx="3">
                  <c:v>0.45299999999999996</c:v>
                </c:pt>
                <c:pt idx="4">
                  <c:v>0.53300000000000003</c:v>
                </c:pt>
                <c:pt idx="5">
                  <c:v>0.55600000000000005</c:v>
                </c:pt>
                <c:pt idx="6">
                  <c:v>0.57899999999999996</c:v>
                </c:pt>
                <c:pt idx="7">
                  <c:v>0.57599999999999996</c:v>
                </c:pt>
              </c:numCache>
            </c:numRef>
          </c:yVal>
          <c:smooth val="0"/>
          <c:extLst>
            <c:ext xmlns:c16="http://schemas.microsoft.com/office/drawing/2014/chart" uri="{C3380CC4-5D6E-409C-BE32-E72D297353CC}">
              <c16:uniqueId val="{00000004-A239-4F6E-87A9-9B5CF28843D1}"/>
            </c:ext>
          </c:extLst>
        </c:ser>
        <c:ser>
          <c:idx val="4"/>
          <c:order val="4"/>
          <c:tx>
            <c:strRef>
              <c:f>PrevDentOral_0614!$A$6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PrevDentOral_0614!$B$6:$I$6</c:f>
              <c:numCache>
                <c:formatCode>0.0%</c:formatCode>
                <c:ptCount val="8"/>
                <c:pt idx="0">
                  <c:v>0.627</c:v>
                </c:pt>
                <c:pt idx="1">
                  <c:v>0.628</c:v>
                </c:pt>
                <c:pt idx="2">
                  <c:v>0.47700000000000004</c:v>
                </c:pt>
                <c:pt idx="3">
                  <c:v>0.58499999999999996</c:v>
                </c:pt>
                <c:pt idx="4">
                  <c:v>0.64800000000000002</c:v>
                </c:pt>
                <c:pt idx="5">
                  <c:v>0.65600000000000003</c:v>
                </c:pt>
                <c:pt idx="6">
                  <c:v>0.70799999999999996</c:v>
                </c:pt>
                <c:pt idx="7">
                  <c:v>0.69299999999999995</c:v>
                </c:pt>
              </c:numCache>
            </c:numRef>
          </c:yVal>
          <c:smooth val="0"/>
          <c:extLst>
            <c:ext xmlns:c16="http://schemas.microsoft.com/office/drawing/2014/chart" uri="{C3380CC4-5D6E-409C-BE32-E72D297353CC}">
              <c16:uniqueId val="{00000005-A239-4F6E-87A9-9B5CF28843D1}"/>
            </c:ext>
          </c:extLst>
        </c:ser>
        <c:ser>
          <c:idx val="5"/>
          <c:order val="5"/>
          <c:tx>
            <c:strRef>
              <c:f>PrevDentOral_0614!$A$7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PrevDentOral_0614!$B$7:$I$7</c:f>
              <c:numCache>
                <c:formatCode>0.0%</c:formatCode>
                <c:ptCount val="8"/>
                <c:pt idx="0">
                  <c:v>0.61199999999999999</c:v>
                </c:pt>
                <c:pt idx="1">
                  <c:v>0.63400000000000001</c:v>
                </c:pt>
                <c:pt idx="2">
                  <c:v>0.43100000000000005</c:v>
                </c:pt>
                <c:pt idx="3">
                  <c:v>0.53400000000000003</c:v>
                </c:pt>
                <c:pt idx="4">
                  <c:v>0.54799999999999993</c:v>
                </c:pt>
                <c:pt idx="5">
                  <c:v>0.57999999999999996</c:v>
                </c:pt>
                <c:pt idx="6">
                  <c:v>0.59799999999999998</c:v>
                </c:pt>
                <c:pt idx="7">
                  <c:v>0.623</c:v>
                </c:pt>
              </c:numCache>
            </c:numRef>
          </c:yVal>
          <c:smooth val="0"/>
          <c:extLst>
            <c:ext xmlns:c16="http://schemas.microsoft.com/office/drawing/2014/chart" uri="{C3380CC4-5D6E-409C-BE32-E72D297353CC}">
              <c16:uniqueId val="{00000006-A239-4F6E-87A9-9B5CF28843D1}"/>
            </c:ext>
          </c:extLst>
        </c:ser>
        <c:ser>
          <c:idx val="6"/>
          <c:order val="6"/>
          <c:tx>
            <c:strRef>
              <c:f>PrevDentOral_0614!$A$8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PrevDentOral_0614!$B$8:$I$8</c:f>
              <c:numCache>
                <c:formatCode>0.0%</c:formatCode>
                <c:ptCount val="8"/>
                <c:pt idx="0">
                  <c:v>0.59100000000000008</c:v>
                </c:pt>
                <c:pt idx="1">
                  <c:v>0.59799999999999998</c:v>
                </c:pt>
                <c:pt idx="2">
                  <c:v>0.443</c:v>
                </c:pt>
                <c:pt idx="3">
                  <c:v>0.53900000000000003</c:v>
                </c:pt>
                <c:pt idx="4">
                  <c:v>0.56399999999999995</c:v>
                </c:pt>
                <c:pt idx="5">
                  <c:v>0.61499999999999999</c:v>
                </c:pt>
                <c:pt idx="6">
                  <c:v>0.65900000000000003</c:v>
                </c:pt>
                <c:pt idx="7">
                  <c:v>0.67600000000000005</c:v>
                </c:pt>
              </c:numCache>
            </c:numRef>
          </c:yVal>
          <c:smooth val="0"/>
          <c:extLst>
            <c:ext xmlns:c16="http://schemas.microsoft.com/office/drawing/2014/chart" uri="{C3380CC4-5D6E-409C-BE32-E72D297353CC}">
              <c16:uniqueId val="{00000007-A239-4F6E-87A9-9B5CF28843D1}"/>
            </c:ext>
          </c:extLst>
        </c:ser>
        <c:ser>
          <c:idx val="7"/>
          <c:order val="7"/>
          <c:tx>
            <c:strRef>
              <c:f>PrevDentOral_0614!$A$9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PrevDentOral_0614!$B$9:$I$9</c:f>
              <c:numCache>
                <c:formatCode>0.0%</c:formatCode>
                <c:ptCount val="8"/>
                <c:pt idx="0">
                  <c:v>0.66300000000000003</c:v>
                </c:pt>
                <c:pt idx="1">
                  <c:v>0.65900000000000003</c:v>
                </c:pt>
                <c:pt idx="2">
                  <c:v>0.52100000000000002</c:v>
                </c:pt>
                <c:pt idx="3">
                  <c:v>0.54500000000000004</c:v>
                </c:pt>
                <c:pt idx="4">
                  <c:v>0.61</c:v>
                </c:pt>
                <c:pt idx="5">
                  <c:v>0.629</c:v>
                </c:pt>
                <c:pt idx="6">
                  <c:v>0.66100000000000003</c:v>
                </c:pt>
                <c:pt idx="7">
                  <c:v>0.65600000000000003</c:v>
                </c:pt>
              </c:numCache>
            </c:numRef>
          </c:yVal>
          <c:smooth val="0"/>
          <c:extLst>
            <c:ext xmlns:c16="http://schemas.microsoft.com/office/drawing/2014/chart" uri="{C3380CC4-5D6E-409C-BE32-E72D297353CC}">
              <c16:uniqueId val="{00000008-A239-4F6E-87A9-9B5CF28843D1}"/>
            </c:ext>
          </c:extLst>
        </c:ser>
        <c:ser>
          <c:idx val="8"/>
          <c:order val="8"/>
          <c:tx>
            <c:strRef>
              <c:f>PrevDentOral_0614!$A$10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PrevDentOral_0614!$B$10:$I$10</c:f>
              <c:numCache>
                <c:formatCode>0.0%</c:formatCode>
                <c:ptCount val="8"/>
                <c:pt idx="0">
                  <c:v>0.56399999999999995</c:v>
                </c:pt>
                <c:pt idx="1">
                  <c:v>0.60899999999999999</c:v>
                </c:pt>
                <c:pt idx="2">
                  <c:v>0.46600000000000003</c:v>
                </c:pt>
                <c:pt idx="3">
                  <c:v>0.51500000000000001</c:v>
                </c:pt>
                <c:pt idx="4">
                  <c:v>0.57200000000000006</c:v>
                </c:pt>
                <c:pt idx="5">
                  <c:v>0.63500000000000001</c:v>
                </c:pt>
                <c:pt idx="6">
                  <c:v>0.65700000000000003</c:v>
                </c:pt>
                <c:pt idx="7">
                  <c:v>0.65400000000000003</c:v>
                </c:pt>
              </c:numCache>
            </c:numRef>
          </c:yVal>
          <c:smooth val="0"/>
          <c:extLst>
            <c:ext xmlns:c16="http://schemas.microsoft.com/office/drawing/2014/chart" uri="{C3380CC4-5D6E-409C-BE32-E72D297353CC}">
              <c16:uniqueId val="{00000009-A239-4F6E-87A9-9B5CF28843D1}"/>
            </c:ext>
          </c:extLst>
        </c:ser>
        <c:ser>
          <c:idx val="9"/>
          <c:order val="9"/>
          <c:tx>
            <c:strRef>
              <c:f>PrevDentOral_0614!$A$11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PrevDentOral_0614!$B$11:$I$11</c:f>
              <c:numCache>
                <c:formatCode>0.0%</c:formatCode>
                <c:ptCount val="8"/>
                <c:pt idx="0">
                  <c:v>0.68599999999999994</c:v>
                </c:pt>
                <c:pt idx="1">
                  <c:v>0.70499999999999996</c:v>
                </c:pt>
                <c:pt idx="2">
                  <c:v>0.52</c:v>
                </c:pt>
                <c:pt idx="3">
                  <c:v>0.60399999999999998</c:v>
                </c:pt>
                <c:pt idx="4">
                  <c:v>0.59</c:v>
                </c:pt>
                <c:pt idx="5">
                  <c:v>0.63500000000000001</c:v>
                </c:pt>
                <c:pt idx="6">
                  <c:v>0.65799999999999992</c:v>
                </c:pt>
                <c:pt idx="7">
                  <c:v>0.68100000000000005</c:v>
                </c:pt>
              </c:numCache>
            </c:numRef>
          </c:yVal>
          <c:smooth val="0"/>
          <c:extLst>
            <c:ext xmlns:c16="http://schemas.microsoft.com/office/drawing/2014/chart" uri="{C3380CC4-5D6E-409C-BE32-E72D297353CC}">
              <c16:uniqueId val="{0000000A-A239-4F6E-87A9-9B5CF28843D1}"/>
            </c:ext>
          </c:extLst>
        </c:ser>
        <c:ser>
          <c:idx val="10"/>
          <c:order val="10"/>
          <c:tx>
            <c:strRef>
              <c:f>PrevDentOral_0614!$A$12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PrevDentOral_0614!$B$12:$I$12</c:f>
              <c:numCache>
                <c:formatCode>General</c:formatCode>
                <c:ptCount val="8"/>
                <c:pt idx="2" formatCode="0.0%">
                  <c:v>0.52100000000000002</c:v>
                </c:pt>
                <c:pt idx="3" formatCode="0.0%">
                  <c:v>0.60200000000000009</c:v>
                </c:pt>
                <c:pt idx="4" formatCode="0.0%">
                  <c:v>0.65599999999999992</c:v>
                </c:pt>
                <c:pt idx="5" formatCode="0.0%">
                  <c:v>0.69</c:v>
                </c:pt>
                <c:pt idx="6" formatCode="0.0%">
                  <c:v>0.68300000000000016</c:v>
                </c:pt>
                <c:pt idx="7" formatCode="0.0%">
                  <c:v>0.70799999999999996</c:v>
                </c:pt>
              </c:numCache>
            </c:numRef>
          </c:yVal>
          <c:smooth val="0"/>
          <c:extLst>
            <c:ext xmlns:c16="http://schemas.microsoft.com/office/drawing/2014/chart" uri="{C3380CC4-5D6E-409C-BE32-E72D297353CC}">
              <c16:uniqueId val="{0000000B-A239-4F6E-87A9-9B5CF28843D1}"/>
            </c:ext>
          </c:extLst>
        </c:ser>
        <c:ser>
          <c:idx val="11"/>
          <c:order val="11"/>
          <c:tx>
            <c:strRef>
              <c:f>PrevDentOral_0614!$A$13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PrevDentOral_0614!$B$13:$I$13</c:f>
              <c:numCache>
                <c:formatCode>General</c:formatCode>
                <c:ptCount val="8"/>
                <c:pt idx="2" formatCode="0.0%">
                  <c:v>0.54</c:v>
                </c:pt>
                <c:pt idx="3" formatCode="0.0%">
                  <c:v>0.627</c:v>
                </c:pt>
                <c:pt idx="4" formatCode="0.0%">
                  <c:v>0.68599999999999994</c:v>
                </c:pt>
                <c:pt idx="5" formatCode="0.0%">
                  <c:v>0.68500000000000005</c:v>
                </c:pt>
                <c:pt idx="6" formatCode="0.0%">
                  <c:v>0.69299999999999995</c:v>
                </c:pt>
                <c:pt idx="7" formatCode="0.0%">
                  <c:v>0.71699999999999997</c:v>
                </c:pt>
              </c:numCache>
            </c:numRef>
          </c:yVal>
          <c:smooth val="0"/>
          <c:extLst>
            <c:ext xmlns:c16="http://schemas.microsoft.com/office/drawing/2014/chart" uri="{C3380CC4-5D6E-409C-BE32-E72D297353CC}">
              <c16:uniqueId val="{0000000C-A239-4F6E-87A9-9B5CF28843D1}"/>
            </c:ext>
          </c:extLst>
        </c:ser>
        <c:ser>
          <c:idx val="13"/>
          <c:order val="12"/>
          <c:tx>
            <c:strRef>
              <c:f>PrevDentOral_0614!$A$14</c:f>
              <c:strCache>
                <c:ptCount val="1"/>
                <c:pt idx="0">
                  <c:v>Statewide</c:v>
                </c:pt>
              </c:strCache>
            </c:strRef>
          </c:tx>
          <c:spPr>
            <a:ln w="28575" cap="rnd">
              <a:solidFill>
                <a:schemeClr val="accent1">
                  <a:lumMod val="75000"/>
                </a:schemeClr>
              </a:solidFill>
              <a:round/>
            </a:ln>
            <a:effectLst/>
          </c:spPr>
          <c:marker>
            <c:symbol val="none"/>
          </c:marker>
          <c:dPt>
            <c:idx val="2"/>
            <c:marker>
              <c:symbol val="none"/>
            </c:marker>
            <c:bubble3D val="0"/>
            <c:extLst>
              <c:ext xmlns:c16="http://schemas.microsoft.com/office/drawing/2014/chart" uri="{C3380CC4-5D6E-409C-BE32-E72D297353CC}">
                <c16:uniqueId val="{0000000D-A239-4F6E-87A9-9B5CF28843D1}"/>
              </c:ext>
            </c:extLst>
          </c:dPt>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PrevDentOral_0614!$B$14:$I$14</c:f>
              <c:numCache>
                <c:formatCode>0.0%</c:formatCode>
                <c:ptCount val="8"/>
                <c:pt idx="0">
                  <c:v>0.63800000000000001</c:v>
                </c:pt>
                <c:pt idx="1">
                  <c:v>0.66099999999999992</c:v>
                </c:pt>
                <c:pt idx="2">
                  <c:v>0.46799999999999997</c:v>
                </c:pt>
                <c:pt idx="3">
                  <c:v>0.54799999999999993</c:v>
                </c:pt>
                <c:pt idx="4">
                  <c:v>0.59</c:v>
                </c:pt>
                <c:pt idx="5">
                  <c:v>0.61799999999999999</c:v>
                </c:pt>
                <c:pt idx="6">
                  <c:v>0.63700000000000001</c:v>
                </c:pt>
                <c:pt idx="7">
                  <c:v>0.65</c:v>
                </c:pt>
              </c:numCache>
            </c:numRef>
          </c:yVal>
          <c:smooth val="0"/>
          <c:extLst>
            <c:ext xmlns:c16="http://schemas.microsoft.com/office/drawing/2014/chart" uri="{C3380CC4-5D6E-409C-BE32-E72D297353CC}">
              <c16:uniqueId val="{0000000E-A239-4F6E-87A9-9B5CF28843D1}"/>
            </c:ext>
          </c:extLst>
        </c:ser>
        <c:ser>
          <c:idx val="14"/>
          <c:order val="13"/>
          <c:tx>
            <c:strRef>
              <c:f>PrevDentOral_0614!$A$15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PrevDentOral_0614!$B$15:$I$15</c:f>
              <c:numCache>
                <c:formatCode>General</c:formatCode>
                <c:ptCount val="8"/>
                <c:pt idx="3" formatCode="0.0%">
                  <c:v>0.28100000000000003</c:v>
                </c:pt>
                <c:pt idx="4" formatCode="0.0%">
                  <c:v>0.32799999999999996</c:v>
                </c:pt>
                <c:pt idx="5" formatCode="0.0%">
                  <c:v>0.38900000000000001</c:v>
                </c:pt>
                <c:pt idx="6" formatCode="0.0%">
                  <c:v>0.37200000000000005</c:v>
                </c:pt>
                <c:pt idx="7" formatCode="0.0%">
                  <c:v>0.42499999999999999</c:v>
                </c:pt>
              </c:numCache>
            </c:numRef>
          </c:yVal>
          <c:smooth val="0"/>
          <c:extLst>
            <c:ext xmlns:c16="http://schemas.microsoft.com/office/drawing/2014/chart" uri="{C3380CC4-5D6E-409C-BE32-E72D297353CC}">
              <c16:uniqueId val="{0000000F-A239-4F6E-87A9-9B5CF28843D1}"/>
            </c:ext>
          </c:extLst>
        </c:ser>
        <c:ser>
          <c:idx val="15"/>
          <c:order val="14"/>
          <c:tx>
            <c:strRef>
              <c:f>PrevDentOral_0614!$A$16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PrevDentOral_0614!$B$16:$I$16</c:f>
              <c:numCache>
                <c:formatCode>0.0%</c:formatCode>
                <c:ptCount val="8"/>
                <c:pt idx="0">
                  <c:v>0.68700000000000006</c:v>
                </c:pt>
                <c:pt idx="1">
                  <c:v>0.69099999999999995</c:v>
                </c:pt>
                <c:pt idx="2">
                  <c:v>0.41200000000000003</c:v>
                </c:pt>
                <c:pt idx="3">
                  <c:v>0.49399999999999999</c:v>
                </c:pt>
                <c:pt idx="4">
                  <c:v>0.53800000000000003</c:v>
                </c:pt>
                <c:pt idx="5">
                  <c:v>0.60399999999999998</c:v>
                </c:pt>
                <c:pt idx="6">
                  <c:v>0.59799999999999998</c:v>
                </c:pt>
                <c:pt idx="7">
                  <c:v>0.60699999999999998</c:v>
                </c:pt>
              </c:numCache>
            </c:numRef>
          </c:yVal>
          <c:smooth val="0"/>
          <c:extLst>
            <c:ext xmlns:c16="http://schemas.microsoft.com/office/drawing/2014/chart" uri="{C3380CC4-5D6E-409C-BE32-E72D297353CC}">
              <c16:uniqueId val="{00000010-A239-4F6E-87A9-9B5CF28843D1}"/>
            </c:ext>
          </c:extLst>
        </c:ser>
        <c:ser>
          <c:idx val="16"/>
          <c:order val="15"/>
          <c:tx>
            <c:strRef>
              <c:f>PrevDentOral_0614!$A$17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PrevDentOral_0614!$B$17:$I$17</c:f>
              <c:numCache>
                <c:formatCode>0.0%</c:formatCode>
                <c:ptCount val="8"/>
                <c:pt idx="0">
                  <c:v>0.66400000000000003</c:v>
                </c:pt>
                <c:pt idx="1">
                  <c:v>0.65900000000000003</c:v>
                </c:pt>
                <c:pt idx="2">
                  <c:v>0.50800000000000001</c:v>
                </c:pt>
                <c:pt idx="3">
                  <c:v>0.50800000000000001</c:v>
                </c:pt>
                <c:pt idx="4">
                  <c:v>0.56100000000000005</c:v>
                </c:pt>
                <c:pt idx="5">
                  <c:v>0.61499999999999999</c:v>
                </c:pt>
                <c:pt idx="6">
                  <c:v>0.70799999999999996</c:v>
                </c:pt>
                <c:pt idx="7">
                  <c:v>0.69299999999999995</c:v>
                </c:pt>
              </c:numCache>
            </c:numRef>
          </c:yVal>
          <c:smooth val="0"/>
          <c:extLst>
            <c:ext xmlns:c16="http://schemas.microsoft.com/office/drawing/2014/chart" uri="{C3380CC4-5D6E-409C-BE32-E72D297353CC}">
              <c16:uniqueId val="{00000011-A239-4F6E-87A9-9B5CF28843D1}"/>
            </c:ext>
          </c:extLst>
        </c:ser>
        <c:ser>
          <c:idx val="17"/>
          <c:order val="17"/>
          <c:tx>
            <c:strRef>
              <c:f>PrevDentOral_0614!$A$20</c:f>
              <c:strCache>
                <c:ptCount val="1"/>
                <c:pt idx="0">
                  <c:v>CCO statewide</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PrevDentOral_0614!$B$20:$I$20</c:f>
              <c:numCache>
                <c:formatCode>0.0%</c:formatCode>
                <c:ptCount val="8"/>
                <c:pt idx="0">
                  <c:v>0.63800000000000001</c:v>
                </c:pt>
                <c:pt idx="1">
                  <c:v>0.66099999999999992</c:v>
                </c:pt>
                <c:pt idx="2">
                  <c:v>0.46799999999999997</c:v>
                </c:pt>
                <c:pt idx="3">
                  <c:v>0.54799999999999993</c:v>
                </c:pt>
                <c:pt idx="4">
                  <c:v>0.59</c:v>
                </c:pt>
                <c:pt idx="5">
                  <c:v>0.61799999999999999</c:v>
                </c:pt>
                <c:pt idx="6">
                  <c:v>0.63700000000000001</c:v>
                </c:pt>
                <c:pt idx="7">
                  <c:v>0.65</c:v>
                </c:pt>
              </c:numCache>
            </c:numRef>
          </c:yVal>
          <c:smooth val="0"/>
          <c:extLst>
            <c:ext xmlns:c16="http://schemas.microsoft.com/office/drawing/2014/chart" uri="{C3380CC4-5D6E-409C-BE32-E72D297353CC}">
              <c16:uniqueId val="{00000012-A239-4F6E-87A9-9B5CF28843D1}"/>
            </c:ext>
          </c:extLst>
        </c:ser>
        <c:ser>
          <c:idx val="19"/>
          <c:order val="18"/>
          <c:tx>
            <c:strRef>
              <c:f>PrevDentOral_0614!$A$19</c:f>
              <c:strCache>
                <c:ptCount val="1"/>
                <c:pt idx="0">
                  <c:v>Individual CCOs</c:v>
                </c:pt>
              </c:strCache>
            </c:strRef>
          </c:tx>
          <c:spPr>
            <a:ln w="25400" cap="rnd">
              <a:noFill/>
              <a:round/>
            </a:ln>
            <a:effectLst/>
          </c:spPr>
          <c:marker>
            <c:symbol val="circle"/>
            <c:size val="6"/>
            <c:spPr>
              <a:noFill/>
              <a:ln w="9525">
                <a:solidFill>
                  <a:srgbClr val="606060"/>
                </a:solidFill>
              </a:ln>
              <a:effectLst/>
            </c:spPr>
          </c:marker>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PrevDentOral_0614!$B$19:$I$19</c:f>
              <c:numCache>
                <c:formatCode>0.0%</c:formatCode>
                <c:ptCount val="8"/>
                <c:pt idx="0">
                  <c:v>0.64</c:v>
                </c:pt>
                <c:pt idx="1">
                  <c:v>0.65200000000000002</c:v>
                </c:pt>
                <c:pt idx="2">
                  <c:v>0.49200000000000005</c:v>
                </c:pt>
                <c:pt idx="3">
                  <c:v>0.56399999999999995</c:v>
                </c:pt>
                <c:pt idx="4">
                  <c:v>0.59700000000000009</c:v>
                </c:pt>
                <c:pt idx="5">
                  <c:v>0.59899999999999998</c:v>
                </c:pt>
                <c:pt idx="6">
                  <c:v>0.62</c:v>
                </c:pt>
                <c:pt idx="7">
                  <c:v>0.65100000000000002</c:v>
                </c:pt>
              </c:numCache>
            </c:numRef>
          </c:yVal>
          <c:smooth val="0"/>
          <c:extLst>
            <c:ext xmlns:c16="http://schemas.microsoft.com/office/drawing/2014/chart" uri="{C3380CC4-5D6E-409C-BE32-E72D297353CC}">
              <c16:uniqueId val="{00000013-A239-4F6E-87A9-9B5CF28843D1}"/>
            </c:ext>
          </c:extLst>
        </c:ser>
        <c:ser>
          <c:idx val="18"/>
          <c:order val="19"/>
          <c:tx>
            <c:strRef>
              <c:f>PrevDentOral_0614!$A$21</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dLbls>
            <c:dLbl>
              <c:idx val="2"/>
              <c:layout>
                <c:manualLayout>
                  <c:x val="-0.21698622047244095"/>
                  <c:y val="-6.9444444444444448E-2"/>
                </c:manualLayout>
              </c:layout>
              <c:tx>
                <c:rich>
                  <a:bodyPr/>
                  <a:lstStyle/>
                  <a:p>
                    <a:r>
                      <a:rPr lang="en-US"/>
                      <a:t>Benchmark</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A239-4F6E-87A9-9B5CF28843D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endParaRPr lang="en-US"/>
              </a:p>
            </c:txPr>
            <c:dLblPos val="l"/>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PrevDentOral_0614!$B$1:$I$1</c:f>
              <c:strCache>
                <c:ptCount val="8"/>
                <c:pt idx="0">
                  <c:v>'18</c:v>
                </c:pt>
                <c:pt idx="1">
                  <c:v>'19</c:v>
                </c:pt>
                <c:pt idx="2">
                  <c:v>'20</c:v>
                </c:pt>
                <c:pt idx="3">
                  <c:v>'21</c:v>
                </c:pt>
                <c:pt idx="4">
                  <c:v>'22</c:v>
                </c:pt>
                <c:pt idx="5">
                  <c:v>'23</c:v>
                </c:pt>
                <c:pt idx="6">
                  <c:v>'24</c:v>
                </c:pt>
                <c:pt idx="7">
                  <c:v>'25</c:v>
                </c:pt>
              </c:strCache>
            </c:strRef>
          </c:xVal>
          <c:yVal>
            <c:numRef>
              <c:f>PrevDentOral_0614!$B$21:$I$21</c:f>
              <c:numCache>
                <c:formatCode>General</c:formatCode>
                <c:ptCount val="8"/>
                <c:pt idx="2" formatCode="0.0%">
                  <c:v>0.67600000000000005</c:v>
                </c:pt>
                <c:pt idx="3" formatCode="0.0%">
                  <c:v>0.43099999999999999</c:v>
                </c:pt>
                <c:pt idx="4" formatCode="0.0%">
                  <c:v>0.52</c:v>
                </c:pt>
                <c:pt idx="5" formatCode="0.0%">
                  <c:v>0.54800000000000004</c:v>
                </c:pt>
                <c:pt idx="6" formatCode="0.0%">
                  <c:v>0.61</c:v>
                </c:pt>
                <c:pt idx="7" formatCode="0.0%">
                  <c:v>0.67300000000000004</c:v>
                </c:pt>
              </c:numCache>
            </c:numRef>
          </c:yVal>
          <c:smooth val="0"/>
          <c:extLst>
            <c:ext xmlns:c16="http://schemas.microsoft.com/office/drawing/2014/chart" uri="{C3380CC4-5D6E-409C-BE32-E72D297353CC}">
              <c16:uniqueId val="{00000015-A239-4F6E-87A9-9B5CF28843D1}"/>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5"/>
        <c:minorUnit val="0.25"/>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9"/>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ptos" panose="020B00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chemeClr val="accent1">
                    <a:lumMod val="75000"/>
                  </a:schemeClr>
                </a:solidFill>
              </a:rPr>
              <a:t>SDOH: </a:t>
            </a:r>
            <a:r>
              <a:rPr lang="en-US" sz="1200" baseline="0">
                <a:solidFill>
                  <a:schemeClr val="accent1">
                    <a:lumMod val="75000"/>
                  </a:schemeClr>
                </a:solidFill>
              </a:rPr>
              <a:t>Screening</a:t>
            </a:r>
            <a:endParaRPr lang="en-US" sz="1200">
              <a:solidFill>
                <a:schemeClr val="accent1">
                  <a:lumMod val="75000"/>
                </a:scheme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888888888888889"/>
          <c:y val="0.10136811023622047"/>
          <c:w val="0.58760683760683763"/>
          <c:h val="0.84830336832895892"/>
        </c:manualLayout>
      </c:layout>
      <c:scatterChart>
        <c:scatterStyle val="lineMarker"/>
        <c:varyColors val="0"/>
        <c:ser>
          <c:idx val="0"/>
          <c:order val="0"/>
          <c:tx>
            <c:strRef>
              <c:f>SDOH_1!$B$1</c:f>
              <c:strCache>
                <c:ptCount val="1"/>
                <c:pt idx="0">
                  <c:v>'25</c:v>
                </c:pt>
              </c:strCache>
            </c:strRef>
          </c:tx>
          <c:spPr>
            <a:ln w="25400" cap="rnd">
              <a:noFill/>
              <a:round/>
            </a:ln>
            <a:effectLst/>
          </c:spPr>
          <c:marker>
            <c:symbol val="circle"/>
            <c:size val="16"/>
            <c:spPr>
              <a:solidFill>
                <a:srgbClr val="F2F2F2"/>
              </a:solidFill>
              <a:ln w="9525">
                <a:solidFill>
                  <a:srgbClr val="606060"/>
                </a:solidFill>
              </a:ln>
              <a:effectLst/>
            </c:spPr>
          </c:marker>
          <c:dPt>
            <c:idx val="3"/>
            <c:marker>
              <c:symbol val="circle"/>
              <c:size val="16"/>
              <c:spPr>
                <a:solidFill>
                  <a:schemeClr val="accent1">
                    <a:lumMod val="75000"/>
                  </a:schemeClr>
                </a:solidFill>
                <a:ln w="9525">
                  <a:solidFill>
                    <a:schemeClr val="accent1">
                      <a:lumMod val="75000"/>
                    </a:schemeClr>
                  </a:solidFill>
                </a:ln>
                <a:effectLst/>
              </c:spPr>
            </c:marker>
            <c:bubble3D val="0"/>
            <c:extLst>
              <c:ext xmlns:c16="http://schemas.microsoft.com/office/drawing/2014/chart" uri="{C3380CC4-5D6E-409C-BE32-E72D297353CC}">
                <c16:uniqueId val="{00000000-A997-4FFE-B9EE-3E6FDC1D75B5}"/>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n-US"/>
              </a:p>
            </c:txPr>
            <c:dLblPos val="r"/>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SDOH_1!$B$2:$B$18</c:f>
              <c:numCache>
                <c:formatCode>0.0%</c:formatCode>
                <c:ptCount val="17"/>
                <c:pt idx="0">
                  <c:v>0.17899999999999999</c:v>
                </c:pt>
                <c:pt idx="1">
                  <c:v>6.3E-2</c:v>
                </c:pt>
                <c:pt idx="2">
                  <c:v>6.7000000000000004E-2</c:v>
                </c:pt>
                <c:pt idx="3">
                  <c:v>0.16300000000000001</c:v>
                </c:pt>
                <c:pt idx="4">
                  <c:v>2.4E-2</c:v>
                </c:pt>
                <c:pt idx="5">
                  <c:v>0.26200000000000001</c:v>
                </c:pt>
                <c:pt idx="6">
                  <c:v>6.4000000000000001E-2</c:v>
                </c:pt>
                <c:pt idx="7">
                  <c:v>2.7E-2</c:v>
                </c:pt>
                <c:pt idx="8">
                  <c:v>7.1999999999999995E-2</c:v>
                </c:pt>
                <c:pt idx="9">
                  <c:v>0.28199999999999997</c:v>
                </c:pt>
                <c:pt idx="10">
                  <c:v>0.13800000000000001</c:v>
                </c:pt>
                <c:pt idx="11">
                  <c:v>5.6000000000000001E-2</c:v>
                </c:pt>
                <c:pt idx="12">
                  <c:v>0.2</c:v>
                </c:pt>
                <c:pt idx="13">
                  <c:v>0.28100000000000003</c:v>
                </c:pt>
                <c:pt idx="14">
                  <c:v>0.52300000000000002</c:v>
                </c:pt>
                <c:pt idx="15">
                  <c:v>0.35499999999999998</c:v>
                </c:pt>
                <c:pt idx="16">
                  <c:v>0</c:v>
                </c:pt>
              </c:numCache>
            </c:numRef>
          </c:xVal>
          <c:yVal>
            <c:numRef>
              <c:f>SDOH_1!$C$2:$C$18</c:f>
              <c:numCache>
                <c:formatCode>General</c:formatCode>
                <c:ptCount val="17"/>
                <c:pt idx="0">
                  <c:v>10</c:v>
                </c:pt>
                <c:pt idx="1">
                  <c:v>5</c:v>
                </c:pt>
                <c:pt idx="2">
                  <c:v>7</c:v>
                </c:pt>
                <c:pt idx="3">
                  <c:v>17</c:v>
                </c:pt>
                <c:pt idx="4">
                  <c:v>2</c:v>
                </c:pt>
                <c:pt idx="5">
                  <c:v>12</c:v>
                </c:pt>
                <c:pt idx="6">
                  <c:v>6</c:v>
                </c:pt>
                <c:pt idx="7">
                  <c:v>3</c:v>
                </c:pt>
                <c:pt idx="8">
                  <c:v>8</c:v>
                </c:pt>
                <c:pt idx="9">
                  <c:v>14</c:v>
                </c:pt>
                <c:pt idx="10">
                  <c:v>9</c:v>
                </c:pt>
                <c:pt idx="11">
                  <c:v>4</c:v>
                </c:pt>
                <c:pt idx="12">
                  <c:v>11</c:v>
                </c:pt>
                <c:pt idx="13">
                  <c:v>13</c:v>
                </c:pt>
                <c:pt idx="14">
                  <c:v>16</c:v>
                </c:pt>
                <c:pt idx="15">
                  <c:v>15</c:v>
                </c:pt>
                <c:pt idx="16">
                  <c:v>1</c:v>
                </c:pt>
              </c:numCache>
            </c:numRef>
          </c:yVal>
          <c:smooth val="0"/>
          <c:extLst>
            <c:ext xmlns:c16="http://schemas.microsoft.com/office/drawing/2014/chart" uri="{C3380CC4-5D6E-409C-BE32-E72D297353CC}">
              <c16:uniqueId val="{00000001-A997-4FFE-B9EE-3E6FDC1D75B5}"/>
            </c:ext>
          </c:extLst>
        </c:ser>
        <c:ser>
          <c:idx val="1"/>
          <c:order val="1"/>
          <c:tx>
            <c:v>Labels</c:v>
          </c:tx>
          <c:spPr>
            <a:ln w="25400" cap="rnd">
              <a:noFill/>
              <a:round/>
            </a:ln>
            <a:effectLst/>
          </c:spPr>
          <c:marker>
            <c:symbol val="none"/>
          </c:marker>
          <c:dLbls>
            <c:dLbl>
              <c:idx val="0"/>
              <c:tx>
                <c:rich>
                  <a:bodyPr/>
                  <a:lstStyle/>
                  <a:p>
                    <a:fld id="{E3B7ED22-1B51-4A34-8435-DAFBD9911914}"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A997-4FFE-B9EE-3E6FDC1D75B5}"/>
                </c:ext>
              </c:extLst>
            </c:dLbl>
            <c:dLbl>
              <c:idx val="1"/>
              <c:tx>
                <c:rich>
                  <a:bodyPr/>
                  <a:lstStyle/>
                  <a:p>
                    <a:fld id="{308C01B7-EB79-4456-AA1E-BAD13BE4A3D6}"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14384850932095028"/>
                      <c:h val="4.6084645669291338E-2"/>
                    </c:manualLayout>
                  </c15:layout>
                  <c15:dlblFieldTable/>
                  <c15:showDataLabelsRange val="1"/>
                </c:ext>
                <c:ext xmlns:c16="http://schemas.microsoft.com/office/drawing/2014/chart" uri="{C3380CC4-5D6E-409C-BE32-E72D297353CC}">
                  <c16:uniqueId val="{00000003-A997-4FFE-B9EE-3E6FDC1D75B5}"/>
                </c:ext>
              </c:extLst>
            </c:dLbl>
            <c:dLbl>
              <c:idx val="2"/>
              <c:tx>
                <c:rich>
                  <a:bodyPr/>
                  <a:lstStyle/>
                  <a:p>
                    <a:fld id="{A484F7DF-A130-4088-AAFF-53625756491A}"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A997-4FFE-B9EE-3E6FDC1D75B5}"/>
                </c:ext>
              </c:extLst>
            </c:dLbl>
            <c:dLbl>
              <c:idx val="3"/>
              <c:tx>
                <c:rich>
                  <a:bodyPr/>
                  <a:lstStyle/>
                  <a:p>
                    <a:fld id="{E70B06E9-56FA-4B9D-BBA5-239B7A098E12}"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A997-4FFE-B9EE-3E6FDC1D75B5}"/>
                </c:ext>
              </c:extLst>
            </c:dLbl>
            <c:dLbl>
              <c:idx val="4"/>
              <c:tx>
                <c:rich>
                  <a:bodyPr/>
                  <a:lstStyle/>
                  <a:p>
                    <a:fld id="{3067EDC3-9A04-4252-BE24-4C4E2C2DE556}"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A997-4FFE-B9EE-3E6FDC1D75B5}"/>
                </c:ext>
              </c:extLst>
            </c:dLbl>
            <c:dLbl>
              <c:idx val="5"/>
              <c:tx>
                <c:rich>
                  <a:bodyPr/>
                  <a:lstStyle/>
                  <a:p>
                    <a:fld id="{16E57489-13D7-48DD-A3D6-870D9BB5FEA4}"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A997-4FFE-B9EE-3E6FDC1D75B5}"/>
                </c:ext>
              </c:extLst>
            </c:dLbl>
            <c:dLbl>
              <c:idx val="6"/>
              <c:tx>
                <c:rich>
                  <a:bodyPr/>
                  <a:lstStyle/>
                  <a:p>
                    <a:fld id="{8F3E2701-C1CB-46FB-A9EF-BAD188EF992B}"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A997-4FFE-B9EE-3E6FDC1D75B5}"/>
                </c:ext>
              </c:extLst>
            </c:dLbl>
            <c:dLbl>
              <c:idx val="7"/>
              <c:tx>
                <c:rich>
                  <a:bodyPr/>
                  <a:lstStyle/>
                  <a:p>
                    <a:fld id="{22F85633-8E53-447A-BC79-E6B710256A32}"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A997-4FFE-B9EE-3E6FDC1D75B5}"/>
                </c:ext>
              </c:extLst>
            </c:dLbl>
            <c:dLbl>
              <c:idx val="8"/>
              <c:tx>
                <c:rich>
                  <a:bodyPr/>
                  <a:lstStyle/>
                  <a:p>
                    <a:fld id="{485BE670-D762-455E-9A23-6B88BAB972C1}"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A997-4FFE-B9EE-3E6FDC1D75B5}"/>
                </c:ext>
              </c:extLst>
            </c:dLbl>
            <c:dLbl>
              <c:idx val="9"/>
              <c:tx>
                <c:rich>
                  <a:bodyPr/>
                  <a:lstStyle/>
                  <a:p>
                    <a:fld id="{7F0D4534-060D-4293-9ED3-6CD7DFB35ED9}"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A997-4FFE-B9EE-3E6FDC1D75B5}"/>
                </c:ext>
              </c:extLst>
            </c:dLbl>
            <c:dLbl>
              <c:idx val="10"/>
              <c:tx>
                <c:rich>
                  <a:bodyPr/>
                  <a:lstStyle/>
                  <a:p>
                    <a:fld id="{2C08B99B-BB1F-49A3-859A-2CBAE43EB4D0}"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A997-4FFE-B9EE-3E6FDC1D75B5}"/>
                </c:ext>
              </c:extLst>
            </c:dLbl>
            <c:dLbl>
              <c:idx val="11"/>
              <c:tx>
                <c:rich>
                  <a:bodyPr/>
                  <a:lstStyle/>
                  <a:p>
                    <a:fld id="{A3288873-3731-431F-AC15-1255BFE08222}"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A997-4FFE-B9EE-3E6FDC1D75B5}"/>
                </c:ext>
              </c:extLst>
            </c:dLbl>
            <c:dLbl>
              <c:idx val="12"/>
              <c:tx>
                <c:rich>
                  <a:bodyPr/>
                  <a:lstStyle/>
                  <a:p>
                    <a:fld id="{EF03B651-0CD0-4AB3-BF3A-64B7B0F967EC}"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A997-4FFE-B9EE-3E6FDC1D75B5}"/>
                </c:ext>
              </c:extLst>
            </c:dLbl>
            <c:dLbl>
              <c:idx val="13"/>
              <c:tx>
                <c:rich>
                  <a:bodyPr/>
                  <a:lstStyle/>
                  <a:p>
                    <a:fld id="{F793E790-2DA5-42B9-A225-7B13B81C6789}"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A997-4FFE-B9EE-3E6FDC1D75B5}"/>
                </c:ext>
              </c:extLst>
            </c:dLbl>
            <c:dLbl>
              <c:idx val="14"/>
              <c:tx>
                <c:rich>
                  <a:bodyPr/>
                  <a:lstStyle/>
                  <a:p>
                    <a:fld id="{7CD542A1-BC87-4572-8E93-CBCDC7B3B85B}"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A997-4FFE-B9EE-3E6FDC1D75B5}"/>
                </c:ext>
              </c:extLst>
            </c:dLbl>
            <c:dLbl>
              <c:idx val="15"/>
              <c:tx>
                <c:rich>
                  <a:bodyPr/>
                  <a:lstStyle/>
                  <a:p>
                    <a:fld id="{9E6628E6-1E57-45CC-A7CC-EFB9C49A2A71}"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A997-4FFE-B9EE-3E6FDC1D75B5}"/>
                </c:ext>
              </c:extLst>
            </c:dLbl>
            <c:dLbl>
              <c:idx val="16"/>
              <c:tx>
                <c:rich>
                  <a:bodyPr/>
                  <a:lstStyle/>
                  <a:p>
                    <a:fld id="{99497D29-8F7E-46CF-BF4A-A85C514EEE3E}"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A997-4FFE-B9EE-3E6FDC1D75B5}"/>
                </c:ext>
              </c:extLst>
            </c:dLbl>
            <c:dLbl>
              <c:idx val="17"/>
              <c:tx>
                <c:rich>
                  <a:bodyPr/>
                  <a:lstStyle/>
                  <a:p>
                    <a:endParaRPr lang="en-US"/>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3-A997-4FFE-B9EE-3E6FDC1D75B5}"/>
                </c:ext>
              </c:extLst>
            </c:dLbl>
            <c:spPr>
              <a:solidFill>
                <a:schemeClr val="bg1"/>
              </a:solidFill>
              <a:ln>
                <a:noFill/>
              </a:ln>
              <a:effectLst/>
            </c:spPr>
            <c:txPr>
              <a:bodyPr rot="0" spcFirstLastPara="1" vertOverflow="overflow" horzOverflow="overflow" vert="horz" wrap="non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xVal>
            <c:numRef>
              <c:f>SDOH_1!$D$2:$D$19</c:f>
              <c:numCache>
                <c:formatCode>General</c:formatCode>
                <c:ptCount val="18"/>
                <c:pt idx="0">
                  <c:v>-0.05</c:v>
                </c:pt>
                <c:pt idx="1">
                  <c:v>-0.05</c:v>
                </c:pt>
                <c:pt idx="2">
                  <c:v>-0.05</c:v>
                </c:pt>
                <c:pt idx="3">
                  <c:v>-0.05</c:v>
                </c:pt>
                <c:pt idx="4">
                  <c:v>-0.05</c:v>
                </c:pt>
                <c:pt idx="5">
                  <c:v>-0.05</c:v>
                </c:pt>
                <c:pt idx="6">
                  <c:v>-0.05</c:v>
                </c:pt>
                <c:pt idx="7">
                  <c:v>-0.05</c:v>
                </c:pt>
                <c:pt idx="8">
                  <c:v>-0.05</c:v>
                </c:pt>
                <c:pt idx="9">
                  <c:v>-0.05</c:v>
                </c:pt>
                <c:pt idx="10">
                  <c:v>-0.05</c:v>
                </c:pt>
                <c:pt idx="11">
                  <c:v>-0.05</c:v>
                </c:pt>
                <c:pt idx="12">
                  <c:v>-0.05</c:v>
                </c:pt>
                <c:pt idx="13">
                  <c:v>-0.05</c:v>
                </c:pt>
                <c:pt idx="14">
                  <c:v>-0.05</c:v>
                </c:pt>
                <c:pt idx="15">
                  <c:v>-0.05</c:v>
                </c:pt>
                <c:pt idx="16">
                  <c:v>-0.05</c:v>
                </c:pt>
              </c:numCache>
            </c:numRef>
          </c:xVal>
          <c:yVal>
            <c:numRef>
              <c:f>SDOH_1!$C$2:$C$19</c:f>
              <c:numCache>
                <c:formatCode>General</c:formatCode>
                <c:ptCount val="18"/>
                <c:pt idx="0">
                  <c:v>10</c:v>
                </c:pt>
                <c:pt idx="1">
                  <c:v>5</c:v>
                </c:pt>
                <c:pt idx="2">
                  <c:v>7</c:v>
                </c:pt>
                <c:pt idx="3">
                  <c:v>17</c:v>
                </c:pt>
                <c:pt idx="4">
                  <c:v>2</c:v>
                </c:pt>
                <c:pt idx="5">
                  <c:v>12</c:v>
                </c:pt>
                <c:pt idx="6">
                  <c:v>6</c:v>
                </c:pt>
                <c:pt idx="7">
                  <c:v>3</c:v>
                </c:pt>
                <c:pt idx="8">
                  <c:v>8</c:v>
                </c:pt>
                <c:pt idx="9">
                  <c:v>14</c:v>
                </c:pt>
                <c:pt idx="10">
                  <c:v>9</c:v>
                </c:pt>
                <c:pt idx="11">
                  <c:v>4</c:v>
                </c:pt>
                <c:pt idx="12">
                  <c:v>11</c:v>
                </c:pt>
                <c:pt idx="13">
                  <c:v>13</c:v>
                </c:pt>
                <c:pt idx="14">
                  <c:v>16</c:v>
                </c:pt>
                <c:pt idx="15">
                  <c:v>15</c:v>
                </c:pt>
                <c:pt idx="16">
                  <c:v>1</c:v>
                </c:pt>
              </c:numCache>
            </c:numRef>
          </c:yVal>
          <c:smooth val="0"/>
          <c:extLst>
            <c:ext xmlns:c15="http://schemas.microsoft.com/office/drawing/2012/chart" uri="{02D57815-91ED-43cb-92C2-25804820EDAC}">
              <c15:datalabelsRange>
                <c15:f>SDOH_1!$A$2:$A$18</c15:f>
                <c15:dlblRangeCache>
                  <c:ptCount val="17"/>
                  <c:pt idx="0">
                    <c:v>Advanced Health</c:v>
                  </c:pt>
                  <c:pt idx="1">
                    <c:v>AllCare CCO</c:v>
                  </c:pt>
                  <c:pt idx="2">
                    <c:v>Cascade Health Alliance</c:v>
                  </c:pt>
                  <c:pt idx="3">
                    <c:v>CCO statewide</c:v>
                  </c:pt>
                  <c:pt idx="4">
                    <c:v>Columbia Pacific</c:v>
                  </c:pt>
                  <c:pt idx="5">
                    <c:v>Eastern Oregon CCO</c:v>
                  </c:pt>
                  <c:pt idx="6">
                    <c:v>Health Share of Oregon</c:v>
                  </c:pt>
                  <c:pt idx="7">
                    <c:v>InterCommunity Health Network</c:v>
                  </c:pt>
                  <c:pt idx="8">
                    <c:v>Jackson Care Connect</c:v>
                  </c:pt>
                  <c:pt idx="9">
                    <c:v>PacificSource Central</c:v>
                  </c:pt>
                  <c:pt idx="10">
                    <c:v>PacificSource Gorge</c:v>
                  </c:pt>
                  <c:pt idx="11">
                    <c:v>PacificSource Lane</c:v>
                  </c:pt>
                  <c:pt idx="12">
                    <c:v>PacificSource Marion Polk</c:v>
                  </c:pt>
                  <c:pt idx="13">
                    <c:v>Trillium North</c:v>
                  </c:pt>
                  <c:pt idx="14">
                    <c:v>Trillium South</c:v>
                  </c:pt>
                  <c:pt idx="15">
                    <c:v>Umpqua Health Alliance</c:v>
                  </c:pt>
                  <c:pt idx="16">
                    <c:v>Yamhill Community Care</c:v>
                  </c:pt>
                </c15:dlblRangeCache>
              </c15:datalabelsRange>
            </c:ext>
            <c:ext xmlns:c16="http://schemas.microsoft.com/office/drawing/2014/chart" uri="{C3380CC4-5D6E-409C-BE32-E72D297353CC}">
              <c16:uniqueId val="{00000014-A997-4FFE-B9EE-3E6FDC1D75B5}"/>
            </c:ext>
          </c:extLst>
        </c:ser>
        <c:dLbls>
          <c:showLegendKey val="0"/>
          <c:showVal val="0"/>
          <c:showCatName val="0"/>
          <c:showSerName val="0"/>
          <c:showPercent val="0"/>
          <c:showBubbleSize val="0"/>
        </c:dLbls>
        <c:axId val="850782895"/>
        <c:axId val="850776655"/>
      </c:scatterChart>
      <c:valAx>
        <c:axId val="850782895"/>
        <c:scaling>
          <c:orientation val="minMax"/>
          <c:max val="1.2"/>
          <c:min val="-0.1"/>
        </c:scaling>
        <c:delete val="1"/>
        <c:axPos val="b"/>
        <c:numFmt formatCode="0.0%" sourceLinked="1"/>
        <c:majorTickMark val="out"/>
        <c:minorTickMark val="none"/>
        <c:tickLblPos val="nextTo"/>
        <c:crossAx val="850776655"/>
        <c:crosses val="autoZero"/>
        <c:crossBetween val="midCat"/>
      </c:valAx>
      <c:valAx>
        <c:axId val="850776655"/>
        <c:scaling>
          <c:orientation val="minMax"/>
          <c:max val="17"/>
          <c:min val="1"/>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850782895"/>
        <c:crosses val="autoZero"/>
        <c:crossBetween val="midCat"/>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chemeClr val="accent1">
                    <a:lumMod val="75000"/>
                  </a:schemeClr>
                </a:solidFill>
              </a:rPr>
              <a:t>SDOH:</a:t>
            </a:r>
            <a:r>
              <a:rPr lang="en-US" sz="1200" baseline="0">
                <a:solidFill>
                  <a:schemeClr val="accent1">
                    <a:lumMod val="75000"/>
                  </a:schemeClr>
                </a:solidFill>
              </a:rPr>
              <a:t> Referrals</a:t>
            </a:r>
            <a:endParaRPr lang="en-US" sz="1200">
              <a:solidFill>
                <a:schemeClr val="accent1">
                  <a:lumMod val="75000"/>
                </a:scheme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888888888888889"/>
          <c:y val="9.6069182389937113E-2"/>
          <c:w val="0.58760683760683763"/>
          <c:h val="0.82882599580712768"/>
        </c:manualLayout>
      </c:layout>
      <c:scatterChart>
        <c:scatterStyle val="lineMarker"/>
        <c:varyColors val="0"/>
        <c:ser>
          <c:idx val="0"/>
          <c:order val="0"/>
          <c:tx>
            <c:v>Interpret with caution</c:v>
          </c:tx>
          <c:spPr>
            <a:ln w="25400" cap="rnd">
              <a:noFill/>
              <a:round/>
            </a:ln>
            <a:effectLst/>
          </c:spPr>
          <c:marker>
            <c:symbol val="diamond"/>
            <c:size val="16"/>
            <c:spPr>
              <a:solidFill>
                <a:srgbClr val="F2F2F2"/>
              </a:solidFill>
              <a:ln w="9525">
                <a:solidFill>
                  <a:srgbClr val="606060"/>
                </a:solidFill>
              </a:ln>
              <a:effectLst/>
            </c:spPr>
          </c:marker>
          <c:dPt>
            <c:idx val="4"/>
            <c:marker>
              <c:symbol val="circle"/>
              <c:size val="16"/>
              <c:spPr>
                <a:solidFill>
                  <a:srgbClr val="F2F2F2"/>
                </a:solidFill>
                <a:ln w="9525">
                  <a:solidFill>
                    <a:srgbClr val="606060"/>
                  </a:solidFill>
                </a:ln>
                <a:effectLst/>
              </c:spPr>
            </c:marker>
            <c:bubble3D val="0"/>
            <c:extLst>
              <c:ext xmlns:c16="http://schemas.microsoft.com/office/drawing/2014/chart" uri="{C3380CC4-5D6E-409C-BE32-E72D297353CC}">
                <c16:uniqueId val="{00000000-62F8-4854-BBB4-648039F6C5C5}"/>
              </c:ext>
            </c:extLst>
          </c:dPt>
          <c:dPt>
            <c:idx val="7"/>
            <c:marker>
              <c:symbol val="diamond"/>
              <c:size val="16"/>
              <c:spPr>
                <a:solidFill>
                  <a:srgbClr val="F2F2F2"/>
                </a:solidFill>
                <a:ln w="9525">
                  <a:solidFill>
                    <a:srgbClr val="606060"/>
                  </a:solidFill>
                </a:ln>
                <a:effectLst/>
              </c:spPr>
            </c:marker>
            <c:bubble3D val="0"/>
            <c:extLst>
              <c:ext xmlns:c16="http://schemas.microsoft.com/office/drawing/2014/chart" uri="{C3380CC4-5D6E-409C-BE32-E72D297353CC}">
                <c16:uniqueId val="{00000001-62F8-4854-BBB4-648039F6C5C5}"/>
              </c:ext>
            </c:extLst>
          </c:dPt>
          <c:dPt>
            <c:idx val="8"/>
            <c:marker>
              <c:symbol val="circle"/>
              <c:size val="16"/>
              <c:spPr>
                <a:solidFill>
                  <a:srgbClr val="F2F2F2"/>
                </a:solidFill>
                <a:ln w="9525">
                  <a:solidFill>
                    <a:srgbClr val="606060"/>
                  </a:solidFill>
                </a:ln>
                <a:effectLst/>
              </c:spPr>
            </c:marker>
            <c:bubble3D val="0"/>
            <c:extLst>
              <c:ext xmlns:c16="http://schemas.microsoft.com/office/drawing/2014/chart" uri="{C3380CC4-5D6E-409C-BE32-E72D297353CC}">
                <c16:uniqueId val="{00000002-62F8-4854-BBB4-648039F6C5C5}"/>
              </c:ext>
            </c:extLst>
          </c:dPt>
          <c:dPt>
            <c:idx val="12"/>
            <c:marker>
              <c:symbol val="circle"/>
              <c:size val="16"/>
              <c:spPr>
                <a:solidFill>
                  <a:schemeClr val="accent1">
                    <a:lumMod val="75000"/>
                  </a:schemeClr>
                </a:solidFill>
                <a:ln w="9525">
                  <a:solidFill>
                    <a:schemeClr val="accent1">
                      <a:lumMod val="75000"/>
                    </a:schemeClr>
                  </a:solidFill>
                </a:ln>
                <a:effectLst/>
              </c:spPr>
            </c:marker>
            <c:bubble3D val="0"/>
            <c:extLst>
              <c:ext xmlns:c16="http://schemas.microsoft.com/office/drawing/2014/chart" uri="{C3380CC4-5D6E-409C-BE32-E72D297353CC}">
                <c16:uniqueId val="{00000003-62F8-4854-BBB4-648039F6C5C5}"/>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n-US"/>
              </a:p>
            </c:txPr>
            <c:dLblPos val="r"/>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'SDOH_3 (2)'!$B$2:$B$18</c:f>
              <c:numCache>
                <c:formatCode>0.0%</c:formatCode>
                <c:ptCount val="17"/>
                <c:pt idx="0">
                  <c:v>0.19400000000000001</c:v>
                </c:pt>
                <c:pt idx="1">
                  <c:v>1</c:v>
                </c:pt>
                <c:pt idx="2">
                  <c:v>6.3E-2</c:v>
                </c:pt>
                <c:pt idx="3">
                  <c:v>0.154</c:v>
                </c:pt>
                <c:pt idx="4">
                  <c:v>0.51400000000000001</c:v>
                </c:pt>
                <c:pt idx="5">
                  <c:v>6.5000000000000002E-2</c:v>
                </c:pt>
                <c:pt idx="6">
                  <c:v>0</c:v>
                </c:pt>
                <c:pt idx="7">
                  <c:v>0.121</c:v>
                </c:pt>
                <c:pt idx="8">
                  <c:v>0.21299999999999999</c:v>
                </c:pt>
                <c:pt idx="9">
                  <c:v>0.16700000000000001</c:v>
                </c:pt>
                <c:pt idx="10">
                  <c:v>0.2</c:v>
                </c:pt>
                <c:pt idx="11">
                  <c:v>0.27800000000000002</c:v>
                </c:pt>
                <c:pt idx="12">
                  <c:v>0.20399999999999999</c:v>
                </c:pt>
                <c:pt idx="13">
                  <c:v>0</c:v>
                </c:pt>
                <c:pt idx="14">
                  <c:v>7.0999999999999994E-2</c:v>
                </c:pt>
                <c:pt idx="15">
                  <c:v>0.27</c:v>
                </c:pt>
                <c:pt idx="16">
                  <c:v>0</c:v>
                </c:pt>
              </c:numCache>
            </c:numRef>
          </c:xVal>
          <c:yVal>
            <c:numRef>
              <c:f>'SDOH_3 (2)'!$C$2:$C$18</c:f>
              <c:numCache>
                <c:formatCode>General</c:formatCode>
                <c:ptCount val="17"/>
                <c:pt idx="0">
                  <c:v>10</c:v>
                </c:pt>
                <c:pt idx="1">
                  <c:v>16</c:v>
                </c:pt>
                <c:pt idx="2">
                  <c:v>4</c:v>
                </c:pt>
                <c:pt idx="3">
                  <c:v>8</c:v>
                </c:pt>
                <c:pt idx="4">
                  <c:v>15</c:v>
                </c:pt>
                <c:pt idx="5">
                  <c:v>5</c:v>
                </c:pt>
                <c:pt idx="6">
                  <c:v>1</c:v>
                </c:pt>
                <c:pt idx="7">
                  <c:v>7</c:v>
                </c:pt>
                <c:pt idx="8">
                  <c:v>12</c:v>
                </c:pt>
                <c:pt idx="9">
                  <c:v>9</c:v>
                </c:pt>
                <c:pt idx="10">
                  <c:v>11</c:v>
                </c:pt>
                <c:pt idx="11">
                  <c:v>14</c:v>
                </c:pt>
                <c:pt idx="12">
                  <c:v>17</c:v>
                </c:pt>
                <c:pt idx="13">
                  <c:v>2</c:v>
                </c:pt>
                <c:pt idx="14">
                  <c:v>6</c:v>
                </c:pt>
                <c:pt idx="15">
                  <c:v>13</c:v>
                </c:pt>
                <c:pt idx="16">
                  <c:v>3</c:v>
                </c:pt>
              </c:numCache>
            </c:numRef>
          </c:yVal>
          <c:smooth val="0"/>
          <c:extLst>
            <c:ext xmlns:c16="http://schemas.microsoft.com/office/drawing/2014/chart" uri="{C3380CC4-5D6E-409C-BE32-E72D297353CC}">
              <c16:uniqueId val="{00000004-62F8-4854-BBB4-648039F6C5C5}"/>
            </c:ext>
          </c:extLst>
        </c:ser>
        <c:ser>
          <c:idx val="1"/>
          <c:order val="1"/>
          <c:tx>
            <c:v>Labels</c:v>
          </c:tx>
          <c:spPr>
            <a:ln w="25400" cap="rnd">
              <a:noFill/>
              <a:round/>
            </a:ln>
            <a:effectLst/>
          </c:spPr>
          <c:marker>
            <c:symbol val="none"/>
          </c:marker>
          <c:dLbls>
            <c:dLbl>
              <c:idx val="0"/>
              <c:tx>
                <c:rich>
                  <a:bodyPr/>
                  <a:lstStyle/>
                  <a:p>
                    <a:fld id="{34774D99-35F5-4900-84F8-5DD73C7CD267}"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62F8-4854-BBB4-648039F6C5C5}"/>
                </c:ext>
              </c:extLst>
            </c:dLbl>
            <c:dLbl>
              <c:idx val="1"/>
              <c:tx>
                <c:rich>
                  <a:bodyPr/>
                  <a:lstStyle/>
                  <a:p>
                    <a:fld id="{88A6D18A-72F5-468D-AE1B-7A6BE3A010D4}"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62F8-4854-BBB4-648039F6C5C5}"/>
                </c:ext>
              </c:extLst>
            </c:dLbl>
            <c:dLbl>
              <c:idx val="2"/>
              <c:tx>
                <c:rich>
                  <a:bodyPr/>
                  <a:lstStyle/>
                  <a:p>
                    <a:fld id="{24FEE8D3-DD40-4CCE-8C3D-8FA0CF167148}"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62F8-4854-BBB4-648039F6C5C5}"/>
                </c:ext>
              </c:extLst>
            </c:dLbl>
            <c:dLbl>
              <c:idx val="3"/>
              <c:tx>
                <c:rich>
                  <a:bodyPr/>
                  <a:lstStyle/>
                  <a:p>
                    <a:fld id="{7DF7DB1F-2906-4424-A3F5-BA6AB45874A8}"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62F8-4854-BBB4-648039F6C5C5}"/>
                </c:ext>
              </c:extLst>
            </c:dLbl>
            <c:dLbl>
              <c:idx val="4"/>
              <c:tx>
                <c:rich>
                  <a:bodyPr/>
                  <a:lstStyle/>
                  <a:p>
                    <a:fld id="{49043DA2-B654-467A-84F7-ED68B5773FAD}"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62F8-4854-BBB4-648039F6C5C5}"/>
                </c:ext>
              </c:extLst>
            </c:dLbl>
            <c:dLbl>
              <c:idx val="5"/>
              <c:tx>
                <c:rich>
                  <a:bodyPr/>
                  <a:lstStyle/>
                  <a:p>
                    <a:fld id="{A667553C-4F6F-4080-8D97-0C32CC7120D8}"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62F8-4854-BBB4-648039F6C5C5}"/>
                </c:ext>
              </c:extLst>
            </c:dLbl>
            <c:dLbl>
              <c:idx val="6"/>
              <c:tx>
                <c:rich>
                  <a:bodyPr/>
                  <a:lstStyle/>
                  <a:p>
                    <a:fld id="{9B69AFE0-3459-42EC-BC7B-9C91BF22C37C}"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62F8-4854-BBB4-648039F6C5C5}"/>
                </c:ext>
              </c:extLst>
            </c:dLbl>
            <c:dLbl>
              <c:idx val="7"/>
              <c:tx>
                <c:rich>
                  <a:bodyPr/>
                  <a:lstStyle/>
                  <a:p>
                    <a:fld id="{72BD59A2-39AF-432E-861E-4623F21F35CE}"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62F8-4854-BBB4-648039F6C5C5}"/>
                </c:ext>
              </c:extLst>
            </c:dLbl>
            <c:dLbl>
              <c:idx val="8"/>
              <c:tx>
                <c:rich>
                  <a:bodyPr/>
                  <a:lstStyle/>
                  <a:p>
                    <a:fld id="{0C5E1270-7BCA-4091-9F6B-0A2370402160}"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62F8-4854-BBB4-648039F6C5C5}"/>
                </c:ext>
              </c:extLst>
            </c:dLbl>
            <c:dLbl>
              <c:idx val="9"/>
              <c:tx>
                <c:rich>
                  <a:bodyPr/>
                  <a:lstStyle/>
                  <a:p>
                    <a:fld id="{A0DC5FAB-79C6-4A23-9B20-FC38E72B3F6D}"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62F8-4854-BBB4-648039F6C5C5}"/>
                </c:ext>
              </c:extLst>
            </c:dLbl>
            <c:dLbl>
              <c:idx val="10"/>
              <c:tx>
                <c:rich>
                  <a:bodyPr/>
                  <a:lstStyle/>
                  <a:p>
                    <a:fld id="{74947A49-CD68-46BD-96CB-63E715B715B3}"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62F8-4854-BBB4-648039F6C5C5}"/>
                </c:ext>
              </c:extLst>
            </c:dLbl>
            <c:dLbl>
              <c:idx val="11"/>
              <c:tx>
                <c:rich>
                  <a:bodyPr/>
                  <a:lstStyle/>
                  <a:p>
                    <a:fld id="{B509A273-3C4B-47D6-A6D7-29A5926291D0}"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62F8-4854-BBB4-648039F6C5C5}"/>
                </c:ext>
              </c:extLst>
            </c:dLbl>
            <c:dLbl>
              <c:idx val="12"/>
              <c:tx>
                <c:rich>
                  <a:bodyPr/>
                  <a:lstStyle/>
                  <a:p>
                    <a:fld id="{C35F33DB-6E2D-48F7-994F-DAE586233605}"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layout>
                    <c:manualLayout>
                      <c:w val="0.14384850932095028"/>
                      <c:h val="4.6084645669291338E-2"/>
                    </c:manualLayout>
                  </c15:layout>
                  <c15:dlblFieldTable/>
                  <c15:showDataLabelsRange val="1"/>
                </c:ext>
                <c:ext xmlns:c16="http://schemas.microsoft.com/office/drawing/2014/chart" uri="{C3380CC4-5D6E-409C-BE32-E72D297353CC}">
                  <c16:uniqueId val="{00000011-62F8-4854-BBB4-648039F6C5C5}"/>
                </c:ext>
              </c:extLst>
            </c:dLbl>
            <c:dLbl>
              <c:idx val="13"/>
              <c:tx>
                <c:rich>
                  <a:bodyPr/>
                  <a:lstStyle/>
                  <a:p>
                    <a:fld id="{B7AB61BA-0295-4E90-B613-0C79D059CF75}"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62F8-4854-BBB4-648039F6C5C5}"/>
                </c:ext>
              </c:extLst>
            </c:dLbl>
            <c:dLbl>
              <c:idx val="14"/>
              <c:tx>
                <c:rich>
                  <a:bodyPr/>
                  <a:lstStyle/>
                  <a:p>
                    <a:fld id="{EB503899-1FA7-477A-8C58-3DCE55C69315}"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62F8-4854-BBB4-648039F6C5C5}"/>
                </c:ext>
              </c:extLst>
            </c:dLbl>
            <c:dLbl>
              <c:idx val="15"/>
              <c:tx>
                <c:rich>
                  <a:bodyPr/>
                  <a:lstStyle/>
                  <a:p>
                    <a:fld id="{607FED84-00E9-49EC-95E2-1A80BDFBE150}"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62F8-4854-BBB4-648039F6C5C5}"/>
                </c:ext>
              </c:extLst>
            </c:dLbl>
            <c:dLbl>
              <c:idx val="16"/>
              <c:tx>
                <c:rich>
                  <a:bodyPr/>
                  <a:lstStyle/>
                  <a:p>
                    <a:fld id="{B6DE21CB-97D8-4AF8-A9BD-178E297726CD}"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62F8-4854-BBB4-648039F6C5C5}"/>
                </c:ext>
              </c:extLst>
            </c:dLbl>
            <c:dLbl>
              <c:idx val="17"/>
              <c:tx>
                <c:rich>
                  <a:bodyPr/>
                  <a:lstStyle/>
                  <a:p>
                    <a:endParaRPr lang="en-US"/>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6-62F8-4854-BBB4-648039F6C5C5}"/>
                </c:ext>
              </c:extLst>
            </c:dLbl>
            <c:spPr>
              <a:solidFill>
                <a:schemeClr val="bg1"/>
              </a:solidFill>
              <a:ln>
                <a:noFill/>
              </a:ln>
              <a:effectLst/>
            </c:spPr>
            <c:txPr>
              <a:bodyPr rot="0" spcFirstLastPara="1" vertOverflow="overflow" horzOverflow="overflow" vert="horz" wrap="non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xVal>
            <c:numRef>
              <c:f>'SDOH_3 (2)'!$D$2:$D$19</c:f>
              <c:numCache>
                <c:formatCode>General</c:formatCode>
                <c:ptCount val="18"/>
                <c:pt idx="0">
                  <c:v>-0.05</c:v>
                </c:pt>
                <c:pt idx="1">
                  <c:v>-0.05</c:v>
                </c:pt>
                <c:pt idx="2">
                  <c:v>-0.05</c:v>
                </c:pt>
                <c:pt idx="3">
                  <c:v>-0.05</c:v>
                </c:pt>
                <c:pt idx="4">
                  <c:v>-0.05</c:v>
                </c:pt>
                <c:pt idx="5">
                  <c:v>-0.05</c:v>
                </c:pt>
                <c:pt idx="6">
                  <c:v>-0.05</c:v>
                </c:pt>
                <c:pt idx="7">
                  <c:v>-0.05</c:v>
                </c:pt>
                <c:pt idx="8">
                  <c:v>-0.05</c:v>
                </c:pt>
                <c:pt idx="9">
                  <c:v>-0.05</c:v>
                </c:pt>
                <c:pt idx="10">
                  <c:v>-0.05</c:v>
                </c:pt>
                <c:pt idx="11">
                  <c:v>-0.05</c:v>
                </c:pt>
                <c:pt idx="12">
                  <c:v>-0.05</c:v>
                </c:pt>
                <c:pt idx="13">
                  <c:v>-0.05</c:v>
                </c:pt>
                <c:pt idx="14">
                  <c:v>-0.05</c:v>
                </c:pt>
                <c:pt idx="15">
                  <c:v>-0.05</c:v>
                </c:pt>
                <c:pt idx="16">
                  <c:v>-0.05</c:v>
                </c:pt>
              </c:numCache>
            </c:numRef>
          </c:xVal>
          <c:yVal>
            <c:numRef>
              <c:f>'SDOH_3 (2)'!$C$2:$C$19</c:f>
              <c:numCache>
                <c:formatCode>General</c:formatCode>
                <c:ptCount val="18"/>
                <c:pt idx="0">
                  <c:v>10</c:v>
                </c:pt>
                <c:pt idx="1">
                  <c:v>16</c:v>
                </c:pt>
                <c:pt idx="2">
                  <c:v>4</c:v>
                </c:pt>
                <c:pt idx="3">
                  <c:v>8</c:v>
                </c:pt>
                <c:pt idx="4">
                  <c:v>15</c:v>
                </c:pt>
                <c:pt idx="5">
                  <c:v>5</c:v>
                </c:pt>
                <c:pt idx="6">
                  <c:v>1</c:v>
                </c:pt>
                <c:pt idx="7">
                  <c:v>7</c:v>
                </c:pt>
                <c:pt idx="8">
                  <c:v>12</c:v>
                </c:pt>
                <c:pt idx="9">
                  <c:v>9</c:v>
                </c:pt>
                <c:pt idx="10">
                  <c:v>11</c:v>
                </c:pt>
                <c:pt idx="11">
                  <c:v>14</c:v>
                </c:pt>
                <c:pt idx="12">
                  <c:v>17</c:v>
                </c:pt>
                <c:pt idx="13">
                  <c:v>2</c:v>
                </c:pt>
                <c:pt idx="14">
                  <c:v>6</c:v>
                </c:pt>
                <c:pt idx="15">
                  <c:v>13</c:v>
                </c:pt>
                <c:pt idx="16">
                  <c:v>3</c:v>
                </c:pt>
              </c:numCache>
            </c:numRef>
          </c:yVal>
          <c:smooth val="0"/>
          <c:extLst>
            <c:ext xmlns:c15="http://schemas.microsoft.com/office/drawing/2012/chart" uri="{02D57815-91ED-43cb-92C2-25804820EDAC}">
              <c15:datalabelsRange>
                <c15:f>'SDOH_3 (2)'!$A$2:$A$18</c15:f>
                <c15:dlblRangeCache>
                  <c:ptCount val="17"/>
                  <c:pt idx="0">
                    <c:v>Advanced Health</c:v>
                  </c:pt>
                  <c:pt idx="1">
                    <c:v>AllCare CCO</c:v>
                  </c:pt>
                  <c:pt idx="2">
                    <c:v>Cascade Health Alliance</c:v>
                  </c:pt>
                  <c:pt idx="3">
                    <c:v>Columbia Pacific</c:v>
                  </c:pt>
                  <c:pt idx="4">
                    <c:v>Eastern Oregon CCO</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CCO statewide</c:v>
                  </c:pt>
                  <c:pt idx="13">
                    <c:v>Trillium North</c:v>
                  </c:pt>
                  <c:pt idx="14">
                    <c:v>Trillium South</c:v>
                  </c:pt>
                  <c:pt idx="15">
                    <c:v>Umpqua Health Alliance</c:v>
                  </c:pt>
                  <c:pt idx="16">
                    <c:v>Yamhill Community Care</c:v>
                  </c:pt>
                </c15:dlblRangeCache>
              </c15:datalabelsRange>
            </c:ext>
            <c:ext xmlns:c16="http://schemas.microsoft.com/office/drawing/2014/chart" uri="{C3380CC4-5D6E-409C-BE32-E72D297353CC}">
              <c16:uniqueId val="{00000017-62F8-4854-BBB4-648039F6C5C5}"/>
            </c:ext>
          </c:extLst>
        </c:ser>
        <c:dLbls>
          <c:showLegendKey val="0"/>
          <c:showVal val="0"/>
          <c:showCatName val="0"/>
          <c:showSerName val="0"/>
          <c:showPercent val="0"/>
          <c:showBubbleSize val="0"/>
        </c:dLbls>
        <c:axId val="850782895"/>
        <c:axId val="850776655"/>
      </c:scatterChart>
      <c:valAx>
        <c:axId val="850782895"/>
        <c:scaling>
          <c:orientation val="minMax"/>
          <c:max val="1.2"/>
          <c:min val="-0.1"/>
        </c:scaling>
        <c:delete val="1"/>
        <c:axPos val="b"/>
        <c:numFmt formatCode="0.0%" sourceLinked="1"/>
        <c:majorTickMark val="out"/>
        <c:minorTickMark val="none"/>
        <c:tickLblPos val="nextTo"/>
        <c:crossAx val="850776655"/>
        <c:crosses val="autoZero"/>
        <c:crossBetween val="midCat"/>
        <c:majorUnit val="0.25"/>
      </c:valAx>
      <c:valAx>
        <c:axId val="850776655"/>
        <c:scaling>
          <c:orientation val="minMax"/>
          <c:max val="17"/>
          <c:min val="1"/>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850782895"/>
        <c:crosses val="autoZero"/>
        <c:crossBetween val="midCat"/>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2"/>
          <c:order val="16"/>
          <c:tx>
            <c:strRef>
              <c:f>SEM!$A$18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SEM!$B$1:$C$1</c:f>
              <c:strCache>
                <c:ptCount val="2"/>
                <c:pt idx="0">
                  <c:v>'24</c:v>
                </c:pt>
                <c:pt idx="1">
                  <c:v>'25</c:v>
                </c:pt>
              </c:strCache>
            </c:strRef>
          </c:cat>
          <c:val>
            <c:numRef>
              <c:f>SEM!$B$18:$C$18</c:f>
              <c:numCache>
                <c:formatCode>0.0%</c:formatCode>
                <c:ptCount val="2"/>
                <c:pt idx="0">
                  <c:v>4.1000000000000002E-2</c:v>
                </c:pt>
                <c:pt idx="1">
                  <c:v>5.6000000000000001E-2</c:v>
                </c:pt>
              </c:numCache>
            </c:numRef>
          </c:val>
          <c:smooth val="0"/>
          <c:extLst>
            <c:ext xmlns:c16="http://schemas.microsoft.com/office/drawing/2014/chart" uri="{C3380CC4-5D6E-409C-BE32-E72D297353CC}">
              <c16:uniqueId val="{00000000-D8AC-4533-856E-21178BEC27F1}"/>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SEM!$A$2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SEM!$B$2:$C$2</c:f>
              <c:numCache>
                <c:formatCode>0.0%</c:formatCode>
                <c:ptCount val="2"/>
                <c:pt idx="0">
                  <c:v>4.1000000000000002E-2</c:v>
                </c:pt>
                <c:pt idx="1">
                  <c:v>7.1999999999999995E-2</c:v>
                </c:pt>
              </c:numCache>
            </c:numRef>
          </c:yVal>
          <c:smooth val="0"/>
          <c:extLst>
            <c:ext xmlns:c16="http://schemas.microsoft.com/office/drawing/2014/chart" uri="{C3380CC4-5D6E-409C-BE32-E72D297353CC}">
              <c16:uniqueId val="{00000001-D8AC-4533-856E-21178BEC27F1}"/>
            </c:ext>
          </c:extLst>
        </c:ser>
        <c:ser>
          <c:idx val="1"/>
          <c:order val="1"/>
          <c:tx>
            <c:strRef>
              <c:f>SEM!$A$3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SEM!$B$3:$C$3</c:f>
              <c:numCache>
                <c:formatCode>0.0%</c:formatCode>
                <c:ptCount val="2"/>
                <c:pt idx="0">
                  <c:v>3.2000000000000001E-2</c:v>
                </c:pt>
                <c:pt idx="1">
                  <c:v>4.3999999999999997E-2</c:v>
                </c:pt>
              </c:numCache>
            </c:numRef>
          </c:yVal>
          <c:smooth val="0"/>
          <c:extLst>
            <c:ext xmlns:c16="http://schemas.microsoft.com/office/drawing/2014/chart" uri="{C3380CC4-5D6E-409C-BE32-E72D297353CC}">
              <c16:uniqueId val="{00000002-D8AC-4533-856E-21178BEC27F1}"/>
            </c:ext>
          </c:extLst>
        </c:ser>
        <c:ser>
          <c:idx val="2"/>
          <c:order val="2"/>
          <c:tx>
            <c:strRef>
              <c:f>SEM!$A$4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SEM!$B$4:$C$4</c:f>
              <c:numCache>
                <c:formatCode>0.0%</c:formatCode>
                <c:ptCount val="2"/>
                <c:pt idx="0">
                  <c:v>4.2000000000000003E-2</c:v>
                </c:pt>
                <c:pt idx="1">
                  <c:v>4.7E-2</c:v>
                </c:pt>
              </c:numCache>
            </c:numRef>
          </c:yVal>
          <c:smooth val="0"/>
          <c:extLst>
            <c:ext xmlns:c16="http://schemas.microsoft.com/office/drawing/2014/chart" uri="{C3380CC4-5D6E-409C-BE32-E72D297353CC}">
              <c16:uniqueId val="{00000003-D8AC-4533-856E-21178BEC27F1}"/>
            </c:ext>
          </c:extLst>
        </c:ser>
        <c:ser>
          <c:idx val="3"/>
          <c:order val="3"/>
          <c:tx>
            <c:strRef>
              <c:f>SEM!$A$5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SEM!$B$5:$C$5</c:f>
              <c:numCache>
                <c:formatCode>0.0%</c:formatCode>
                <c:ptCount val="2"/>
                <c:pt idx="0">
                  <c:v>3.5999999999999997E-2</c:v>
                </c:pt>
                <c:pt idx="1">
                  <c:v>3.7999999999999999E-2</c:v>
                </c:pt>
              </c:numCache>
            </c:numRef>
          </c:yVal>
          <c:smooth val="0"/>
          <c:extLst>
            <c:ext xmlns:c16="http://schemas.microsoft.com/office/drawing/2014/chart" uri="{C3380CC4-5D6E-409C-BE32-E72D297353CC}">
              <c16:uniqueId val="{00000004-D8AC-4533-856E-21178BEC27F1}"/>
            </c:ext>
          </c:extLst>
        </c:ser>
        <c:ser>
          <c:idx val="4"/>
          <c:order val="4"/>
          <c:tx>
            <c:strRef>
              <c:f>SEM!$A$6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SEM!$B$6:$C$6</c:f>
              <c:numCache>
                <c:formatCode>0.0%</c:formatCode>
                <c:ptCount val="2"/>
                <c:pt idx="0">
                  <c:v>3.1E-2</c:v>
                </c:pt>
                <c:pt idx="1">
                  <c:v>3.6999999999999998E-2</c:v>
                </c:pt>
              </c:numCache>
            </c:numRef>
          </c:yVal>
          <c:smooth val="0"/>
          <c:extLst>
            <c:ext xmlns:c16="http://schemas.microsoft.com/office/drawing/2014/chart" uri="{C3380CC4-5D6E-409C-BE32-E72D297353CC}">
              <c16:uniqueId val="{00000005-D8AC-4533-856E-21178BEC27F1}"/>
            </c:ext>
          </c:extLst>
        </c:ser>
        <c:ser>
          <c:idx val="5"/>
          <c:order val="5"/>
          <c:tx>
            <c:strRef>
              <c:f>SEM!$A$7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SEM!$B$7:$C$7</c:f>
              <c:numCache>
                <c:formatCode>0.0%</c:formatCode>
                <c:ptCount val="2"/>
                <c:pt idx="0">
                  <c:v>5.3999999999999999E-2</c:v>
                </c:pt>
                <c:pt idx="1">
                  <c:v>7.1999999999999995E-2</c:v>
                </c:pt>
              </c:numCache>
            </c:numRef>
          </c:yVal>
          <c:smooth val="0"/>
          <c:extLst>
            <c:ext xmlns:c16="http://schemas.microsoft.com/office/drawing/2014/chart" uri="{C3380CC4-5D6E-409C-BE32-E72D297353CC}">
              <c16:uniqueId val="{00000006-D8AC-4533-856E-21178BEC27F1}"/>
            </c:ext>
          </c:extLst>
        </c:ser>
        <c:ser>
          <c:idx val="6"/>
          <c:order val="6"/>
          <c:tx>
            <c:strRef>
              <c:f>SEM!$A$8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SEM!$B$8:$C$8</c:f>
              <c:numCache>
                <c:formatCode>0.0%</c:formatCode>
                <c:ptCount val="2"/>
                <c:pt idx="0">
                  <c:v>4.4999999999999998E-2</c:v>
                </c:pt>
                <c:pt idx="1">
                  <c:v>3.9E-2</c:v>
                </c:pt>
              </c:numCache>
            </c:numRef>
          </c:yVal>
          <c:smooth val="0"/>
          <c:extLst>
            <c:ext xmlns:c16="http://schemas.microsoft.com/office/drawing/2014/chart" uri="{C3380CC4-5D6E-409C-BE32-E72D297353CC}">
              <c16:uniqueId val="{00000007-D8AC-4533-856E-21178BEC27F1}"/>
            </c:ext>
          </c:extLst>
        </c:ser>
        <c:ser>
          <c:idx val="7"/>
          <c:order val="7"/>
          <c:tx>
            <c:strRef>
              <c:f>SEM!$A$9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SEM!$B$9:$C$9</c:f>
              <c:numCache>
                <c:formatCode>0.0%</c:formatCode>
                <c:ptCount val="2"/>
                <c:pt idx="0">
                  <c:v>6.6000000000000003E-2</c:v>
                </c:pt>
                <c:pt idx="1">
                  <c:v>8.5000000000000006E-2</c:v>
                </c:pt>
              </c:numCache>
            </c:numRef>
          </c:yVal>
          <c:smooth val="0"/>
          <c:extLst>
            <c:ext xmlns:c16="http://schemas.microsoft.com/office/drawing/2014/chart" uri="{C3380CC4-5D6E-409C-BE32-E72D297353CC}">
              <c16:uniqueId val="{00000008-D8AC-4533-856E-21178BEC27F1}"/>
            </c:ext>
          </c:extLst>
        </c:ser>
        <c:ser>
          <c:idx val="8"/>
          <c:order val="8"/>
          <c:tx>
            <c:strRef>
              <c:f>SEM!$A$10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SEM!$B$10:$C$10</c:f>
              <c:numCache>
                <c:formatCode>0.0%</c:formatCode>
                <c:ptCount val="2"/>
                <c:pt idx="0">
                  <c:v>8.1000000000000003E-2</c:v>
                </c:pt>
                <c:pt idx="1">
                  <c:v>9.0999999999999998E-2</c:v>
                </c:pt>
              </c:numCache>
            </c:numRef>
          </c:yVal>
          <c:smooth val="0"/>
          <c:extLst>
            <c:ext xmlns:c16="http://schemas.microsoft.com/office/drawing/2014/chart" uri="{C3380CC4-5D6E-409C-BE32-E72D297353CC}">
              <c16:uniqueId val="{00000009-D8AC-4533-856E-21178BEC27F1}"/>
            </c:ext>
          </c:extLst>
        </c:ser>
        <c:ser>
          <c:idx val="9"/>
          <c:order val="9"/>
          <c:tx>
            <c:strRef>
              <c:f>SEM!$A$11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SEM!$B$11:$C$11</c:f>
              <c:numCache>
                <c:formatCode>0.0%</c:formatCode>
                <c:ptCount val="2"/>
                <c:pt idx="0">
                  <c:v>3.4000000000000002E-2</c:v>
                </c:pt>
                <c:pt idx="1">
                  <c:v>6.8000000000000005E-2</c:v>
                </c:pt>
              </c:numCache>
            </c:numRef>
          </c:yVal>
          <c:smooth val="0"/>
          <c:extLst>
            <c:ext xmlns:c16="http://schemas.microsoft.com/office/drawing/2014/chart" uri="{C3380CC4-5D6E-409C-BE32-E72D297353CC}">
              <c16:uniqueId val="{0000000A-D8AC-4533-856E-21178BEC27F1}"/>
            </c:ext>
          </c:extLst>
        </c:ser>
        <c:ser>
          <c:idx val="10"/>
          <c:order val="10"/>
          <c:tx>
            <c:strRef>
              <c:f>SEM!$A$12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SEM!$B$12:$C$12</c:f>
              <c:numCache>
                <c:formatCode>0.0%</c:formatCode>
                <c:ptCount val="2"/>
                <c:pt idx="0">
                  <c:v>6.7000000000000004E-2</c:v>
                </c:pt>
                <c:pt idx="1">
                  <c:v>8.6999999999999994E-2</c:v>
                </c:pt>
              </c:numCache>
            </c:numRef>
          </c:yVal>
          <c:smooth val="0"/>
          <c:extLst>
            <c:ext xmlns:c16="http://schemas.microsoft.com/office/drawing/2014/chart" uri="{C3380CC4-5D6E-409C-BE32-E72D297353CC}">
              <c16:uniqueId val="{0000000B-D8AC-4533-856E-21178BEC27F1}"/>
            </c:ext>
          </c:extLst>
        </c:ser>
        <c:ser>
          <c:idx val="11"/>
          <c:order val="11"/>
          <c:tx>
            <c:strRef>
              <c:f>SEM!$A$13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SEM!$B$13:$C$13</c:f>
              <c:numCache>
                <c:formatCode>0.0%</c:formatCode>
                <c:ptCount val="2"/>
                <c:pt idx="0">
                  <c:v>3.9E-2</c:v>
                </c:pt>
                <c:pt idx="1">
                  <c:v>4.8000000000000001E-2</c:v>
                </c:pt>
              </c:numCache>
            </c:numRef>
          </c:yVal>
          <c:smooth val="0"/>
          <c:extLst>
            <c:ext xmlns:c16="http://schemas.microsoft.com/office/drawing/2014/chart" uri="{C3380CC4-5D6E-409C-BE32-E72D297353CC}">
              <c16:uniqueId val="{0000000C-D8AC-4533-856E-21178BEC27F1}"/>
            </c:ext>
          </c:extLst>
        </c:ser>
        <c:ser>
          <c:idx val="13"/>
          <c:order val="12"/>
          <c:tx>
            <c:strRef>
              <c:f>SEM!$A$14</c:f>
              <c:strCache>
                <c:ptCount val="1"/>
                <c:pt idx="0">
                  <c:v>Statewide</c:v>
                </c:pt>
              </c:strCache>
            </c:strRef>
          </c:tx>
          <c:spPr>
            <a:ln w="28575" cap="rnd">
              <a:solidFill>
                <a:schemeClr val="accent1">
                  <a:lumMod val="75000"/>
                </a:schemeClr>
              </a:solidFill>
              <a:round/>
            </a:ln>
            <a:effectLst/>
          </c:spPr>
          <c:marker>
            <c:symbol val="none"/>
          </c:marker>
          <c:xVal>
            <c:strRef>
              <c:f>SEM!$B$1:$C$1</c:f>
              <c:strCache>
                <c:ptCount val="2"/>
                <c:pt idx="0">
                  <c:v>'24</c:v>
                </c:pt>
                <c:pt idx="1">
                  <c:v>'25</c:v>
                </c:pt>
              </c:strCache>
            </c:strRef>
          </c:xVal>
          <c:yVal>
            <c:numRef>
              <c:f>SEM!$B$14:$C$14</c:f>
              <c:numCache>
                <c:formatCode>0.0%</c:formatCode>
                <c:ptCount val="2"/>
                <c:pt idx="0">
                  <c:v>0.05</c:v>
                </c:pt>
                <c:pt idx="1">
                  <c:v>6.3E-2</c:v>
                </c:pt>
              </c:numCache>
            </c:numRef>
          </c:yVal>
          <c:smooth val="0"/>
          <c:extLst>
            <c:ext xmlns:c16="http://schemas.microsoft.com/office/drawing/2014/chart" uri="{C3380CC4-5D6E-409C-BE32-E72D297353CC}">
              <c16:uniqueId val="{0000000D-D8AC-4533-856E-21178BEC27F1}"/>
            </c:ext>
          </c:extLst>
        </c:ser>
        <c:ser>
          <c:idx val="14"/>
          <c:order val="13"/>
          <c:tx>
            <c:strRef>
              <c:f>SEM!$A$15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SEM!$B$15:$C$15</c:f>
              <c:numCache>
                <c:formatCode>0.0%</c:formatCode>
                <c:ptCount val="2"/>
                <c:pt idx="0">
                  <c:v>6.8000000000000005E-2</c:v>
                </c:pt>
                <c:pt idx="1">
                  <c:v>7.1999999999999995E-2</c:v>
                </c:pt>
              </c:numCache>
            </c:numRef>
          </c:yVal>
          <c:smooth val="0"/>
          <c:extLst>
            <c:ext xmlns:c16="http://schemas.microsoft.com/office/drawing/2014/chart" uri="{C3380CC4-5D6E-409C-BE32-E72D297353CC}">
              <c16:uniqueId val="{0000000E-D8AC-4533-856E-21178BEC27F1}"/>
            </c:ext>
          </c:extLst>
        </c:ser>
        <c:ser>
          <c:idx val="15"/>
          <c:order val="14"/>
          <c:tx>
            <c:strRef>
              <c:f>SEM!$A$16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SEM!$B$16:$C$16</c:f>
              <c:numCache>
                <c:formatCode>0.0%</c:formatCode>
                <c:ptCount val="2"/>
                <c:pt idx="0">
                  <c:v>3.1E-2</c:v>
                </c:pt>
                <c:pt idx="1">
                  <c:v>5.8999999999999997E-2</c:v>
                </c:pt>
              </c:numCache>
            </c:numRef>
          </c:yVal>
          <c:smooth val="0"/>
          <c:extLst>
            <c:ext xmlns:c16="http://schemas.microsoft.com/office/drawing/2014/chart" uri="{C3380CC4-5D6E-409C-BE32-E72D297353CC}">
              <c16:uniqueId val="{0000000F-D8AC-4533-856E-21178BEC27F1}"/>
            </c:ext>
          </c:extLst>
        </c:ser>
        <c:ser>
          <c:idx val="16"/>
          <c:order val="15"/>
          <c:tx>
            <c:strRef>
              <c:f>SEM!$A$17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SEM!$B$17:$C$17</c:f>
              <c:numCache>
                <c:formatCode>0.0%</c:formatCode>
                <c:ptCount val="2"/>
                <c:pt idx="0">
                  <c:v>3.6999999999999998E-2</c:v>
                </c:pt>
                <c:pt idx="1">
                  <c:v>6.2E-2</c:v>
                </c:pt>
              </c:numCache>
            </c:numRef>
          </c:yVal>
          <c:smooth val="0"/>
          <c:extLst>
            <c:ext xmlns:c16="http://schemas.microsoft.com/office/drawing/2014/chart" uri="{C3380CC4-5D6E-409C-BE32-E72D297353CC}">
              <c16:uniqueId val="{00000010-D8AC-4533-856E-21178BEC27F1}"/>
            </c:ext>
          </c:extLst>
        </c:ser>
        <c:ser>
          <c:idx val="17"/>
          <c:order val="17"/>
          <c:tx>
            <c:strRef>
              <c:f>SEM!$A$20</c:f>
              <c:strCache>
                <c:ptCount val="1"/>
                <c:pt idx="0">
                  <c:v>CCO statewide</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SEM!$B$1:$C$1</c:f>
              <c:strCache>
                <c:ptCount val="2"/>
                <c:pt idx="0">
                  <c:v>'24</c:v>
                </c:pt>
                <c:pt idx="1">
                  <c:v>'25</c:v>
                </c:pt>
              </c:strCache>
            </c:strRef>
          </c:xVal>
          <c:yVal>
            <c:numRef>
              <c:f>SEM!$B$20:$C$20</c:f>
              <c:numCache>
                <c:formatCode>0.0%</c:formatCode>
                <c:ptCount val="2"/>
                <c:pt idx="0">
                  <c:v>0.05</c:v>
                </c:pt>
                <c:pt idx="1">
                  <c:v>6.3E-2</c:v>
                </c:pt>
              </c:numCache>
            </c:numRef>
          </c:yVal>
          <c:smooth val="0"/>
          <c:extLst>
            <c:ext xmlns:c16="http://schemas.microsoft.com/office/drawing/2014/chart" uri="{C3380CC4-5D6E-409C-BE32-E72D297353CC}">
              <c16:uniqueId val="{00000011-D8AC-4533-856E-21178BEC27F1}"/>
            </c:ext>
          </c:extLst>
        </c:ser>
        <c:ser>
          <c:idx val="19"/>
          <c:order val="18"/>
          <c:tx>
            <c:strRef>
              <c:f>SEM!$A$19</c:f>
              <c:strCache>
                <c:ptCount val="1"/>
                <c:pt idx="0">
                  <c:v>Individual CCOs</c:v>
                </c:pt>
              </c:strCache>
            </c:strRef>
          </c:tx>
          <c:spPr>
            <a:ln w="25400" cap="rnd">
              <a:noFill/>
              <a:round/>
            </a:ln>
            <a:effectLst/>
          </c:spPr>
          <c:marker>
            <c:symbol val="circle"/>
            <c:size val="6"/>
            <c:spPr>
              <a:noFill/>
              <a:ln w="9525">
                <a:solidFill>
                  <a:srgbClr val="606060"/>
                </a:solidFill>
              </a:ln>
              <a:effectLst/>
            </c:spPr>
          </c:marker>
          <c:xVal>
            <c:strRef>
              <c:f>SEM!$B$1:$C$1</c:f>
              <c:strCache>
                <c:ptCount val="2"/>
                <c:pt idx="0">
                  <c:v>'24</c:v>
                </c:pt>
                <c:pt idx="1">
                  <c:v>'25</c:v>
                </c:pt>
              </c:strCache>
            </c:strRef>
          </c:xVal>
          <c:yVal>
            <c:numRef>
              <c:f>SEM!$B$19:$C$19</c:f>
              <c:numCache>
                <c:formatCode>0.0%</c:formatCode>
                <c:ptCount val="2"/>
                <c:pt idx="0">
                  <c:v>4.1000000000000002E-2</c:v>
                </c:pt>
                <c:pt idx="1">
                  <c:v>5.6000000000000001E-2</c:v>
                </c:pt>
              </c:numCache>
            </c:numRef>
          </c:yVal>
          <c:smooth val="0"/>
          <c:extLst>
            <c:ext xmlns:c16="http://schemas.microsoft.com/office/drawing/2014/chart" uri="{C3380CC4-5D6E-409C-BE32-E72D297353CC}">
              <c16:uniqueId val="{00000012-D8AC-4533-856E-21178BEC27F1}"/>
            </c:ext>
          </c:extLst>
        </c:ser>
        <c:ser>
          <c:idx val="18"/>
          <c:order val="19"/>
          <c:tx>
            <c:strRef>
              <c:f>SEM!$A$21</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dLbls>
            <c:dLbl>
              <c:idx val="1"/>
              <c:tx>
                <c:rich>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r>
                      <a:rPr lang="en-US" sz="1100">
                        <a:solidFill>
                          <a:schemeClr val="accent2">
                            <a:lumMod val="50000"/>
                          </a:schemeClr>
                        </a:solidFill>
                        <a:latin typeface="Aptos" panose="020B0004020202020204" pitchFamily="34" charset="0"/>
                      </a:rPr>
                      <a:t>Benchmark</a:t>
                    </a:r>
                  </a:p>
                </c:rich>
              </c:tx>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endParaRPr lang="en-US"/>
                </a:p>
              </c:txPr>
              <c:dLblPos val="l"/>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D8AC-4533-856E-21178BEC27F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ptos" panose="020B0004020202020204" pitchFamily="34" charset="0"/>
                    <a:ea typeface="+mn-ea"/>
                    <a:cs typeface="Arial" panose="020B0604020202020204" pitchFamily="34" charset="0"/>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SEM!$B$1:$C$1</c:f>
              <c:strCache>
                <c:ptCount val="2"/>
                <c:pt idx="0">
                  <c:v>'24</c:v>
                </c:pt>
                <c:pt idx="1">
                  <c:v>'25</c:v>
                </c:pt>
              </c:strCache>
            </c:strRef>
          </c:xVal>
          <c:yVal>
            <c:numRef>
              <c:f>SEM!$B$21:$C$21</c:f>
              <c:numCache>
                <c:formatCode>0.0%</c:formatCode>
                <c:ptCount val="2"/>
                <c:pt idx="1">
                  <c:v>0.11</c:v>
                </c:pt>
              </c:numCache>
            </c:numRef>
          </c:yVal>
          <c:smooth val="0"/>
          <c:extLst>
            <c:ext xmlns:c16="http://schemas.microsoft.com/office/drawing/2014/chart" uri="{C3380CC4-5D6E-409C-BE32-E72D297353CC}">
              <c16:uniqueId val="{00000014-D8AC-4533-856E-21178BEC27F1}"/>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0.5"/>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25"/>
        <c:minorUnit val="0.1"/>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9"/>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ptos" panose="020B00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2"/>
          <c:order val="16"/>
          <c:tx>
            <c:strRef>
              <c:f>WCV_0306!$A$18</c:f>
              <c:strCache>
                <c:ptCount val="1"/>
                <c:pt idx="0">
                  <c:v>Yamhill Community Care</c:v>
                </c:pt>
              </c:strCache>
            </c:strRef>
          </c:tx>
          <c:spPr>
            <a:ln w="25400" cap="rnd">
              <a:noFill/>
              <a:round/>
            </a:ln>
            <a:effectLst/>
          </c:spPr>
          <c:marker>
            <c:symbol val="circle"/>
            <c:size val="6"/>
            <c:spPr>
              <a:noFill/>
              <a:ln w="9525">
                <a:solidFill>
                  <a:srgbClr val="606060"/>
                </a:solidFill>
              </a:ln>
              <a:effectLst/>
            </c:spPr>
          </c:marker>
          <c:cat>
            <c:strRef>
              <c:f>WCV_0306!$B$1:$I$1</c:f>
              <c:strCache>
                <c:ptCount val="8"/>
                <c:pt idx="0">
                  <c:v>'18</c:v>
                </c:pt>
                <c:pt idx="1">
                  <c:v>'19</c:v>
                </c:pt>
                <c:pt idx="2">
                  <c:v>'20</c:v>
                </c:pt>
                <c:pt idx="3">
                  <c:v>'21</c:v>
                </c:pt>
                <c:pt idx="4">
                  <c:v>'22</c:v>
                </c:pt>
                <c:pt idx="5">
                  <c:v>'23</c:v>
                </c:pt>
                <c:pt idx="6">
                  <c:v>'24</c:v>
                </c:pt>
                <c:pt idx="7">
                  <c:v>'25</c:v>
                </c:pt>
              </c:strCache>
            </c:strRef>
          </c:cat>
          <c:val>
            <c:numRef>
              <c:f>WCV_0306!$B$18:$I$18</c:f>
              <c:numCache>
                <c:formatCode>0.0%</c:formatCode>
                <c:ptCount val="8"/>
                <c:pt idx="0">
                  <c:v>0.65800000000000003</c:v>
                </c:pt>
                <c:pt idx="1">
                  <c:v>0.68700000000000006</c:v>
                </c:pt>
                <c:pt idx="2">
                  <c:v>0.622</c:v>
                </c:pt>
                <c:pt idx="3">
                  <c:v>0.65300000000000002</c:v>
                </c:pt>
                <c:pt idx="4">
                  <c:v>0.68200000000000005</c:v>
                </c:pt>
                <c:pt idx="5">
                  <c:v>0.73299999999999998</c:v>
                </c:pt>
                <c:pt idx="6">
                  <c:v>0.71499999999999997</c:v>
                </c:pt>
                <c:pt idx="7">
                  <c:v>0.73899999999999999</c:v>
                </c:pt>
              </c:numCache>
            </c:numRef>
          </c:val>
          <c:smooth val="0"/>
          <c:extLst>
            <c:ext xmlns:c16="http://schemas.microsoft.com/office/drawing/2014/chart" uri="{C3380CC4-5D6E-409C-BE32-E72D297353CC}">
              <c16:uniqueId val="{00000000-FFA3-48A5-AFB9-D2DAF62BED52}"/>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WCV_0306!$A$2</c:f>
              <c:strCache>
                <c:ptCount val="1"/>
                <c:pt idx="0">
                  <c:v>Advanced Health</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WCV_0306!$B$2:$I$2</c:f>
              <c:numCache>
                <c:formatCode>0.0%</c:formatCode>
                <c:ptCount val="8"/>
                <c:pt idx="0">
                  <c:v>0.71700000000000008</c:v>
                </c:pt>
                <c:pt idx="1">
                  <c:v>0.71200000000000008</c:v>
                </c:pt>
                <c:pt idx="2">
                  <c:v>0.628</c:v>
                </c:pt>
                <c:pt idx="3">
                  <c:v>0.64200000000000002</c:v>
                </c:pt>
                <c:pt idx="4">
                  <c:v>0.64800000000000002</c:v>
                </c:pt>
                <c:pt idx="5">
                  <c:v>0.67400000000000004</c:v>
                </c:pt>
                <c:pt idx="6">
                  <c:v>0.68500000000000005</c:v>
                </c:pt>
                <c:pt idx="7">
                  <c:v>0.70299999999999996</c:v>
                </c:pt>
              </c:numCache>
            </c:numRef>
          </c:yVal>
          <c:smooth val="0"/>
          <c:extLst>
            <c:ext xmlns:c16="http://schemas.microsoft.com/office/drawing/2014/chart" uri="{C3380CC4-5D6E-409C-BE32-E72D297353CC}">
              <c16:uniqueId val="{00000001-FFA3-48A5-AFB9-D2DAF62BED52}"/>
            </c:ext>
          </c:extLst>
        </c:ser>
        <c:ser>
          <c:idx val="1"/>
          <c:order val="1"/>
          <c:tx>
            <c:strRef>
              <c:f>WCV_0306!$A$3</c:f>
              <c:strCache>
                <c:ptCount val="1"/>
                <c:pt idx="0">
                  <c:v>AllCare CCO</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WCV_0306!$B$3:$I$3</c:f>
              <c:numCache>
                <c:formatCode>0.0%</c:formatCode>
                <c:ptCount val="8"/>
                <c:pt idx="0">
                  <c:v>0.67200000000000004</c:v>
                </c:pt>
                <c:pt idx="1">
                  <c:v>0.66099999999999992</c:v>
                </c:pt>
                <c:pt idx="2">
                  <c:v>0.56200000000000006</c:v>
                </c:pt>
                <c:pt idx="3">
                  <c:v>0.55299999999999994</c:v>
                </c:pt>
                <c:pt idx="4">
                  <c:v>0.55299999999999994</c:v>
                </c:pt>
                <c:pt idx="5">
                  <c:v>0.621</c:v>
                </c:pt>
                <c:pt idx="6">
                  <c:v>0.66299999999999992</c:v>
                </c:pt>
                <c:pt idx="7">
                  <c:v>0.68600000000000005</c:v>
                </c:pt>
              </c:numCache>
            </c:numRef>
          </c:yVal>
          <c:smooth val="0"/>
          <c:extLst>
            <c:ext xmlns:c16="http://schemas.microsoft.com/office/drawing/2014/chart" uri="{C3380CC4-5D6E-409C-BE32-E72D297353CC}">
              <c16:uniqueId val="{00000002-FFA3-48A5-AFB9-D2DAF62BED52}"/>
            </c:ext>
          </c:extLst>
        </c:ser>
        <c:ser>
          <c:idx val="2"/>
          <c:order val="2"/>
          <c:tx>
            <c:strRef>
              <c:f>WCV_0306!$A$4</c:f>
              <c:strCache>
                <c:ptCount val="1"/>
                <c:pt idx="0">
                  <c:v>Cascade Health Alliance</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WCV_0306!$B$4:$I$4</c:f>
              <c:numCache>
                <c:formatCode>0.0%</c:formatCode>
                <c:ptCount val="8"/>
                <c:pt idx="0">
                  <c:v>0.59799999999999998</c:v>
                </c:pt>
                <c:pt idx="1">
                  <c:v>0.59599999999999997</c:v>
                </c:pt>
                <c:pt idx="2">
                  <c:v>0.71299999999999997</c:v>
                </c:pt>
                <c:pt idx="3">
                  <c:v>0.59799999999999998</c:v>
                </c:pt>
                <c:pt idx="4">
                  <c:v>0.56600000000000006</c:v>
                </c:pt>
                <c:pt idx="5">
                  <c:v>0.66200000000000003</c:v>
                </c:pt>
                <c:pt idx="6">
                  <c:v>0.70799999999999996</c:v>
                </c:pt>
                <c:pt idx="7">
                  <c:v>0.753</c:v>
                </c:pt>
              </c:numCache>
            </c:numRef>
          </c:yVal>
          <c:smooth val="0"/>
          <c:extLst>
            <c:ext xmlns:c16="http://schemas.microsoft.com/office/drawing/2014/chart" uri="{C3380CC4-5D6E-409C-BE32-E72D297353CC}">
              <c16:uniqueId val="{00000003-FFA3-48A5-AFB9-D2DAF62BED52}"/>
            </c:ext>
          </c:extLst>
        </c:ser>
        <c:ser>
          <c:idx val="3"/>
          <c:order val="3"/>
          <c:tx>
            <c:strRef>
              <c:f>WCV_0306!$A$5</c:f>
              <c:strCache>
                <c:ptCount val="1"/>
                <c:pt idx="0">
                  <c:v>Columbia Pacific</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WCV_0306!$B$5:$I$5</c:f>
              <c:numCache>
                <c:formatCode>0.0%</c:formatCode>
                <c:ptCount val="8"/>
                <c:pt idx="0">
                  <c:v>0.64700000000000002</c:v>
                </c:pt>
                <c:pt idx="1">
                  <c:v>0.65</c:v>
                </c:pt>
                <c:pt idx="2">
                  <c:v>0.54600000000000004</c:v>
                </c:pt>
                <c:pt idx="3">
                  <c:v>0.55000000000000004</c:v>
                </c:pt>
                <c:pt idx="4">
                  <c:v>0.59299999999999997</c:v>
                </c:pt>
                <c:pt idx="5">
                  <c:v>0.59699999999999998</c:v>
                </c:pt>
                <c:pt idx="6">
                  <c:v>0.60599999999999998</c:v>
                </c:pt>
                <c:pt idx="7">
                  <c:v>0.66800000000000004</c:v>
                </c:pt>
              </c:numCache>
            </c:numRef>
          </c:yVal>
          <c:smooth val="0"/>
          <c:extLst>
            <c:ext xmlns:c16="http://schemas.microsoft.com/office/drawing/2014/chart" uri="{C3380CC4-5D6E-409C-BE32-E72D297353CC}">
              <c16:uniqueId val="{00000004-FFA3-48A5-AFB9-D2DAF62BED52}"/>
            </c:ext>
          </c:extLst>
        </c:ser>
        <c:ser>
          <c:idx val="4"/>
          <c:order val="4"/>
          <c:tx>
            <c:strRef>
              <c:f>WCV_0306!$A$6</c:f>
              <c:strCache>
                <c:ptCount val="1"/>
                <c:pt idx="0">
                  <c:v>Eastern Oregon CCO</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WCV_0306!$B$6:$I$6</c:f>
              <c:numCache>
                <c:formatCode>0.0%</c:formatCode>
                <c:ptCount val="8"/>
                <c:pt idx="0">
                  <c:v>0.57500000000000007</c:v>
                </c:pt>
                <c:pt idx="1">
                  <c:v>0.58299999999999996</c:v>
                </c:pt>
                <c:pt idx="2">
                  <c:v>0.56100000000000005</c:v>
                </c:pt>
                <c:pt idx="3">
                  <c:v>0.64200000000000002</c:v>
                </c:pt>
                <c:pt idx="4">
                  <c:v>0.64599999999999991</c:v>
                </c:pt>
                <c:pt idx="5">
                  <c:v>0.67400000000000004</c:v>
                </c:pt>
                <c:pt idx="6">
                  <c:v>0.68200000000000005</c:v>
                </c:pt>
                <c:pt idx="7">
                  <c:v>0.70499999999999996</c:v>
                </c:pt>
              </c:numCache>
            </c:numRef>
          </c:yVal>
          <c:smooth val="0"/>
          <c:extLst>
            <c:ext xmlns:c16="http://schemas.microsoft.com/office/drawing/2014/chart" uri="{C3380CC4-5D6E-409C-BE32-E72D297353CC}">
              <c16:uniqueId val="{00000005-FFA3-48A5-AFB9-D2DAF62BED52}"/>
            </c:ext>
          </c:extLst>
        </c:ser>
        <c:ser>
          <c:idx val="5"/>
          <c:order val="5"/>
          <c:tx>
            <c:strRef>
              <c:f>WCV_0306!$A$7</c:f>
              <c:strCache>
                <c:ptCount val="1"/>
                <c:pt idx="0">
                  <c:v>Health Share of Oregon</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WCV_0306!$B$7:$I$7</c:f>
              <c:numCache>
                <c:formatCode>0.0%</c:formatCode>
                <c:ptCount val="8"/>
                <c:pt idx="0">
                  <c:v>0.71900000000000008</c:v>
                </c:pt>
                <c:pt idx="1">
                  <c:v>0.73599999999999999</c:v>
                </c:pt>
                <c:pt idx="2">
                  <c:v>0.59399999999999997</c:v>
                </c:pt>
                <c:pt idx="3">
                  <c:v>0.65599999999999992</c:v>
                </c:pt>
                <c:pt idx="4">
                  <c:v>0.64400000000000002</c:v>
                </c:pt>
                <c:pt idx="5">
                  <c:v>0.66100000000000003</c:v>
                </c:pt>
                <c:pt idx="6">
                  <c:v>0.69899999999999995</c:v>
                </c:pt>
                <c:pt idx="7">
                  <c:v>0.73</c:v>
                </c:pt>
              </c:numCache>
            </c:numRef>
          </c:yVal>
          <c:smooth val="0"/>
          <c:extLst>
            <c:ext xmlns:c16="http://schemas.microsoft.com/office/drawing/2014/chart" uri="{C3380CC4-5D6E-409C-BE32-E72D297353CC}">
              <c16:uniqueId val="{00000006-FFA3-48A5-AFB9-D2DAF62BED52}"/>
            </c:ext>
          </c:extLst>
        </c:ser>
        <c:ser>
          <c:idx val="6"/>
          <c:order val="6"/>
          <c:tx>
            <c:strRef>
              <c:f>WCV_0306!$A$8</c:f>
              <c:strCache>
                <c:ptCount val="1"/>
                <c:pt idx="0">
                  <c:v>InterCommunity Health Network</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WCV_0306!$B$8:$I$8</c:f>
              <c:numCache>
                <c:formatCode>0.0%</c:formatCode>
                <c:ptCount val="8"/>
                <c:pt idx="0">
                  <c:v>0.62</c:v>
                </c:pt>
                <c:pt idx="1">
                  <c:v>0.623</c:v>
                </c:pt>
                <c:pt idx="2">
                  <c:v>0.54600000000000004</c:v>
                </c:pt>
                <c:pt idx="3">
                  <c:v>0.65200000000000002</c:v>
                </c:pt>
                <c:pt idx="4">
                  <c:v>0.64500000000000002</c:v>
                </c:pt>
                <c:pt idx="5">
                  <c:v>0.65500000000000003</c:v>
                </c:pt>
                <c:pt idx="6">
                  <c:v>0.70799999999999996</c:v>
                </c:pt>
                <c:pt idx="7">
                  <c:v>0.754</c:v>
                </c:pt>
              </c:numCache>
            </c:numRef>
          </c:yVal>
          <c:smooth val="0"/>
          <c:extLst>
            <c:ext xmlns:c16="http://schemas.microsoft.com/office/drawing/2014/chart" uri="{C3380CC4-5D6E-409C-BE32-E72D297353CC}">
              <c16:uniqueId val="{00000007-FFA3-48A5-AFB9-D2DAF62BED52}"/>
            </c:ext>
          </c:extLst>
        </c:ser>
        <c:ser>
          <c:idx val="7"/>
          <c:order val="7"/>
          <c:tx>
            <c:strRef>
              <c:f>WCV_0306!$A$9</c:f>
              <c:strCache>
                <c:ptCount val="1"/>
                <c:pt idx="0">
                  <c:v>Jackson Care Connect</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WCV_0306!$B$9:$I$9</c:f>
              <c:numCache>
                <c:formatCode>0.0%</c:formatCode>
                <c:ptCount val="8"/>
                <c:pt idx="0">
                  <c:v>0.61199999999999999</c:v>
                </c:pt>
                <c:pt idx="1">
                  <c:v>0.64300000000000002</c:v>
                </c:pt>
                <c:pt idx="2">
                  <c:v>0.54600000000000004</c:v>
                </c:pt>
                <c:pt idx="3">
                  <c:v>0.63700000000000001</c:v>
                </c:pt>
                <c:pt idx="4">
                  <c:v>0.57999999999999996</c:v>
                </c:pt>
                <c:pt idx="5">
                  <c:v>0.66600000000000004</c:v>
                </c:pt>
                <c:pt idx="6">
                  <c:v>0.66299999999999992</c:v>
                </c:pt>
                <c:pt idx="7">
                  <c:v>0.68500000000000005</c:v>
                </c:pt>
              </c:numCache>
            </c:numRef>
          </c:yVal>
          <c:smooth val="0"/>
          <c:extLst>
            <c:ext xmlns:c16="http://schemas.microsoft.com/office/drawing/2014/chart" uri="{C3380CC4-5D6E-409C-BE32-E72D297353CC}">
              <c16:uniqueId val="{00000008-FFA3-48A5-AFB9-D2DAF62BED52}"/>
            </c:ext>
          </c:extLst>
        </c:ser>
        <c:ser>
          <c:idx val="8"/>
          <c:order val="8"/>
          <c:tx>
            <c:strRef>
              <c:f>WCV_0306!$A$10</c:f>
              <c:strCache>
                <c:ptCount val="1"/>
                <c:pt idx="0">
                  <c:v>PacificSource Central</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WCV_0306!$B$10:$I$10</c:f>
              <c:numCache>
                <c:formatCode>0.0%</c:formatCode>
                <c:ptCount val="8"/>
                <c:pt idx="0">
                  <c:v>0.64400000000000002</c:v>
                </c:pt>
                <c:pt idx="1">
                  <c:v>0.71099999999999997</c:v>
                </c:pt>
                <c:pt idx="2">
                  <c:v>0.64200000000000002</c:v>
                </c:pt>
                <c:pt idx="3">
                  <c:v>0.68400000000000005</c:v>
                </c:pt>
                <c:pt idx="4">
                  <c:v>0.69299999999999995</c:v>
                </c:pt>
                <c:pt idx="5">
                  <c:v>0.70499999999999996</c:v>
                </c:pt>
                <c:pt idx="6">
                  <c:v>0.752</c:v>
                </c:pt>
                <c:pt idx="7">
                  <c:v>0.76300000000000001</c:v>
                </c:pt>
              </c:numCache>
            </c:numRef>
          </c:yVal>
          <c:smooth val="0"/>
          <c:extLst>
            <c:ext xmlns:c16="http://schemas.microsoft.com/office/drawing/2014/chart" uri="{C3380CC4-5D6E-409C-BE32-E72D297353CC}">
              <c16:uniqueId val="{00000009-FFA3-48A5-AFB9-D2DAF62BED52}"/>
            </c:ext>
          </c:extLst>
        </c:ser>
        <c:ser>
          <c:idx val="9"/>
          <c:order val="9"/>
          <c:tx>
            <c:strRef>
              <c:f>WCV_0306!$A$11</c:f>
              <c:strCache>
                <c:ptCount val="1"/>
                <c:pt idx="0">
                  <c:v>PacificSource Gorge</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WCV_0306!$B$11:$I$11</c:f>
              <c:numCache>
                <c:formatCode>0.0%</c:formatCode>
                <c:ptCount val="8"/>
                <c:pt idx="0">
                  <c:v>0.68599999999999994</c:v>
                </c:pt>
                <c:pt idx="1">
                  <c:v>0.71700000000000008</c:v>
                </c:pt>
                <c:pt idx="2">
                  <c:v>0.64800000000000002</c:v>
                </c:pt>
                <c:pt idx="3">
                  <c:v>0.71400000000000008</c:v>
                </c:pt>
                <c:pt idx="4">
                  <c:v>0.76</c:v>
                </c:pt>
                <c:pt idx="5">
                  <c:v>0.74399999999999999</c:v>
                </c:pt>
                <c:pt idx="6">
                  <c:v>0.77500000000000002</c:v>
                </c:pt>
                <c:pt idx="7">
                  <c:v>0.75800000000000001</c:v>
                </c:pt>
              </c:numCache>
            </c:numRef>
          </c:yVal>
          <c:smooth val="0"/>
          <c:extLst>
            <c:ext xmlns:c16="http://schemas.microsoft.com/office/drawing/2014/chart" uri="{C3380CC4-5D6E-409C-BE32-E72D297353CC}">
              <c16:uniqueId val="{0000000A-FFA3-48A5-AFB9-D2DAF62BED52}"/>
            </c:ext>
          </c:extLst>
        </c:ser>
        <c:ser>
          <c:idx val="10"/>
          <c:order val="10"/>
          <c:tx>
            <c:strRef>
              <c:f>WCV_0306!$A$12</c:f>
              <c:strCache>
                <c:ptCount val="1"/>
                <c:pt idx="0">
                  <c:v>PacificSource Lane</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WCV_0306!$B$12:$I$12</c:f>
              <c:numCache>
                <c:formatCode>General</c:formatCode>
                <c:ptCount val="8"/>
                <c:pt idx="2" formatCode="0.0%">
                  <c:v>0.58100000000000007</c:v>
                </c:pt>
                <c:pt idx="3" formatCode="0.0%">
                  <c:v>0.59499999999999997</c:v>
                </c:pt>
                <c:pt idx="4" formatCode="0.0%">
                  <c:v>0.57799999999999996</c:v>
                </c:pt>
                <c:pt idx="5" formatCode="0.0%">
                  <c:v>0.61299999999999999</c:v>
                </c:pt>
                <c:pt idx="6" formatCode="0.0%">
                  <c:v>0.59899999999999998</c:v>
                </c:pt>
                <c:pt idx="7" formatCode="0.0%">
                  <c:v>0.623</c:v>
                </c:pt>
              </c:numCache>
            </c:numRef>
          </c:yVal>
          <c:smooth val="0"/>
          <c:extLst>
            <c:ext xmlns:c16="http://schemas.microsoft.com/office/drawing/2014/chart" uri="{C3380CC4-5D6E-409C-BE32-E72D297353CC}">
              <c16:uniqueId val="{0000000B-FFA3-48A5-AFB9-D2DAF62BED52}"/>
            </c:ext>
          </c:extLst>
        </c:ser>
        <c:ser>
          <c:idx val="11"/>
          <c:order val="11"/>
          <c:tx>
            <c:strRef>
              <c:f>WCV_0306!$A$13</c:f>
              <c:strCache>
                <c:ptCount val="1"/>
                <c:pt idx="0">
                  <c:v>PacificSource Marion Polk</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WCV_0306!$B$13:$I$13</c:f>
              <c:numCache>
                <c:formatCode>General</c:formatCode>
                <c:ptCount val="8"/>
                <c:pt idx="2" formatCode="0.0%">
                  <c:v>0.61699999999999999</c:v>
                </c:pt>
                <c:pt idx="3" formatCode="0.0%">
                  <c:v>0.66200000000000003</c:v>
                </c:pt>
                <c:pt idx="4" formatCode="0.0%">
                  <c:v>0.629</c:v>
                </c:pt>
                <c:pt idx="5" formatCode="0.0%">
                  <c:v>0.64200000000000002</c:v>
                </c:pt>
                <c:pt idx="6" formatCode="0.0%">
                  <c:v>0.72899999999999987</c:v>
                </c:pt>
                <c:pt idx="7" formatCode="0.0%">
                  <c:v>0.72699999999999998</c:v>
                </c:pt>
              </c:numCache>
            </c:numRef>
          </c:yVal>
          <c:smooth val="0"/>
          <c:extLst>
            <c:ext xmlns:c16="http://schemas.microsoft.com/office/drawing/2014/chart" uri="{C3380CC4-5D6E-409C-BE32-E72D297353CC}">
              <c16:uniqueId val="{0000000C-FFA3-48A5-AFB9-D2DAF62BED52}"/>
            </c:ext>
          </c:extLst>
        </c:ser>
        <c:ser>
          <c:idx val="13"/>
          <c:order val="12"/>
          <c:tx>
            <c:strRef>
              <c:f>WCV_0306!$A$14</c:f>
              <c:strCache>
                <c:ptCount val="1"/>
                <c:pt idx="0">
                  <c:v>Statewide</c:v>
                </c:pt>
              </c:strCache>
            </c:strRef>
          </c:tx>
          <c:spPr>
            <a:ln w="28575" cap="rnd">
              <a:solidFill>
                <a:schemeClr val="accent1">
                  <a:lumMod val="75000"/>
                </a:schemeClr>
              </a:solidFill>
              <a:round/>
            </a:ln>
            <a:effectLst/>
          </c:spPr>
          <c:marker>
            <c:symbol val="none"/>
          </c:marker>
          <c:dPt>
            <c:idx val="3"/>
            <c:marker>
              <c:symbol val="none"/>
            </c:marker>
            <c:bubble3D val="0"/>
            <c:extLst>
              <c:ext xmlns:c16="http://schemas.microsoft.com/office/drawing/2014/chart" uri="{C3380CC4-5D6E-409C-BE32-E72D297353CC}">
                <c16:uniqueId val="{0000000D-FFA3-48A5-AFB9-D2DAF62BED52}"/>
              </c:ext>
            </c:extLst>
          </c:dPt>
          <c:xVal>
            <c:strRef>
              <c:f>WCV_0306!$B$1:$I$1</c:f>
              <c:strCache>
                <c:ptCount val="8"/>
                <c:pt idx="0">
                  <c:v>'18</c:v>
                </c:pt>
                <c:pt idx="1">
                  <c:v>'19</c:v>
                </c:pt>
                <c:pt idx="2">
                  <c:v>'20</c:v>
                </c:pt>
                <c:pt idx="3">
                  <c:v>'21</c:v>
                </c:pt>
                <c:pt idx="4">
                  <c:v>'22</c:v>
                </c:pt>
                <c:pt idx="5">
                  <c:v>'23</c:v>
                </c:pt>
                <c:pt idx="6">
                  <c:v>'24</c:v>
                </c:pt>
                <c:pt idx="7">
                  <c:v>'25</c:v>
                </c:pt>
              </c:strCache>
            </c:strRef>
          </c:xVal>
          <c:yVal>
            <c:numRef>
              <c:f>WCV_0306!$B$14:$I$14</c:f>
              <c:numCache>
                <c:formatCode>0.0%</c:formatCode>
                <c:ptCount val="8"/>
                <c:pt idx="0">
                  <c:v>0.66500000000000004</c:v>
                </c:pt>
                <c:pt idx="1">
                  <c:v>0.68599999999999994</c:v>
                </c:pt>
                <c:pt idx="2">
                  <c:v>0.59200000000000008</c:v>
                </c:pt>
                <c:pt idx="3">
                  <c:v>0.6409999999999999</c:v>
                </c:pt>
                <c:pt idx="4">
                  <c:v>0.63100000000000001</c:v>
                </c:pt>
                <c:pt idx="5">
                  <c:v>0.65400000000000003</c:v>
                </c:pt>
                <c:pt idx="6">
                  <c:v>0.69</c:v>
                </c:pt>
                <c:pt idx="7">
                  <c:v>0.71299999999999997</c:v>
                </c:pt>
              </c:numCache>
            </c:numRef>
          </c:yVal>
          <c:smooth val="0"/>
          <c:extLst>
            <c:ext xmlns:c16="http://schemas.microsoft.com/office/drawing/2014/chart" uri="{C3380CC4-5D6E-409C-BE32-E72D297353CC}">
              <c16:uniqueId val="{0000000E-FFA3-48A5-AFB9-D2DAF62BED52}"/>
            </c:ext>
          </c:extLst>
        </c:ser>
        <c:ser>
          <c:idx val="14"/>
          <c:order val="13"/>
          <c:tx>
            <c:strRef>
              <c:f>WCV_0306!$A$15</c:f>
              <c:strCache>
                <c:ptCount val="1"/>
                <c:pt idx="0">
                  <c:v>Trillium North</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WCV_0306!$B$15:$I$15</c:f>
              <c:numCache>
                <c:formatCode>General</c:formatCode>
                <c:ptCount val="8"/>
                <c:pt idx="3" formatCode="0.0%">
                  <c:v>0.45600000000000002</c:v>
                </c:pt>
                <c:pt idx="4" formatCode="0.0%">
                  <c:v>0.46299999999999997</c:v>
                </c:pt>
                <c:pt idx="5" formatCode="0.0%">
                  <c:v>0.41499999999999998</c:v>
                </c:pt>
                <c:pt idx="6" formatCode="0.0%">
                  <c:v>0.49200000000000005</c:v>
                </c:pt>
                <c:pt idx="7" formatCode="0.0%">
                  <c:v>0.55400000000000005</c:v>
                </c:pt>
              </c:numCache>
            </c:numRef>
          </c:yVal>
          <c:smooth val="0"/>
          <c:extLst>
            <c:ext xmlns:c16="http://schemas.microsoft.com/office/drawing/2014/chart" uri="{C3380CC4-5D6E-409C-BE32-E72D297353CC}">
              <c16:uniqueId val="{0000000F-FFA3-48A5-AFB9-D2DAF62BED52}"/>
            </c:ext>
          </c:extLst>
        </c:ser>
        <c:ser>
          <c:idx val="15"/>
          <c:order val="14"/>
          <c:tx>
            <c:strRef>
              <c:f>WCV_0306!$A$16</c:f>
              <c:strCache>
                <c:ptCount val="1"/>
                <c:pt idx="0">
                  <c:v>Trillium South</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WCV_0306!$B$16:$I$16</c:f>
              <c:numCache>
                <c:formatCode>0.0%</c:formatCode>
                <c:ptCount val="8"/>
                <c:pt idx="0">
                  <c:v>0.65900000000000003</c:v>
                </c:pt>
                <c:pt idx="1">
                  <c:v>0.67599999999999993</c:v>
                </c:pt>
                <c:pt idx="2">
                  <c:v>0.43200000000000005</c:v>
                </c:pt>
                <c:pt idx="3">
                  <c:v>0.51500000000000001</c:v>
                </c:pt>
                <c:pt idx="4">
                  <c:v>0.51900000000000002</c:v>
                </c:pt>
                <c:pt idx="5">
                  <c:v>0.51400000000000001</c:v>
                </c:pt>
                <c:pt idx="6">
                  <c:v>0.60299999999999998</c:v>
                </c:pt>
                <c:pt idx="7">
                  <c:v>0.59</c:v>
                </c:pt>
              </c:numCache>
            </c:numRef>
          </c:yVal>
          <c:smooth val="0"/>
          <c:extLst>
            <c:ext xmlns:c16="http://schemas.microsoft.com/office/drawing/2014/chart" uri="{C3380CC4-5D6E-409C-BE32-E72D297353CC}">
              <c16:uniqueId val="{00000010-FFA3-48A5-AFB9-D2DAF62BED52}"/>
            </c:ext>
          </c:extLst>
        </c:ser>
        <c:ser>
          <c:idx val="16"/>
          <c:order val="15"/>
          <c:tx>
            <c:strRef>
              <c:f>WCV_0306!$A$17</c:f>
              <c:strCache>
                <c:ptCount val="1"/>
                <c:pt idx="0">
                  <c:v>Umpqua Health Alliance</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WCV_0306!$B$17:$I$17</c:f>
              <c:numCache>
                <c:formatCode>0.0%</c:formatCode>
                <c:ptCount val="8"/>
                <c:pt idx="0">
                  <c:v>0.61</c:v>
                </c:pt>
                <c:pt idx="1">
                  <c:v>0.67599999999999993</c:v>
                </c:pt>
                <c:pt idx="2">
                  <c:v>0.6409999999999999</c:v>
                </c:pt>
                <c:pt idx="3">
                  <c:v>0.65099999999999991</c:v>
                </c:pt>
                <c:pt idx="4">
                  <c:v>0.71</c:v>
                </c:pt>
                <c:pt idx="5">
                  <c:v>0.70699999999999996</c:v>
                </c:pt>
                <c:pt idx="6">
                  <c:v>0.754</c:v>
                </c:pt>
                <c:pt idx="7">
                  <c:v>0.76700000000000002</c:v>
                </c:pt>
              </c:numCache>
            </c:numRef>
          </c:yVal>
          <c:smooth val="0"/>
          <c:extLst>
            <c:ext xmlns:c16="http://schemas.microsoft.com/office/drawing/2014/chart" uri="{C3380CC4-5D6E-409C-BE32-E72D297353CC}">
              <c16:uniqueId val="{00000011-FFA3-48A5-AFB9-D2DAF62BED52}"/>
            </c:ext>
          </c:extLst>
        </c:ser>
        <c:ser>
          <c:idx val="17"/>
          <c:order val="17"/>
          <c:tx>
            <c:strRef>
              <c:f>WCV_0306!$A$20</c:f>
              <c:strCache>
                <c:ptCount val="1"/>
                <c:pt idx="0">
                  <c:v>CCO statewide</c:v>
                </c:pt>
              </c:strCache>
            </c:strRef>
          </c:tx>
          <c:spPr>
            <a:ln w="25400" cap="rnd">
              <a:noFill/>
              <a:round/>
            </a:ln>
            <a:effectLst/>
          </c:spPr>
          <c:marker>
            <c:symbol val="circle"/>
            <c:size val="7"/>
            <c:spPr>
              <a:solidFill>
                <a:schemeClr val="accent1">
                  <a:lumMod val="75000"/>
                </a:schemeClr>
              </a:solidFill>
              <a:ln w="9525">
                <a:solidFill>
                  <a:schemeClr val="accent1">
                    <a:lumMod val="75000"/>
                  </a:schemeClr>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WCV_0306!$B$20:$I$20</c:f>
              <c:numCache>
                <c:formatCode>0.0%</c:formatCode>
                <c:ptCount val="8"/>
                <c:pt idx="0">
                  <c:v>0.66500000000000004</c:v>
                </c:pt>
                <c:pt idx="1">
                  <c:v>0.68599999999999994</c:v>
                </c:pt>
                <c:pt idx="2">
                  <c:v>0.59200000000000008</c:v>
                </c:pt>
                <c:pt idx="3">
                  <c:v>0.6409999999999999</c:v>
                </c:pt>
                <c:pt idx="4">
                  <c:v>0.63100000000000001</c:v>
                </c:pt>
                <c:pt idx="5">
                  <c:v>0.65400000000000003</c:v>
                </c:pt>
                <c:pt idx="6">
                  <c:v>0.69</c:v>
                </c:pt>
                <c:pt idx="7">
                  <c:v>0.71299999999999997</c:v>
                </c:pt>
              </c:numCache>
            </c:numRef>
          </c:yVal>
          <c:smooth val="0"/>
          <c:extLst>
            <c:ext xmlns:c16="http://schemas.microsoft.com/office/drawing/2014/chart" uri="{C3380CC4-5D6E-409C-BE32-E72D297353CC}">
              <c16:uniqueId val="{00000012-FFA3-48A5-AFB9-D2DAF62BED52}"/>
            </c:ext>
          </c:extLst>
        </c:ser>
        <c:ser>
          <c:idx val="18"/>
          <c:order val="18"/>
          <c:tx>
            <c:strRef>
              <c:f>WCV_0306!$A$21</c:f>
              <c:strCache>
                <c:ptCount val="1"/>
                <c:pt idx="0">
                  <c:v>Benchmark</c:v>
                </c:pt>
              </c:strCache>
            </c:strRef>
          </c:tx>
          <c:spPr>
            <a:ln w="28575" cap="rnd">
              <a:noFill/>
              <a:round/>
            </a:ln>
            <a:effectLst/>
          </c:spPr>
          <c:marker>
            <c:symbol val="dash"/>
            <c:size val="14"/>
            <c:spPr>
              <a:solidFill>
                <a:schemeClr val="accent2">
                  <a:lumMod val="75000"/>
                </a:schemeClr>
              </a:solidFill>
              <a:ln w="9525">
                <a:solidFill>
                  <a:schemeClr val="bg1"/>
                </a:solidFill>
              </a:ln>
              <a:effectLst/>
            </c:spPr>
          </c:marker>
          <c:dLbls>
            <c:dLbl>
              <c:idx val="2"/>
              <c:tx>
                <c:rich>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r>
                      <a:rPr lang="en-US" sz="1100">
                        <a:solidFill>
                          <a:schemeClr val="accent2">
                            <a:lumMod val="50000"/>
                          </a:schemeClr>
                        </a:solidFill>
                        <a:latin typeface="Aptos" panose="020B0004020202020204" pitchFamily="34" charset="0"/>
                      </a:rPr>
                      <a:t>Benchmark</a:t>
                    </a:r>
                  </a:p>
                </c:rich>
              </c:tx>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accent2">
                          <a:lumMod val="50000"/>
                        </a:schemeClr>
                      </a:solidFill>
                      <a:latin typeface="Aptos" panose="020B0004020202020204" pitchFamily="34" charset="0"/>
                      <a:ea typeface="+mn-ea"/>
                      <a:cs typeface="Arial" panose="020B0604020202020204" pitchFamily="34" charset="0"/>
                    </a:defRPr>
                  </a:pPr>
                  <a:endParaRPr lang="en-US"/>
                </a:p>
              </c:txPr>
              <c:dLblPos val="l"/>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FFA3-48A5-AFB9-D2DAF62BED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WCV_0306!$B$1:$I$1</c:f>
              <c:strCache>
                <c:ptCount val="8"/>
                <c:pt idx="0">
                  <c:v>'18</c:v>
                </c:pt>
                <c:pt idx="1">
                  <c:v>'19</c:v>
                </c:pt>
                <c:pt idx="2">
                  <c:v>'20</c:v>
                </c:pt>
                <c:pt idx="3">
                  <c:v>'21</c:v>
                </c:pt>
                <c:pt idx="4">
                  <c:v>'22</c:v>
                </c:pt>
                <c:pt idx="5">
                  <c:v>'23</c:v>
                </c:pt>
                <c:pt idx="6">
                  <c:v>'24</c:v>
                </c:pt>
                <c:pt idx="7">
                  <c:v>'25</c:v>
                </c:pt>
              </c:strCache>
            </c:strRef>
          </c:xVal>
          <c:yVal>
            <c:numRef>
              <c:f>WCV_0306!$B$21:$I$21</c:f>
              <c:numCache>
                <c:formatCode>General</c:formatCode>
                <c:ptCount val="8"/>
                <c:pt idx="2" formatCode="0.0%">
                  <c:v>0.78500000000000003</c:v>
                </c:pt>
                <c:pt idx="3" formatCode="0.0%">
                  <c:v>0.54600000000000004</c:v>
                </c:pt>
                <c:pt idx="4" formatCode="0.0%">
                  <c:v>0.64100000000000001</c:v>
                </c:pt>
                <c:pt idx="5" formatCode="0.0%">
                  <c:v>0.68600000000000005</c:v>
                </c:pt>
                <c:pt idx="6" formatCode="0.0%">
                  <c:v>0.70200000000000007</c:v>
                </c:pt>
                <c:pt idx="7" formatCode="0.0%">
                  <c:v>0.72</c:v>
                </c:pt>
              </c:numCache>
            </c:numRef>
          </c:yVal>
          <c:smooth val="0"/>
          <c:extLst>
            <c:ext xmlns:c16="http://schemas.microsoft.com/office/drawing/2014/chart" uri="{C3380CC4-5D6E-409C-BE32-E72D297353CC}">
              <c16:uniqueId val="{00000014-FFA3-48A5-AFB9-D2DAF62BED52}"/>
            </c:ext>
          </c:extLst>
        </c:ser>
        <c:ser>
          <c:idx val="19"/>
          <c:order val="19"/>
          <c:tx>
            <c:strRef>
              <c:f>WCV_0306!$A$19</c:f>
              <c:strCache>
                <c:ptCount val="1"/>
                <c:pt idx="0">
                  <c:v>Individual CCOs</c:v>
                </c:pt>
              </c:strCache>
            </c:strRef>
          </c:tx>
          <c:spPr>
            <a:ln w="25400" cap="rnd">
              <a:noFill/>
              <a:round/>
            </a:ln>
            <a:effectLst/>
          </c:spPr>
          <c:marker>
            <c:symbol val="circle"/>
            <c:size val="6"/>
            <c:spPr>
              <a:noFill/>
              <a:ln w="9525">
                <a:solidFill>
                  <a:srgbClr val="606060"/>
                </a:solidFill>
              </a:ln>
              <a:effectLst/>
            </c:spPr>
          </c:marker>
          <c:xVal>
            <c:strRef>
              <c:f>WCV_0306!$B$1:$I$1</c:f>
              <c:strCache>
                <c:ptCount val="8"/>
                <c:pt idx="0">
                  <c:v>'18</c:v>
                </c:pt>
                <c:pt idx="1">
                  <c:v>'19</c:v>
                </c:pt>
                <c:pt idx="2">
                  <c:v>'20</c:v>
                </c:pt>
                <c:pt idx="3">
                  <c:v>'21</c:v>
                </c:pt>
                <c:pt idx="4">
                  <c:v>'22</c:v>
                </c:pt>
                <c:pt idx="5">
                  <c:v>'23</c:v>
                </c:pt>
                <c:pt idx="6">
                  <c:v>'24</c:v>
                </c:pt>
                <c:pt idx="7">
                  <c:v>'25</c:v>
                </c:pt>
              </c:strCache>
            </c:strRef>
          </c:xVal>
          <c:yVal>
            <c:numRef>
              <c:f>WCV_0306!$B$19:$I$19</c:f>
              <c:numCache>
                <c:formatCode>0.0%</c:formatCode>
                <c:ptCount val="8"/>
                <c:pt idx="0">
                  <c:v>0.65800000000000003</c:v>
                </c:pt>
                <c:pt idx="1">
                  <c:v>0.68700000000000006</c:v>
                </c:pt>
                <c:pt idx="2">
                  <c:v>0.622</c:v>
                </c:pt>
                <c:pt idx="3">
                  <c:v>0.65300000000000002</c:v>
                </c:pt>
                <c:pt idx="4">
                  <c:v>0.68200000000000005</c:v>
                </c:pt>
                <c:pt idx="5">
                  <c:v>0.73299999999999998</c:v>
                </c:pt>
                <c:pt idx="6">
                  <c:v>0.71499999999999997</c:v>
                </c:pt>
                <c:pt idx="7">
                  <c:v>0.73899999999999999</c:v>
                </c:pt>
              </c:numCache>
            </c:numRef>
          </c:yVal>
          <c:smooth val="0"/>
          <c:extLst>
            <c:ext xmlns:c16="http://schemas.microsoft.com/office/drawing/2014/chart" uri="{C3380CC4-5D6E-409C-BE32-E72D297353CC}">
              <c16:uniqueId val="{00000015-FFA3-48A5-AFB9-D2DAF62BED52}"/>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Arial" panose="020B0604020202020204" pitchFamily="34" charset="0"/>
              </a:defRPr>
            </a:pPr>
            <a:endParaRPr lang="en-US"/>
          </a:p>
        </c:txPr>
        <c:crossAx val="883618976"/>
        <c:crosses val="autoZero"/>
        <c:crossBetween val="between"/>
        <c:majorUnit val="0.5"/>
        <c:minorUnit val="0.25"/>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8"/>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ptos" panose="020B00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0.65694</cdr:x>
      <cdr:y>0.89087</cdr:y>
    </cdr:from>
    <cdr:to>
      <cdr:x>0.91519</cdr:x>
      <cdr:y>0.96908</cdr:y>
    </cdr:to>
    <cdr:sp macro="" textlink="">
      <cdr:nvSpPr>
        <cdr:cNvPr id="2" name="TextBox 3">
          <a:extLst xmlns:a="http://schemas.openxmlformats.org/drawingml/2006/main">
            <a:ext uri="{FF2B5EF4-FFF2-40B4-BE49-F238E27FC236}">
              <a16:creationId xmlns:a16="http://schemas.microsoft.com/office/drawing/2014/main" id="{F483A919-F0BA-4B31-8D5A-A4A1BB1D8FD1}"/>
            </a:ext>
          </a:extLst>
        </cdr:cNvPr>
        <cdr:cNvSpPr txBox="1"/>
      </cdr:nvSpPr>
      <cdr:spPr>
        <a:xfrm xmlns:a="http://schemas.openxmlformats.org/drawingml/2006/main">
          <a:off x="3003550" y="2851150"/>
          <a:ext cx="1180683" cy="25028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b="1">
              <a:solidFill>
                <a:srgbClr val="606060"/>
              </a:solidFill>
              <a:effectLst/>
              <a:latin typeface="+mn-lt"/>
              <a:ea typeface="+mn-ea"/>
              <a:cs typeface="+mn-cs"/>
            </a:rPr>
            <a:t>¦</a:t>
          </a:r>
          <a:r>
            <a:rPr lang="en-US" sz="1100">
              <a:solidFill>
                <a:schemeClr val="tx1"/>
              </a:solidFill>
              <a:effectLst/>
              <a:latin typeface="+mn-lt"/>
              <a:ea typeface="+mn-ea"/>
              <a:cs typeface="+mn-cs"/>
            </a:rPr>
            <a:t> Measure</a:t>
          </a:r>
          <a:r>
            <a:rPr lang="en-US" sz="1100" baseline="0">
              <a:solidFill>
                <a:schemeClr val="tx1"/>
              </a:solidFill>
              <a:effectLst/>
              <a:latin typeface="+mn-lt"/>
              <a:ea typeface="+mn-ea"/>
              <a:cs typeface="+mn-cs"/>
            </a:rPr>
            <a:t> change</a:t>
          </a:r>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0.66111</cdr:x>
      <cdr:y>0.88549</cdr:y>
    </cdr:from>
    <cdr:to>
      <cdr:x>0.91935</cdr:x>
      <cdr:y>0.96843</cdr:y>
    </cdr:to>
    <cdr:sp macro="" textlink="">
      <cdr:nvSpPr>
        <cdr:cNvPr id="2" name="TextBox 3">
          <a:extLst xmlns:a="http://schemas.openxmlformats.org/drawingml/2006/main">
            <a:ext uri="{FF2B5EF4-FFF2-40B4-BE49-F238E27FC236}">
              <a16:creationId xmlns:a16="http://schemas.microsoft.com/office/drawing/2014/main" id="{F483A919-F0BA-4B31-8D5A-A4A1BB1D8FD1}"/>
            </a:ext>
          </a:extLst>
        </cdr:cNvPr>
        <cdr:cNvSpPr txBox="1"/>
      </cdr:nvSpPr>
      <cdr:spPr>
        <a:xfrm xmlns:a="http://schemas.openxmlformats.org/drawingml/2006/main">
          <a:off x="3022600" y="2671983"/>
          <a:ext cx="1180683" cy="25028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b="1">
              <a:solidFill>
                <a:srgbClr val="606060"/>
              </a:solidFill>
              <a:effectLst/>
              <a:latin typeface="+mn-lt"/>
              <a:ea typeface="+mn-ea"/>
              <a:cs typeface="+mn-cs"/>
            </a:rPr>
            <a:t>¦</a:t>
          </a:r>
          <a:r>
            <a:rPr lang="en-US" sz="1100">
              <a:solidFill>
                <a:schemeClr val="tx1"/>
              </a:solidFill>
              <a:effectLst/>
              <a:latin typeface="+mn-lt"/>
              <a:ea typeface="+mn-ea"/>
              <a:cs typeface="+mn-cs"/>
            </a:rPr>
            <a:t> Measure</a:t>
          </a:r>
          <a:r>
            <a:rPr lang="en-US" sz="1100" baseline="0">
              <a:solidFill>
                <a:schemeClr val="tx1"/>
              </a:solidFill>
              <a:effectLst/>
              <a:latin typeface="+mn-lt"/>
              <a:ea typeface="+mn-ea"/>
              <a:cs typeface="+mn-cs"/>
            </a:rPr>
            <a:t> change</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F7E6828B21CD429B32949F799B911B" ma:contentTypeVersion="13" ma:contentTypeDescription="Create a new document." ma:contentTypeScope="" ma:versionID="08b2d7f50ebc417c56fb0626388ae034">
  <xsd:schema xmlns:xsd="http://www.w3.org/2001/XMLSchema" xmlns:xs="http://www.w3.org/2001/XMLSchema" xmlns:p="http://schemas.microsoft.com/office/2006/metadata/properties" xmlns:ns1="http://schemas.microsoft.com/sharepoint/v3" xmlns:ns2="05671de4-15dc-4c59-967d-4538e6edcd8f" xmlns:ns3="59da1016-2a1b-4f8a-9768-d7a4932f6f16" xmlns:ns4="http://schemas.microsoft.com/sharepoint/v4" targetNamespace="http://schemas.microsoft.com/office/2006/metadata/properties" ma:root="true" ma:fieldsID="4a0353332d375fbf1725e5715ab4b387" ns1:_="" ns2:_="" ns3:_="" ns4:_="">
    <xsd:import namespace="http://schemas.microsoft.com/sharepoint/v3"/>
    <xsd:import namespace="05671de4-15dc-4c59-967d-4538e6edcd8f"/>
    <xsd:import namespace="59da1016-2a1b-4f8a-9768-d7a4932f6f16"/>
    <xsd:import namespace="http://schemas.microsoft.com/sharepoint/v4"/>
    <xsd:element name="properties">
      <xsd:complexType>
        <xsd:sequence>
          <xsd:element name="documentManagement">
            <xsd:complexType>
              <xsd:all>
                <xsd:element ref="ns1:URL" minOccurs="0"/>
                <xsd:element ref="ns2:cqkp" minOccurs="0"/>
                <xsd:element ref="ns3:IACategory" minOccurs="0"/>
                <xsd:element ref="ns3:IATopic" minOccurs="0"/>
                <xsd:element ref="ns3:IASubtopic" minOccurs="0"/>
                <xsd:element ref="ns3:DocumentExpirationDate" minOccurs="0"/>
                <xsd:element ref="ns2:Meta_x0020_Description" minOccurs="0"/>
                <xsd:element ref="ns2:Meta_x0020_Keywor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671de4-15dc-4c59-967d-4538e6edcd8f" elementFormDefault="qualified">
    <xsd:import namespace="http://schemas.microsoft.com/office/2006/documentManagement/types"/>
    <xsd:import namespace="http://schemas.microsoft.com/office/infopath/2007/PartnerControls"/>
    <xsd:element name="cqkp" ma:index="9" nillable="true" ma:displayName="Text" ma:internalName="cqkp" ma:readOnly="false">
      <xsd:simpleType>
        <xsd:restriction base="dms:Text"/>
      </xsd:simpleType>
    </xsd:element>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conOverlay xmlns="http://schemas.microsoft.com/sharepoint/v4" xsi:nil="true"/>
    <URL xmlns="http://schemas.microsoft.com/sharepoint/v3">
      <Url xsi:nil="true"/>
      <Description xsi:nil="true"/>
    </URL>
    <IASubtopic xmlns="59da1016-2a1b-4f8a-9768-d7a4932f6f16" xsi:nil="true"/>
    <cqkp xmlns="05671de4-15dc-4c59-967d-4538e6edcd8f" xsi:nil="true"/>
    <Meta_x0020_Keywords xmlns="05671de4-15dc-4c59-967d-4538e6edcd8f" xsi:nil="true"/>
    <Meta_x0020_Description xmlns="05671de4-15dc-4c59-967d-4538e6edcd8f" xsi:nil="true"/>
  </documentManagement>
</p:properties>
</file>

<file path=customXml/itemProps1.xml><?xml version="1.0" encoding="utf-8"?>
<ds:datastoreItem xmlns:ds="http://schemas.openxmlformats.org/officeDocument/2006/customXml" ds:itemID="{1C33BAF8-FBC3-49B6-9D37-7BA6E170A54E}">
  <ds:schemaRefs>
    <ds:schemaRef ds:uri="http://schemas.microsoft.com/sharepoint/v3/contenttype/forms"/>
  </ds:schemaRefs>
</ds:datastoreItem>
</file>

<file path=customXml/itemProps2.xml><?xml version="1.0" encoding="utf-8"?>
<ds:datastoreItem xmlns:ds="http://schemas.openxmlformats.org/officeDocument/2006/customXml" ds:itemID="{4C1E3C76-6CEA-4135-8C5E-9B47A3DB88F4}"/>
</file>

<file path=customXml/itemProps3.xml><?xml version="1.0" encoding="utf-8"?>
<ds:datastoreItem xmlns:ds="http://schemas.openxmlformats.org/officeDocument/2006/customXml" ds:itemID="{AA013842-BEB3-4D68-A875-439DA3FE8335}">
  <ds:schemaRefs>
    <ds:schemaRef ds:uri="http://schemas.openxmlformats.org/officeDocument/2006/bibliography"/>
  </ds:schemaRefs>
</ds:datastoreItem>
</file>

<file path=customXml/itemProps4.xml><?xml version="1.0" encoding="utf-8"?>
<ds:datastoreItem xmlns:ds="http://schemas.openxmlformats.org/officeDocument/2006/customXml" ds:itemID="{1F8D1619-5107-4F8E-AFCD-94813FA53C72}">
  <ds:schemaRefs>
    <ds:schemaRef ds:uri="http://schemas.microsoft.com/office/2006/metadata/properties"/>
    <ds:schemaRef ds:uri="http://schemas.microsoft.com/office/infopath/2007/PartnerControls"/>
    <ds:schemaRef ds:uri="6e43baa5-3773-4733-b4ea-10eb4a43a979"/>
    <ds:schemaRef ds:uri="4eb7cf43-ddc3-4e41-9162-60860e6e12b4"/>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17</TotalTime>
  <Pages>46</Pages>
  <Words>9164</Words>
  <Characters>52240</Characters>
  <Application>Microsoft Office Word</Application>
  <DocSecurity>8</DocSecurity>
  <Lines>435</Lines>
  <Paragraphs>122</Paragraphs>
  <ScaleCrop>false</ScaleCrop>
  <HeadingPairs>
    <vt:vector size="2" baseType="variant">
      <vt:variant>
        <vt:lpstr>Title</vt:lpstr>
      </vt:variant>
      <vt:variant>
        <vt:i4>1</vt:i4>
      </vt:variant>
    </vt:vector>
  </HeadingPairs>
  <TitlesOfParts>
    <vt:vector size="1" baseType="lpstr">
      <vt:lpstr>CCO Metrics 2025 Final Report</vt:lpstr>
    </vt:vector>
  </TitlesOfParts>
  <Company>Oregon Health Authority (OHA)</Company>
  <LinksUpToDate>false</LinksUpToDate>
  <CharactersWithSpaces>61282</CharactersWithSpaces>
  <SharedDoc>false</SharedDoc>
  <HLinks>
    <vt:vector size="348" baseType="variant">
      <vt:variant>
        <vt:i4>3145771</vt:i4>
      </vt:variant>
      <vt:variant>
        <vt:i4>237</vt:i4>
      </vt:variant>
      <vt:variant>
        <vt:i4>0</vt:i4>
      </vt:variant>
      <vt:variant>
        <vt:i4>5</vt:i4>
      </vt:variant>
      <vt:variant>
        <vt:lpwstr>https://www.oregon.gov/oha/HPA/ANALYTICS/Pages/Quality-Metrics.aspx</vt:lpwstr>
      </vt:variant>
      <vt:variant>
        <vt:lpwstr/>
      </vt:variant>
      <vt:variant>
        <vt:i4>3145756</vt:i4>
      </vt:variant>
      <vt:variant>
        <vt:i4>234</vt:i4>
      </vt:variant>
      <vt:variant>
        <vt:i4>0</vt:i4>
      </vt:variant>
      <vt:variant>
        <vt:i4>5</vt:i4>
      </vt:variant>
      <vt:variant>
        <vt:lpwstr>mailto:Metrics.Questions@odhsoha.oregon.gov</vt:lpwstr>
      </vt:variant>
      <vt:variant>
        <vt:lpwstr/>
      </vt:variant>
      <vt:variant>
        <vt:i4>3145756</vt:i4>
      </vt:variant>
      <vt:variant>
        <vt:i4>231</vt:i4>
      </vt:variant>
      <vt:variant>
        <vt:i4>0</vt:i4>
      </vt:variant>
      <vt:variant>
        <vt:i4>5</vt:i4>
      </vt:variant>
      <vt:variant>
        <vt:lpwstr>mailto:Metrics.Questions@odhsoha.oregon.gov</vt:lpwstr>
      </vt:variant>
      <vt:variant>
        <vt:lpwstr/>
      </vt:variant>
      <vt:variant>
        <vt:i4>3670135</vt:i4>
      </vt:variant>
      <vt:variant>
        <vt:i4>228</vt:i4>
      </vt:variant>
      <vt:variant>
        <vt:i4>0</vt:i4>
      </vt:variant>
      <vt:variant>
        <vt:i4>5</vt:i4>
      </vt:variant>
      <vt:variant>
        <vt:lpwstr>https://www.cdc.gov/diabetes/hcp/clinical-guidance/how-to-promote-oral-health-for-people-with-diabetes.html</vt:lpwstr>
      </vt:variant>
      <vt:variant>
        <vt:lpwstr/>
      </vt:variant>
      <vt:variant>
        <vt:i4>6160396</vt:i4>
      </vt:variant>
      <vt:variant>
        <vt:i4>225</vt:i4>
      </vt:variant>
      <vt:variant>
        <vt:i4>0</vt:i4>
      </vt:variant>
      <vt:variant>
        <vt:i4>5</vt:i4>
      </vt:variant>
      <vt:variant>
        <vt:lpwstr>https://www.who.int/news-room/fact-sheets/detail/diabetes</vt:lpwstr>
      </vt:variant>
      <vt:variant>
        <vt:lpwstr/>
      </vt:variant>
      <vt:variant>
        <vt:i4>458833</vt:i4>
      </vt:variant>
      <vt:variant>
        <vt:i4>222</vt:i4>
      </vt:variant>
      <vt:variant>
        <vt:i4>0</vt:i4>
      </vt:variant>
      <vt:variant>
        <vt:i4>5</vt:i4>
      </vt:variant>
      <vt:variant>
        <vt:lpwstr>https://www.oregon.gov/oha/HSD/Medicaid-Policy/Pages/Waiver-Renewal.aspx</vt:lpwstr>
      </vt:variant>
      <vt:variant>
        <vt:lpwstr/>
      </vt:variant>
      <vt:variant>
        <vt:i4>983053</vt:i4>
      </vt:variant>
      <vt:variant>
        <vt:i4>219</vt:i4>
      </vt:variant>
      <vt:variant>
        <vt:i4>0</vt:i4>
      </vt:variant>
      <vt:variant>
        <vt:i4>5</vt:i4>
      </vt:variant>
      <vt:variant>
        <vt:lpwstr>https://www.oregon.gov/oha/HSD/Medicaid-Policy/Documents/2012-2017-Evaluation.pdf</vt:lpwstr>
      </vt:variant>
      <vt:variant>
        <vt:lpwstr/>
      </vt:variant>
      <vt:variant>
        <vt:i4>5439601</vt:i4>
      </vt:variant>
      <vt:variant>
        <vt:i4>216</vt:i4>
      </vt:variant>
      <vt:variant>
        <vt:i4>0</vt:i4>
      </vt:variant>
      <vt:variant>
        <vt:i4>5</vt:i4>
      </vt:variant>
      <vt:variant>
        <vt:lpwstr>https://www.oregon.gov/oha/HPA/ANALYTICS/CCOMetrics/2025-Reference-Instructions-(Quality-Pool-Methodology)_final.pdf</vt:lpwstr>
      </vt:variant>
      <vt:variant>
        <vt:lpwstr/>
      </vt:variant>
      <vt:variant>
        <vt:i4>8323099</vt:i4>
      </vt:variant>
      <vt:variant>
        <vt:i4>213</vt:i4>
      </vt:variant>
      <vt:variant>
        <vt:i4>0</vt:i4>
      </vt:variant>
      <vt:variant>
        <vt:i4>5</vt:i4>
      </vt:variant>
      <vt:variant>
        <vt:lpwstr/>
      </vt:variant>
      <vt:variant>
        <vt:lpwstr>_Quality_Pool_decreased,</vt:lpwstr>
      </vt:variant>
      <vt:variant>
        <vt:i4>6094939</vt:i4>
      </vt:variant>
      <vt:variant>
        <vt:i4>210</vt:i4>
      </vt:variant>
      <vt:variant>
        <vt:i4>0</vt:i4>
      </vt:variant>
      <vt:variant>
        <vt:i4>5</vt:i4>
      </vt:variant>
      <vt:variant>
        <vt:lpwstr/>
      </vt:variant>
      <vt:variant>
        <vt:lpwstr>_Appendix_B:_How_1</vt:lpwstr>
      </vt:variant>
      <vt:variant>
        <vt:i4>5505031</vt:i4>
      </vt:variant>
      <vt:variant>
        <vt:i4>207</vt:i4>
      </vt:variant>
      <vt:variant>
        <vt:i4>0</vt:i4>
      </vt:variant>
      <vt:variant>
        <vt:i4>5</vt:i4>
      </vt:variant>
      <vt:variant>
        <vt:lpwstr>https://www.oregon.gov/oha/HPA/ANALYTICS/Pages/Metrics-Scoring-Committee.aspx</vt:lpwstr>
      </vt:variant>
      <vt:variant>
        <vt:lpwstr/>
      </vt:variant>
      <vt:variant>
        <vt:i4>589830</vt:i4>
      </vt:variant>
      <vt:variant>
        <vt:i4>204</vt:i4>
      </vt:variant>
      <vt:variant>
        <vt:i4>0</vt:i4>
      </vt:variant>
      <vt:variant>
        <vt:i4>5</vt:i4>
      </vt:variant>
      <vt:variant>
        <vt:lpwstr>https://oregon-pip.org/current-projects/health-aspects-of-kindergarten-readiness/</vt:lpwstr>
      </vt:variant>
      <vt:variant>
        <vt:lpwstr/>
      </vt:variant>
      <vt:variant>
        <vt:i4>786531</vt:i4>
      </vt:variant>
      <vt:variant>
        <vt:i4>201</vt:i4>
      </vt:variant>
      <vt:variant>
        <vt:i4>0</vt:i4>
      </vt:variant>
      <vt:variant>
        <vt:i4>5</vt:i4>
      </vt:variant>
      <vt:variant>
        <vt:lpwstr/>
      </vt:variant>
      <vt:variant>
        <vt:lpwstr>_Appendix_E:_Citations</vt:lpwstr>
      </vt:variant>
      <vt:variant>
        <vt:i4>5898267</vt:i4>
      </vt:variant>
      <vt:variant>
        <vt:i4>198</vt:i4>
      </vt:variant>
      <vt:variant>
        <vt:i4>0</vt:i4>
      </vt:variant>
      <vt:variant>
        <vt:i4>5</vt:i4>
      </vt:variant>
      <vt:variant>
        <vt:lpwstr>https://www.oregon.gov/oha/hpa/dsi/pages/performance-improvement-project.aspx</vt:lpwstr>
      </vt:variant>
      <vt:variant>
        <vt:lpwstr/>
      </vt:variant>
      <vt:variant>
        <vt:i4>786531</vt:i4>
      </vt:variant>
      <vt:variant>
        <vt:i4>195</vt:i4>
      </vt:variant>
      <vt:variant>
        <vt:i4>0</vt:i4>
      </vt:variant>
      <vt:variant>
        <vt:i4>5</vt:i4>
      </vt:variant>
      <vt:variant>
        <vt:lpwstr/>
      </vt:variant>
      <vt:variant>
        <vt:lpwstr>_Appendix_E:_Citations</vt:lpwstr>
      </vt:variant>
      <vt:variant>
        <vt:i4>5439556</vt:i4>
      </vt:variant>
      <vt:variant>
        <vt:i4>192</vt:i4>
      </vt:variant>
      <vt:variant>
        <vt:i4>0</vt:i4>
      </vt:variant>
      <vt:variant>
        <vt:i4>5</vt:i4>
      </vt:variant>
      <vt:variant>
        <vt:lpwstr/>
      </vt:variant>
      <vt:variant>
        <vt:lpwstr>_Kindergarten_Readiness</vt:lpwstr>
      </vt:variant>
      <vt:variant>
        <vt:i4>589830</vt:i4>
      </vt:variant>
      <vt:variant>
        <vt:i4>189</vt:i4>
      </vt:variant>
      <vt:variant>
        <vt:i4>0</vt:i4>
      </vt:variant>
      <vt:variant>
        <vt:i4>5</vt:i4>
      </vt:variant>
      <vt:variant>
        <vt:lpwstr>https://oregon-pip.org/current-projects/health-aspects-of-kindergarten-readiness/</vt:lpwstr>
      </vt:variant>
      <vt:variant>
        <vt:lpwstr/>
      </vt:variant>
      <vt:variant>
        <vt:i4>5439556</vt:i4>
      </vt:variant>
      <vt:variant>
        <vt:i4>186</vt:i4>
      </vt:variant>
      <vt:variant>
        <vt:i4>0</vt:i4>
      </vt:variant>
      <vt:variant>
        <vt:i4>5</vt:i4>
      </vt:variant>
      <vt:variant>
        <vt:lpwstr/>
      </vt:variant>
      <vt:variant>
        <vt:lpwstr>_Kindergarten_Readiness</vt:lpwstr>
      </vt:variant>
      <vt:variant>
        <vt:i4>5505036</vt:i4>
      </vt:variant>
      <vt:variant>
        <vt:i4>183</vt:i4>
      </vt:variant>
      <vt:variant>
        <vt:i4>0</vt:i4>
      </vt:variant>
      <vt:variant>
        <vt:i4>5</vt:i4>
      </vt:variant>
      <vt:variant>
        <vt:lpwstr>https://secure.sos.state.or.us/oard/displayDivisionRules.action?selectedDivision=7797</vt:lpwstr>
      </vt:variant>
      <vt:variant>
        <vt:lpwstr/>
      </vt:variant>
      <vt:variant>
        <vt:i4>5439556</vt:i4>
      </vt:variant>
      <vt:variant>
        <vt:i4>180</vt:i4>
      </vt:variant>
      <vt:variant>
        <vt:i4>0</vt:i4>
      </vt:variant>
      <vt:variant>
        <vt:i4>5</vt:i4>
      </vt:variant>
      <vt:variant>
        <vt:lpwstr/>
      </vt:variant>
      <vt:variant>
        <vt:lpwstr>_Kindergarten_Readiness</vt:lpwstr>
      </vt:variant>
      <vt:variant>
        <vt:i4>131076</vt:i4>
      </vt:variant>
      <vt:variant>
        <vt:i4>177</vt:i4>
      </vt:variant>
      <vt:variant>
        <vt:i4>0</vt:i4>
      </vt:variant>
      <vt:variant>
        <vt:i4>5</vt:i4>
      </vt:variant>
      <vt:variant>
        <vt:lpwstr>https://www.oregon.gov/oha/erd/pages/oha-works-to-protect-quality-health-care-across-oregon.aspx</vt:lpwstr>
      </vt:variant>
      <vt:variant>
        <vt:lpwstr/>
      </vt:variant>
      <vt:variant>
        <vt:i4>786531</vt:i4>
      </vt:variant>
      <vt:variant>
        <vt:i4>174</vt:i4>
      </vt:variant>
      <vt:variant>
        <vt:i4>0</vt:i4>
      </vt:variant>
      <vt:variant>
        <vt:i4>5</vt:i4>
      </vt:variant>
      <vt:variant>
        <vt:lpwstr/>
      </vt:variant>
      <vt:variant>
        <vt:lpwstr>_Appendix_E:_Citations</vt:lpwstr>
      </vt:variant>
      <vt:variant>
        <vt:i4>786531</vt:i4>
      </vt:variant>
      <vt:variant>
        <vt:i4>171</vt:i4>
      </vt:variant>
      <vt:variant>
        <vt:i4>0</vt:i4>
      </vt:variant>
      <vt:variant>
        <vt:i4>5</vt:i4>
      </vt:variant>
      <vt:variant>
        <vt:lpwstr/>
      </vt:variant>
      <vt:variant>
        <vt:lpwstr>_Appendix_E:_Citations</vt:lpwstr>
      </vt:variant>
      <vt:variant>
        <vt:i4>7274600</vt:i4>
      </vt:variant>
      <vt:variant>
        <vt:i4>168</vt:i4>
      </vt:variant>
      <vt:variant>
        <vt:i4>0</vt:i4>
      </vt:variant>
      <vt:variant>
        <vt:i4>5</vt:i4>
      </vt:variant>
      <vt:variant>
        <vt:lpwstr>https://www.oregon.gov/oha/HPA/ANALYTICS/CCOMetrics/2025 Health Equity Meaningful Access 2024.12.31.pdf</vt:lpwstr>
      </vt:variant>
      <vt:variant>
        <vt:lpwstr/>
      </vt:variant>
      <vt:variant>
        <vt:i4>2818095</vt:i4>
      </vt:variant>
      <vt:variant>
        <vt:i4>165</vt:i4>
      </vt:variant>
      <vt:variant>
        <vt:i4>0</vt:i4>
      </vt:variant>
      <vt:variant>
        <vt:i4>5</vt:i4>
      </vt:variant>
      <vt:variant>
        <vt:lpwstr>https://www.oregon.gov/oha/hsd/medicaid-policy/pages/hrsn.aspx</vt:lpwstr>
      </vt:variant>
      <vt:variant>
        <vt:lpwstr/>
      </vt:variant>
      <vt:variant>
        <vt:i4>65630</vt:i4>
      </vt:variant>
      <vt:variant>
        <vt:i4>162</vt:i4>
      </vt:variant>
      <vt:variant>
        <vt:i4>0</vt:i4>
      </vt:variant>
      <vt:variant>
        <vt:i4>5</vt:i4>
      </vt:variant>
      <vt:variant>
        <vt:lpwstr>https://www.oregon.gov/oha/hpa/dsi-tc/pages/sdoh-metric.aspx</vt:lpwstr>
      </vt:variant>
      <vt:variant>
        <vt:lpwstr/>
      </vt:variant>
      <vt:variant>
        <vt:i4>7405683</vt:i4>
      </vt:variant>
      <vt:variant>
        <vt:i4>159</vt:i4>
      </vt:variant>
      <vt:variant>
        <vt:i4>0</vt:i4>
      </vt:variant>
      <vt:variant>
        <vt:i4>5</vt:i4>
      </vt:variant>
      <vt:variant>
        <vt:lpwstr>https://www.oregon.gov/oha/HPA/ANALYTICS/CCOMetrics/2025 specs SDOH 2024.12.31.pdf</vt:lpwstr>
      </vt:variant>
      <vt:variant>
        <vt:lpwstr/>
      </vt:variant>
      <vt:variant>
        <vt:i4>589830</vt:i4>
      </vt:variant>
      <vt:variant>
        <vt:i4>156</vt:i4>
      </vt:variant>
      <vt:variant>
        <vt:i4>0</vt:i4>
      </vt:variant>
      <vt:variant>
        <vt:i4>5</vt:i4>
      </vt:variant>
      <vt:variant>
        <vt:lpwstr>https://oregon-pip.org/current-projects/health-aspects-of-kindergarten-readiness/</vt:lpwstr>
      </vt:variant>
      <vt:variant>
        <vt:lpwstr/>
      </vt:variant>
      <vt:variant>
        <vt:i4>3604519</vt:i4>
      </vt:variant>
      <vt:variant>
        <vt:i4>153</vt:i4>
      </vt:variant>
      <vt:variant>
        <vt:i4>0</vt:i4>
      </vt:variant>
      <vt:variant>
        <vt:i4>5</vt:i4>
      </vt:variant>
      <vt:variant>
        <vt:lpwstr>https://www.medicaid.gov/medicaid/quality-of-care/performance-measurement/adult-and-child-health-care-quality-measures</vt:lpwstr>
      </vt:variant>
      <vt:variant>
        <vt:lpwstr/>
      </vt:variant>
      <vt:variant>
        <vt:i4>393311</vt:i4>
      </vt:variant>
      <vt:variant>
        <vt:i4>150</vt:i4>
      </vt:variant>
      <vt:variant>
        <vt:i4>0</vt:i4>
      </vt:variant>
      <vt:variant>
        <vt:i4>5</vt:i4>
      </vt:variant>
      <vt:variant>
        <vt:lpwstr>https://olis.oregonlegislature.gov/liz/2023R1/Downloads/MeasureDocument/SB966</vt:lpwstr>
      </vt:variant>
      <vt:variant>
        <vt:lpwstr/>
      </vt:variant>
      <vt:variant>
        <vt:i4>131076</vt:i4>
      </vt:variant>
      <vt:variant>
        <vt:i4>147</vt:i4>
      </vt:variant>
      <vt:variant>
        <vt:i4>0</vt:i4>
      </vt:variant>
      <vt:variant>
        <vt:i4>5</vt:i4>
      </vt:variant>
      <vt:variant>
        <vt:lpwstr>https://www.oregon.gov/oha/erd/pages/oha-works-to-protect-quality-health-care-across-oregon.aspx</vt:lpwstr>
      </vt:variant>
      <vt:variant>
        <vt:lpwstr/>
      </vt:variant>
      <vt:variant>
        <vt:i4>3145756</vt:i4>
      </vt:variant>
      <vt:variant>
        <vt:i4>144</vt:i4>
      </vt:variant>
      <vt:variant>
        <vt:i4>0</vt:i4>
      </vt:variant>
      <vt:variant>
        <vt:i4>5</vt:i4>
      </vt:variant>
      <vt:variant>
        <vt:lpwstr>mailto:metrics.questions@odhsoha.oregon.gov</vt:lpwstr>
      </vt:variant>
      <vt:variant>
        <vt:lpwstr/>
      </vt:variant>
      <vt:variant>
        <vt:i4>5111894</vt:i4>
      </vt:variant>
      <vt:variant>
        <vt:i4>141</vt:i4>
      </vt:variant>
      <vt:variant>
        <vt:i4>0</vt:i4>
      </vt:variant>
      <vt:variant>
        <vt:i4>5</vt:i4>
      </vt:variant>
      <vt:variant>
        <vt:lpwstr>https://www.oregon.gov/oha/hpa/analytics/pages/metrics-reporting.aspx</vt:lpwstr>
      </vt:variant>
      <vt:variant>
        <vt:lpwstr/>
      </vt:variant>
      <vt:variant>
        <vt:i4>1245241</vt:i4>
      </vt:variant>
      <vt:variant>
        <vt:i4>134</vt:i4>
      </vt:variant>
      <vt:variant>
        <vt:i4>0</vt:i4>
      </vt:variant>
      <vt:variant>
        <vt:i4>5</vt:i4>
      </vt:variant>
      <vt:variant>
        <vt:lpwstr/>
      </vt:variant>
      <vt:variant>
        <vt:lpwstr>_Toc235090774</vt:lpwstr>
      </vt:variant>
      <vt:variant>
        <vt:i4>1245241</vt:i4>
      </vt:variant>
      <vt:variant>
        <vt:i4>128</vt:i4>
      </vt:variant>
      <vt:variant>
        <vt:i4>0</vt:i4>
      </vt:variant>
      <vt:variant>
        <vt:i4>5</vt:i4>
      </vt:variant>
      <vt:variant>
        <vt:lpwstr/>
      </vt:variant>
      <vt:variant>
        <vt:lpwstr>_Toc235090773</vt:lpwstr>
      </vt:variant>
      <vt:variant>
        <vt:i4>1245241</vt:i4>
      </vt:variant>
      <vt:variant>
        <vt:i4>122</vt:i4>
      </vt:variant>
      <vt:variant>
        <vt:i4>0</vt:i4>
      </vt:variant>
      <vt:variant>
        <vt:i4>5</vt:i4>
      </vt:variant>
      <vt:variant>
        <vt:lpwstr/>
      </vt:variant>
      <vt:variant>
        <vt:lpwstr>_Toc235090772</vt:lpwstr>
      </vt:variant>
      <vt:variant>
        <vt:i4>1245241</vt:i4>
      </vt:variant>
      <vt:variant>
        <vt:i4>116</vt:i4>
      </vt:variant>
      <vt:variant>
        <vt:i4>0</vt:i4>
      </vt:variant>
      <vt:variant>
        <vt:i4>5</vt:i4>
      </vt:variant>
      <vt:variant>
        <vt:lpwstr/>
      </vt:variant>
      <vt:variant>
        <vt:lpwstr>_Toc235090771</vt:lpwstr>
      </vt:variant>
      <vt:variant>
        <vt:i4>1245241</vt:i4>
      </vt:variant>
      <vt:variant>
        <vt:i4>110</vt:i4>
      </vt:variant>
      <vt:variant>
        <vt:i4>0</vt:i4>
      </vt:variant>
      <vt:variant>
        <vt:i4>5</vt:i4>
      </vt:variant>
      <vt:variant>
        <vt:lpwstr/>
      </vt:variant>
      <vt:variant>
        <vt:lpwstr>_Toc235090770</vt:lpwstr>
      </vt:variant>
      <vt:variant>
        <vt:i4>1179705</vt:i4>
      </vt:variant>
      <vt:variant>
        <vt:i4>104</vt:i4>
      </vt:variant>
      <vt:variant>
        <vt:i4>0</vt:i4>
      </vt:variant>
      <vt:variant>
        <vt:i4>5</vt:i4>
      </vt:variant>
      <vt:variant>
        <vt:lpwstr/>
      </vt:variant>
      <vt:variant>
        <vt:lpwstr>_Toc235090769</vt:lpwstr>
      </vt:variant>
      <vt:variant>
        <vt:i4>1179705</vt:i4>
      </vt:variant>
      <vt:variant>
        <vt:i4>98</vt:i4>
      </vt:variant>
      <vt:variant>
        <vt:i4>0</vt:i4>
      </vt:variant>
      <vt:variant>
        <vt:i4>5</vt:i4>
      </vt:variant>
      <vt:variant>
        <vt:lpwstr/>
      </vt:variant>
      <vt:variant>
        <vt:lpwstr>_Toc235090768</vt:lpwstr>
      </vt:variant>
      <vt:variant>
        <vt:i4>1179705</vt:i4>
      </vt:variant>
      <vt:variant>
        <vt:i4>92</vt:i4>
      </vt:variant>
      <vt:variant>
        <vt:i4>0</vt:i4>
      </vt:variant>
      <vt:variant>
        <vt:i4>5</vt:i4>
      </vt:variant>
      <vt:variant>
        <vt:lpwstr/>
      </vt:variant>
      <vt:variant>
        <vt:lpwstr>_Toc235090767</vt:lpwstr>
      </vt:variant>
      <vt:variant>
        <vt:i4>1179705</vt:i4>
      </vt:variant>
      <vt:variant>
        <vt:i4>86</vt:i4>
      </vt:variant>
      <vt:variant>
        <vt:i4>0</vt:i4>
      </vt:variant>
      <vt:variant>
        <vt:i4>5</vt:i4>
      </vt:variant>
      <vt:variant>
        <vt:lpwstr/>
      </vt:variant>
      <vt:variant>
        <vt:lpwstr>_Toc235090766</vt:lpwstr>
      </vt:variant>
      <vt:variant>
        <vt:i4>1179705</vt:i4>
      </vt:variant>
      <vt:variant>
        <vt:i4>80</vt:i4>
      </vt:variant>
      <vt:variant>
        <vt:i4>0</vt:i4>
      </vt:variant>
      <vt:variant>
        <vt:i4>5</vt:i4>
      </vt:variant>
      <vt:variant>
        <vt:lpwstr/>
      </vt:variant>
      <vt:variant>
        <vt:lpwstr>_Toc235090765</vt:lpwstr>
      </vt:variant>
      <vt:variant>
        <vt:i4>1179705</vt:i4>
      </vt:variant>
      <vt:variant>
        <vt:i4>74</vt:i4>
      </vt:variant>
      <vt:variant>
        <vt:i4>0</vt:i4>
      </vt:variant>
      <vt:variant>
        <vt:i4>5</vt:i4>
      </vt:variant>
      <vt:variant>
        <vt:lpwstr/>
      </vt:variant>
      <vt:variant>
        <vt:lpwstr>_Toc235090764</vt:lpwstr>
      </vt:variant>
      <vt:variant>
        <vt:i4>1179705</vt:i4>
      </vt:variant>
      <vt:variant>
        <vt:i4>68</vt:i4>
      </vt:variant>
      <vt:variant>
        <vt:i4>0</vt:i4>
      </vt:variant>
      <vt:variant>
        <vt:i4>5</vt:i4>
      </vt:variant>
      <vt:variant>
        <vt:lpwstr/>
      </vt:variant>
      <vt:variant>
        <vt:lpwstr>_Toc235090763</vt:lpwstr>
      </vt:variant>
      <vt:variant>
        <vt:i4>1179705</vt:i4>
      </vt:variant>
      <vt:variant>
        <vt:i4>62</vt:i4>
      </vt:variant>
      <vt:variant>
        <vt:i4>0</vt:i4>
      </vt:variant>
      <vt:variant>
        <vt:i4>5</vt:i4>
      </vt:variant>
      <vt:variant>
        <vt:lpwstr/>
      </vt:variant>
      <vt:variant>
        <vt:lpwstr>_Toc235090762</vt:lpwstr>
      </vt:variant>
      <vt:variant>
        <vt:i4>1179705</vt:i4>
      </vt:variant>
      <vt:variant>
        <vt:i4>56</vt:i4>
      </vt:variant>
      <vt:variant>
        <vt:i4>0</vt:i4>
      </vt:variant>
      <vt:variant>
        <vt:i4>5</vt:i4>
      </vt:variant>
      <vt:variant>
        <vt:lpwstr/>
      </vt:variant>
      <vt:variant>
        <vt:lpwstr>_Toc235090761</vt:lpwstr>
      </vt:variant>
      <vt:variant>
        <vt:i4>1179705</vt:i4>
      </vt:variant>
      <vt:variant>
        <vt:i4>50</vt:i4>
      </vt:variant>
      <vt:variant>
        <vt:i4>0</vt:i4>
      </vt:variant>
      <vt:variant>
        <vt:i4>5</vt:i4>
      </vt:variant>
      <vt:variant>
        <vt:lpwstr/>
      </vt:variant>
      <vt:variant>
        <vt:lpwstr>_Toc235090760</vt:lpwstr>
      </vt:variant>
      <vt:variant>
        <vt:i4>1114169</vt:i4>
      </vt:variant>
      <vt:variant>
        <vt:i4>44</vt:i4>
      </vt:variant>
      <vt:variant>
        <vt:i4>0</vt:i4>
      </vt:variant>
      <vt:variant>
        <vt:i4>5</vt:i4>
      </vt:variant>
      <vt:variant>
        <vt:lpwstr/>
      </vt:variant>
      <vt:variant>
        <vt:lpwstr>_Toc235090759</vt:lpwstr>
      </vt:variant>
      <vt:variant>
        <vt:i4>1114169</vt:i4>
      </vt:variant>
      <vt:variant>
        <vt:i4>38</vt:i4>
      </vt:variant>
      <vt:variant>
        <vt:i4>0</vt:i4>
      </vt:variant>
      <vt:variant>
        <vt:i4>5</vt:i4>
      </vt:variant>
      <vt:variant>
        <vt:lpwstr/>
      </vt:variant>
      <vt:variant>
        <vt:lpwstr>_Toc235090758</vt:lpwstr>
      </vt:variant>
      <vt:variant>
        <vt:i4>1114169</vt:i4>
      </vt:variant>
      <vt:variant>
        <vt:i4>32</vt:i4>
      </vt:variant>
      <vt:variant>
        <vt:i4>0</vt:i4>
      </vt:variant>
      <vt:variant>
        <vt:i4>5</vt:i4>
      </vt:variant>
      <vt:variant>
        <vt:lpwstr/>
      </vt:variant>
      <vt:variant>
        <vt:lpwstr>_Toc235090757</vt:lpwstr>
      </vt:variant>
      <vt:variant>
        <vt:i4>1114169</vt:i4>
      </vt:variant>
      <vt:variant>
        <vt:i4>26</vt:i4>
      </vt:variant>
      <vt:variant>
        <vt:i4>0</vt:i4>
      </vt:variant>
      <vt:variant>
        <vt:i4>5</vt:i4>
      </vt:variant>
      <vt:variant>
        <vt:lpwstr/>
      </vt:variant>
      <vt:variant>
        <vt:lpwstr>_Toc235090756</vt:lpwstr>
      </vt:variant>
      <vt:variant>
        <vt:i4>1114169</vt:i4>
      </vt:variant>
      <vt:variant>
        <vt:i4>20</vt:i4>
      </vt:variant>
      <vt:variant>
        <vt:i4>0</vt:i4>
      </vt:variant>
      <vt:variant>
        <vt:i4>5</vt:i4>
      </vt:variant>
      <vt:variant>
        <vt:lpwstr/>
      </vt:variant>
      <vt:variant>
        <vt:lpwstr>_Toc235090755</vt:lpwstr>
      </vt:variant>
      <vt:variant>
        <vt:i4>1114169</vt:i4>
      </vt:variant>
      <vt:variant>
        <vt:i4>14</vt:i4>
      </vt:variant>
      <vt:variant>
        <vt:i4>0</vt:i4>
      </vt:variant>
      <vt:variant>
        <vt:i4>5</vt:i4>
      </vt:variant>
      <vt:variant>
        <vt:lpwstr/>
      </vt:variant>
      <vt:variant>
        <vt:lpwstr>_Toc235090754</vt:lpwstr>
      </vt:variant>
      <vt:variant>
        <vt:i4>1114169</vt:i4>
      </vt:variant>
      <vt:variant>
        <vt:i4>8</vt:i4>
      </vt:variant>
      <vt:variant>
        <vt:i4>0</vt:i4>
      </vt:variant>
      <vt:variant>
        <vt:i4>5</vt:i4>
      </vt:variant>
      <vt:variant>
        <vt:lpwstr/>
      </vt:variant>
      <vt:variant>
        <vt:lpwstr>_Toc235090753</vt:lpwstr>
      </vt:variant>
      <vt:variant>
        <vt:i4>1114169</vt:i4>
      </vt:variant>
      <vt:variant>
        <vt:i4>2</vt:i4>
      </vt:variant>
      <vt:variant>
        <vt:i4>0</vt:i4>
      </vt:variant>
      <vt:variant>
        <vt:i4>5</vt:i4>
      </vt:variant>
      <vt:variant>
        <vt:lpwstr/>
      </vt:variant>
      <vt:variant>
        <vt:lpwstr>_Toc235090752</vt:lpwstr>
      </vt:variant>
      <vt:variant>
        <vt:i4>5505036</vt:i4>
      </vt:variant>
      <vt:variant>
        <vt:i4>3</vt:i4>
      </vt:variant>
      <vt:variant>
        <vt:i4>0</vt:i4>
      </vt:variant>
      <vt:variant>
        <vt:i4>5</vt:i4>
      </vt:variant>
      <vt:variant>
        <vt:lpwstr>https://secure.sos.state.or.us/oard/displayDivisionRules.action?selectedDivision=7797</vt:lpwstr>
      </vt:variant>
      <vt:variant>
        <vt:lpwstr/>
      </vt:variant>
      <vt:variant>
        <vt:i4>5505036</vt:i4>
      </vt:variant>
      <vt:variant>
        <vt:i4>0</vt:i4>
      </vt:variant>
      <vt:variant>
        <vt:i4>0</vt:i4>
      </vt:variant>
      <vt:variant>
        <vt:i4>5</vt:i4>
      </vt:variant>
      <vt:variant>
        <vt:lpwstr>https://secure.sos.state.or.us/oard/displayDivisionRules.action?selectedDivision=7797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CCO Metrics 2025 Final Report</dc:title>
  <dc:subject>CCO Quality Incentive Program</dc:subject>
  <dc:creator>Health Policy and Analytics</dc:creator>
  <cp:keywords/>
  <dc:description/>
  <cp:lastModifiedBy>Carly Castaneda (she/her)</cp:lastModifiedBy>
  <cp:revision>9</cp:revision>
  <dcterms:created xsi:type="dcterms:W3CDTF">2026-08-20T17:36:00Z</dcterms:created>
  <dcterms:modified xsi:type="dcterms:W3CDTF">2026-08-24T16:14:00Z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0x01010013F7E6828B21CD429B32949F799B911B</vt:lpwstr>
  </property>
  <property fmtid="{D5CDD505-2E9C-101B-9397-08002B2CF9AE}" pid="3" name="MediaServiceImageTags">
    <vt:lpwstr/>
  </property>
</Properties>
</file>